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148" w:rsidRPr="00A16299" w:rsidRDefault="008D5C1E" w:rsidP="00A16299">
      <w:pPr>
        <w:spacing w:after="0" w:line="480" w:lineRule="auto"/>
        <w:rPr>
          <w:rFonts w:ascii="Times New Roman" w:hAnsi="Times New Roman" w:cs="Times New Roman"/>
          <w:b/>
          <w:sz w:val="32"/>
          <w:lang w:val="en-US"/>
        </w:rPr>
      </w:pPr>
      <w:r>
        <w:rPr>
          <w:rFonts w:ascii="Times New Roman" w:hAnsi="Times New Roman" w:cs="Times New Roman"/>
          <w:b/>
          <w:sz w:val="32"/>
          <w:lang w:val="en-US"/>
        </w:rPr>
        <w:t>Online R</w:t>
      </w:r>
      <w:bookmarkStart w:id="0" w:name="_GoBack"/>
      <w:bookmarkEnd w:id="0"/>
      <w:r w:rsidR="00E262A0">
        <w:rPr>
          <w:rFonts w:ascii="Times New Roman" w:hAnsi="Times New Roman" w:cs="Times New Roman"/>
          <w:b/>
          <w:sz w:val="32"/>
          <w:lang w:val="en-US"/>
        </w:rPr>
        <w:t xml:space="preserve">esource 2: </w:t>
      </w:r>
      <w:r w:rsidR="00A16299" w:rsidRPr="00A16299">
        <w:rPr>
          <w:rFonts w:ascii="Times New Roman" w:hAnsi="Times New Roman" w:cs="Times New Roman"/>
          <w:b/>
          <w:sz w:val="32"/>
          <w:lang w:val="en-US"/>
        </w:rPr>
        <w:t>Supplementary figures for trauma</w:t>
      </w:r>
      <w:r w:rsidR="00E262A0">
        <w:rPr>
          <w:rFonts w:ascii="Times New Roman" w:hAnsi="Times New Roman" w:cs="Times New Roman"/>
          <w:b/>
          <w:sz w:val="32"/>
          <w:lang w:val="en-US"/>
        </w:rPr>
        <w:t>-</w:t>
      </w:r>
      <w:r w:rsidR="00A16299" w:rsidRPr="00A16299">
        <w:rPr>
          <w:rFonts w:ascii="Times New Roman" w:hAnsi="Times New Roman" w:cs="Times New Roman"/>
          <w:b/>
          <w:sz w:val="32"/>
          <w:lang w:val="en-US"/>
        </w:rPr>
        <w:t xml:space="preserve">mechanism and </w:t>
      </w:r>
      <w:r w:rsidR="00A16299">
        <w:rPr>
          <w:rFonts w:ascii="Times New Roman" w:hAnsi="Times New Roman" w:cs="Times New Roman"/>
          <w:b/>
          <w:sz w:val="32"/>
          <w:lang w:val="en-US"/>
        </w:rPr>
        <w:t>YLD</w:t>
      </w:r>
    </w:p>
    <w:p w:rsidR="00A16299" w:rsidRDefault="00A16299" w:rsidP="00A16299">
      <w:pPr>
        <w:spacing w:after="0"/>
      </w:pPr>
      <w:r>
        <w:object w:dxaOrig="10692" w:dyaOrig="52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222.75pt" o:ole="" filled="t">
            <v:imagedata r:id="rId4" o:title=""/>
          </v:shape>
          <o:OLEObject Type="Embed" ProgID="Prism9.Document" ShapeID="_x0000_i1025" DrawAspect="Content" ObjectID="_1740467803" r:id="rId5"/>
        </w:object>
      </w:r>
    </w:p>
    <w:p w:rsidR="00A16299" w:rsidRPr="00A16299" w:rsidRDefault="00A16299" w:rsidP="00A16299">
      <w:pPr>
        <w:spacing w:after="0" w:line="48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A16299">
        <w:rPr>
          <w:rFonts w:ascii="Times New Roman" w:hAnsi="Times New Roman"/>
          <w:b/>
          <w:sz w:val="24"/>
          <w:szCs w:val="24"/>
          <w:lang w:val="en-US"/>
        </w:rPr>
        <w:t>Figure S1: Age-related proportion of patients sustaining a femoral neck fracture (A) or trochanteric fracture (B) due to a fall in the years 2000-2019</w:t>
      </w:r>
    </w:p>
    <w:p w:rsidR="00A16299" w:rsidRDefault="00A16299" w:rsidP="00A16299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 w:rsidRPr="00A16299">
        <w:rPr>
          <w:rFonts w:ascii="Times New Roman" w:hAnsi="Times New Roman"/>
          <w:sz w:val="24"/>
          <w:szCs w:val="24"/>
          <w:lang w:val="en-US"/>
        </w:rPr>
        <w:t>Data are averaged over 5-year periods (</w:t>
      </w:r>
      <w:r w:rsidRPr="00A16299">
        <w:rPr>
          <w:rFonts w:ascii="Times New Roman" w:hAnsi="Times New Roman"/>
          <w:i/>
          <w:sz w:val="24"/>
          <w:szCs w:val="24"/>
          <w:lang w:val="en-US"/>
        </w:rPr>
        <w:t>i.e.</w:t>
      </w:r>
      <w:r w:rsidRPr="00A16299">
        <w:rPr>
          <w:rFonts w:ascii="Times New Roman" w:hAnsi="Times New Roman"/>
          <w:sz w:val="24"/>
          <w:szCs w:val="24"/>
          <w:lang w:val="en-US"/>
        </w:rPr>
        <w:t>, 2000-2004, 2005-2009, 2010-2014, and 2015-2019) and are shown for 0-24 years, 25-50 years, and subsequently in 5-year age groups up to and including 90+.</w:t>
      </w:r>
    </w:p>
    <w:p w:rsidR="00A16299" w:rsidRDefault="00A16299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p w:rsidR="00A16299" w:rsidRPr="00A16299" w:rsidRDefault="00A16299" w:rsidP="00A16299">
      <w:pPr>
        <w:spacing w:after="0" w:line="48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A16299" w:rsidRPr="00A32331" w:rsidRDefault="00A16299" w:rsidP="00A16299">
      <w:pPr>
        <w:spacing w:after="0"/>
      </w:pPr>
      <w:r>
        <w:object w:dxaOrig="5215" w:dyaOrig="4982">
          <v:shape id="_x0000_i1026" type="#_x0000_t75" style="width:261pt;height:249.75pt" o:ole="">
            <v:imagedata r:id="rId6" o:title=""/>
          </v:shape>
          <o:OLEObject Type="Embed" ProgID="Prism9.Document" ShapeID="_x0000_i1026" DrawAspect="Content" ObjectID="_1740467804" r:id="rId7"/>
        </w:object>
      </w:r>
    </w:p>
    <w:p w:rsidR="00A16299" w:rsidRPr="00A16299" w:rsidRDefault="00A16299" w:rsidP="00A16299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 w:rsidRPr="00A16299">
        <w:rPr>
          <w:rFonts w:ascii="Times New Roman" w:hAnsi="Times New Roman"/>
          <w:b/>
          <w:sz w:val="24"/>
          <w:szCs w:val="24"/>
          <w:lang w:val="en-US"/>
        </w:rPr>
        <w:t xml:space="preserve">Figure </w:t>
      </w:r>
      <w:r>
        <w:rPr>
          <w:rFonts w:ascii="Times New Roman" w:hAnsi="Times New Roman"/>
          <w:b/>
          <w:sz w:val="24"/>
          <w:szCs w:val="24"/>
          <w:lang w:val="en-US"/>
        </w:rPr>
        <w:t>S2</w:t>
      </w:r>
      <w:r w:rsidRPr="00A16299">
        <w:rPr>
          <w:rFonts w:ascii="Times New Roman" w:hAnsi="Times New Roman"/>
          <w:b/>
          <w:sz w:val="24"/>
          <w:szCs w:val="24"/>
          <w:lang w:val="en-US"/>
        </w:rPr>
        <w:t>: Age-related years lived with disability per patient with a proximal femoral fracture</w:t>
      </w:r>
    </w:p>
    <w:p w:rsidR="00A16299" w:rsidRPr="00A16299" w:rsidRDefault="00A16299" w:rsidP="00A16299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 w:rsidRPr="00A16299">
        <w:rPr>
          <w:rFonts w:ascii="Times New Roman" w:hAnsi="Times New Roman"/>
          <w:sz w:val="24"/>
          <w:szCs w:val="24"/>
          <w:lang w:val="en-US"/>
        </w:rPr>
        <w:t xml:space="preserve">Data (averaged for the years 2015-2019) are shown for males (blue) and females (red) in age groups of: 0-24 years, 25-50 years and subsequently in 5-year age groups up to and including 90+. </w:t>
      </w:r>
    </w:p>
    <w:p w:rsidR="00D1621C" w:rsidRDefault="00D1621C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br w:type="page"/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b/>
          <w:sz w:val="28"/>
          <w:lang w:val="en-US"/>
        </w:rPr>
      </w:pPr>
      <w:r w:rsidRPr="00D1621C">
        <w:rPr>
          <w:rFonts w:ascii="Times New Roman" w:hAnsi="Times New Roman" w:cs="Times New Roman"/>
          <w:b/>
          <w:sz w:val="28"/>
          <w:lang w:val="en-US"/>
        </w:rPr>
        <w:lastRenderedPageBreak/>
        <w:t>Trends in incidence, health care consumption, and costs for proximal femoral fractures in the Netherlands between 2000-2019; a nationwide study</w:t>
      </w:r>
    </w:p>
    <w:p w:rsidR="00D1621C" w:rsidRDefault="00D1621C" w:rsidP="00D1621C">
      <w:pPr>
        <w:spacing w:after="0" w:line="480" w:lineRule="auto"/>
        <w:rPr>
          <w:rFonts w:ascii="Times New Roman" w:hAnsi="Times New Roman" w:cs="Times New Roman"/>
          <w:sz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u w:val="single"/>
        </w:rPr>
        <w:t>Osteoporosis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International</w:t>
      </w:r>
    </w:p>
    <w:p w:rsidR="00D1621C" w:rsidRDefault="00D1621C" w:rsidP="00D1621C">
      <w:pPr>
        <w:spacing w:after="0" w:line="48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</w:rPr>
        <w:t>Miliaan L. Zeelenberg MD</w:t>
      </w:r>
      <w:r>
        <w:rPr>
          <w:rFonts w:ascii="Times New Roman" w:hAnsi="Times New Roman" w:cs="Times New Roman"/>
          <w:sz w:val="24"/>
          <w:vertAlign w:val="superscript"/>
        </w:rPr>
        <w:t>1</w:t>
      </w:r>
      <w:r>
        <w:rPr>
          <w:rFonts w:ascii="Times New Roman" w:hAnsi="Times New Roman" w:cs="Times New Roman"/>
          <w:sz w:val="24"/>
        </w:rPr>
        <w:t>, Dennis Den Hartog MD PhD</w:t>
      </w:r>
      <w:r>
        <w:rPr>
          <w:rFonts w:ascii="Times New Roman" w:hAnsi="Times New Roman" w:cs="Times New Roman"/>
          <w:sz w:val="24"/>
          <w:vertAlign w:val="superscript"/>
        </w:rPr>
        <w:t>1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/>
          <w:sz w:val="24"/>
          <w:szCs w:val="24"/>
        </w:rPr>
        <w:t>Martien J. M. Panneman, MSc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 Suzanne Polinder, PhD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, Michael H. J. Verhofstad, MD PhD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, Esther M.M. Van Lieshout, PhD MSc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</w:p>
    <w:p w:rsidR="00D1621C" w:rsidRDefault="00D1621C" w:rsidP="00D1621C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 w:rsidRPr="00D1621C">
        <w:rPr>
          <w:rFonts w:ascii="Times New Roman" w:hAnsi="Times New Roman"/>
          <w:sz w:val="24"/>
          <w:szCs w:val="24"/>
          <w:vertAlign w:val="superscript"/>
          <w:lang w:val="en-US"/>
        </w:rPr>
        <w:t>1</w:t>
      </w:r>
      <w:r w:rsidRPr="00D1621C">
        <w:rPr>
          <w:rFonts w:ascii="Times New Roman" w:hAnsi="Times New Roman"/>
          <w:sz w:val="24"/>
          <w:szCs w:val="24"/>
          <w:lang w:val="en-US"/>
        </w:rPr>
        <w:t>Trauma Research Unit Department of Surgery, Erasmus MC, University Medical Center Rotterdam, Rotterdam, the Netherlands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 w:rsidRPr="00D1621C">
        <w:rPr>
          <w:rFonts w:ascii="Times New Roman" w:hAnsi="Times New Roman"/>
          <w:sz w:val="24"/>
          <w:szCs w:val="24"/>
          <w:vertAlign w:val="superscript"/>
          <w:lang w:val="en-US"/>
        </w:rPr>
        <w:t>2</w:t>
      </w:r>
      <w:r w:rsidRPr="00D1621C">
        <w:rPr>
          <w:rFonts w:ascii="Times New Roman" w:hAnsi="Times New Roman"/>
          <w:sz w:val="24"/>
          <w:szCs w:val="24"/>
          <w:lang w:val="en-US"/>
        </w:rPr>
        <w:t>Consumer Safety Institute, Amsterdam, the Netherlands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 w:rsidRPr="00D1621C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D1621C">
        <w:rPr>
          <w:rFonts w:ascii="Times New Roman" w:hAnsi="Times New Roman"/>
          <w:sz w:val="24"/>
          <w:szCs w:val="24"/>
          <w:lang w:val="en-US"/>
        </w:rPr>
        <w:t>Department of Public Health, Erasmus MC, University Medical Center Rotterdam, Rotterdam, the Netherlands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b/>
          <w:sz w:val="24"/>
          <w:lang w:val="en-US"/>
        </w:rPr>
      </w:pPr>
      <w:r w:rsidRPr="00D1621C">
        <w:rPr>
          <w:rFonts w:ascii="Times New Roman" w:hAnsi="Times New Roman" w:cs="Times New Roman"/>
          <w:b/>
          <w:sz w:val="24"/>
          <w:lang w:val="en-US"/>
        </w:rPr>
        <w:t>Corresponding author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  <w:r w:rsidRPr="00D1621C">
        <w:rPr>
          <w:rFonts w:ascii="Times New Roman" w:hAnsi="Times New Roman" w:cs="Times New Roman"/>
          <w:sz w:val="24"/>
          <w:lang w:val="en-US"/>
        </w:rPr>
        <w:t>Dr. E.M.M. Van Lieshout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  <w:r w:rsidRPr="00D1621C">
        <w:rPr>
          <w:rFonts w:ascii="Times New Roman" w:hAnsi="Times New Roman" w:cs="Times New Roman"/>
          <w:sz w:val="24"/>
          <w:lang w:val="en-US"/>
        </w:rPr>
        <w:t>Trauma Research Unit Department of Surgery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  <w:r w:rsidRPr="00D1621C">
        <w:rPr>
          <w:rFonts w:ascii="Times New Roman" w:hAnsi="Times New Roman" w:cs="Times New Roman"/>
          <w:sz w:val="24"/>
          <w:lang w:val="en-US"/>
        </w:rPr>
        <w:t>Erasmus MC, University Medical Center Rotterdam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  <w:r w:rsidRPr="00D1621C">
        <w:rPr>
          <w:rFonts w:ascii="Times New Roman" w:hAnsi="Times New Roman" w:cs="Times New Roman"/>
          <w:sz w:val="24"/>
          <w:lang w:val="en-US"/>
        </w:rPr>
        <w:t>P.O. Box 2040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  <w:r w:rsidRPr="00D1621C">
        <w:rPr>
          <w:rFonts w:ascii="Times New Roman" w:hAnsi="Times New Roman" w:cs="Times New Roman"/>
          <w:sz w:val="24"/>
          <w:lang w:val="en-US"/>
        </w:rPr>
        <w:t>3000 CA Rotterdam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  <w:r w:rsidRPr="00D1621C">
        <w:rPr>
          <w:rFonts w:ascii="Times New Roman" w:hAnsi="Times New Roman" w:cs="Times New Roman"/>
          <w:sz w:val="24"/>
          <w:lang w:val="en-US"/>
        </w:rPr>
        <w:t>The Netherlands</w:t>
      </w:r>
    </w:p>
    <w:p w:rsidR="00D1621C" w:rsidRP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  <w:r w:rsidRPr="00D1621C">
        <w:rPr>
          <w:rFonts w:ascii="Times New Roman" w:hAnsi="Times New Roman" w:cs="Times New Roman"/>
          <w:sz w:val="24"/>
          <w:lang w:val="en-US"/>
        </w:rPr>
        <w:t>Phone: +31.10.7031050</w:t>
      </w:r>
    </w:p>
    <w:p w:rsidR="00D1621C" w:rsidRDefault="00D1621C" w:rsidP="00D1621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Mail: e.vanlieshout@erasmusmc.nl</w:t>
      </w:r>
    </w:p>
    <w:p w:rsidR="00D1621C" w:rsidRDefault="00D1621C" w:rsidP="00D1621C"/>
    <w:p w:rsidR="00A16299" w:rsidRPr="00A16299" w:rsidRDefault="00A16299" w:rsidP="00A16299">
      <w:pPr>
        <w:spacing w:after="0" w:line="480" w:lineRule="auto"/>
        <w:rPr>
          <w:rFonts w:ascii="Times New Roman" w:hAnsi="Times New Roman" w:cs="Times New Roman"/>
          <w:sz w:val="24"/>
          <w:lang w:val="en-US"/>
        </w:rPr>
      </w:pPr>
    </w:p>
    <w:sectPr w:rsidR="00A16299" w:rsidRPr="00A16299" w:rsidSect="00D8075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99"/>
    <w:rsid w:val="00332C6E"/>
    <w:rsid w:val="007D2148"/>
    <w:rsid w:val="008379CB"/>
    <w:rsid w:val="008D5C1E"/>
    <w:rsid w:val="00A16299"/>
    <w:rsid w:val="00D1621C"/>
    <w:rsid w:val="00D80753"/>
    <w:rsid w:val="00E2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72EBAEA"/>
  <w15:chartTrackingRefBased/>
  <w15:docId w15:val="{B9586B35-922A-4E59-8E99-50A805204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3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Erasmus MC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Miliaan Zeelenberg</dc:creator>
  <cp:keywords/>
  <dc:description/>
  <cp:lastModifiedBy>Miliaan Zeelenberg</cp:lastModifiedBy>
  <cp:revision>4</cp:revision>
  <dcterms:created xsi:type="dcterms:W3CDTF">2023-03-16T08:36:00Z</dcterms:created>
  <dcterms:modified xsi:type="dcterms:W3CDTF">2023-03-16T09:30:00Z</dcterms:modified>
</cp:coreProperties>
</file>