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DD2B1" w14:textId="77777777" w:rsidR="00201F53" w:rsidRDefault="00201F53" w:rsidP="00201F53">
      <w:pPr>
        <w:spacing w:line="480" w:lineRule="auto"/>
        <w:rPr>
          <w:rFonts w:ascii="Times New Roman" w:hAnsi="Times New Roman" w:cs="Times New Roman"/>
          <w:b/>
          <w:bCs/>
        </w:rPr>
      </w:pPr>
      <w:r w:rsidRPr="006A2ED9">
        <w:rPr>
          <w:rFonts w:ascii="Times New Roman" w:hAnsi="Times New Roman" w:cs="Times New Roman"/>
          <w:b/>
          <w:bCs/>
        </w:rPr>
        <w:t>A novel sequential treatment approach between denosumab and romosozumab in patients with severe osteoporosis</w:t>
      </w:r>
    </w:p>
    <w:p w14:paraId="251D2950" w14:textId="25DD47BF" w:rsidR="00201F53" w:rsidRPr="00201F53" w:rsidRDefault="00201F53" w:rsidP="00201F53">
      <w:pPr>
        <w:spacing w:line="480" w:lineRule="auto"/>
        <w:rPr>
          <w:rFonts w:ascii="Times New Roman" w:hAnsi="Times New Roman" w:cs="Times New Roman"/>
          <w:b/>
          <w:bCs/>
          <w:i/>
          <w:iCs/>
        </w:rPr>
      </w:pPr>
      <w:r w:rsidRPr="00201F53">
        <w:rPr>
          <w:rFonts w:ascii="Times New Roman" w:hAnsi="Times New Roman" w:cs="Times New Roman"/>
          <w:b/>
          <w:bCs/>
          <w:i/>
          <w:iCs/>
        </w:rPr>
        <w:t>Osteoporosis International</w:t>
      </w:r>
    </w:p>
    <w:p w14:paraId="36A8C8C9" w14:textId="77777777" w:rsidR="00201F53" w:rsidRPr="006A2ED9" w:rsidRDefault="00201F53" w:rsidP="00201F53">
      <w:pPr>
        <w:spacing w:line="480" w:lineRule="auto"/>
        <w:rPr>
          <w:rFonts w:ascii="Times New Roman" w:hAnsi="Times New Roman" w:cs="Times New Roman"/>
        </w:rPr>
      </w:pPr>
      <w:r w:rsidRPr="006A2ED9">
        <w:rPr>
          <w:rFonts w:ascii="Times New Roman" w:hAnsi="Times New Roman" w:cs="Times New Roman"/>
        </w:rPr>
        <w:t xml:space="preserve">Shejil </w:t>
      </w:r>
      <w:proofErr w:type="spellStart"/>
      <w:r w:rsidRPr="006A2ED9">
        <w:rPr>
          <w:rFonts w:ascii="Times New Roman" w:hAnsi="Times New Roman" w:cs="Times New Roman"/>
        </w:rPr>
        <w:t>KUMAR</w:t>
      </w:r>
      <w:r w:rsidRPr="006A2ED9">
        <w:rPr>
          <w:rFonts w:ascii="Times New Roman" w:hAnsi="Times New Roman" w:cs="Times New Roman"/>
          <w:vertAlign w:val="superscript"/>
        </w:rPr>
        <w:t>a</w:t>
      </w:r>
      <w:proofErr w:type="spellEnd"/>
      <w:r w:rsidRPr="006A2ED9">
        <w:rPr>
          <w:rFonts w:ascii="Times New Roman" w:hAnsi="Times New Roman" w:cs="Times New Roman"/>
          <w:vertAlign w:val="superscript"/>
        </w:rPr>
        <w:t>, b, c</w:t>
      </w:r>
      <w:r w:rsidRPr="006A2ED9">
        <w:rPr>
          <w:rFonts w:ascii="Times New Roman" w:hAnsi="Times New Roman" w:cs="Times New Roman"/>
        </w:rPr>
        <w:t>, Matti L GILD</w:t>
      </w:r>
      <w:r w:rsidRPr="006A2ED9">
        <w:rPr>
          <w:rFonts w:ascii="Times New Roman" w:hAnsi="Times New Roman" w:cs="Times New Roman"/>
          <w:vertAlign w:val="superscript"/>
        </w:rPr>
        <w:t>b, c</w:t>
      </w:r>
      <w:r w:rsidRPr="006A2ED9">
        <w:rPr>
          <w:rFonts w:ascii="Times New Roman" w:hAnsi="Times New Roman" w:cs="Times New Roman"/>
        </w:rPr>
        <w:t xml:space="preserve">, Michelle M </w:t>
      </w:r>
      <w:proofErr w:type="spellStart"/>
      <w:r w:rsidRPr="006A2ED9">
        <w:rPr>
          <w:rFonts w:ascii="Times New Roman" w:hAnsi="Times New Roman" w:cs="Times New Roman"/>
        </w:rPr>
        <w:t>MCDONALD</w:t>
      </w:r>
      <w:r w:rsidRPr="006A2ED9">
        <w:rPr>
          <w:rFonts w:ascii="Times New Roman" w:hAnsi="Times New Roman" w:cs="Times New Roman"/>
          <w:vertAlign w:val="superscript"/>
        </w:rPr>
        <w:t>d</w:t>
      </w:r>
      <w:proofErr w:type="spellEnd"/>
      <w:r w:rsidRPr="006A2ED9">
        <w:rPr>
          <w:rFonts w:ascii="Times New Roman" w:hAnsi="Times New Roman" w:cs="Times New Roman"/>
          <w:vertAlign w:val="superscript"/>
        </w:rPr>
        <w:t>, e,</w:t>
      </w:r>
      <w:r w:rsidRPr="006A2ED9">
        <w:rPr>
          <w:rFonts w:ascii="Times New Roman" w:hAnsi="Times New Roman" w:cs="Times New Roman"/>
        </w:rPr>
        <w:t xml:space="preserve"> Albert S </w:t>
      </w:r>
      <w:proofErr w:type="spellStart"/>
      <w:r w:rsidRPr="006A2ED9">
        <w:rPr>
          <w:rFonts w:ascii="Times New Roman" w:hAnsi="Times New Roman" w:cs="Times New Roman"/>
        </w:rPr>
        <w:t>KIM</w:t>
      </w:r>
      <w:r w:rsidRPr="006A2ED9">
        <w:rPr>
          <w:rFonts w:ascii="Times New Roman" w:hAnsi="Times New Roman" w:cs="Times New Roman"/>
          <w:vertAlign w:val="superscript"/>
        </w:rPr>
        <w:t>a</w:t>
      </w:r>
      <w:proofErr w:type="spellEnd"/>
      <w:r w:rsidRPr="006A2ED9">
        <w:rPr>
          <w:rFonts w:ascii="Times New Roman" w:hAnsi="Times New Roman" w:cs="Times New Roman"/>
          <w:vertAlign w:val="superscript"/>
        </w:rPr>
        <w:t>, d, e</w:t>
      </w:r>
      <w:r w:rsidRPr="006A2ED9">
        <w:rPr>
          <w:rFonts w:ascii="Times New Roman" w:hAnsi="Times New Roman" w:cs="Times New Roman"/>
        </w:rPr>
        <w:t>, Roderick J CLIFTON-</w:t>
      </w:r>
      <w:proofErr w:type="spellStart"/>
      <w:r w:rsidRPr="006A2ED9">
        <w:rPr>
          <w:rFonts w:ascii="Times New Roman" w:hAnsi="Times New Roman" w:cs="Times New Roman"/>
        </w:rPr>
        <w:t>BLIGH</w:t>
      </w:r>
      <w:r w:rsidRPr="006A2ED9">
        <w:rPr>
          <w:rFonts w:ascii="Times New Roman" w:hAnsi="Times New Roman" w:cs="Times New Roman"/>
          <w:vertAlign w:val="superscript"/>
        </w:rPr>
        <w:t>b</w:t>
      </w:r>
      <w:proofErr w:type="spellEnd"/>
      <w:r w:rsidRPr="006A2ED9">
        <w:rPr>
          <w:rFonts w:ascii="Times New Roman" w:hAnsi="Times New Roman" w:cs="Times New Roman"/>
          <w:vertAlign w:val="superscript"/>
        </w:rPr>
        <w:t>, c</w:t>
      </w:r>
      <w:r w:rsidRPr="006A2ED9">
        <w:rPr>
          <w:rFonts w:ascii="Times New Roman" w:hAnsi="Times New Roman" w:cs="Times New Roman"/>
        </w:rPr>
        <w:t xml:space="preserve"> Christian M </w:t>
      </w:r>
      <w:proofErr w:type="spellStart"/>
      <w:r w:rsidRPr="006A2ED9">
        <w:rPr>
          <w:rFonts w:ascii="Times New Roman" w:hAnsi="Times New Roman" w:cs="Times New Roman"/>
        </w:rPr>
        <w:t>GIRGIS</w:t>
      </w:r>
      <w:r w:rsidRPr="006A2ED9">
        <w:rPr>
          <w:rFonts w:ascii="Times New Roman" w:hAnsi="Times New Roman" w:cs="Times New Roman"/>
          <w:vertAlign w:val="superscript"/>
        </w:rPr>
        <w:t>a</w:t>
      </w:r>
      <w:proofErr w:type="spellEnd"/>
      <w:r w:rsidRPr="006A2ED9">
        <w:rPr>
          <w:rFonts w:ascii="Times New Roman" w:hAnsi="Times New Roman" w:cs="Times New Roman"/>
          <w:vertAlign w:val="superscript"/>
        </w:rPr>
        <w:t>, b</w:t>
      </w:r>
    </w:p>
    <w:p w14:paraId="042BA3DC" w14:textId="77777777" w:rsidR="00201F53" w:rsidRPr="006A2ED9" w:rsidRDefault="00201F53" w:rsidP="00201F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6A2ED9">
        <w:rPr>
          <w:rFonts w:ascii="Times New Roman" w:hAnsi="Times New Roman" w:cs="Times New Roman"/>
        </w:rPr>
        <w:t xml:space="preserve">Department of Diabetes &amp; Endocrinology, Westmead Hospital, Sydney, Australia </w:t>
      </w:r>
    </w:p>
    <w:p w14:paraId="1939E46C" w14:textId="77777777" w:rsidR="00201F53" w:rsidRPr="006A2ED9" w:rsidRDefault="00201F53" w:rsidP="00201F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6A2ED9">
        <w:rPr>
          <w:rFonts w:ascii="Times New Roman" w:hAnsi="Times New Roman" w:cs="Times New Roman"/>
        </w:rPr>
        <w:t>Faculty of Medicine &amp; Health, University of Sydney, Sydney, Australia</w:t>
      </w:r>
    </w:p>
    <w:p w14:paraId="5CFCD13C" w14:textId="77777777" w:rsidR="00201F53" w:rsidRPr="006A2ED9" w:rsidRDefault="00201F53" w:rsidP="00201F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6A2ED9">
        <w:rPr>
          <w:rFonts w:ascii="Times New Roman" w:hAnsi="Times New Roman" w:cs="Times New Roman"/>
        </w:rPr>
        <w:t>Department of Diabetes &amp; Endocrinology, Royal North Shore Hospital, Sydney, Australia</w:t>
      </w:r>
    </w:p>
    <w:p w14:paraId="69F3C801" w14:textId="77777777" w:rsidR="00201F53" w:rsidRPr="006A2ED9" w:rsidRDefault="00201F53" w:rsidP="00201F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6A2ED9">
        <w:rPr>
          <w:rFonts w:ascii="Times New Roman" w:hAnsi="Times New Roman" w:cs="Times New Roman"/>
        </w:rPr>
        <w:t>Faculty of Medicine, University of New South Wales, Sydney, Australia</w:t>
      </w:r>
    </w:p>
    <w:p w14:paraId="484CCD11" w14:textId="77777777" w:rsidR="00201F53" w:rsidRDefault="00201F53" w:rsidP="00201F5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6A2ED9">
        <w:rPr>
          <w:rFonts w:ascii="Times New Roman" w:hAnsi="Times New Roman" w:cs="Times New Roman"/>
        </w:rPr>
        <w:t>Bone Biology Program, Garvan Institute of Medical Research, Sydney, Australia</w:t>
      </w:r>
    </w:p>
    <w:p w14:paraId="3A66F86D" w14:textId="77777777" w:rsidR="00201F53" w:rsidRPr="006A2ED9" w:rsidRDefault="00201F53" w:rsidP="00201F53">
      <w:pPr>
        <w:pStyle w:val="ListParagraph"/>
        <w:spacing w:line="480" w:lineRule="auto"/>
        <w:rPr>
          <w:rFonts w:ascii="Times New Roman" w:hAnsi="Times New Roman" w:cs="Times New Roman"/>
        </w:rPr>
      </w:pPr>
    </w:p>
    <w:p w14:paraId="12E3AC1A" w14:textId="4563E4EF" w:rsidR="00201F53" w:rsidRDefault="00201F53" w:rsidP="00201F53">
      <w:pPr>
        <w:spacing w:line="480" w:lineRule="auto"/>
        <w:rPr>
          <w:rFonts w:ascii="Times New Roman" w:hAnsi="Times New Roman" w:cs="Times New Roman"/>
          <w:b/>
          <w:bCs/>
        </w:rPr>
      </w:pPr>
      <w:r w:rsidRPr="006A2ED9">
        <w:rPr>
          <w:rFonts w:ascii="Times New Roman" w:hAnsi="Times New Roman" w:cs="Times New Roman"/>
          <w:b/>
          <w:bCs/>
          <w:u w:val="single"/>
        </w:rPr>
        <w:t>Corresponding author</w:t>
      </w:r>
      <w:r w:rsidRPr="006A2ED9">
        <w:rPr>
          <w:rFonts w:ascii="Times New Roman" w:hAnsi="Times New Roman" w:cs="Times New Roman"/>
        </w:rPr>
        <w:t>:</w:t>
      </w:r>
      <w:r w:rsidRPr="006A2ED9">
        <w:rPr>
          <w:rFonts w:ascii="Times New Roman" w:hAnsi="Times New Roman" w:cs="Times New Roman"/>
        </w:rPr>
        <w:br/>
        <w:t>Christian GIRGIS</w:t>
      </w:r>
      <w:r w:rsidRPr="006A2ED9">
        <w:rPr>
          <w:rFonts w:ascii="Times New Roman" w:hAnsi="Times New Roman" w:cs="Times New Roman"/>
        </w:rPr>
        <w:br/>
        <w:t xml:space="preserve">Department of Diabetes and Endocrinology, Westmead Hospital, </w:t>
      </w:r>
      <w:proofErr w:type="spellStart"/>
      <w:r w:rsidRPr="006A2ED9">
        <w:rPr>
          <w:rFonts w:ascii="Times New Roman" w:hAnsi="Times New Roman" w:cs="Times New Roman"/>
        </w:rPr>
        <w:t>Cnr</w:t>
      </w:r>
      <w:proofErr w:type="spellEnd"/>
      <w:r w:rsidRPr="006A2ED9">
        <w:rPr>
          <w:rFonts w:ascii="Times New Roman" w:hAnsi="Times New Roman" w:cs="Times New Roman"/>
        </w:rPr>
        <w:t xml:space="preserve"> Hawkesbury Rd and Darcy Rd, NSW, Australia, 2145</w:t>
      </w:r>
      <w:r w:rsidRPr="006A2ED9">
        <w:rPr>
          <w:rFonts w:ascii="Times New Roman" w:hAnsi="Times New Roman" w:cs="Times New Roman"/>
        </w:rPr>
        <w:br/>
        <w:t>Christian.girgis@sydney.edu.au</w:t>
      </w:r>
      <w:r w:rsidRPr="006A2ED9">
        <w:rPr>
          <w:rFonts w:ascii="Times New Roman" w:hAnsi="Times New Roman" w:cs="Times New Roman"/>
        </w:rPr>
        <w:br/>
      </w:r>
    </w:p>
    <w:p w14:paraId="4233DED9" w14:textId="77777777" w:rsidR="00201F53" w:rsidRDefault="00201F53" w:rsidP="00D00D27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37D137E" w14:textId="77777777" w:rsidR="00201F53" w:rsidRDefault="00201F53" w:rsidP="00D00D27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C8CD32F" w14:textId="77777777" w:rsidR="00201F53" w:rsidRDefault="00201F53" w:rsidP="00D00D27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F4E0B96" w14:textId="77777777" w:rsidR="00201F53" w:rsidRDefault="00201F53" w:rsidP="00D00D27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9A63B6C" w14:textId="77777777" w:rsidR="00201F53" w:rsidRDefault="00201F53" w:rsidP="00D00D27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E1D336B" w14:textId="77777777" w:rsidR="00201F53" w:rsidRDefault="00201F53" w:rsidP="00D00D27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90FBD20" w14:textId="43C655E4" w:rsidR="00B61A21" w:rsidRPr="00D00D27" w:rsidRDefault="00B61A21" w:rsidP="00D00D27">
      <w:pPr>
        <w:spacing w:line="480" w:lineRule="auto"/>
        <w:rPr>
          <w:rFonts w:ascii="Times New Roman" w:hAnsi="Times New Roman" w:cs="Times New Roman"/>
        </w:rPr>
      </w:pPr>
      <w:r w:rsidRPr="00D00D27">
        <w:rPr>
          <w:rFonts w:ascii="Times New Roman" w:hAnsi="Times New Roman" w:cs="Times New Roman"/>
          <w:b/>
          <w:bCs/>
        </w:rPr>
        <w:lastRenderedPageBreak/>
        <w:t>Supplementa</w:t>
      </w:r>
      <w:r w:rsidR="008D25AD">
        <w:rPr>
          <w:rFonts w:ascii="Times New Roman" w:hAnsi="Times New Roman" w:cs="Times New Roman"/>
          <w:b/>
          <w:bCs/>
        </w:rPr>
        <w:t>ry</w:t>
      </w:r>
      <w:r w:rsidRPr="00D00D27">
        <w:rPr>
          <w:rFonts w:ascii="Times New Roman" w:hAnsi="Times New Roman" w:cs="Times New Roman"/>
          <w:b/>
          <w:bCs/>
        </w:rPr>
        <w:t xml:space="preserve"> Figure 1 – Thoracolumbar spinal imaging demonstrating acute vertebral fractures (case one)</w:t>
      </w:r>
      <w:r w:rsidRPr="00D00D27">
        <w:rPr>
          <w:rFonts w:ascii="Times New Roman" w:hAnsi="Times New Roman" w:cs="Times New Roman"/>
          <w:noProof/>
        </w:rPr>
        <w:drawing>
          <wp:inline distT="0" distB="0" distL="0" distR="0" wp14:anchorId="2A8F1853" wp14:editId="4EA4EA2A">
            <wp:extent cx="5731510" cy="4431030"/>
            <wp:effectExtent l="0" t="0" r="2540" b="7620"/>
            <wp:docPr id="1637828804" name="Picture 1" descr="A close-up of an x-ray of a sp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887896" name="Picture 1" descr="A close-up of an x-ray of a spi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0D27">
        <w:rPr>
          <w:rFonts w:ascii="Times New Roman" w:hAnsi="Times New Roman" w:cs="Times New Roman"/>
        </w:rPr>
        <w:t>Case one experienced acute compression fractures on a background of multilevel chronic vertebral compression fractures. Sagittal-view bone-window computed tomography (CT) images of the thoracolumbar spine demonstrate compression fractures in T11, T12, L1, L2, L3 and L5 (</w:t>
      </w:r>
      <w:r w:rsidR="008D25AD">
        <w:rPr>
          <w:rFonts w:ascii="Times New Roman" w:hAnsi="Times New Roman" w:cs="Times New Roman"/>
        </w:rPr>
        <w:t>Fig</w:t>
      </w:r>
      <w:r w:rsidRPr="00D00D27">
        <w:rPr>
          <w:rFonts w:ascii="Times New Roman" w:hAnsi="Times New Roman" w:cs="Times New Roman"/>
        </w:rPr>
        <w:t xml:space="preserve"> 1A). Sagittal-view magnetic resonance imaging (MRI) short tau inversion recovery (STIR) images of the thoracolumbar spine reveal marrow oedema consistent with acute T12 and L1 fractures (</w:t>
      </w:r>
      <w:r w:rsidR="008D25AD">
        <w:rPr>
          <w:rFonts w:ascii="Times New Roman" w:hAnsi="Times New Roman" w:cs="Times New Roman"/>
        </w:rPr>
        <w:t>Fig</w:t>
      </w:r>
      <w:r w:rsidRPr="00D00D27">
        <w:rPr>
          <w:rFonts w:ascii="Times New Roman" w:hAnsi="Times New Roman" w:cs="Times New Roman"/>
        </w:rPr>
        <w:t xml:space="preserve"> 1B).</w:t>
      </w:r>
      <w:r w:rsidR="00887F67">
        <w:rPr>
          <w:rFonts w:ascii="Times New Roman" w:hAnsi="Times New Roman" w:cs="Times New Roman"/>
        </w:rPr>
        <w:t xml:space="preserve"> These scans were performed 4-months prior to the pre-romosozumab DXA scan (outside of the acute fracture phase). </w:t>
      </w:r>
      <w:r w:rsidRPr="00D00D27">
        <w:rPr>
          <w:rFonts w:ascii="Times New Roman" w:hAnsi="Times New Roman" w:cs="Times New Roman"/>
        </w:rPr>
        <w:t>The acutely fractured L1 vertebra was excluded from BMD analyses.</w:t>
      </w:r>
      <w:r w:rsidR="00887F67">
        <w:rPr>
          <w:rFonts w:ascii="Times New Roman" w:hAnsi="Times New Roman" w:cs="Times New Roman"/>
        </w:rPr>
        <w:t xml:space="preserve"> </w:t>
      </w:r>
    </w:p>
    <w:p w14:paraId="2BD753B6" w14:textId="77777777" w:rsidR="00B61A21" w:rsidRPr="00D00D27" w:rsidRDefault="00B61A21" w:rsidP="00D00D27">
      <w:pPr>
        <w:spacing w:line="480" w:lineRule="auto"/>
        <w:jc w:val="both"/>
        <w:rPr>
          <w:rFonts w:ascii="Times New Roman" w:hAnsi="Times New Roman" w:cs="Times New Roman"/>
          <w:u w:val="single"/>
        </w:rPr>
      </w:pPr>
    </w:p>
    <w:p w14:paraId="7EB333D9" w14:textId="77777777" w:rsidR="00B61A21" w:rsidRPr="00D00D27" w:rsidRDefault="00B61A21" w:rsidP="00D00D27">
      <w:pPr>
        <w:spacing w:line="480" w:lineRule="auto"/>
        <w:jc w:val="both"/>
        <w:rPr>
          <w:rFonts w:ascii="Times New Roman" w:hAnsi="Times New Roman" w:cs="Times New Roman"/>
          <w:u w:val="single"/>
        </w:rPr>
      </w:pPr>
    </w:p>
    <w:p w14:paraId="3BD8F7A8" w14:textId="77777777" w:rsidR="00B61A21" w:rsidRPr="00D00D27" w:rsidRDefault="00B61A21" w:rsidP="00D00D27">
      <w:pPr>
        <w:spacing w:line="480" w:lineRule="auto"/>
        <w:jc w:val="both"/>
        <w:rPr>
          <w:rFonts w:ascii="Times New Roman" w:hAnsi="Times New Roman" w:cs="Times New Roman"/>
          <w:u w:val="single"/>
        </w:rPr>
      </w:pPr>
    </w:p>
    <w:p w14:paraId="3B3A7628" w14:textId="28C3BDC4" w:rsidR="00B61A21" w:rsidRPr="00D00D27" w:rsidRDefault="00B61A21" w:rsidP="00D00D27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D00D27">
        <w:rPr>
          <w:rFonts w:ascii="Times New Roman" w:hAnsi="Times New Roman" w:cs="Times New Roman"/>
          <w:b/>
          <w:bCs/>
        </w:rPr>
        <w:lastRenderedPageBreak/>
        <w:t>Supplementa</w:t>
      </w:r>
      <w:r w:rsidR="008D25AD">
        <w:rPr>
          <w:rFonts w:ascii="Times New Roman" w:hAnsi="Times New Roman" w:cs="Times New Roman"/>
          <w:b/>
          <w:bCs/>
        </w:rPr>
        <w:t>ry</w:t>
      </w:r>
      <w:r w:rsidRPr="00D00D27">
        <w:rPr>
          <w:rFonts w:ascii="Times New Roman" w:hAnsi="Times New Roman" w:cs="Times New Roman"/>
          <w:b/>
          <w:bCs/>
        </w:rPr>
        <w:t xml:space="preserve"> Table 1 – Characteristics and outcomes of studies assessing denosumab to romosozumab treatment sequence in patients with </w:t>
      </w:r>
      <w:proofErr w:type="gramStart"/>
      <w:r w:rsidRPr="00D00D27">
        <w:rPr>
          <w:rFonts w:ascii="Times New Roman" w:hAnsi="Times New Roman" w:cs="Times New Roman"/>
          <w:b/>
          <w:bCs/>
        </w:rPr>
        <w:t>osteoporosis</w:t>
      </w:r>
      <w:proofErr w:type="gramEnd"/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2547"/>
        <w:gridCol w:w="1984"/>
        <w:gridCol w:w="992"/>
        <w:gridCol w:w="993"/>
        <w:gridCol w:w="1843"/>
        <w:gridCol w:w="1984"/>
      </w:tblGrid>
      <w:tr w:rsidR="00B61A21" w:rsidRPr="00D00D27" w14:paraId="21089E5D" w14:textId="77777777" w:rsidTr="006D6F98">
        <w:tc>
          <w:tcPr>
            <w:tcW w:w="2547" w:type="dxa"/>
          </w:tcPr>
          <w:p w14:paraId="4CD39E05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Author/s</w:t>
            </w:r>
          </w:p>
        </w:tc>
        <w:tc>
          <w:tcPr>
            <w:tcW w:w="1984" w:type="dxa"/>
          </w:tcPr>
          <w:p w14:paraId="6D61F636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McClung et al.</w:t>
            </w:r>
          </w:p>
        </w:tc>
        <w:tc>
          <w:tcPr>
            <w:tcW w:w="1985" w:type="dxa"/>
            <w:gridSpan w:val="2"/>
          </w:tcPr>
          <w:p w14:paraId="622F71FF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Tominaga et al.</w:t>
            </w:r>
          </w:p>
        </w:tc>
        <w:tc>
          <w:tcPr>
            <w:tcW w:w="1843" w:type="dxa"/>
          </w:tcPr>
          <w:p w14:paraId="5135318E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Ebina et al.</w:t>
            </w:r>
          </w:p>
        </w:tc>
        <w:tc>
          <w:tcPr>
            <w:tcW w:w="1984" w:type="dxa"/>
          </w:tcPr>
          <w:p w14:paraId="00BB0056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Hong et al.</w:t>
            </w:r>
          </w:p>
        </w:tc>
      </w:tr>
      <w:tr w:rsidR="00B61A21" w:rsidRPr="00D00D27" w14:paraId="13131B37" w14:textId="77777777" w:rsidTr="006D6F98">
        <w:tc>
          <w:tcPr>
            <w:tcW w:w="2547" w:type="dxa"/>
          </w:tcPr>
          <w:p w14:paraId="62B01553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Publication year</w:t>
            </w:r>
          </w:p>
        </w:tc>
        <w:tc>
          <w:tcPr>
            <w:tcW w:w="1984" w:type="dxa"/>
          </w:tcPr>
          <w:p w14:paraId="182EF7B2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985" w:type="dxa"/>
            <w:gridSpan w:val="2"/>
          </w:tcPr>
          <w:p w14:paraId="5CE11E10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843" w:type="dxa"/>
          </w:tcPr>
          <w:p w14:paraId="434B20B5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984" w:type="dxa"/>
          </w:tcPr>
          <w:p w14:paraId="343291E0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2023</w:t>
            </w:r>
          </w:p>
        </w:tc>
      </w:tr>
      <w:tr w:rsidR="00B61A21" w:rsidRPr="00D00D27" w14:paraId="302E1BCC" w14:textId="77777777" w:rsidTr="006D6F98">
        <w:tc>
          <w:tcPr>
            <w:tcW w:w="2547" w:type="dxa"/>
          </w:tcPr>
          <w:p w14:paraId="5F07C27A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Study design</w:t>
            </w:r>
          </w:p>
        </w:tc>
        <w:tc>
          <w:tcPr>
            <w:tcW w:w="1984" w:type="dxa"/>
          </w:tcPr>
          <w:p w14:paraId="47BCB6AF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Phase II randomised controlled trial</w:t>
            </w:r>
          </w:p>
        </w:tc>
        <w:tc>
          <w:tcPr>
            <w:tcW w:w="1985" w:type="dxa"/>
            <w:gridSpan w:val="2"/>
          </w:tcPr>
          <w:p w14:paraId="2DB934C9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Retrospective study</w:t>
            </w:r>
          </w:p>
        </w:tc>
        <w:tc>
          <w:tcPr>
            <w:tcW w:w="1843" w:type="dxa"/>
          </w:tcPr>
          <w:p w14:paraId="352ADB5C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Prospective observational study</w:t>
            </w:r>
          </w:p>
        </w:tc>
        <w:tc>
          <w:tcPr>
            <w:tcW w:w="1984" w:type="dxa"/>
          </w:tcPr>
          <w:p w14:paraId="482E382E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Propensity score-matched cohort study</w:t>
            </w:r>
          </w:p>
        </w:tc>
      </w:tr>
      <w:tr w:rsidR="00B61A21" w:rsidRPr="00D00D27" w14:paraId="7263FA29" w14:textId="77777777" w:rsidTr="006D6F98">
        <w:tc>
          <w:tcPr>
            <w:tcW w:w="2547" w:type="dxa"/>
          </w:tcPr>
          <w:p w14:paraId="73ED27D7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Patients pre-treated with denosumab (n)</w:t>
            </w:r>
          </w:p>
        </w:tc>
        <w:tc>
          <w:tcPr>
            <w:tcW w:w="1984" w:type="dxa"/>
          </w:tcPr>
          <w:p w14:paraId="6C1E4EED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 = 16</w:t>
            </w:r>
          </w:p>
        </w:tc>
        <w:tc>
          <w:tcPr>
            <w:tcW w:w="1985" w:type="dxa"/>
            <w:gridSpan w:val="2"/>
          </w:tcPr>
          <w:p w14:paraId="61C6C29F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&lt;1-year (n = 24)</w:t>
            </w:r>
          </w:p>
          <w:p w14:paraId="21253697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&gt;1-year (n = 16)</w:t>
            </w:r>
          </w:p>
        </w:tc>
        <w:tc>
          <w:tcPr>
            <w:tcW w:w="1843" w:type="dxa"/>
          </w:tcPr>
          <w:p w14:paraId="2BABF6C1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 = 45</w:t>
            </w:r>
          </w:p>
        </w:tc>
        <w:tc>
          <w:tcPr>
            <w:tcW w:w="1984" w:type="dxa"/>
          </w:tcPr>
          <w:p w14:paraId="7F2610EB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 = 105</w:t>
            </w:r>
          </w:p>
        </w:tc>
      </w:tr>
      <w:tr w:rsidR="00B61A21" w:rsidRPr="00D00D27" w14:paraId="2783FFF7" w14:textId="77777777" w:rsidTr="006D6F98">
        <w:tc>
          <w:tcPr>
            <w:tcW w:w="2547" w:type="dxa"/>
          </w:tcPr>
          <w:p w14:paraId="0080DB3A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Inclusion criteria</w:t>
            </w:r>
          </w:p>
        </w:tc>
        <w:tc>
          <w:tcPr>
            <w:tcW w:w="1984" w:type="dxa"/>
          </w:tcPr>
          <w:p w14:paraId="6A66FBF0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Postmenopausal women</w:t>
            </w:r>
          </w:p>
          <w:p w14:paraId="0BDC050D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55-85 years old</w:t>
            </w:r>
          </w:p>
          <w:p w14:paraId="12BA8104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 xml:space="preserve">T-score between </w:t>
            </w:r>
            <w:r w:rsidRPr="00D00D27">
              <w:rPr>
                <w:rFonts w:ascii="Times New Roman" w:hAnsi="Times New Roman" w:cs="Times New Roman"/>
              </w:rPr>
              <w:br/>
              <w:t>-2.0 and -3.5 SD</w:t>
            </w:r>
          </w:p>
        </w:tc>
        <w:tc>
          <w:tcPr>
            <w:tcW w:w="1985" w:type="dxa"/>
            <w:gridSpan w:val="2"/>
          </w:tcPr>
          <w:p w14:paraId="17F44043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 xml:space="preserve">Multiple fragility fractures </w:t>
            </w:r>
            <w:r w:rsidRPr="00D00D27">
              <w:rPr>
                <w:rFonts w:ascii="Times New Roman" w:hAnsi="Times New Roman" w:cs="Times New Roman"/>
              </w:rPr>
              <w:br/>
              <w:t>OR</w:t>
            </w:r>
          </w:p>
          <w:p w14:paraId="1051FA99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T-score &lt;-2.5 SD</w:t>
            </w:r>
          </w:p>
        </w:tc>
        <w:tc>
          <w:tcPr>
            <w:tcW w:w="1843" w:type="dxa"/>
          </w:tcPr>
          <w:p w14:paraId="34077229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Postmenopausal women with osteoporosis</w:t>
            </w:r>
          </w:p>
        </w:tc>
        <w:tc>
          <w:tcPr>
            <w:tcW w:w="1984" w:type="dxa"/>
          </w:tcPr>
          <w:p w14:paraId="1CB359AD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Postmenopausal women with osteoporosis</w:t>
            </w:r>
          </w:p>
        </w:tc>
      </w:tr>
      <w:tr w:rsidR="00B61A21" w:rsidRPr="00D00D27" w14:paraId="1CAB0349" w14:textId="77777777" w:rsidTr="006D6F98">
        <w:tc>
          <w:tcPr>
            <w:tcW w:w="2547" w:type="dxa"/>
          </w:tcPr>
          <w:p w14:paraId="0DFF7077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Duration of prior denosumab exposure</w:t>
            </w:r>
          </w:p>
        </w:tc>
        <w:tc>
          <w:tcPr>
            <w:tcW w:w="1984" w:type="dxa"/>
          </w:tcPr>
          <w:p w14:paraId="1B8A2E85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12-months</w:t>
            </w:r>
          </w:p>
        </w:tc>
        <w:tc>
          <w:tcPr>
            <w:tcW w:w="1985" w:type="dxa"/>
            <w:gridSpan w:val="2"/>
          </w:tcPr>
          <w:p w14:paraId="1F275B04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 xml:space="preserve">&lt;1-year </w:t>
            </w:r>
            <w:r w:rsidRPr="00D00D27">
              <w:rPr>
                <w:rFonts w:ascii="Times New Roman" w:hAnsi="Times New Roman" w:cs="Times New Roman"/>
              </w:rPr>
              <w:br/>
              <w:t>- mean 10-months</w:t>
            </w:r>
            <w:r w:rsidRPr="00D00D27">
              <w:rPr>
                <w:rFonts w:ascii="Times New Roman" w:hAnsi="Times New Roman" w:cs="Times New Roman"/>
              </w:rPr>
              <w:br/>
              <w:t xml:space="preserve">≥1-year </w:t>
            </w:r>
            <w:r w:rsidRPr="00D00D27">
              <w:rPr>
                <w:rFonts w:ascii="Times New Roman" w:hAnsi="Times New Roman" w:cs="Times New Roman"/>
              </w:rPr>
              <w:br/>
              <w:t>- mean 33-months</w:t>
            </w:r>
          </w:p>
        </w:tc>
        <w:tc>
          <w:tcPr>
            <w:tcW w:w="1843" w:type="dxa"/>
          </w:tcPr>
          <w:p w14:paraId="43DB72DB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Mean 24-months</w:t>
            </w:r>
          </w:p>
        </w:tc>
        <w:tc>
          <w:tcPr>
            <w:tcW w:w="1984" w:type="dxa"/>
          </w:tcPr>
          <w:p w14:paraId="54D2238F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Median 24-months</w:t>
            </w:r>
          </w:p>
        </w:tc>
      </w:tr>
      <w:tr w:rsidR="00B61A21" w:rsidRPr="00D00D27" w14:paraId="1759133E" w14:textId="77777777" w:rsidTr="006D6F98">
        <w:tc>
          <w:tcPr>
            <w:tcW w:w="2547" w:type="dxa"/>
          </w:tcPr>
          <w:p w14:paraId="67A9D54B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Timing of romosozumab commencement (after last denosumab dose)</w:t>
            </w:r>
          </w:p>
        </w:tc>
        <w:tc>
          <w:tcPr>
            <w:tcW w:w="1984" w:type="dxa"/>
          </w:tcPr>
          <w:p w14:paraId="79688CE9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 xml:space="preserve">6-months </w:t>
            </w:r>
          </w:p>
        </w:tc>
        <w:tc>
          <w:tcPr>
            <w:tcW w:w="1985" w:type="dxa"/>
            <w:gridSpan w:val="2"/>
          </w:tcPr>
          <w:p w14:paraId="3AF2D1B6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 xml:space="preserve">6-months </w:t>
            </w:r>
          </w:p>
        </w:tc>
        <w:tc>
          <w:tcPr>
            <w:tcW w:w="1843" w:type="dxa"/>
          </w:tcPr>
          <w:p w14:paraId="106411C1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 xml:space="preserve">6-months </w:t>
            </w:r>
          </w:p>
        </w:tc>
        <w:tc>
          <w:tcPr>
            <w:tcW w:w="1984" w:type="dxa"/>
          </w:tcPr>
          <w:p w14:paraId="6A09DC66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 xml:space="preserve">6-months </w:t>
            </w:r>
          </w:p>
        </w:tc>
      </w:tr>
      <w:tr w:rsidR="00B61A21" w:rsidRPr="00D00D27" w14:paraId="47D8E959" w14:textId="77777777" w:rsidTr="006D6F98">
        <w:tc>
          <w:tcPr>
            <w:tcW w:w="2547" w:type="dxa"/>
          </w:tcPr>
          <w:p w14:paraId="4F43F15D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Timing of denosumab recommencement (after commencing romosozumab)</w:t>
            </w:r>
          </w:p>
        </w:tc>
        <w:tc>
          <w:tcPr>
            <w:tcW w:w="1984" w:type="dxa"/>
          </w:tcPr>
          <w:p w14:paraId="7C8F4D54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985" w:type="dxa"/>
            <w:gridSpan w:val="2"/>
          </w:tcPr>
          <w:p w14:paraId="209699D6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43" w:type="dxa"/>
          </w:tcPr>
          <w:p w14:paraId="4C986635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 xml:space="preserve">12-months </w:t>
            </w:r>
          </w:p>
        </w:tc>
        <w:tc>
          <w:tcPr>
            <w:tcW w:w="1984" w:type="dxa"/>
          </w:tcPr>
          <w:p w14:paraId="0D95D354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NR</w:t>
            </w:r>
          </w:p>
        </w:tc>
      </w:tr>
      <w:tr w:rsidR="00B61A21" w:rsidRPr="00D00D27" w14:paraId="099F7DEA" w14:textId="77777777" w:rsidTr="006D6F98">
        <w:tc>
          <w:tcPr>
            <w:tcW w:w="2547" w:type="dxa"/>
          </w:tcPr>
          <w:p w14:paraId="677CDF22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Baseline BMD T-score SD</w:t>
            </w:r>
          </w:p>
          <w:p w14:paraId="3C891975" w14:textId="77777777" w:rsidR="00B61A21" w:rsidRPr="00D00D27" w:rsidRDefault="00B61A21" w:rsidP="00D00D2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lastRenderedPageBreak/>
              <w:t>Lumbar spine</w:t>
            </w:r>
          </w:p>
          <w:p w14:paraId="72A26BE0" w14:textId="77777777" w:rsidR="00B61A21" w:rsidRPr="00D00D27" w:rsidRDefault="00B61A21" w:rsidP="00D00D2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Total hip</w:t>
            </w:r>
          </w:p>
          <w:p w14:paraId="5C11706D" w14:textId="77777777" w:rsidR="00B61A21" w:rsidRPr="00D00D27" w:rsidRDefault="00B61A21" w:rsidP="00D00D2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Femoral neck</w:t>
            </w:r>
          </w:p>
        </w:tc>
        <w:tc>
          <w:tcPr>
            <w:tcW w:w="1984" w:type="dxa"/>
          </w:tcPr>
          <w:p w14:paraId="2412EFC6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lastRenderedPageBreak/>
              <w:br/>
              <w:t xml:space="preserve">-2.1 </w:t>
            </w:r>
            <w:r w:rsidRPr="00D00D27">
              <w:rPr>
                <w:rFonts w:ascii="Times New Roman" w:hAnsi="Times New Roman" w:cs="Times New Roman"/>
              </w:rPr>
              <w:br/>
            </w:r>
            <w:r w:rsidRPr="00D00D27">
              <w:rPr>
                <w:rFonts w:ascii="Times New Roman" w:hAnsi="Times New Roman" w:cs="Times New Roman"/>
              </w:rPr>
              <w:lastRenderedPageBreak/>
              <w:t xml:space="preserve">-1.3 </w:t>
            </w:r>
            <w:r w:rsidRPr="00D00D27">
              <w:rPr>
                <w:rFonts w:ascii="Times New Roman" w:hAnsi="Times New Roman" w:cs="Times New Roman"/>
              </w:rPr>
              <w:br/>
              <w:t>-1.8</w:t>
            </w:r>
          </w:p>
        </w:tc>
        <w:tc>
          <w:tcPr>
            <w:tcW w:w="992" w:type="dxa"/>
          </w:tcPr>
          <w:p w14:paraId="0585412C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lastRenderedPageBreak/>
              <w:t>&lt;1-year</w:t>
            </w:r>
          </w:p>
          <w:p w14:paraId="6421D7F9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-2.7</w:t>
            </w:r>
          </w:p>
          <w:p w14:paraId="016764FF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lastRenderedPageBreak/>
              <w:t>-2.25</w:t>
            </w:r>
          </w:p>
          <w:p w14:paraId="769A2F93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993" w:type="dxa"/>
          </w:tcPr>
          <w:p w14:paraId="1420094D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lastRenderedPageBreak/>
              <w:t>≥1-year</w:t>
            </w:r>
          </w:p>
          <w:p w14:paraId="2C118765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-2.48</w:t>
            </w:r>
          </w:p>
          <w:p w14:paraId="3783FEEA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lastRenderedPageBreak/>
              <w:t>-2.31</w:t>
            </w:r>
          </w:p>
          <w:p w14:paraId="5DD72CF3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43" w:type="dxa"/>
          </w:tcPr>
          <w:p w14:paraId="22E44D3B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14:paraId="2B7399F1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-2.9</w:t>
            </w:r>
          </w:p>
          <w:p w14:paraId="0CE56D4C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lastRenderedPageBreak/>
              <w:t>-2.7</w:t>
            </w:r>
          </w:p>
          <w:p w14:paraId="589EBFAB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-3.1</w:t>
            </w:r>
          </w:p>
        </w:tc>
        <w:tc>
          <w:tcPr>
            <w:tcW w:w="1984" w:type="dxa"/>
          </w:tcPr>
          <w:p w14:paraId="5D2BF2C3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14:paraId="7A0D1567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NR</w:t>
            </w:r>
          </w:p>
          <w:p w14:paraId="62FB0634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lastRenderedPageBreak/>
              <w:t>NR</w:t>
            </w:r>
          </w:p>
          <w:p w14:paraId="5329E769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NR</w:t>
            </w:r>
          </w:p>
        </w:tc>
      </w:tr>
      <w:tr w:rsidR="00B61A21" w:rsidRPr="00D00D27" w14:paraId="0F40E120" w14:textId="77777777" w:rsidTr="006D6F98">
        <w:tc>
          <w:tcPr>
            <w:tcW w:w="2547" w:type="dxa"/>
          </w:tcPr>
          <w:p w14:paraId="46AE3A85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lastRenderedPageBreak/>
              <w:t>12-month change in BMD</w:t>
            </w:r>
          </w:p>
          <w:p w14:paraId="2507E938" w14:textId="77777777" w:rsidR="00B61A21" w:rsidRPr="00D00D27" w:rsidRDefault="00B61A21" w:rsidP="00D00D2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 xml:space="preserve">Lumbar spine </w:t>
            </w:r>
          </w:p>
          <w:p w14:paraId="3B8AC836" w14:textId="77777777" w:rsidR="00B61A21" w:rsidRPr="00D00D27" w:rsidRDefault="00B61A21" w:rsidP="00D00D2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Total hip</w:t>
            </w:r>
          </w:p>
          <w:p w14:paraId="562F824D" w14:textId="77777777" w:rsidR="00B61A21" w:rsidRPr="00D00D27" w:rsidRDefault="00B61A21" w:rsidP="00D00D2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Femoral neck</w:t>
            </w:r>
          </w:p>
        </w:tc>
        <w:tc>
          <w:tcPr>
            <w:tcW w:w="1984" w:type="dxa"/>
          </w:tcPr>
          <w:p w14:paraId="77A6B722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br/>
              <w:t>+5.3%</w:t>
            </w:r>
            <w:r w:rsidRPr="00D00D27">
              <w:rPr>
                <w:rFonts w:ascii="Times New Roman" w:hAnsi="Times New Roman" w:cs="Times New Roman"/>
              </w:rPr>
              <w:br/>
              <w:t>+0.9%</w:t>
            </w:r>
          </w:p>
          <w:p w14:paraId="51CC9A85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+1.0%</w:t>
            </w:r>
          </w:p>
        </w:tc>
        <w:tc>
          <w:tcPr>
            <w:tcW w:w="992" w:type="dxa"/>
          </w:tcPr>
          <w:p w14:paraId="3150D43B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&lt;1-year</w:t>
            </w:r>
          </w:p>
          <w:p w14:paraId="04EAB534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+10.2%</w:t>
            </w:r>
            <w:r w:rsidRPr="00D00D27">
              <w:rPr>
                <w:rFonts w:ascii="Times New Roman" w:hAnsi="Times New Roman" w:cs="Times New Roman"/>
              </w:rPr>
              <w:br/>
              <w:t>+5.9%</w:t>
            </w:r>
          </w:p>
          <w:p w14:paraId="3B36303B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993" w:type="dxa"/>
          </w:tcPr>
          <w:p w14:paraId="28E524F2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≥1-year</w:t>
            </w:r>
          </w:p>
          <w:p w14:paraId="79C725C3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+6.3%</w:t>
            </w:r>
          </w:p>
          <w:p w14:paraId="68009F7A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-1.0%</w:t>
            </w:r>
          </w:p>
          <w:p w14:paraId="7AF2EC0D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1843" w:type="dxa"/>
          </w:tcPr>
          <w:p w14:paraId="54569BAB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14:paraId="199ECD29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+6.6%</w:t>
            </w:r>
          </w:p>
          <w:p w14:paraId="7C314FCB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+0.6%</w:t>
            </w:r>
          </w:p>
          <w:p w14:paraId="0ACF1DE7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+0.7%</w:t>
            </w:r>
          </w:p>
        </w:tc>
        <w:tc>
          <w:tcPr>
            <w:tcW w:w="1984" w:type="dxa"/>
          </w:tcPr>
          <w:p w14:paraId="46BAE3D6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14:paraId="0AC35612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+7.0%</w:t>
            </w:r>
            <w:r w:rsidRPr="00D00D27">
              <w:rPr>
                <w:rFonts w:ascii="Times New Roman" w:hAnsi="Times New Roman" w:cs="Times New Roman"/>
              </w:rPr>
              <w:br/>
              <w:t>-0.9%</w:t>
            </w:r>
          </w:p>
          <w:p w14:paraId="02C9B567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+1.3%</w:t>
            </w:r>
          </w:p>
        </w:tc>
      </w:tr>
      <w:tr w:rsidR="00B61A21" w:rsidRPr="00D00D27" w14:paraId="6D31BA0B" w14:textId="77777777" w:rsidTr="006D6F98">
        <w:tc>
          <w:tcPr>
            <w:tcW w:w="2547" w:type="dxa"/>
          </w:tcPr>
          <w:p w14:paraId="47093EA7" w14:textId="77777777" w:rsidR="00B61A21" w:rsidRPr="00D00D27" w:rsidRDefault="00B61A21" w:rsidP="00D00D27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Vertebral fractures</w:t>
            </w:r>
          </w:p>
        </w:tc>
        <w:tc>
          <w:tcPr>
            <w:tcW w:w="1984" w:type="dxa"/>
          </w:tcPr>
          <w:p w14:paraId="48B555B9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985" w:type="dxa"/>
            <w:gridSpan w:val="2"/>
          </w:tcPr>
          <w:p w14:paraId="6FA677DD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Nil</w:t>
            </w:r>
          </w:p>
        </w:tc>
        <w:tc>
          <w:tcPr>
            <w:tcW w:w="1843" w:type="dxa"/>
          </w:tcPr>
          <w:p w14:paraId="60515B6F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00D27">
              <w:rPr>
                <w:rFonts w:ascii="Times New Roman" w:hAnsi="Times New Roman" w:cs="Times New Roman"/>
              </w:rPr>
              <w:t xml:space="preserve">n = 1 (multiple fractures) </w:t>
            </w:r>
            <w:r w:rsidRPr="00D00D27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984" w:type="dxa"/>
          </w:tcPr>
          <w:p w14:paraId="2C2D9ECC" w14:textId="77777777" w:rsidR="00B61A21" w:rsidRPr="00D00D27" w:rsidRDefault="00B61A21" w:rsidP="00D00D2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00D27">
              <w:rPr>
                <w:rFonts w:ascii="Times New Roman" w:hAnsi="Times New Roman" w:cs="Times New Roman"/>
              </w:rPr>
              <w:t>Nil</w:t>
            </w:r>
          </w:p>
        </w:tc>
      </w:tr>
    </w:tbl>
    <w:p w14:paraId="27BB3235" w14:textId="77777777" w:rsidR="00B61A21" w:rsidRPr="00D00D27" w:rsidRDefault="00B61A21" w:rsidP="00D00D27">
      <w:pPr>
        <w:spacing w:line="480" w:lineRule="auto"/>
        <w:jc w:val="both"/>
        <w:rPr>
          <w:rFonts w:ascii="Times New Roman" w:hAnsi="Times New Roman" w:cs="Times New Roman"/>
        </w:rPr>
      </w:pPr>
      <w:r w:rsidRPr="00D00D27">
        <w:rPr>
          <w:rFonts w:ascii="Times New Roman" w:hAnsi="Times New Roman" w:cs="Times New Roman"/>
        </w:rPr>
        <w:br/>
        <w:t>BMD = bone mineral density; SD = standard deviation; NR = not reported.</w:t>
      </w:r>
      <w:r w:rsidRPr="00D00D27">
        <w:rPr>
          <w:rFonts w:ascii="Times New Roman" w:hAnsi="Times New Roman" w:cs="Times New Roman"/>
        </w:rPr>
        <w:br/>
        <w:t>a) The patient with new vertebral fractures in the study by Ebina et al. commenced romosozumab 9-months after the last denosumab dose.</w:t>
      </w:r>
    </w:p>
    <w:p w14:paraId="5381D89F" w14:textId="77777777" w:rsidR="00B61A21" w:rsidRPr="00D00D27" w:rsidRDefault="00B61A21" w:rsidP="00D00D27">
      <w:pPr>
        <w:spacing w:line="480" w:lineRule="auto"/>
        <w:jc w:val="both"/>
        <w:rPr>
          <w:rFonts w:ascii="Times New Roman" w:hAnsi="Times New Roman" w:cs="Times New Roman"/>
        </w:rPr>
      </w:pPr>
    </w:p>
    <w:p w14:paraId="37601C89" w14:textId="77777777" w:rsidR="00B61A21" w:rsidRDefault="00B61A21" w:rsidP="00D00D27">
      <w:pPr>
        <w:spacing w:line="480" w:lineRule="auto"/>
        <w:jc w:val="both"/>
        <w:rPr>
          <w:rFonts w:ascii="Times New Roman" w:hAnsi="Times New Roman" w:cs="Times New Roman"/>
        </w:rPr>
      </w:pPr>
    </w:p>
    <w:p w14:paraId="5F119EDF" w14:textId="77777777" w:rsidR="00D00D27" w:rsidRDefault="00D00D27" w:rsidP="00D00D27">
      <w:pPr>
        <w:spacing w:line="480" w:lineRule="auto"/>
        <w:jc w:val="both"/>
        <w:rPr>
          <w:rFonts w:ascii="Times New Roman" w:hAnsi="Times New Roman" w:cs="Times New Roman"/>
        </w:rPr>
      </w:pPr>
    </w:p>
    <w:p w14:paraId="5BE17F0C" w14:textId="77777777" w:rsidR="00D00D27" w:rsidRDefault="00D00D27" w:rsidP="00D00D27">
      <w:pPr>
        <w:spacing w:line="480" w:lineRule="auto"/>
        <w:jc w:val="both"/>
        <w:rPr>
          <w:rFonts w:ascii="Times New Roman" w:hAnsi="Times New Roman" w:cs="Times New Roman"/>
        </w:rPr>
      </w:pPr>
    </w:p>
    <w:p w14:paraId="58E00956" w14:textId="77777777" w:rsidR="00D00D27" w:rsidRDefault="00D00D27" w:rsidP="00D00D27">
      <w:pPr>
        <w:spacing w:line="480" w:lineRule="auto"/>
        <w:jc w:val="both"/>
        <w:rPr>
          <w:rFonts w:ascii="Times New Roman" w:hAnsi="Times New Roman" w:cs="Times New Roman"/>
        </w:rPr>
      </w:pPr>
    </w:p>
    <w:p w14:paraId="46BDE0A6" w14:textId="77777777" w:rsidR="00D00D27" w:rsidRDefault="00D00D27" w:rsidP="00D00D27">
      <w:pPr>
        <w:spacing w:line="480" w:lineRule="auto"/>
        <w:jc w:val="both"/>
        <w:rPr>
          <w:rFonts w:ascii="Times New Roman" w:hAnsi="Times New Roman" w:cs="Times New Roman"/>
        </w:rPr>
      </w:pPr>
    </w:p>
    <w:p w14:paraId="3D7D4CB4" w14:textId="77777777" w:rsidR="00D00D27" w:rsidRDefault="00D00D27" w:rsidP="00D00D27">
      <w:pPr>
        <w:spacing w:line="480" w:lineRule="auto"/>
        <w:jc w:val="both"/>
        <w:rPr>
          <w:rFonts w:ascii="Times New Roman" w:hAnsi="Times New Roman" w:cs="Times New Roman"/>
        </w:rPr>
      </w:pPr>
    </w:p>
    <w:p w14:paraId="0ACA51A7" w14:textId="77777777" w:rsidR="00D00D27" w:rsidRPr="00D00D27" w:rsidRDefault="00D00D27" w:rsidP="00D00D27">
      <w:pPr>
        <w:spacing w:line="480" w:lineRule="auto"/>
        <w:jc w:val="both"/>
        <w:rPr>
          <w:rFonts w:ascii="Times New Roman" w:hAnsi="Times New Roman" w:cs="Times New Roman"/>
        </w:rPr>
      </w:pPr>
    </w:p>
    <w:p w14:paraId="7D338643" w14:textId="77777777" w:rsidR="00B61A21" w:rsidRPr="00D00D27" w:rsidRDefault="00B61A21" w:rsidP="00D00D27">
      <w:pPr>
        <w:spacing w:line="480" w:lineRule="auto"/>
        <w:jc w:val="both"/>
        <w:rPr>
          <w:rFonts w:ascii="Times New Roman" w:hAnsi="Times New Roman" w:cs="Times New Roman"/>
        </w:rPr>
      </w:pPr>
    </w:p>
    <w:p w14:paraId="3CB2B805" w14:textId="77777777" w:rsidR="00B61A21" w:rsidRPr="00D00D27" w:rsidRDefault="00B61A21" w:rsidP="00D00D27">
      <w:pPr>
        <w:spacing w:line="480" w:lineRule="auto"/>
        <w:jc w:val="both"/>
        <w:rPr>
          <w:rFonts w:ascii="Times New Roman" w:hAnsi="Times New Roman" w:cs="Times New Roman"/>
        </w:rPr>
      </w:pPr>
    </w:p>
    <w:p w14:paraId="2F4A5F13" w14:textId="25E890C5" w:rsidR="00B61A21" w:rsidRPr="00D00D27" w:rsidRDefault="00B61A21" w:rsidP="00D00D27">
      <w:pPr>
        <w:tabs>
          <w:tab w:val="left" w:pos="3516"/>
        </w:tabs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D00D27">
        <w:rPr>
          <w:rFonts w:ascii="Times New Roman" w:hAnsi="Times New Roman" w:cs="Times New Roman"/>
          <w:b/>
          <w:bCs/>
        </w:rPr>
        <w:lastRenderedPageBreak/>
        <w:t>Supplementa</w:t>
      </w:r>
      <w:r w:rsidR="008D25AD">
        <w:rPr>
          <w:rFonts w:ascii="Times New Roman" w:hAnsi="Times New Roman" w:cs="Times New Roman"/>
          <w:b/>
          <w:bCs/>
        </w:rPr>
        <w:t>ry</w:t>
      </w:r>
      <w:r w:rsidRPr="00D00D27">
        <w:rPr>
          <w:rFonts w:ascii="Times New Roman" w:hAnsi="Times New Roman" w:cs="Times New Roman"/>
          <w:b/>
          <w:bCs/>
        </w:rPr>
        <w:t xml:space="preserve"> Figure 2 – 12-month changes in lumbar spine and left hip bone mineral density (BMD) with sequential overlapping romosozumab and denosumab </w:t>
      </w:r>
      <w:proofErr w:type="gramStart"/>
      <w:r w:rsidRPr="00D00D27">
        <w:rPr>
          <w:rFonts w:ascii="Times New Roman" w:hAnsi="Times New Roman" w:cs="Times New Roman"/>
          <w:b/>
          <w:bCs/>
        </w:rPr>
        <w:t>treatment</w:t>
      </w:r>
      <w:proofErr w:type="gramEnd"/>
    </w:p>
    <w:p w14:paraId="532E2BC6" w14:textId="77777777" w:rsidR="00B61A21" w:rsidRPr="00D00D27" w:rsidRDefault="00B61A21" w:rsidP="00D00D27">
      <w:pPr>
        <w:spacing w:line="480" w:lineRule="auto"/>
        <w:rPr>
          <w:rFonts w:ascii="Times New Roman" w:hAnsi="Times New Roman" w:cs="Times New Roman"/>
        </w:rPr>
      </w:pPr>
      <w:r w:rsidRPr="00D00D27">
        <w:rPr>
          <w:rFonts w:ascii="Times New Roman" w:hAnsi="Times New Roman" w:cs="Times New Roman"/>
          <w:noProof/>
        </w:rPr>
        <w:drawing>
          <wp:inline distT="0" distB="0" distL="0" distR="0" wp14:anchorId="27B82813" wp14:editId="5EE61A12">
            <wp:extent cx="3657917" cy="6149873"/>
            <wp:effectExtent l="0" t="0" r="0" b="3810"/>
            <wp:docPr id="738745320" name="Picture 2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44840" name="Picture 2" descr="A graph of different colored line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917" cy="614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00D27">
        <w:rPr>
          <w:rFonts w:ascii="Times New Roman" w:hAnsi="Times New Roman" w:cs="Times New Roman"/>
        </w:rPr>
        <w:br/>
        <w:t xml:space="preserve">The percentage change in lumbar spine BMD (Fig. 3A) and left hip BMD (Fig. 3B) after 12-months of romosozumab treatment is represented for case 1 (green), case 2 (blue) and case 3 (yellow). Left hip BMD values refer to either left total hip (case 1, case 3) or left femoral neck (case 2).  </w:t>
      </w:r>
    </w:p>
    <w:p w14:paraId="2D523CE6" w14:textId="77777777" w:rsidR="00855B66" w:rsidRDefault="00855B66"/>
    <w:sectPr w:rsidR="00855B66" w:rsidSect="005F5659">
      <w:footerReference w:type="default" r:id="rId9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8FAD8" w14:textId="77777777" w:rsidR="005F5659" w:rsidRDefault="005F5659" w:rsidP="00D00D27">
      <w:pPr>
        <w:spacing w:after="0" w:line="240" w:lineRule="auto"/>
      </w:pPr>
      <w:r>
        <w:separator/>
      </w:r>
    </w:p>
  </w:endnote>
  <w:endnote w:type="continuationSeparator" w:id="0">
    <w:p w14:paraId="47CD104B" w14:textId="77777777" w:rsidR="005F5659" w:rsidRDefault="005F5659" w:rsidP="00D00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17185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618899" w14:textId="191DF35B" w:rsidR="00D00D27" w:rsidRDefault="00D00D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01838D" w14:textId="77777777" w:rsidR="00D00D27" w:rsidRDefault="00D00D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5C332" w14:textId="77777777" w:rsidR="005F5659" w:rsidRDefault="005F5659" w:rsidP="00D00D27">
      <w:pPr>
        <w:spacing w:after="0" w:line="240" w:lineRule="auto"/>
      </w:pPr>
      <w:r>
        <w:separator/>
      </w:r>
    </w:p>
  </w:footnote>
  <w:footnote w:type="continuationSeparator" w:id="0">
    <w:p w14:paraId="0143C4A1" w14:textId="77777777" w:rsidR="005F5659" w:rsidRDefault="005F5659" w:rsidP="00D00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2711"/>
    <w:multiLevelType w:val="hybridMultilevel"/>
    <w:tmpl w:val="8B687AD4"/>
    <w:lvl w:ilvl="0" w:tplc="8360897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76736"/>
    <w:multiLevelType w:val="hybridMultilevel"/>
    <w:tmpl w:val="2DFC73A0"/>
    <w:lvl w:ilvl="0" w:tplc="3FBA234C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37E80"/>
    <w:multiLevelType w:val="hybridMultilevel"/>
    <w:tmpl w:val="2A9E369E"/>
    <w:lvl w:ilvl="0" w:tplc="25BCF40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422011">
    <w:abstractNumId w:val="2"/>
  </w:num>
  <w:num w:numId="2" w16cid:durableId="1511142928">
    <w:abstractNumId w:val="0"/>
  </w:num>
  <w:num w:numId="3" w16cid:durableId="1882159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A21"/>
    <w:rsid w:val="000F3A31"/>
    <w:rsid w:val="001D61C4"/>
    <w:rsid w:val="00201F53"/>
    <w:rsid w:val="0043474E"/>
    <w:rsid w:val="005F5659"/>
    <w:rsid w:val="00734FF7"/>
    <w:rsid w:val="00810421"/>
    <w:rsid w:val="00825D90"/>
    <w:rsid w:val="00855B66"/>
    <w:rsid w:val="00887F67"/>
    <w:rsid w:val="008D25AD"/>
    <w:rsid w:val="00904C46"/>
    <w:rsid w:val="00B61A21"/>
    <w:rsid w:val="00D00D27"/>
    <w:rsid w:val="00D941ED"/>
    <w:rsid w:val="00DB5396"/>
    <w:rsid w:val="00E6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DE8EE"/>
  <w15:chartTrackingRefBased/>
  <w15:docId w15:val="{3221125B-4291-4038-90AD-1FF0DD7B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A2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A21"/>
    <w:pPr>
      <w:ind w:left="720"/>
      <w:contextualSpacing/>
    </w:pPr>
  </w:style>
  <w:style w:type="table" w:styleId="TableGrid">
    <w:name w:val="Table Grid"/>
    <w:basedOn w:val="TableNormal"/>
    <w:uiPriority w:val="39"/>
    <w:rsid w:val="00B61A2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00D27"/>
  </w:style>
  <w:style w:type="paragraph" w:styleId="Header">
    <w:name w:val="header"/>
    <w:basedOn w:val="Normal"/>
    <w:link w:val="HeaderChar"/>
    <w:uiPriority w:val="99"/>
    <w:unhideWhenUsed/>
    <w:rsid w:val="00D00D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D2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D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D27"/>
    <w:rPr>
      <w:kern w:val="0"/>
      <w14:ligatures w14:val="none"/>
    </w:rPr>
  </w:style>
  <w:style w:type="paragraph" w:styleId="Revision">
    <w:name w:val="Revision"/>
    <w:hidden/>
    <w:uiPriority w:val="99"/>
    <w:semiHidden/>
    <w:rsid w:val="00887F6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Shejil Kumar</dc:creator>
  <cp:keywords/>
  <dc:description/>
  <cp:lastModifiedBy>Shejil Kumar</cp:lastModifiedBy>
  <cp:revision>3</cp:revision>
  <dcterms:created xsi:type="dcterms:W3CDTF">2024-04-23T05:57:00Z</dcterms:created>
  <dcterms:modified xsi:type="dcterms:W3CDTF">2024-04-23T05:57:00Z</dcterms:modified>
</cp:coreProperties>
</file>