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6C3D" w14:textId="77777777" w:rsidR="00953F17" w:rsidRPr="00034230" w:rsidRDefault="0544A190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en-GB"/>
        </w:rPr>
        <w:t>Management of bone health in cancer survivorship: a systematic review of clinical guidelines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5511174E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0BB7FF8E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en-GB"/>
        </w:rPr>
        <w:t>Authors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2CD39380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Victor Ki Chung Li*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1,2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Stirling Cosgrove*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3,4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Katelyn Collins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4,5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Paul Baden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6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Richard Blennerhassett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7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Bryan A Chan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8,11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Li-Heng Chan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5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Daphne Day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Belinda Goodwin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4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Alastair Kwok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Debbie Packham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6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 xml:space="preserve">, Kaung </w:t>
      </w:r>
      <w:proofErr w:type="spellStart"/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Tha</w:t>
      </w:r>
      <w:proofErr w:type="spellEnd"/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 xml:space="preserve"> Kyaw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9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Christopher Todaro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9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Dr Kate Webber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1,10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Janne Williams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6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Ayse Zengin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, Lisa Grech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9,1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 xml:space="preserve"> on behalf of the BHCS study team. </w:t>
      </w:r>
    </w:p>
    <w:p w14:paraId="4BCE4FB8" w14:textId="77777777" w:rsidR="00953F17" w:rsidRPr="006907DF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</w:rPr>
      </w:pPr>
      <w:r w:rsidRPr="006907D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</w:rPr>
        <w:t>*Equal contributing authors. </w:t>
      </w:r>
    </w:p>
    <w:p w14:paraId="6183E121" w14:textId="77777777" w:rsidR="006907DF" w:rsidRPr="00034230" w:rsidRDefault="006907DF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</w:p>
    <w:p w14:paraId="44D524DA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en-GB"/>
        </w:rPr>
        <w:t>Affiliations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3FF3A553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1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Department of Medicine, School of Clinical Sciences at Monash Health, Monash University, Clayton, VIC, Australia</w:t>
      </w:r>
      <w:r w:rsidRPr="0003423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</w:rPr>
        <w:t> 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011A2ABC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en-GB"/>
        </w:rPr>
        <w:t>2</w:t>
      </w: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</w:rPr>
        <w:t>Department of Oncology, Monash Health, Clayton, VIC, Australia </w:t>
      </w:r>
    </w:p>
    <w:p w14:paraId="63E63002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3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University of Queensland, School of Public Health, Brisbane 4072, QLD, Australia </w:t>
      </w:r>
    </w:p>
    <w:p w14:paraId="10CCA209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4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Cancer Council Queensland, Fortitude Valley, QLD, Australia </w:t>
      </w:r>
    </w:p>
    <w:p w14:paraId="1570E207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</w:rPr>
        <w:t> Australia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269BE735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US" w:eastAsia="en-GB"/>
        </w:rPr>
        <w:t>5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</w:rPr>
        <w:t>School of Psychology and Wellbeing, University of Southern Queensland, Springfield, QLD, Australia 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4601ACBA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6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Private Lived Experience Consultant </w:t>
      </w:r>
    </w:p>
    <w:p w14:paraId="494C388E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en-GB"/>
        </w:rPr>
        <w:t>7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Central Coast Haematology, Gosford, NSW, Australia  </w:t>
      </w:r>
    </w:p>
    <w:p w14:paraId="0C228963" w14:textId="77777777" w:rsidR="00953F17" w:rsidRPr="00034230" w:rsidRDefault="00953F17" w:rsidP="00953F17">
      <w:pPr>
        <w:shd w:val="clear" w:color="auto" w:fill="FFFFFF"/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en-GB"/>
        </w:rPr>
        <w:t>8</w:t>
      </w: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</w:rPr>
        <w:t>Sunshine Coast University Hospital, Birtinya, QLD, Australia. </w:t>
      </w:r>
    </w:p>
    <w:p w14:paraId="23FD60BA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en-GB"/>
        </w:rPr>
        <w:t>9</w:t>
      </w: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</w:rPr>
        <w:t>School of Psychology, Faculty of Health, Deakin University, Burwood, VIC, Australia. </w:t>
      </w:r>
    </w:p>
    <w:p w14:paraId="4A74772B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en-GB"/>
        </w:rPr>
        <w:t>11</w:t>
      </w:r>
      <w:r w:rsidRPr="0003423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</w:rPr>
        <w:t>School of Medicine and Dentistry, Griffith University, Birtinya, QLD, Australia. </w:t>
      </w:r>
    </w:p>
    <w:p w14:paraId="710C7DEA" w14:textId="77777777" w:rsidR="00953F17" w:rsidRPr="00034230" w:rsidRDefault="00953F17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07477D49" w14:textId="77777777" w:rsidR="00953F17" w:rsidRPr="00034230" w:rsidRDefault="00953F17" w:rsidP="00953F17">
      <w:pPr>
        <w:suppressAutoHyphens w:val="0"/>
        <w:autoSpaceDN/>
        <w:spacing w:after="0" w:line="480" w:lineRule="auto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</w:rPr>
        <w:t>Corresponding author details:</w:t>
      </w: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 </w:t>
      </w:r>
    </w:p>
    <w:p w14:paraId="5C9E15FC" w14:textId="77777777" w:rsidR="00953F17" w:rsidRPr="00034230" w:rsidRDefault="00953F17" w:rsidP="00953F17">
      <w:pPr>
        <w:suppressAutoHyphens w:val="0"/>
        <w:autoSpaceDN/>
        <w:spacing w:after="0" w:line="480" w:lineRule="auto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Dr Lisa Grech </w:t>
      </w:r>
    </w:p>
    <w:p w14:paraId="37BE54CA" w14:textId="77777777" w:rsidR="00953F17" w:rsidRPr="00034230" w:rsidRDefault="00953F17" w:rsidP="00953F17">
      <w:pPr>
        <w:suppressAutoHyphens w:val="0"/>
        <w:autoSpaceDN/>
        <w:spacing w:after="0" w:line="480" w:lineRule="auto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Address: 221 Burwood Highway, Burwood VIC Australia </w:t>
      </w:r>
    </w:p>
    <w:p w14:paraId="1BC7A6F9" w14:textId="77777777" w:rsidR="00953F17" w:rsidRPr="00034230" w:rsidRDefault="00953F17" w:rsidP="00953F17">
      <w:pPr>
        <w:suppressAutoHyphens w:val="0"/>
        <w:autoSpaceDN/>
        <w:spacing w:after="0" w:line="480" w:lineRule="auto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Phone: +61 410 947 444 </w:t>
      </w:r>
    </w:p>
    <w:p w14:paraId="39D1B284" w14:textId="4DD9B40E" w:rsidR="00953F17" w:rsidRPr="00953F17" w:rsidRDefault="0544A190" w:rsidP="00953F17">
      <w:pPr>
        <w:suppressAutoHyphens w:val="0"/>
        <w:autoSpaceDN/>
        <w:spacing w:after="0" w:line="48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en-GB"/>
        </w:rPr>
        <w:sectPr w:rsidR="00953F17" w:rsidRPr="00953F17" w:rsidSect="00953F1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34230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</w:rPr>
        <w:t>Email: l.grech@deakin.edu.au </w:t>
      </w:r>
    </w:p>
    <w:p w14:paraId="3CBA3CCF" w14:textId="3B44EBE0" w:rsidR="00953F17" w:rsidRDefault="0544A190" w:rsidP="69208CAC">
      <w:pPr>
        <w:pStyle w:val="Caption"/>
        <w:keepNext/>
        <w:rPr>
          <w:rFonts w:ascii="Times New Roman" w:eastAsia="Times New Roman" w:hAnsi="Times New Roman" w:cs="Times New Roman"/>
          <w:i w:val="0"/>
          <w:iCs w:val="0"/>
          <w:sz w:val="20"/>
          <w:szCs w:val="20"/>
        </w:rPr>
      </w:pPr>
      <w:r w:rsidRPr="69208CAC">
        <w:rPr>
          <w:rFonts w:ascii="Times New Roman" w:eastAsia="Times New Roman" w:hAnsi="Times New Roman" w:cs="Times New Roman"/>
          <w:i w:val="0"/>
          <w:iCs w:val="0"/>
          <w:sz w:val="20"/>
          <w:szCs w:val="20"/>
        </w:rPr>
        <w:lastRenderedPageBreak/>
        <w:t xml:space="preserve">Table </w:t>
      </w:r>
      <w:r w:rsidR="599AF2F4" w:rsidRPr="69208CAC">
        <w:rPr>
          <w:rFonts w:ascii="Times New Roman" w:eastAsia="Times New Roman" w:hAnsi="Times New Roman" w:cs="Times New Roman"/>
          <w:i w:val="0"/>
          <w:iCs w:val="0"/>
          <w:sz w:val="20"/>
          <w:szCs w:val="20"/>
        </w:rPr>
        <w:t>3</w:t>
      </w:r>
      <w:r w:rsidR="008507DB">
        <w:rPr>
          <w:rFonts w:ascii="Times New Roman" w:eastAsia="Times New Roman" w:hAnsi="Times New Roman" w:cs="Times New Roman"/>
          <w:i w:val="0"/>
          <w:iCs w:val="0"/>
          <w:sz w:val="20"/>
          <w:szCs w:val="20"/>
        </w:rPr>
        <w:t>a</w:t>
      </w:r>
      <w:r w:rsidRPr="69208CAC">
        <w:rPr>
          <w:rFonts w:ascii="Times New Roman" w:eastAsia="Times New Roman" w:hAnsi="Times New Roman" w:cs="Times New Roman"/>
          <w:i w:val="0"/>
          <w:iCs w:val="0"/>
          <w:sz w:val="20"/>
          <w:szCs w:val="20"/>
        </w:rPr>
        <w:t xml:space="preserve">: Table comprising the AGREE II quality assessment of each included guideline. </w:t>
      </w:r>
    </w:p>
    <w:tbl>
      <w:tblPr>
        <w:tblW w:w="153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5"/>
        <w:gridCol w:w="1840"/>
        <w:gridCol w:w="1547"/>
        <w:gridCol w:w="1590"/>
        <w:gridCol w:w="1525"/>
        <w:gridCol w:w="1503"/>
        <w:gridCol w:w="1658"/>
        <w:gridCol w:w="871"/>
        <w:gridCol w:w="1179"/>
      </w:tblGrid>
      <w:tr w:rsidR="00953F17" w14:paraId="6492EEB9" w14:textId="77777777" w:rsidTr="635F711C">
        <w:trPr>
          <w:trHeight w:val="540"/>
        </w:trPr>
        <w:tc>
          <w:tcPr>
            <w:tcW w:w="3675" w:type="dxa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36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9648" w14:textId="77777777" w:rsidR="00953F17" w:rsidRDefault="00953F17" w:rsidP="635F711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663" w:type="dxa"/>
            <w:gridSpan w:val="6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342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AGREE II Domains %</w:t>
            </w:r>
          </w:p>
        </w:tc>
        <w:tc>
          <w:tcPr>
            <w:tcW w:w="871" w:type="dxa"/>
            <w:tcBorders>
              <w:top w:val="single" w:sz="2" w:space="0" w:color="FFFFFF" w:themeColor="background1"/>
              <w:left w:val="single" w:sz="8" w:space="0" w:color="D0CECE" w:themeColor="background2" w:themeShade="E6"/>
              <w:bottom w:val="single" w:sz="36" w:space="0" w:color="000000" w:themeColor="text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A602" w14:textId="77777777" w:rsidR="00953F17" w:rsidRDefault="00953F17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179" w:type="dxa"/>
            <w:tcBorders>
              <w:top w:val="single" w:sz="2" w:space="0" w:color="FFFFFF" w:themeColor="background1"/>
              <w:left w:val="single" w:sz="4" w:space="0" w:color="FFFFFF" w:themeColor="background1"/>
              <w:bottom w:val="single" w:sz="36" w:space="0" w:color="000000" w:themeColor="text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9AA1" w14:textId="77777777" w:rsidR="00953F17" w:rsidRDefault="00953F17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</w:p>
        </w:tc>
      </w:tr>
      <w:tr w:rsidR="00953F17" w14:paraId="10DE0C2D" w14:textId="77777777" w:rsidTr="635F711C">
        <w:trPr>
          <w:trHeight w:val="1058"/>
        </w:trPr>
        <w:tc>
          <w:tcPr>
            <w:tcW w:w="3675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D200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Guidelines</w:t>
            </w:r>
          </w:p>
        </w:tc>
        <w:tc>
          <w:tcPr>
            <w:tcW w:w="1840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35B5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1: Scope and Purpose</w:t>
            </w:r>
          </w:p>
        </w:tc>
        <w:tc>
          <w:tcPr>
            <w:tcW w:w="1547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37FC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2: Stakeholder Involvement</w:t>
            </w:r>
          </w:p>
        </w:tc>
        <w:tc>
          <w:tcPr>
            <w:tcW w:w="1590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AD6F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3: </w:t>
            </w:r>
            <w:proofErr w:type="spellStart"/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Rigour</w:t>
            </w:r>
            <w:proofErr w:type="spellEnd"/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 of Development</w:t>
            </w:r>
          </w:p>
        </w:tc>
        <w:tc>
          <w:tcPr>
            <w:tcW w:w="1525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35A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4: Clarity of Presentation</w:t>
            </w:r>
          </w:p>
        </w:tc>
        <w:tc>
          <w:tcPr>
            <w:tcW w:w="1503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B19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5: Applicability</w:t>
            </w:r>
          </w:p>
        </w:tc>
        <w:tc>
          <w:tcPr>
            <w:tcW w:w="1658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F13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6: Editorial Independence</w:t>
            </w:r>
          </w:p>
        </w:tc>
        <w:tc>
          <w:tcPr>
            <w:tcW w:w="871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F41C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Mean Score (%)</w:t>
            </w:r>
          </w:p>
        </w:tc>
        <w:tc>
          <w:tcPr>
            <w:tcW w:w="1179" w:type="dxa"/>
            <w:tcBorders>
              <w:top w:val="single" w:sz="36" w:space="0" w:color="000000" w:themeColor="text1"/>
              <w:left w:val="single" w:sz="4" w:space="0" w:color="000000" w:themeColor="text1"/>
              <w:bottom w:val="single" w:sz="36" w:space="0" w:color="808080" w:themeColor="background1" w:themeShade="80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AC90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Overall Quality</w:t>
            </w:r>
          </w:p>
        </w:tc>
      </w:tr>
      <w:tr w:rsidR="00953F17" w14:paraId="735E7E88" w14:textId="77777777" w:rsidTr="635F711C">
        <w:trPr>
          <w:trHeight w:val="416"/>
        </w:trPr>
        <w:tc>
          <w:tcPr>
            <w:tcW w:w="15388" w:type="dxa"/>
            <w:gridSpan w:val="9"/>
            <w:tcBorders>
              <w:top w:val="single" w:sz="36" w:space="0" w:color="808080" w:themeColor="background1" w:themeShade="80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5C1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val="en-US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val="en-US"/>
              </w:rPr>
              <w:t>Breast Cancer Guidelines</w:t>
            </w:r>
          </w:p>
        </w:tc>
      </w:tr>
      <w:tr w:rsidR="00953F17" w14:paraId="05A929D2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187A" w14:textId="79A4ACB7" w:rsidR="00953F17" w:rsidRDefault="08EDC539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Assessment and Management of Bone Health in Women with Oestrogen Receptor-Positive Breast Cancer Receiving Endocrine Therapy: Position Statement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CB78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245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0029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C8B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3CB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94A4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BEC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112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D7EE0B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1D6D" w14:textId="6319A840" w:rsidR="00953F17" w:rsidRDefault="568FBB63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American Society of Clinical Oncology Guideline on the Role of Bisphosphonates in Breast Cancer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[2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CB0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0524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A1B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5081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95A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0C57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317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89.8 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8638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6AE6CFF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FF944" w14:textId="64182040" w:rsidR="00953F17" w:rsidRDefault="5A0EEF2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French Recommendations on Strategies for Preventing and Treating Osteoporosis Induced by Adjuvant Breast Cancer Therapies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[2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7A4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2923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05BA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632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785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D13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E20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403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6FF04B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3A45" w14:textId="12541A11" w:rsidR="00953F17" w:rsidRDefault="4FD62E0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Role of Bone-Modifying Agents in Metastatic Breast Cancer: An American Society of Clinical Oncology–Cancer Care Ontario Focused Guideline Update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[2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0356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273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3E8B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89.6 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365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D7A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3AA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6F51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5AC4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20BE932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4FA63" w14:textId="05936BF8" w:rsidR="00953F17" w:rsidRDefault="4CE0EC0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1st International Consensus Guidelines for Advanced Breast Cancer (ABC1)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5EE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309C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CC9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6B62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1FE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9E5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D4D6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9F2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CC9162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DD0B8" w14:textId="70F3E5E1" w:rsidR="00953F17" w:rsidRDefault="0207DE43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First International Consensus Guidelines for Breast Cancer in Young Women (BCY1)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D0D7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7A5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4ACA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7A5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1C5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C9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4AD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87.7 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6F7B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1E70D5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6E6B" w14:textId="2E22669D" w:rsidR="00953F17" w:rsidRDefault="31B4285B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AGO Recommendations for the Diagnosis and Treatment of Patients with Advanced and Metastatic Breast Cancer: Update 2015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32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2B97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E5B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6957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E27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0E4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91B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E8F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2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B4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A3443E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D038" w14:textId="128B8BDE" w:rsidR="00953F17" w:rsidRDefault="463DC7C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Chinese Expert Consensus Recommendations for Management of Bone Health in Female Patients with Early Breast Cancer (2022 edition)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D9B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C5ED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D5F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239B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1AE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A59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BED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86.7 </w:t>
            </w:r>
          </w:p>
        </w:tc>
        <w:tc>
          <w:tcPr>
            <w:tcW w:w="1179" w:type="dxa"/>
            <w:tcBorders>
              <w:top w:val="single" w:sz="2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E7B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54F5666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CA24C" w14:textId="17EC167D" w:rsidR="00953F17" w:rsidRDefault="0E89FAD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Committee of Full-Cycle Standardized Management of Bone Health in Breast Cancer Patients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00C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86F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F884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C9B6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2CFD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CCDB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BBD9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43B5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F91AD1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4EAF" w14:textId="2151F211" w:rsidR="00953F17" w:rsidRDefault="0A3F24AE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Use of Adjuvant Bisphosphonates and Other Bone-Modifying Agents in Breast Cancer: ASCO-OH (CCO) Guideline Update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794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23DC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77.8 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843E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79.2 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285A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5E7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ACC4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C945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3BCD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8F975B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A7C1C" w14:textId="6C0A6651" w:rsidR="00953F17" w:rsidRDefault="48E17D33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Singapore Cancer Network (SCAN) Guidelines for Bisphosphonate Use in the Adjuvant Breast Cancer Setting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82AD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7C4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070D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80.2 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8E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B1A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64D8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80EA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7E14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3FF6924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FE65" w14:textId="492D4807" w:rsidR="00953F17" w:rsidRDefault="3899A1D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Guidelines for Diagnostics and Treatment of Aromatase Inhibitor-Induced Bone Loss in Women with Breast Cancer: A consensus of Lithuanian medical oncologists, radiation oncologists, endocrinologists, and family medicine physicians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D276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D9BE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753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85ED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CC2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D0C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D4F9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146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20C4BF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16CFB" w14:textId="1CBC17DA" w:rsidR="00953F17" w:rsidRDefault="31224D0E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Early and Locally Advanced Breast Cancer: Diagnosis and Management (NICE guideline NG101)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D06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D8C2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6AFB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76.0 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03A3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5A93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8CE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BA06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80C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2DA34E1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A690B" w14:textId="4B9534C9" w:rsidR="00953F17" w:rsidRDefault="559EF36D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Guidance for the Prevention of Bone Loss and Fractures in Postmenopausal Women Treated with Aromatase Inhibitors for Breast Cancer: An ESCEO Position Paper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C949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B37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E34A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5A7C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26C5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300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41FA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28A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63AA845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8E01" w14:textId="212FDF3E" w:rsidR="00953F17" w:rsidRDefault="34205F9D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American Society of Clinical Oncology Clinical Practice Guideline Update: Recommendations on the role of Bone-Modifying Agents in Metastatic Breast Cancer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40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3A1B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C6A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92D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C09D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69F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872D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96AF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FBB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F0EABA6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4485" w14:textId="375BE4F6" w:rsidR="00953F17" w:rsidRDefault="0381041D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Bone Health in Patients with Breast Cancer: Recommendations from an Evidence-Based Canadian Guideline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41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F79E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4A01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E279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78.1 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824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864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36ED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0238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F70F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F77A61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BBDF2" w14:textId="263818D2" w:rsidR="00953F17" w:rsidRDefault="6A45261F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Spanish Menopause Society Position Statement: Use of Denosumab in Postmenopausal Women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42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C10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5359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69.4 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A7B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72.9 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160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3291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3EA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858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81.1 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8B7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44D3C1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04EF" w14:textId="5FFB1E1A" w:rsidR="00953F17" w:rsidRDefault="38F7F6AA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Guidelines for </w:t>
            </w:r>
            <w:proofErr w:type="spellStart"/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Osteoprotection</w:t>
            </w:r>
            <w:proofErr w:type="spellEnd"/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in Breast Cancer Patients on an Aromatase Inhibitor [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9437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D91E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43AA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74.0 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787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CFA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0837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FB2B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D09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395059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66B1C" w14:textId="0FFDD9E7" w:rsidR="00953F17" w:rsidRDefault="03EBED96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Evidence-Based Treatment of Metastatic Breast Cancer – 2006 Recommendations by the AGO Breast Commission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F29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1F6B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102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78.1 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CF2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706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B98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B4E9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2416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B43BC7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4F3AE" w14:textId="665F86A5" w:rsidR="00953F17" w:rsidRDefault="15B28589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Recommendations for antiresorptive therapy in postmenopausal patients with breast cancer: Marburg AIBL Guideline Evaluation Study (MAGES)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45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5B6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FC48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22CA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8E2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EB50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3E6E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BE9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161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1DC3D15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CC9D" w14:textId="5BD90F49" w:rsidR="00953F17" w:rsidRDefault="555E3A76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Clinical Practice Guidelines for the Care and Treatment of Breast Cancer: Follow-up After Treatment for Breast Cancer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46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836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483C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F53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CED9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92C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EAD1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F17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2A04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DD22267" w14:textId="77777777" w:rsidTr="635F711C">
        <w:trPr>
          <w:trHeight w:val="424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00E5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  <w:t>Prostate Cancer Guidelines</w:t>
            </w:r>
          </w:p>
        </w:tc>
      </w:tr>
      <w:tr w:rsidR="00953F17" w14:paraId="6E47492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8F40" w14:textId="7342E044" w:rsidR="00953F17" w:rsidRDefault="3D44A96F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NCCN Clinical Practice Guidelines in Oncology, Prostate Cancer, Version 4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47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A6F2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804E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055C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84.4 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860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1C91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308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E753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3DEC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197C408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EE9A3" w14:textId="64DBD8C1" w:rsidR="00953F17" w:rsidRDefault="4D8E2CF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Castration-Resistant Prostate Cancer: AUA Guideline Amendment 2015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5E52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532A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52BE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84.4 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2F53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422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60.4 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5BAA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474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218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9E1C395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84325" w14:textId="3847C517" w:rsidR="00953F17" w:rsidRDefault="07FF37EA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Bone Health and Bone-targeted Therapies for Prostate Cancer: </w:t>
            </w:r>
            <w:proofErr w:type="gramStart"/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proofErr w:type="gramEnd"/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Programme in Evidence-based Care — Cancer Care Ontario Clinical Practice Guideline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49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ACE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AA25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2BDE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84.4 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BCF6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D0A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29C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19D1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3C88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5E8720EF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F65C" w14:textId="1774DC34" w:rsidR="00953F17" w:rsidRDefault="580DE55D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Drivers for Change in the Management of Prostate Cancer – Guidelines and New Treatment Techniques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50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FE8F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E2E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2FCE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D183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6B7D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A65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65C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87.7 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D19E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4A8800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75A41" w14:textId="5CE58B38" w:rsidR="00953F17" w:rsidRDefault="2DB53F47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EAU Guidelines on Prostate Cancer: Part II - Treatment of Advanced, Relapsing, and Castration-Resistant Prostate Cancer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51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E128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9B79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B69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E26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C72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1A0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49B7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258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5762A78E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CADC" w14:textId="347FF4D9" w:rsidR="00953F17" w:rsidRDefault="3A6ECCC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American Cancer Society Prostate Cancer Survivorship Care Guidelines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41D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5F93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EB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84.4 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7C8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72F4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D36F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A35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85.8 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96F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4DAC24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2C86A" w14:textId="64F47B9C" w:rsidR="00953F17" w:rsidRDefault="62FE0C0B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Guidance for the Assessment and Management of Prostate Cancer Treatment-Induced Bone Loss: A Consensus Position Statement from an Expert Group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53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F7A3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D65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B3B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76.0 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9E7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702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05F7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A94F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DD6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FDFCAE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C4CC0" w14:textId="0E88DF34" w:rsidR="00953F17" w:rsidRDefault="4CB1105A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Lifestyle Guidelines for Managing Adverse Effects on Bone Health and Body Composition in Men Treated with Androgen Deprivation Therapy for Prostate Cancer: An Update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54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409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078D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9881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75B2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013B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0868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D45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FEBA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E490FE1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87921" w14:textId="16E0B9FD" w:rsidR="00953F17" w:rsidRDefault="3323610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French AFU Cancer Committee Guidelines - Update 2022-2024: Prostate Cancer - Management of Metastatic Disease and Castration Resistance.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55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BC61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8D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86BA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78DE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CEB9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56.3 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774C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887A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81D4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81EB24E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2FCCA" w14:textId="2F732C0B" w:rsidR="00953F17" w:rsidRDefault="2DC028F9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Bone and Metabolic Health in Patients with Non-Metastatic Prostate Cancer Who Are Receiving Androgen Deprivation Therapy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80E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5647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72.2 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5D7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79.2 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DF91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FD9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2449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8B0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AC0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E966B1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0B44" w14:textId="20BF631C" w:rsidR="00953F17" w:rsidRDefault="2032037D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Prostate Cancer: ESMO Clinical Practice Guidelines for Diagnosis, Treatment and Follow-Up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57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BFAA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AE4E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59C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78.1 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CAAF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9BC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DC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6881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6F1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7A93160D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92F1" w14:textId="608155B2" w:rsidR="00953F17" w:rsidRDefault="0EF6B7E6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Management of Patients with Advanced Prostate Cancer: Recommendations of the St Gallen Advanced Prostate Cancer Consensus Conference 2015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FF5A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EDF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878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232B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0986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3A64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E92C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119A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4DD2A4A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FBDD" w14:textId="4E5BDF8B" w:rsidR="00953F17" w:rsidRDefault="5FF7349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The 2015 CUA-CUOG Guidelines for the Management of Castration-Resistant Prostate Cancer (CRPC) 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59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32F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7F3F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77.8 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61F9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E92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B5C5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1D03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DB5C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29CF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367EAB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C4250" w14:textId="0EF2B13D" w:rsidR="00953F17" w:rsidRDefault="1B9E85E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EAU-ESTRO-SIOG Guidelines on Prostate Cancer. Part II: Treatment of Relapsing, Metastatic, and Castration-Resistant Prostate Cancer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60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8B0F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A76A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7E7D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78.1 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551C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048F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60.4 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C129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AD3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BAF7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EE41B0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FB1A" w14:textId="33760BF2" w:rsidR="00953F17" w:rsidRDefault="79FAF699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2022 UPDATE: Canadian Urological Association - Canadian Urologic Oncology Group guideline on metastatic castration-naive and castration-sensitive prostate cancer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61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1CEE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ACE6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390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3A61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B7A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1A8C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51CA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399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36CAE12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5B20" w14:textId="1BAE3CD5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The prevention of fragility fractures in patients with non-metastatic prostate cancer: a position statement by the international osteoporosis foundation</w:t>
            </w:r>
            <w:r w:rsidR="720CA4E8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  <w:r w:rsidR="720CA4E8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AA43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A46F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570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74.0 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BDE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F5C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B47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B765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81FD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A6CEC0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C79F" w14:textId="4F21E9E5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Background for the proposal of SIOG guidelines for the management of prostate cancer in senior adults</w:t>
            </w:r>
            <w:r w:rsidR="3110C44C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  <w:r w:rsidR="3110C44C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5D25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1FB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11A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4EF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C54F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58.3 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3865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2A3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81.7 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864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A1710F6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86B6A" w14:textId="6396066E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2022 Canadian Urological Association (CUA)-Canadian Uro Oncology Group (CUOG) Guideline: Management of Castration-Resistant Prostate Cancer (CRPC)</w:t>
            </w:r>
            <w:r w:rsidR="6962EBB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  <w:r w:rsidR="6962EBB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DA04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2E7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287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79C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B579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58.3 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CC1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25E5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9CF0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5C7E9FC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27EA9" w14:textId="4217C44A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Prostate Cancer: ESMO Consensus Conference Guidelines 2012</w:t>
            </w:r>
            <w:r w:rsidR="1F6CC10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  <w:r w:rsidR="1F6CC10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1CA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2AEF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E909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74.0 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FBC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AB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56.3 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50B0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475E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B89B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86A6928" w14:textId="77777777" w:rsidTr="635F711C">
        <w:trPr>
          <w:trHeight w:val="408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5340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  <w:t>Bone Metastases Guidelines</w:t>
            </w:r>
          </w:p>
        </w:tc>
      </w:tr>
      <w:tr w:rsidR="00953F17" w14:paraId="6696391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0F13C" w14:textId="004C1D7F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External Beam Radiation Therapy for Palliation of Symptomatic Bone Metastases: An ASTRO Clinical Practice Guideline</w:t>
            </w:r>
            <w:r w:rsidR="023CA8E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  <w:r w:rsidR="023CA8E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357A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D95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F23D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9F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84B3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9A3B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B7D0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92B1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9B4C8C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9023F" w14:textId="26BD3E46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Exercise Recommendation for People </w:t>
            </w:r>
            <w:proofErr w:type="gramStart"/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proofErr w:type="gramEnd"/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Bone Metastases: Expert Consensus for Health Care Providers and Exercise Professionals</w:t>
            </w:r>
            <w:r w:rsidR="39BB3E08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  <w:r w:rsidR="39BB3E08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7EB0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319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B46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78.1 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52DA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670F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9484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7296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D460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05769FBA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1C6E" w14:textId="6D6C8A9F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Bone health in cancer: ESMO Clinical Practice Guidelines</w:t>
            </w:r>
            <w:r w:rsidR="6F04B2E1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  <w:r w:rsidR="6F04B2E1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880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7FC6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72.2 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24D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79.2 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CD4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FF9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9AD3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697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569B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7F8DE039" w14:textId="77777777" w:rsidTr="635F711C">
        <w:trPr>
          <w:trHeight w:val="476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A662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  <w:t>Bone Cancer Guidelines</w:t>
            </w:r>
          </w:p>
        </w:tc>
      </w:tr>
      <w:tr w:rsidR="00953F17" w14:paraId="2EA620F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FE6CB" w14:textId="191369CE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Bone Sarcomas: ESMO–PaedCan–EURACAN Clinical Practice Guidelines for Diagnosis, Treatment, and Follow-up</w:t>
            </w:r>
            <w:r w:rsidR="584C67CD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  <w:r w:rsidR="584C67CD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5A56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42D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8AA8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CCB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392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4E2A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92DC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E837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7FC0044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123A" w14:textId="1C5205FB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UK Guidelines for the Management of Bone Sarcomas</w:t>
            </w:r>
            <w:r w:rsidR="6DA91326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  <w:r w:rsidR="6DA91326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1B2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1959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86.1 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51B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72.9 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0ACF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F38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1DF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DAFD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EDC2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5C734153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0DDB" w14:textId="76017AEB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Malignant Bone Tumours (Other than Ewing’s): Clinical Practice Guidelines for Diagnosis, Treatment, and Follow-Up by Spanish Group for Research on Sarcomas (GEIS)</w:t>
            </w:r>
            <w:r w:rsidR="160A940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  <w:r w:rsidR="160A940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02EB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4B5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853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906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F3C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60.4 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4AE6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4479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3ED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55C5A46" w14:textId="77777777" w:rsidTr="635F711C">
        <w:trPr>
          <w:trHeight w:val="420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E061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  <w:t>Multiple Myeloma Guidelines</w:t>
            </w:r>
          </w:p>
        </w:tc>
      </w:tr>
      <w:tr w:rsidR="00953F17" w14:paraId="47CCC2BA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18EE" w14:textId="5F8D4BEA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Role of Bone-Modifying Agents in Multiple Myeloma: American Society of Clinical Oncology Clinical Practice Guideline Update</w:t>
            </w:r>
            <w:r w:rsidR="44BADB45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  <w:r w:rsidR="44BADB45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932B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B383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7CC5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85.4 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6772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D55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E04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67F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76C9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92C5A3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74180" w14:textId="678E4E3D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American Society of Clinical Oncology Clinical Practice Guidelines: The Role of Bisphosphonates in Multiple Myeloma</w:t>
            </w:r>
            <w:r w:rsidR="1FB4A52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[7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1FB4A52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7C8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D32C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2AC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2AFC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CB9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67A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7C9A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F535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AF50B2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DB943" w14:textId="484E3BCE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European Myeloma Network Guidelines for the Management of Multiple Myeloma-Related Complications</w:t>
            </w:r>
            <w:r w:rsidR="2A23C4D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[7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2A23C4D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0B8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A2E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2FFE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A49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A421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67B9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41A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83.9 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F802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8B94775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919D" w14:textId="06398828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International Myeloma Working Group Recommendations for the Treatment of Multiple Myeloma–Related Bone Disease</w:t>
            </w:r>
            <w:r w:rsidR="554E418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[7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554E4180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4019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DB14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5FBA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76.0 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1FB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CA0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A70B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49C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A96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635F711C" w14:paraId="61FBB726" w14:textId="77777777" w:rsidTr="635F711C">
        <w:trPr>
          <w:trHeight w:val="300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78C03" w14:textId="1CF88C2F" w:rsidR="353156A9" w:rsidRDefault="353156A9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Thyroid Cancer Guidelines</w:t>
            </w:r>
          </w:p>
        </w:tc>
      </w:tr>
      <w:tr w:rsidR="635F711C" w14:paraId="27F66C51" w14:textId="77777777" w:rsidTr="635F711C">
        <w:trPr>
          <w:trHeight w:val="300"/>
        </w:trPr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90E9" w14:textId="0D69FE4C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Guidelines for the Management of Thyroid Cancer [7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8DC4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010CD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907F8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05FEA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0AD1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79EE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BBF5E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551A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High </w:t>
            </w:r>
          </w:p>
        </w:tc>
      </w:tr>
      <w:tr w:rsidR="002779F7" w:rsidRPr="002779F7" w14:paraId="07A44A25" w14:textId="77777777" w:rsidTr="635F711C">
        <w:trPr>
          <w:trHeight w:val="300"/>
        </w:trPr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5FBAB" w14:textId="448F1FFD" w:rsidR="00CD4F31" w:rsidRPr="002779F7" w:rsidRDefault="00CD4F31" w:rsidP="00CD4F31">
            <w:pPr>
              <w:pStyle w:val="Heading1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American Thyroid Association Guidelines for Management of Patients with Anaplastic Thyroid Cancer</w:t>
            </w:r>
            <w:r w:rsidR="00744BF6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</w:t>
            </w:r>
            <w:r w:rsidR="002779F7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  <w:r w:rsidR="00744BF6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</w:p>
          <w:p w14:paraId="55AF888C" w14:textId="77777777" w:rsidR="00CD4F31" w:rsidRPr="002779F7" w:rsidRDefault="00CD4F3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4816" w14:textId="5CBA4D02" w:rsidR="00CD4F31" w:rsidRPr="002779F7" w:rsidRDefault="00CD4F3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97.2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85D0A" w14:textId="62A9CEAA" w:rsidR="00CD4F31" w:rsidRPr="002779F7" w:rsidRDefault="00CD4F3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97.2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63BCD" w14:textId="0E055571" w:rsidR="00CD4F31" w:rsidRPr="002779F7" w:rsidRDefault="00FF1B4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80.2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E1EC" w14:textId="06D95C9C" w:rsidR="00CD4F31" w:rsidRPr="002779F7" w:rsidRDefault="00FF1B4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7C1EC" w14:textId="20334373" w:rsidR="00CD4F31" w:rsidRPr="002779F7" w:rsidRDefault="000352D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56.3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7547F" w14:textId="169165B7" w:rsidR="00CD4F31" w:rsidRPr="002779F7" w:rsidRDefault="000352D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7D34" w14:textId="4DD95BC6" w:rsidR="00CD4F31" w:rsidRPr="002779F7" w:rsidRDefault="003F18D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88.5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D1179" w14:textId="4D300BE3" w:rsidR="00CD4F31" w:rsidRPr="002779F7" w:rsidRDefault="003F18D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High </w:t>
            </w:r>
          </w:p>
        </w:tc>
      </w:tr>
      <w:tr w:rsidR="002779F7" w:rsidRPr="002779F7" w14:paraId="39CADABB" w14:textId="77777777" w:rsidTr="635F711C">
        <w:trPr>
          <w:trHeight w:val="300"/>
        </w:trPr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2548" w14:textId="73E87ECD" w:rsidR="00CD4F31" w:rsidRPr="002779F7" w:rsidRDefault="00CD4F31" w:rsidP="00CD4F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American Thyroid Association Management Guidelines for Adult Patients with Thyroid Nodules and Differentiated Thyroid Cancer: The American Thyroid Association Guidelines Task Force on </w:t>
            </w:r>
            <w:r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Thyroid Nodules and Differentiated Thyroid Cancer</w:t>
            </w:r>
            <w:r w:rsidR="00744BF6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</w:t>
            </w:r>
            <w:r w:rsidR="002779F7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  <w:r w:rsidR="00744BF6" w:rsidRPr="00277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</w:p>
          <w:p w14:paraId="04CC9E5B" w14:textId="77777777" w:rsidR="00CD4F31" w:rsidRPr="002779F7" w:rsidRDefault="00CD4F3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3C560" w14:textId="452DB001" w:rsidR="00CD4F31" w:rsidRPr="002779F7" w:rsidRDefault="00CD4F31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7D62F" w14:textId="08FA8A1F" w:rsidR="00CD4F31" w:rsidRPr="002779F7" w:rsidRDefault="00FF1B4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86.1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0888A" w14:textId="02189C3F" w:rsidR="00CD4F31" w:rsidRPr="002779F7" w:rsidRDefault="00FF1B4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82.3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2EA34" w14:textId="0769BFA8" w:rsidR="00CD4F31" w:rsidRPr="002779F7" w:rsidRDefault="00FF1B4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F9F16" w14:textId="61DB0359" w:rsidR="00CD4F31" w:rsidRPr="002779F7" w:rsidRDefault="000352D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41.7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F2CD" w14:textId="74975E72" w:rsidR="00CD4F31" w:rsidRPr="002779F7" w:rsidRDefault="000352D8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95.8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53DA" w14:textId="29B2EEC5" w:rsidR="00CD4F31" w:rsidRPr="002779F7" w:rsidRDefault="003F18D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84.3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6A093" w14:textId="458E13D1" w:rsidR="00CD4F31" w:rsidRPr="002779F7" w:rsidRDefault="003F18D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779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High </w:t>
            </w:r>
          </w:p>
        </w:tc>
      </w:tr>
      <w:tr w:rsidR="635F711C" w14:paraId="4AE3CE8E" w14:textId="77777777" w:rsidTr="635F711C">
        <w:trPr>
          <w:trHeight w:val="300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F2926" w14:textId="0F3F4112" w:rsidR="3C858334" w:rsidRDefault="3C858334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Gastric Cancer Guidelines</w:t>
            </w:r>
          </w:p>
        </w:tc>
      </w:tr>
      <w:tr w:rsidR="635F711C" w14:paraId="266F0758" w14:textId="77777777" w:rsidTr="635F711C">
        <w:trPr>
          <w:trHeight w:val="300"/>
        </w:trPr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ED612" w14:textId="6E89D70F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Korean Practice Guidelines for Gastric Cancer 2022: An Evidence-based, Multidisciplinary Approach 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32EC3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86323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77.8 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858DB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C4BB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E8B4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0E0C1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D9FBA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55F7" w14:textId="77777777" w:rsidR="635F711C" w:rsidRDefault="635F711C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3F17" w14:paraId="312396B5" w14:textId="77777777" w:rsidTr="635F711C">
        <w:trPr>
          <w:trHeight w:val="500"/>
        </w:trPr>
        <w:tc>
          <w:tcPr>
            <w:tcW w:w="15388" w:type="dxa"/>
            <w:gridSpan w:val="9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1D15" w14:textId="2AC44E5C" w:rsidR="00953F17" w:rsidRDefault="2EFFB11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color w:val="242424"/>
                <w:sz w:val="20"/>
                <w:szCs w:val="20"/>
                <w:u w:val="single"/>
              </w:rPr>
              <w:t>General Guidelines or Guidelines Involving Multiple Cancer Types</w:t>
            </w:r>
          </w:p>
        </w:tc>
      </w:tr>
      <w:tr w:rsidR="00953F17" w14:paraId="1EB84140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5CB2" w14:textId="041D4E61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Management of Osteoporosis in Survivors of Adult Cancers </w:t>
            </w:r>
            <w:proofErr w:type="gramStart"/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proofErr w:type="gramEnd"/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Nonmetastatic Disease: ASCO Clinical Practice Guideline</w:t>
            </w:r>
            <w:r w:rsidR="5C24725C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  <w:r w:rsidR="5C24725C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E25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82C7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ED8C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F145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B795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CA1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31B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92.3 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E42D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7BC0051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FEBB" w14:textId="1A3B83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SEOM Clinical Guideline for Bone Metastases from Solid Tumours</w:t>
            </w:r>
            <w:r w:rsidR="79BFEE8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  <w:r w:rsidR="79BFEE87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14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CC5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407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99D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C507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838D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8F51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87.4 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046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6EBD8D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5194A" w14:textId="28360F8D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Exercise Guidelines for Cancer Survivors: Consensus Statement from International Multidisciplinary Roundtable</w:t>
            </w:r>
            <w:r w:rsidR="7432E94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  <w:r w:rsidR="7432E94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7FB0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4E5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C79D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86.5 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AF31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C85D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60.4 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0DD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689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86.7 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1677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High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11BD07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A6D05" w14:textId="5C5848A2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AAOS Clinical Practice Guideline Summary: Treatment of Metastatic Carcinoma and Myeloma of the Femur</w:t>
            </w:r>
            <w:r w:rsidR="3CC325FF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</w:t>
            </w:r>
            <w:r w:rsidR="3CC325FF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54C8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DC1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77.8 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C0F2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6EB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CEA0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58.3 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B57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475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85.0 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57A9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24ECB0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A0DA5" w14:textId="7A0245D2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Management Manual for Cancer Treatment-Induced Bone Loss (CTIBL): Position Statement of the JSBMR</w:t>
            </w:r>
            <w:r w:rsidR="0BC5B1CB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</w:t>
            </w:r>
            <w:r w:rsidR="0BC5B1CB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A62A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7C09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345F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74.0 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076B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1DB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C3AD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A34E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84.2 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B6F7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7F23D917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370A" w14:textId="48ABB69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NCCN Task Force Report: Bone Health in Cancer Care</w:t>
            </w:r>
            <w:r w:rsidR="1BD0CAD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</w:t>
            </w:r>
            <w:r w:rsidR="1BD0CAD4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C76D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8DC4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10B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370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1AE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64.6 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DAF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88D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83.6 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BCE3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69B262A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4CE1" w14:textId="49820490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Diagnosis and Treatment of Bone Metastasis: Comprehensive Guideline of the Japanese Society of Medical Oncology</w:t>
            </w:r>
            <w:r w:rsidR="54F9B62E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  <w:r w:rsidR="54F9B62E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E217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AD63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80.6 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997C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0FEB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8A6A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60.4 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EA12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C72E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82.8 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0006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4339400C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D114" w14:textId="6B6D2D23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Bone Health in the Elderly Cancer Patient: A SIOG Position Paper</w:t>
            </w:r>
            <w:r w:rsidR="293FEF6E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  <w:r w:rsidR="293FEF6E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D277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1624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72.2 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470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74.0 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EE39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94.4 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B7A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66.7 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4F9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B2A5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82.5 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36E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649B5239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AE24E" w14:textId="4B2AA565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Cancer-Associated Bone Disease</w:t>
            </w:r>
            <w:r w:rsidR="462E75D5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[</w:t>
            </w:r>
            <w:r w:rsidR="00277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  <w:r w:rsidR="462E75D5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8AE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88.9 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6F9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480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77.1 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042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91.7 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F2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62.5 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7CB1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6167A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81.8 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9353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1AFAA26A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DF5C" w14:textId="0376BA6B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Clinical Guidelines for the Prevention and Treatment of Osteoporosis: Summary Statements and Recommendations from the Italian Society for Orthopaedics and Traumatology</w:t>
            </w:r>
            <w:r w:rsidR="57430476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57430476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89</w:t>
            </w:r>
            <w:r w:rsidR="57430476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  <w:r w:rsidR="57430476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69BFE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B5BB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77.8 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E38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83.3 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C70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28B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72.9 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9970D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4B6FF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87.8 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3658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7032934B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58B2F" w14:textId="46417588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EAA Clinical Guideline on Management of Bone Health in the Andrological Outpatient Clinic</w:t>
            </w:r>
            <w:r w:rsidR="45555CBD"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45555CBD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</w:t>
            </w:r>
            <w:r w:rsidR="002779F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90</w:t>
            </w:r>
            <w:r w:rsidR="45555CBD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  <w:r w:rsidR="45555CBD" w:rsidRPr="635F71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 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9594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97.2 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2AC0B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75.0 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0520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79.2 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48261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100.0 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9056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70.8 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02FE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95.8 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B5429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86.3 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8AA85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Moderate</w:t>
            </w:r>
            <w:r w:rsidRPr="635F711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953F17" w14:paraId="28BA57FE" w14:textId="77777777" w:rsidTr="635F711C">
        <w:tc>
          <w:tcPr>
            <w:tcW w:w="367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49A26C" w14:textId="77777777" w:rsidR="00953F17" w:rsidRDefault="0544A190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635F71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Mean</w:t>
            </w:r>
          </w:p>
        </w:tc>
        <w:tc>
          <w:tcPr>
            <w:tcW w:w="184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904F1" w14:textId="7C9F6A25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</w:t>
            </w:r>
            <w:r w:rsidR="00111C47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F671E" w14:textId="7AA53C05" w:rsidR="00953F17" w:rsidRDefault="00111C47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Style w:val="eop"/>
              </w:rPr>
              <w:t>0.3</w:t>
            </w:r>
            <w:r w:rsidR="0544A190"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D3D45F" w14:textId="77777777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80.2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871E9F" w14:textId="04EDE081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94.</w:t>
            </w:r>
            <w:r w:rsidR="00111C47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AE98FE" w14:textId="52CCD1E4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65.</w:t>
            </w:r>
            <w:r w:rsidR="00111C47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30434E" w14:textId="1EAAD664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</w:t>
            </w:r>
            <w:r w:rsidR="00111C47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4" w:space="0" w:color="000000" w:themeColor="text1"/>
              <w:right w:val="single" w:sz="8" w:space="0" w:color="D0CECE" w:themeColor="background2" w:themeShade="E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92EAEB" w14:textId="6E5CE91E" w:rsidR="00953F17" w:rsidRDefault="0544A190" w:rsidP="635F711C">
            <w:pPr>
              <w:spacing w:after="0"/>
              <w:jc w:val="center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635F711C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85.</w:t>
            </w:r>
            <w:r w:rsidR="00111C47">
              <w:rPr>
                <w:rStyle w:val="normaltextrun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635F711C">
              <w:rPr>
                <w:rStyle w:val="eop"/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9" w:type="dxa"/>
            <w:tcBorders>
              <w:top w:val="single" w:sz="8" w:space="0" w:color="E7E6E6" w:themeColor="background2"/>
              <w:left w:val="single" w:sz="8" w:space="0" w:color="D0CECE" w:themeColor="background2" w:themeShade="E6"/>
              <w:bottom w:val="single" w:sz="2" w:space="0" w:color="FFFFFF" w:themeColor="background1"/>
              <w:right w:val="single" w:sz="2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AFC36" w14:textId="77777777" w:rsidR="00953F17" w:rsidRDefault="00953F17" w:rsidP="635F71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14:paraId="0FCE83D8" w14:textId="77777777" w:rsidR="00953F17" w:rsidRDefault="00953F17" w:rsidP="00953F17"/>
    <w:p w14:paraId="6895119D" w14:textId="77777777" w:rsidR="00953F17" w:rsidRDefault="00953F17"/>
    <w:p w14:paraId="7EEEDB7E" w14:textId="195C6668" w:rsidR="008507DB" w:rsidRDefault="008507DB" w:rsidP="008507DB">
      <w:r>
        <w:t xml:space="preserve">Table </w:t>
      </w:r>
      <w:r>
        <w:t>3b</w:t>
      </w:r>
      <w:r>
        <w:t xml:space="preserve">. Raw summed ratings provided by </w:t>
      </w:r>
      <w:r w:rsidR="008E0E3B">
        <w:t>two</w:t>
      </w:r>
      <w:r>
        <w:t xml:space="preserve"> reviewer</w:t>
      </w:r>
      <w:r w:rsidR="008E0E3B">
        <w:t>s</w:t>
      </w:r>
      <w:r>
        <w:t xml:space="preserve"> for the six Agree II domains.</w:t>
      </w:r>
    </w:p>
    <w:tbl>
      <w:tblPr>
        <w:tblW w:w="9528" w:type="dxa"/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507DB" w:rsidRPr="00602934" w14:paraId="5AFEE79E" w14:textId="77777777" w:rsidTr="00F222DF">
        <w:trPr>
          <w:trHeight w:val="300"/>
        </w:trPr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770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D1</w:t>
            </w:r>
          </w:p>
          <w:p w14:paraId="174C19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811A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D1</w:t>
            </w:r>
          </w:p>
          <w:p w14:paraId="3CD4EE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48E7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D2</w:t>
            </w:r>
          </w:p>
          <w:p w14:paraId="286ACA4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F6F4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D2</w:t>
            </w:r>
          </w:p>
          <w:p w14:paraId="4DBC839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1AD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D3</w:t>
            </w:r>
          </w:p>
          <w:p w14:paraId="4538BE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EFCE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D3</w:t>
            </w:r>
          </w:p>
          <w:p w14:paraId="06CAF9A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7672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D4</w:t>
            </w:r>
          </w:p>
          <w:p w14:paraId="699D69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CE3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D4</w:t>
            </w:r>
          </w:p>
          <w:p w14:paraId="7319E2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054B0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D5</w:t>
            </w:r>
          </w:p>
          <w:p w14:paraId="3D1D38F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F569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D5</w:t>
            </w:r>
          </w:p>
          <w:p w14:paraId="3E4A9A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1CD04A" w14:textId="77777777" w:rsidR="008507DB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D6</w:t>
            </w:r>
          </w:p>
          <w:p w14:paraId="1F6F80E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AFCA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D6</w:t>
            </w:r>
          </w:p>
          <w:p w14:paraId="59FD06E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Rater2</w:t>
            </w:r>
          </w:p>
        </w:tc>
      </w:tr>
      <w:tr w:rsidR="008507DB" w:rsidRPr="00602934" w14:paraId="0CF687D1" w14:textId="77777777" w:rsidTr="00F222DF">
        <w:trPr>
          <w:trHeight w:val="300"/>
        </w:trPr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837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821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6A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3B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C4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E8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68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0D8E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1B4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A5F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D42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65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7D66DFE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084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9F0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CC8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2FB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47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8E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41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5B2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0B0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73B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3D6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18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BAD7183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536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1A0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500A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96C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524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2C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6B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CB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EF0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16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170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57C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58CC8C2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85B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3A4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FD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8E7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A93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A23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B56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FF4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F0C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EB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775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3D3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2DAB09C8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21C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355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36D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61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1EFD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B23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07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55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2FE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B5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C83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E7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2407CA52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30E2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E4F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0E4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BFB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6D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4E4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B05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DC6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A7E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5E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052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C10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18BBAD8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960E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C28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EA6D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1C6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F35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D6E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194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D64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CD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CB5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8FD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E1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769C8011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C5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28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3F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3EF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93B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D0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417C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2AF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9D4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5CB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350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9DB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0533E88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F4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20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913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A9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462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A68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F76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8A23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C79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59A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D2FE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1DB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21563467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DCC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DF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67A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66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241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0B8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01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95A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277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4E8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67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DE9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5EE101E7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1C5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6BE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546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9F71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268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1E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FE8C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2999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70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A42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4F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DB3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CEE40E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D49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286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FF6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52F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605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DEC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7EEE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257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76D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CE8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E24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20A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15CF9B22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5A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3FC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51F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46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61B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3B9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14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536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4A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77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E91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BE2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7492303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221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DC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40B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C56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1C9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D53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9B5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525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96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0C8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416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3FC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773F5A7F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F7A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285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82A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DDF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34D7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083B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B1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2A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D6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91E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CC7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16B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4B83ED2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A92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2AE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5D3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18D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C9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81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075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A0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DCD6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F104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AF1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C94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4F3C692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E7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610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D14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C61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368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088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4E37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814A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B6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9EC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F9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E987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39FA8B4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8E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563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AEF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AA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CE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45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526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97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71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B9E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DDB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257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7B53BE6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8B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EE8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3E1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9C6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DCC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E70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F9D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A86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A9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101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D8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501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5253E7A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324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20D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B24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008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F9D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E8AF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6FC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580F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D95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26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21E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AE6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28E53817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8E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AA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373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07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0DB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E2C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A6B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6E3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E77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452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A8B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28F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6B48938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923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02D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1C6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4FF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70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5FA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DC4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CD5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0B4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3F2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54C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CE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63AA6448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16B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31F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B5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C87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64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81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DA0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8E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6D7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EF8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6051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823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27065BC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FD3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FA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7B7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39C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42B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1B8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FAF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7F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99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275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B6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3BC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CC54382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69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EC3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B2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12AE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97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13F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B5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9A3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62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75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B2D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AD9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288B6F0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C14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55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424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895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B5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B34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A119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B30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5BE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7B8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658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89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B3298BA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0F9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648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8A3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9E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D1A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42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3C6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553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EB0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1CB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DE9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2A9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77D6E79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08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lastRenderedPageBreak/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931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99C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28E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EAB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CB7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5AE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C1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C3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A2C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20A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872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7BC94AA9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37B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64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3B2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706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125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658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879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D2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04A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85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83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B86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34F3F55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251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9CC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77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72C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448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97C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8C7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31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7833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328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B6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5A1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A0464FE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D4F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6FA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7A8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B33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B3E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488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87C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D45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729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C1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8E5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995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6700CB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46C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213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B5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71B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46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13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BAF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93D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6D3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87F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A07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FD5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ED8D4B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542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229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17C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E85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304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0A3E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CB0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B6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A285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8AB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29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95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1FA54D18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5E1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390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810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B79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52C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587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A15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0FF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8E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F44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B6B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2E1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0716901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B626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B6E6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1C7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D4A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046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A9C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265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B88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8E0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4F8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BA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CB5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F09F23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5A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86C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F314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3028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FD3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AF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7C3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3EA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38C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30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AC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E51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150A55A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AE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5DC5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1A4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B8E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D0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536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FA6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D11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9C4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2DF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2B3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1E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2ECF892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88F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AE55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2FF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D56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C97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577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339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0D1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FC7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2B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F2E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2F1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5AC1612A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EA1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EB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76A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40D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CBC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704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201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84F0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814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7FF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03E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0531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EC011A3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7C1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9DE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8F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64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612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D2B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624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54C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09F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3BD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E7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45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1705FCDF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837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7C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54D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801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DC5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382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ED5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40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404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28C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227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265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B82B744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ABC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2CE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BA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8B7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170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08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D011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385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B7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5FC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C83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94D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77F9F09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A56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A03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D18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957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CE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BD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04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1B2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88E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87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C57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01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A3C19D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84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021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BC0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3E3F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38D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A6A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91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271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21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E9C2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9745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DDD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A339A56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FE1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904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56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847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CCB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F3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DB3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ABB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F6F8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74A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EAE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AD2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15FEDC3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BCC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92A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375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641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A65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54B5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78D9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EA20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BDD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74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A9A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216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6F09CAA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BAA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C256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DB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CD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A77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6A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80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78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99E3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CA3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88F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E4D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6A92386A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0F5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31A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BF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2CF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6C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C48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42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23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66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05C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05F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E0A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893D0AF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1AF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60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A22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BB2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C2D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272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628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C0F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DA69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65F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DB6E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C32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AECFC5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A1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0E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C5D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679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560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98D7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559B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0680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3892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178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3E2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7EB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10BF5F5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79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A30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F02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0A0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A7E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341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67B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E61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338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E7A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5D5C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004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F229F34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35C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AF3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ADD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2CE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A5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4AEA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94C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D0F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2CB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21C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8D9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A4B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B62736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6A8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9DD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5BB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D1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C5E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4C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196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0F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0FE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14D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5D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8FB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18E69E6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2B25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00DE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BC4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A36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1F7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82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F45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0BC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54D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8A4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36E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76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C373079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530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C7D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B24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8E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2525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F3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C78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677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ABC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DAA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D45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285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33D2CCA0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8BD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8B6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D54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CD5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762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6CD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914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144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C1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5CA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446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76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083D56E4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DE2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872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DE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53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3E6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B6D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D2D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295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B5C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CF4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199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335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246A2C74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2AD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54E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9AE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807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01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251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C9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9CE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864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6AF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640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F42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474A7547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2A4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618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1DF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166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60B1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488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E137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E9D1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7C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87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E1A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FA9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6A7479F6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EE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9FAF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142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D82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49C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29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641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739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1CC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213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03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A4F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0754C74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C8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4E8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7969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2C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DC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0D1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A33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49F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822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9C7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23B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E0C8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332C22D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74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lastRenderedPageBreak/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777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CCE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58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B78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FF1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62D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35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87E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2BC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FA6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9A8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0EC57CC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0D8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178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C9A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4A7D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C85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4D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704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9B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AE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BCB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839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0DEF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BA2A1D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6F4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05F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265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13D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6A4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23D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1D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BD4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93F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839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000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6FF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277592D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391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7FC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6C2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0DF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436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804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6CE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7B6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264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781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10E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36A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4BDE236D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C9A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F8C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F67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0D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767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C7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993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0A15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D3A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9A1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37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80D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493ABC0E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E15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B12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0A3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EE1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2AE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2EF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CEE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8D3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698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0C93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3274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BDC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5F66BCBF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333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7B6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334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E7B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248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84A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9795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346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606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30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EE9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3238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0B4EFD5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C8E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ED6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7E0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BFA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E22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F21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327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C716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324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31B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75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309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12</w:t>
            </w:r>
          </w:p>
        </w:tc>
      </w:tr>
      <w:tr w:rsidR="008507DB" w:rsidRPr="00602934" w14:paraId="6F9F689B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B15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62B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FA3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E89E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F10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8E8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D97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3B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75E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7B4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5AD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A4B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602934" w14:paraId="5449394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F7D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FFB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602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8D41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EA74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36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640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A43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167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D0E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4192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773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3BA79261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28062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80F57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54996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8E352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9AC5A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9C99D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C78E1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A3349D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2265B9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940FD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31559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AE816A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</w:tr>
      <w:tr w:rsidR="008507DB" w:rsidRPr="00602934" w14:paraId="106B38D6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A76908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7530E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E29F7B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0D121F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7CD9F9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C2ED76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1CB710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A7A992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2107D3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3615EC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F3EAB5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7FF1C7" w14:textId="77777777" w:rsidR="008507DB" w:rsidRPr="00602934" w:rsidRDefault="008507DB" w:rsidP="00F222DF">
            <w:pPr>
              <w:spacing w:after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 w:rsidRPr="00602934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13</w:t>
            </w:r>
          </w:p>
        </w:tc>
      </w:tr>
      <w:tr w:rsidR="008507DB" w:rsidRPr="00313757" w14:paraId="0EBCA888" w14:textId="77777777" w:rsidTr="00F222DF">
        <w:trPr>
          <w:trHeight w:val="300"/>
        </w:trPr>
        <w:tc>
          <w:tcPr>
            <w:tcW w:w="9528" w:type="dxa"/>
            <w:gridSpan w:val="12"/>
            <w:tcBorders>
              <w:top w:val="nil"/>
              <w:left w:val="nil"/>
              <w:right w:val="nil"/>
            </w:tcBorders>
            <w:noWrap/>
          </w:tcPr>
          <w:p w14:paraId="7C701F8A" w14:textId="77777777" w:rsidR="008507DB" w:rsidRDefault="008507DB" w:rsidP="00F222DF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7476DB01" w14:textId="77777777" w:rsidR="008507DB" w:rsidRDefault="008507DB" w:rsidP="00F222DF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Average scores</w:t>
            </w:r>
          </w:p>
        </w:tc>
      </w:tr>
      <w:tr w:rsidR="008507DB" w:rsidRPr="00313757" w14:paraId="00949F6C" w14:textId="77777777" w:rsidTr="00F222DF">
        <w:trPr>
          <w:trHeight w:val="300"/>
        </w:trPr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769A23EC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12610F9F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30A0F60B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2A0BCF13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2213E5E5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70673B6F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436008D6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563FC8CA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6806DF6C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6AB61D9B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679AA84F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</w:tcPr>
          <w:p w14:paraId="3337D935" w14:textId="77777777" w:rsidR="008507DB" w:rsidRPr="00313757" w:rsidRDefault="008507DB" w:rsidP="00F222DF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313757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8507DB" w:rsidRPr="00602934" w14:paraId="0E263EB5" w14:textId="77777777" w:rsidTr="00F222DF">
        <w:trPr>
          <w:trHeight w:val="300"/>
        </w:trPr>
        <w:tc>
          <w:tcPr>
            <w:tcW w:w="952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B4AB8E" w14:textId="77777777" w:rsidR="008507DB" w:rsidRPr="00602934" w:rsidRDefault="008507DB" w:rsidP="00F222DF">
            <w:pPr>
              <w:spacing w:after="0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D1=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 xml:space="preserve">Scope and Purpose, 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D2=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 xml:space="preserve">Stakeholder Involvement, 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D3=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 xml:space="preserve">Rigour of Development, 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D4=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 xml:space="preserve">Clarity of Presentation, 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D5=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 xml:space="preserve">Applicability, 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D6=</w:t>
            </w:r>
            <w:r w:rsidRPr="00313757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</w:rPr>
              <w:t>Editorial Independence</w:t>
            </w:r>
          </w:p>
        </w:tc>
      </w:tr>
    </w:tbl>
    <w:p w14:paraId="2ACD34D9" w14:textId="1612695D" w:rsidR="2118C89A" w:rsidRDefault="2118C89A"/>
    <w:p w14:paraId="44CFE043" w14:textId="518371A3" w:rsidR="2118C89A" w:rsidRDefault="2118C89A"/>
    <w:p w14:paraId="63FA15B8" w14:textId="1DFDBD4C" w:rsidR="2118C89A" w:rsidRDefault="2118C89A" w:rsidP="2118C89A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4B007CF" w14:textId="77777777" w:rsidR="00953F17" w:rsidRDefault="00953F17"/>
    <w:p w14:paraId="62E54501" w14:textId="77777777" w:rsidR="00953F17" w:rsidRDefault="00953F17"/>
    <w:sectPr w:rsidR="00953F17" w:rsidSect="00953F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9151E"/>
    <w:multiLevelType w:val="multilevel"/>
    <w:tmpl w:val="BCC4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FA0BAC"/>
    <w:multiLevelType w:val="multilevel"/>
    <w:tmpl w:val="03D4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9F76E3"/>
    <w:multiLevelType w:val="multilevel"/>
    <w:tmpl w:val="5B46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FE086F"/>
    <w:multiLevelType w:val="multilevel"/>
    <w:tmpl w:val="86CC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986675"/>
    <w:multiLevelType w:val="multilevel"/>
    <w:tmpl w:val="CB6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506F97"/>
    <w:multiLevelType w:val="multilevel"/>
    <w:tmpl w:val="A1B63BA4"/>
    <w:lvl w:ilvl="0">
      <w:numFmt w:val="bullet"/>
      <w:lvlText w:val="-"/>
      <w:lvlJc w:val="left"/>
      <w:pPr>
        <w:ind w:left="72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F1F64D3"/>
    <w:multiLevelType w:val="multilevel"/>
    <w:tmpl w:val="64DC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D72B39"/>
    <w:multiLevelType w:val="multilevel"/>
    <w:tmpl w:val="D3AE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D709DA"/>
    <w:multiLevelType w:val="multilevel"/>
    <w:tmpl w:val="49E0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041D5E"/>
    <w:multiLevelType w:val="multilevel"/>
    <w:tmpl w:val="B8B2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796A18"/>
    <w:multiLevelType w:val="multilevel"/>
    <w:tmpl w:val="E6A0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070F7A"/>
    <w:multiLevelType w:val="multilevel"/>
    <w:tmpl w:val="FEBE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4528522">
    <w:abstractNumId w:val="4"/>
  </w:num>
  <w:num w:numId="2" w16cid:durableId="216429438">
    <w:abstractNumId w:val="1"/>
  </w:num>
  <w:num w:numId="3" w16cid:durableId="500197516">
    <w:abstractNumId w:val="2"/>
  </w:num>
  <w:num w:numId="4" w16cid:durableId="1459685321">
    <w:abstractNumId w:val="7"/>
  </w:num>
  <w:num w:numId="5" w16cid:durableId="252402821">
    <w:abstractNumId w:val="3"/>
  </w:num>
  <w:num w:numId="6" w16cid:durableId="972058754">
    <w:abstractNumId w:val="6"/>
  </w:num>
  <w:num w:numId="7" w16cid:durableId="1844280501">
    <w:abstractNumId w:val="0"/>
  </w:num>
  <w:num w:numId="8" w16cid:durableId="855265922">
    <w:abstractNumId w:val="10"/>
  </w:num>
  <w:num w:numId="9" w16cid:durableId="579340058">
    <w:abstractNumId w:val="11"/>
  </w:num>
  <w:num w:numId="10" w16cid:durableId="592278377">
    <w:abstractNumId w:val="8"/>
  </w:num>
  <w:num w:numId="11" w16cid:durableId="160200943">
    <w:abstractNumId w:val="9"/>
  </w:num>
  <w:num w:numId="12" w16cid:durableId="967585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17"/>
    <w:rsid w:val="00016057"/>
    <w:rsid w:val="000352D8"/>
    <w:rsid w:val="0003639A"/>
    <w:rsid w:val="000D2CD0"/>
    <w:rsid w:val="000F0D54"/>
    <w:rsid w:val="00111C47"/>
    <w:rsid w:val="00135170"/>
    <w:rsid w:val="00191F2A"/>
    <w:rsid w:val="001B53EE"/>
    <w:rsid w:val="00213797"/>
    <w:rsid w:val="00213C66"/>
    <w:rsid w:val="00246E62"/>
    <w:rsid w:val="002779F7"/>
    <w:rsid w:val="0029674D"/>
    <w:rsid w:val="002A6B43"/>
    <w:rsid w:val="002B1238"/>
    <w:rsid w:val="002C23AE"/>
    <w:rsid w:val="00322289"/>
    <w:rsid w:val="003C4CAE"/>
    <w:rsid w:val="003E710F"/>
    <w:rsid w:val="003F18D4"/>
    <w:rsid w:val="004E5D18"/>
    <w:rsid w:val="0056470F"/>
    <w:rsid w:val="0058418B"/>
    <w:rsid w:val="005C07E4"/>
    <w:rsid w:val="00620D98"/>
    <w:rsid w:val="00644E3D"/>
    <w:rsid w:val="006907DF"/>
    <w:rsid w:val="006939A7"/>
    <w:rsid w:val="0069701B"/>
    <w:rsid w:val="006C6472"/>
    <w:rsid w:val="006C7D89"/>
    <w:rsid w:val="0073218A"/>
    <w:rsid w:val="00744BF6"/>
    <w:rsid w:val="007C11FC"/>
    <w:rsid w:val="007D6511"/>
    <w:rsid w:val="008507DB"/>
    <w:rsid w:val="00876B2B"/>
    <w:rsid w:val="008A04F8"/>
    <w:rsid w:val="008E0E3B"/>
    <w:rsid w:val="008F072F"/>
    <w:rsid w:val="009305E1"/>
    <w:rsid w:val="0094544D"/>
    <w:rsid w:val="00953F17"/>
    <w:rsid w:val="00966374"/>
    <w:rsid w:val="00970AB3"/>
    <w:rsid w:val="00983258"/>
    <w:rsid w:val="00992F1A"/>
    <w:rsid w:val="009C34C3"/>
    <w:rsid w:val="00A42B18"/>
    <w:rsid w:val="00A533A0"/>
    <w:rsid w:val="00A95BC4"/>
    <w:rsid w:val="00AB4B12"/>
    <w:rsid w:val="00B17CBA"/>
    <w:rsid w:val="00B454C9"/>
    <w:rsid w:val="00B66BE9"/>
    <w:rsid w:val="00B70027"/>
    <w:rsid w:val="00B84E69"/>
    <w:rsid w:val="00B946EE"/>
    <w:rsid w:val="00BB12F7"/>
    <w:rsid w:val="00C54C33"/>
    <w:rsid w:val="00C6628C"/>
    <w:rsid w:val="00C95BB9"/>
    <w:rsid w:val="00CC43A8"/>
    <w:rsid w:val="00CC57C5"/>
    <w:rsid w:val="00CD4F31"/>
    <w:rsid w:val="00D36835"/>
    <w:rsid w:val="00D428AA"/>
    <w:rsid w:val="00D62B95"/>
    <w:rsid w:val="00DC770D"/>
    <w:rsid w:val="00DE305C"/>
    <w:rsid w:val="00E67E0C"/>
    <w:rsid w:val="00EA2F17"/>
    <w:rsid w:val="00EB1565"/>
    <w:rsid w:val="00EE2B77"/>
    <w:rsid w:val="00EE2D9C"/>
    <w:rsid w:val="00EE7782"/>
    <w:rsid w:val="00F62E22"/>
    <w:rsid w:val="00F9398B"/>
    <w:rsid w:val="00F96075"/>
    <w:rsid w:val="00FF1B44"/>
    <w:rsid w:val="01D7926E"/>
    <w:rsid w:val="0207DE43"/>
    <w:rsid w:val="023CA8E7"/>
    <w:rsid w:val="0381041D"/>
    <w:rsid w:val="03EBED96"/>
    <w:rsid w:val="0544A190"/>
    <w:rsid w:val="07FF37EA"/>
    <w:rsid w:val="08EDC539"/>
    <w:rsid w:val="0A3F24AE"/>
    <w:rsid w:val="0BC5B1CB"/>
    <w:rsid w:val="0DBBA249"/>
    <w:rsid w:val="0E89FAD1"/>
    <w:rsid w:val="0EF6B7E6"/>
    <w:rsid w:val="1067EF2D"/>
    <w:rsid w:val="15B28589"/>
    <w:rsid w:val="160A9400"/>
    <w:rsid w:val="1ADE9DEC"/>
    <w:rsid w:val="1B9E85E4"/>
    <w:rsid w:val="1BD0CAD4"/>
    <w:rsid w:val="1E506264"/>
    <w:rsid w:val="1F6CC107"/>
    <w:rsid w:val="1FB4A527"/>
    <w:rsid w:val="2032037D"/>
    <w:rsid w:val="2118C89A"/>
    <w:rsid w:val="242ACDBD"/>
    <w:rsid w:val="2532CF09"/>
    <w:rsid w:val="293FEF6E"/>
    <w:rsid w:val="298A613C"/>
    <w:rsid w:val="2A23C4D0"/>
    <w:rsid w:val="2DB53F47"/>
    <w:rsid w:val="2DC028F9"/>
    <w:rsid w:val="2EFFB110"/>
    <w:rsid w:val="3110C44C"/>
    <w:rsid w:val="311BDDB1"/>
    <w:rsid w:val="31224D0E"/>
    <w:rsid w:val="31B4285B"/>
    <w:rsid w:val="3323610C"/>
    <w:rsid w:val="34205F9D"/>
    <w:rsid w:val="353156A9"/>
    <w:rsid w:val="35CAAA5C"/>
    <w:rsid w:val="36047E0A"/>
    <w:rsid w:val="37296AFC"/>
    <w:rsid w:val="3899A1DC"/>
    <w:rsid w:val="389E7CC3"/>
    <w:rsid w:val="38F7F6AA"/>
    <w:rsid w:val="39BB3E08"/>
    <w:rsid w:val="3A6ECCC0"/>
    <w:rsid w:val="3BC398EB"/>
    <w:rsid w:val="3C858334"/>
    <w:rsid w:val="3CC325FF"/>
    <w:rsid w:val="3D44A96F"/>
    <w:rsid w:val="414AE64D"/>
    <w:rsid w:val="4281B04A"/>
    <w:rsid w:val="44BADB45"/>
    <w:rsid w:val="45555CBD"/>
    <w:rsid w:val="459ABBEA"/>
    <w:rsid w:val="45DED11F"/>
    <w:rsid w:val="462E75D5"/>
    <w:rsid w:val="463DC7C1"/>
    <w:rsid w:val="48E17D33"/>
    <w:rsid w:val="4B427BA6"/>
    <w:rsid w:val="4B519D0B"/>
    <w:rsid w:val="4CB1105A"/>
    <w:rsid w:val="4CE0EC04"/>
    <w:rsid w:val="4D8E2CF8"/>
    <w:rsid w:val="4FD62E08"/>
    <w:rsid w:val="50C0B73C"/>
    <w:rsid w:val="516121B1"/>
    <w:rsid w:val="542C80F4"/>
    <w:rsid w:val="54F9B62E"/>
    <w:rsid w:val="554E4180"/>
    <w:rsid w:val="555E3A76"/>
    <w:rsid w:val="559EF36D"/>
    <w:rsid w:val="568FBB63"/>
    <w:rsid w:val="57430476"/>
    <w:rsid w:val="57EFA092"/>
    <w:rsid w:val="580DE55D"/>
    <w:rsid w:val="584C67CD"/>
    <w:rsid w:val="599AF2F4"/>
    <w:rsid w:val="5A0CD5EF"/>
    <w:rsid w:val="5A0EEF28"/>
    <w:rsid w:val="5A747DEE"/>
    <w:rsid w:val="5C24725C"/>
    <w:rsid w:val="5CBE19E2"/>
    <w:rsid w:val="5FF73494"/>
    <w:rsid w:val="61314656"/>
    <w:rsid w:val="62FE0C0B"/>
    <w:rsid w:val="635F711C"/>
    <w:rsid w:val="636C790E"/>
    <w:rsid w:val="69208CAC"/>
    <w:rsid w:val="6962EBB4"/>
    <w:rsid w:val="6A45261F"/>
    <w:rsid w:val="6BC0BCFA"/>
    <w:rsid w:val="6BC393B8"/>
    <w:rsid w:val="6CA4CC75"/>
    <w:rsid w:val="6DA91326"/>
    <w:rsid w:val="6F04B2E1"/>
    <w:rsid w:val="6F62D153"/>
    <w:rsid w:val="709441F0"/>
    <w:rsid w:val="720CA4E8"/>
    <w:rsid w:val="7340D4FD"/>
    <w:rsid w:val="736358C5"/>
    <w:rsid w:val="7432E944"/>
    <w:rsid w:val="79BFEE87"/>
    <w:rsid w:val="79FAF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D0870"/>
  <w15:chartTrackingRefBased/>
  <w15:docId w15:val="{A20320FE-BD42-0349-BA19-CAB8F718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qFormat/>
    <w:rsid w:val="00953F17"/>
    <w:pPr>
      <w:suppressAutoHyphens/>
      <w:autoSpaceDN w:val="0"/>
      <w:spacing w:after="160"/>
    </w:pPr>
    <w:rPr>
      <w:rFonts w:ascii="Calibri" w:eastAsia="Calibri" w:hAnsi="Calibri" w:cs="Arial"/>
      <w:kern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53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53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53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F17"/>
    <w:rPr>
      <w:rFonts w:asciiTheme="majorHAnsi" w:eastAsiaTheme="majorEastAsia" w:hAnsiTheme="majorHAnsi" w:cstheme="majorBidi"/>
      <w:color w:val="2F5496" w:themeColor="accent1" w:themeShade="BF"/>
      <w:kern w:val="3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F17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F17"/>
    <w:rPr>
      <w:rFonts w:ascii="Calibri" w:eastAsiaTheme="majorEastAsia" w:hAnsi="Calibri" w:cstheme="majorBidi"/>
      <w:color w:val="2F5496" w:themeColor="accent1" w:themeShade="BF"/>
      <w:kern w:val="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F17"/>
    <w:rPr>
      <w:rFonts w:ascii="Calibri" w:eastAsiaTheme="majorEastAsia" w:hAnsi="Calibri" w:cstheme="majorBidi"/>
      <w:i/>
      <w:iCs/>
      <w:color w:val="2F5496" w:themeColor="accent1" w:themeShade="BF"/>
      <w:kern w:val="3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F17"/>
    <w:rPr>
      <w:rFonts w:ascii="Calibri" w:eastAsiaTheme="majorEastAsia" w:hAnsi="Calibri" w:cstheme="majorBidi"/>
      <w:color w:val="2F5496" w:themeColor="accent1" w:themeShade="BF"/>
      <w:kern w:val="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F17"/>
    <w:rPr>
      <w:rFonts w:ascii="Calibri" w:eastAsiaTheme="majorEastAsia" w:hAnsi="Calibri" w:cstheme="majorBidi"/>
      <w:i/>
      <w:iCs/>
      <w:color w:val="595959" w:themeColor="text1" w:themeTint="A6"/>
      <w:kern w:val="3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953F17"/>
    <w:rPr>
      <w:rFonts w:ascii="Calibri" w:eastAsiaTheme="majorEastAsia" w:hAnsi="Calibri" w:cstheme="majorBidi"/>
      <w:color w:val="595959" w:themeColor="text1" w:themeTint="A6"/>
      <w:kern w:val="3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953F17"/>
    <w:rPr>
      <w:rFonts w:ascii="Calibri" w:eastAsiaTheme="majorEastAsia" w:hAnsi="Calibri" w:cstheme="majorBidi"/>
      <w:i/>
      <w:iCs/>
      <w:color w:val="272727" w:themeColor="text1" w:themeTint="D8"/>
      <w:kern w:val="3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953F17"/>
    <w:rPr>
      <w:rFonts w:ascii="Calibri" w:eastAsiaTheme="majorEastAsia" w:hAnsi="Calibri" w:cstheme="majorBidi"/>
      <w:color w:val="272727" w:themeColor="text1" w:themeTint="D8"/>
      <w:kern w:val="3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53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F17"/>
    <w:rPr>
      <w:rFonts w:ascii="Calibri" w:eastAsiaTheme="majorEastAsia" w:hAnsi="Calibri" w:cstheme="majorBidi"/>
      <w:color w:val="595959" w:themeColor="text1" w:themeTint="A6"/>
      <w:spacing w:val="15"/>
      <w:kern w:val="3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F17"/>
    <w:rPr>
      <w:rFonts w:ascii="Calibri" w:eastAsia="Calibri" w:hAnsi="Calibri" w:cs="Arial"/>
      <w:i/>
      <w:iCs/>
      <w:color w:val="404040" w:themeColor="text1" w:themeTint="BF"/>
      <w:kern w:val="3"/>
      <w:sz w:val="22"/>
      <w:szCs w:val="22"/>
    </w:rPr>
  </w:style>
  <w:style w:type="paragraph" w:styleId="ListParagraph">
    <w:name w:val="List Paragraph"/>
    <w:basedOn w:val="Normal"/>
    <w:uiPriority w:val="34"/>
    <w:qFormat/>
    <w:rsid w:val="00953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F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F17"/>
    <w:rPr>
      <w:rFonts w:ascii="Calibri" w:eastAsia="Calibri" w:hAnsi="Calibri" w:cs="Arial"/>
      <w:i/>
      <w:iCs/>
      <w:color w:val="2F5496" w:themeColor="accent1" w:themeShade="BF"/>
      <w:kern w:val="3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953F17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rsid w:val="00953F17"/>
    <w:rPr>
      <w:sz w:val="16"/>
      <w:szCs w:val="16"/>
    </w:rPr>
  </w:style>
  <w:style w:type="paragraph" w:customStyle="1" w:styleId="paragraph">
    <w:name w:val="paragraph"/>
    <w:basedOn w:val="Normal"/>
    <w:rsid w:val="00953F17"/>
    <w:pPr>
      <w:spacing w:before="100" w:after="100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paragraph" w:styleId="Caption">
    <w:name w:val="caption"/>
    <w:basedOn w:val="Normal"/>
    <w:next w:val="Normal"/>
    <w:rsid w:val="00953F17"/>
    <w:pPr>
      <w:spacing w:after="200"/>
    </w:pPr>
    <w:rPr>
      <w:i/>
      <w:iCs/>
      <w:color w:val="44546A"/>
      <w:sz w:val="18"/>
      <w:szCs w:val="18"/>
    </w:rPr>
  </w:style>
  <w:style w:type="character" w:customStyle="1" w:styleId="normaltextrun">
    <w:name w:val="normaltextrun"/>
    <w:basedOn w:val="DefaultParagraphFont"/>
    <w:rsid w:val="00953F17"/>
  </w:style>
  <w:style w:type="character" w:customStyle="1" w:styleId="eop">
    <w:name w:val="eop"/>
    <w:basedOn w:val="DefaultParagraphFont"/>
    <w:rsid w:val="00953F17"/>
  </w:style>
  <w:style w:type="character" w:customStyle="1" w:styleId="wacimagecontainer">
    <w:name w:val="wacimagecontainer"/>
    <w:basedOn w:val="DefaultParagraphFont"/>
    <w:rsid w:val="00953F17"/>
  </w:style>
  <w:style w:type="paragraph" w:styleId="Header">
    <w:name w:val="header"/>
    <w:basedOn w:val="Normal"/>
    <w:link w:val="HeaderChar"/>
    <w:rsid w:val="00953F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53F17"/>
    <w:rPr>
      <w:rFonts w:ascii="Calibri" w:eastAsia="Calibri" w:hAnsi="Calibri" w:cs="Arial"/>
      <w:kern w:val="3"/>
      <w:sz w:val="22"/>
      <w:szCs w:val="22"/>
    </w:rPr>
  </w:style>
  <w:style w:type="paragraph" w:styleId="Footer">
    <w:name w:val="footer"/>
    <w:basedOn w:val="Normal"/>
    <w:link w:val="FooterChar"/>
    <w:rsid w:val="00953F1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953F17"/>
    <w:rPr>
      <w:rFonts w:ascii="Calibri" w:eastAsia="Calibri" w:hAnsi="Calibri" w:cs="Arial"/>
      <w:kern w:val="3"/>
      <w:sz w:val="22"/>
      <w:szCs w:val="22"/>
    </w:rPr>
  </w:style>
  <w:style w:type="character" w:styleId="Hyperlink">
    <w:name w:val="Hyperlink"/>
    <w:basedOn w:val="DefaultParagraphFont"/>
    <w:uiPriority w:val="99"/>
    <w:rsid w:val="00953F17"/>
    <w:rPr>
      <w:color w:val="0563C1"/>
      <w:u w:val="single"/>
    </w:rPr>
  </w:style>
  <w:style w:type="character" w:styleId="UnresolvedMention">
    <w:name w:val="Unresolved Mention"/>
    <w:basedOn w:val="DefaultParagraphFont"/>
    <w:rsid w:val="00953F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953F17"/>
    <w:rPr>
      <w:color w:val="954F72"/>
      <w:u w:val="single"/>
    </w:rPr>
  </w:style>
  <w:style w:type="paragraph" w:customStyle="1" w:styleId="Default">
    <w:name w:val="Default"/>
    <w:rsid w:val="00953F17"/>
    <w:pPr>
      <w:suppressAutoHyphens/>
      <w:autoSpaceDE w:val="0"/>
      <w:autoSpaceDN w:val="0"/>
    </w:pPr>
    <w:rPr>
      <w:rFonts w:ascii="Times New Roman" w:eastAsia="Calibri" w:hAnsi="Times New Roman" w:cs="Times New Roman"/>
      <w:color w:val="000000"/>
    </w:rPr>
  </w:style>
  <w:style w:type="paragraph" w:styleId="CommentText">
    <w:name w:val="annotation text"/>
    <w:basedOn w:val="Normal"/>
    <w:link w:val="CommentTextChar"/>
    <w:rsid w:val="00953F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3F17"/>
    <w:rPr>
      <w:rFonts w:ascii="Calibri" w:eastAsia="Calibri" w:hAnsi="Calibri" w:cs="Arial"/>
      <w:kern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53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3F17"/>
    <w:rPr>
      <w:rFonts w:ascii="Calibri" w:eastAsia="Calibri" w:hAnsi="Calibri" w:cs="Arial"/>
      <w:b/>
      <w:bCs/>
      <w:kern w:val="3"/>
      <w:sz w:val="20"/>
      <w:szCs w:val="20"/>
    </w:rPr>
  </w:style>
  <w:style w:type="paragraph" w:styleId="Revision">
    <w:name w:val="Revision"/>
    <w:rsid w:val="00953F17"/>
    <w:pPr>
      <w:suppressAutoHyphens/>
      <w:autoSpaceDN w:val="0"/>
    </w:pPr>
    <w:rPr>
      <w:rFonts w:ascii="Calibri" w:eastAsia="Calibri" w:hAnsi="Calibri" w:cs="Arial"/>
      <w:kern w:val="3"/>
      <w:sz w:val="22"/>
      <w:szCs w:val="22"/>
    </w:rPr>
  </w:style>
  <w:style w:type="character" w:customStyle="1" w:styleId="findhit">
    <w:name w:val="findhit"/>
    <w:basedOn w:val="DefaultParagraphFont"/>
    <w:rsid w:val="00953F17"/>
  </w:style>
  <w:style w:type="character" w:customStyle="1" w:styleId="scxw158127265">
    <w:name w:val="scxw158127265"/>
    <w:basedOn w:val="DefaultParagraphFont"/>
    <w:rsid w:val="00953F17"/>
  </w:style>
  <w:style w:type="character" w:customStyle="1" w:styleId="scxw172347885">
    <w:name w:val="scxw172347885"/>
    <w:basedOn w:val="DefaultParagraphFont"/>
    <w:rsid w:val="00953F17"/>
  </w:style>
  <w:style w:type="character" w:customStyle="1" w:styleId="scxw181949970">
    <w:name w:val="scxw181949970"/>
    <w:basedOn w:val="DefaultParagraphFont"/>
    <w:rsid w:val="00953F17"/>
  </w:style>
  <w:style w:type="character" w:customStyle="1" w:styleId="scxw140730625">
    <w:name w:val="scxw140730625"/>
    <w:basedOn w:val="DefaultParagraphFont"/>
    <w:rsid w:val="00953F17"/>
  </w:style>
  <w:style w:type="character" w:customStyle="1" w:styleId="scxw72081146">
    <w:name w:val="scxw72081146"/>
    <w:basedOn w:val="DefaultParagraphFont"/>
    <w:rsid w:val="00953F17"/>
  </w:style>
  <w:style w:type="character" w:customStyle="1" w:styleId="scxw113497310">
    <w:name w:val="scxw113497310"/>
    <w:basedOn w:val="DefaultParagraphFont"/>
    <w:rsid w:val="00953F17"/>
  </w:style>
  <w:style w:type="character" w:customStyle="1" w:styleId="scxw196952033">
    <w:name w:val="scxw196952033"/>
    <w:basedOn w:val="DefaultParagraphFont"/>
    <w:rsid w:val="00953F17"/>
  </w:style>
  <w:style w:type="character" w:customStyle="1" w:styleId="scxw64967651">
    <w:name w:val="scxw64967651"/>
    <w:basedOn w:val="DefaultParagraphFont"/>
    <w:rsid w:val="00953F17"/>
  </w:style>
  <w:style w:type="character" w:customStyle="1" w:styleId="scxw22800539">
    <w:name w:val="scxw22800539"/>
    <w:basedOn w:val="DefaultParagraphFont"/>
    <w:rsid w:val="00953F17"/>
  </w:style>
  <w:style w:type="character" w:customStyle="1" w:styleId="scxw15493557">
    <w:name w:val="scxw15493557"/>
    <w:basedOn w:val="DefaultParagraphFont"/>
    <w:rsid w:val="00953F17"/>
  </w:style>
  <w:style w:type="character" w:customStyle="1" w:styleId="scxw203511719">
    <w:name w:val="scxw203511719"/>
    <w:basedOn w:val="DefaultParagraphFont"/>
    <w:rsid w:val="00953F17"/>
  </w:style>
  <w:style w:type="character" w:customStyle="1" w:styleId="scxw92429097">
    <w:name w:val="scxw92429097"/>
    <w:basedOn w:val="DefaultParagraphFont"/>
    <w:rsid w:val="00953F17"/>
  </w:style>
  <w:style w:type="paragraph" w:customStyle="1" w:styleId="EndNoteBibliographyTitle">
    <w:name w:val="EndNote Bibliography Title"/>
    <w:basedOn w:val="Normal"/>
    <w:rsid w:val="00953F17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rsid w:val="00953F17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rsid w:val="00953F17"/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rsid w:val="00953F17"/>
    <w:rPr>
      <w:rFonts w:ascii="Aptos" w:hAnsi="Aptos"/>
      <w:lang w:val="en-US"/>
    </w:rPr>
  </w:style>
  <w:style w:type="paragraph" w:styleId="Bibliography">
    <w:name w:val="Bibliography"/>
    <w:basedOn w:val="Normal"/>
    <w:next w:val="Normal"/>
    <w:rsid w:val="00953F17"/>
  </w:style>
  <w:style w:type="paragraph" w:styleId="NoSpacing">
    <w:name w:val="No Spacing"/>
    <w:rsid w:val="00953F17"/>
    <w:pPr>
      <w:suppressAutoHyphens/>
      <w:autoSpaceDN w:val="0"/>
    </w:pPr>
    <w:rPr>
      <w:rFonts w:ascii="Calibri" w:eastAsia="Calibri" w:hAnsi="Calibri" w:cs="Arial"/>
      <w:kern w:val="3"/>
      <w:sz w:val="22"/>
      <w:szCs w:val="22"/>
    </w:rPr>
  </w:style>
  <w:style w:type="paragraph" w:customStyle="1" w:styleId="msonormal0">
    <w:name w:val="msonormal"/>
    <w:basedOn w:val="Normal"/>
    <w:rsid w:val="008507DB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5016</Words>
  <Characters>11087</Characters>
  <Application>Microsoft Office Word</Application>
  <DocSecurity>0</DocSecurity>
  <Lines>5543</Lines>
  <Paragraphs>5367</Paragraphs>
  <ScaleCrop>false</ScaleCrop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Li</dc:creator>
  <cp:keywords/>
  <dc:description/>
  <cp:lastModifiedBy>Lisa Grech</cp:lastModifiedBy>
  <cp:revision>2</cp:revision>
  <dcterms:created xsi:type="dcterms:W3CDTF">2025-12-19T02:32:00Z</dcterms:created>
  <dcterms:modified xsi:type="dcterms:W3CDTF">2025-12-19T02:32:00Z</dcterms:modified>
</cp:coreProperties>
</file>