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67" w:rsidRDefault="00552D67" w:rsidP="00552D67"/>
    <w:p w:rsidR="00552D67" w:rsidRPr="0030338E" w:rsidRDefault="00552D67" w:rsidP="00552D67">
      <w:pPr>
        <w:rPr>
          <w:rFonts w:ascii="Calibri" w:hAnsi="Calibri" w:cs="Calibri"/>
          <w:b/>
          <w:bCs/>
          <w:lang w:val="en-GB"/>
        </w:rPr>
      </w:pPr>
      <w:r w:rsidRPr="0030338E">
        <w:rPr>
          <w:rFonts w:ascii="Calibri" w:hAnsi="Calibri" w:cs="Calibri"/>
          <w:b/>
          <w:bCs/>
          <w:lang w:val="en-GB"/>
        </w:rPr>
        <w:t>Supplementary table 1</w:t>
      </w:r>
    </w:p>
    <w:p w:rsidR="00552D67" w:rsidRPr="0030338E" w:rsidRDefault="00552D67" w:rsidP="00552D67"/>
    <w:tbl>
      <w:tblPr>
        <w:tblW w:w="99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2253"/>
        <w:gridCol w:w="2424"/>
        <w:gridCol w:w="1998"/>
      </w:tblGrid>
      <w:tr w:rsidR="00552D67" w:rsidRPr="0030338E" w:rsidTr="00E242A0">
        <w:trPr>
          <w:trHeight w:val="20"/>
        </w:trPr>
        <w:tc>
          <w:tcPr>
            <w:tcW w:w="32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Clinical characteristics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Whole cohort (N=149)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VFs naïve cohort (N=87)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VFs cohort (N=62)</w:t>
            </w:r>
          </w:p>
        </w:tc>
      </w:tr>
      <w:tr w:rsidR="00552D67" w:rsidRPr="0030338E" w:rsidTr="00E242A0">
        <w:trPr>
          <w:trHeight w:val="20"/>
        </w:trPr>
        <w:tc>
          <w:tcPr>
            <w:tcW w:w="3266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Ambulant n (%)</w:t>
            </w:r>
          </w:p>
        </w:tc>
        <w:tc>
          <w:tcPr>
            <w:tcW w:w="2253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76 (51.0%)</w:t>
            </w:r>
          </w:p>
        </w:tc>
        <w:tc>
          <w:tcPr>
            <w:tcW w:w="2424" w:type="dxa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45 (51.72%)</w:t>
            </w:r>
          </w:p>
        </w:tc>
        <w:tc>
          <w:tcPr>
            <w:tcW w:w="1998" w:type="dxa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31 (50.0%)</w:t>
            </w:r>
          </w:p>
        </w:tc>
      </w:tr>
      <w:tr w:rsidR="00552D67" w:rsidRPr="0030338E" w:rsidTr="00E242A0">
        <w:trPr>
          <w:trHeight w:val="20"/>
        </w:trPr>
        <w:tc>
          <w:tcPr>
            <w:tcW w:w="3266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gramStart"/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Non Ambulant</w:t>
            </w:r>
            <w:proofErr w:type="gramEnd"/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n (%)</w:t>
            </w:r>
          </w:p>
        </w:tc>
        <w:tc>
          <w:tcPr>
            <w:tcW w:w="2253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73 (49.0%)</w:t>
            </w:r>
          </w:p>
        </w:tc>
        <w:tc>
          <w:tcPr>
            <w:tcW w:w="2424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42 (48.28%)</w:t>
            </w:r>
          </w:p>
        </w:tc>
        <w:tc>
          <w:tcPr>
            <w:tcW w:w="1998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31 (50.0%)</w:t>
            </w:r>
          </w:p>
        </w:tc>
      </w:tr>
      <w:tr w:rsidR="00552D67" w:rsidRPr="0030338E" w:rsidTr="00E242A0">
        <w:trPr>
          <w:trHeight w:val="20"/>
        </w:trPr>
        <w:tc>
          <w:tcPr>
            <w:tcW w:w="3266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NSSA mean (SD</w:t>
            </w:r>
          </w:p>
        </w:tc>
        <w:tc>
          <w:tcPr>
            <w:tcW w:w="2253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8.97 (11.04)</w:t>
            </w:r>
          </w:p>
        </w:tc>
        <w:tc>
          <w:tcPr>
            <w:tcW w:w="2424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8.84 (10.99)</w:t>
            </w:r>
          </w:p>
        </w:tc>
        <w:tc>
          <w:tcPr>
            <w:tcW w:w="1998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8.84 (10.99)</w:t>
            </w:r>
          </w:p>
        </w:tc>
      </w:tr>
      <w:tr w:rsidR="00552D67" w:rsidRPr="0030338E" w:rsidTr="00E242A0">
        <w:trPr>
          <w:trHeight w:val="20"/>
        </w:trPr>
        <w:tc>
          <w:tcPr>
            <w:tcW w:w="3266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PUL mean (SD)</w:t>
            </w:r>
          </w:p>
        </w:tc>
        <w:tc>
          <w:tcPr>
            <w:tcW w:w="2253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25.9 (11.71)</w:t>
            </w:r>
          </w:p>
        </w:tc>
        <w:tc>
          <w:tcPr>
            <w:tcW w:w="2424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25.8 (11.67)</w:t>
            </w:r>
          </w:p>
        </w:tc>
        <w:tc>
          <w:tcPr>
            <w:tcW w:w="1998" w:type="dxa"/>
            <w:vAlign w:val="center"/>
          </w:tcPr>
          <w:p w:rsidR="00552D67" w:rsidRPr="0030338E" w:rsidRDefault="00552D67" w:rsidP="00E242A0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26.85 (10.67)</w:t>
            </w:r>
          </w:p>
        </w:tc>
      </w:tr>
    </w:tbl>
    <w:p w:rsidR="00552D67" w:rsidRPr="0030338E" w:rsidRDefault="00552D67" w:rsidP="00C05F0B">
      <w:pPr>
        <w:rPr>
          <w:rFonts w:ascii="Calibri" w:hAnsi="Calibri" w:cs="Calibri"/>
          <w:b/>
          <w:bCs/>
          <w:lang w:val="en-GB"/>
        </w:rPr>
      </w:pPr>
    </w:p>
    <w:p w:rsidR="00552D67" w:rsidRPr="0030338E" w:rsidRDefault="00552D67" w:rsidP="00C05F0B">
      <w:pPr>
        <w:rPr>
          <w:rFonts w:ascii="Calibri" w:hAnsi="Calibri" w:cs="Calibri"/>
          <w:b/>
          <w:bCs/>
          <w:lang w:val="en-GB"/>
        </w:rPr>
      </w:pPr>
    </w:p>
    <w:p w:rsidR="00552D67" w:rsidRPr="0030338E" w:rsidRDefault="00552D67" w:rsidP="00C05F0B">
      <w:pPr>
        <w:rPr>
          <w:rFonts w:ascii="Calibri" w:hAnsi="Calibri" w:cs="Calibri"/>
          <w:b/>
          <w:bCs/>
          <w:lang w:val="en-GB"/>
        </w:rPr>
      </w:pPr>
    </w:p>
    <w:p w:rsidR="00552D67" w:rsidRPr="0030338E" w:rsidRDefault="00552D67" w:rsidP="00C05F0B">
      <w:pPr>
        <w:rPr>
          <w:rFonts w:ascii="Calibri" w:hAnsi="Calibri" w:cs="Calibri"/>
          <w:b/>
          <w:bCs/>
          <w:lang w:val="en-GB"/>
        </w:rPr>
      </w:pPr>
    </w:p>
    <w:p w:rsidR="00552D67" w:rsidRPr="0030338E" w:rsidRDefault="00552D67" w:rsidP="00C05F0B">
      <w:pPr>
        <w:rPr>
          <w:rFonts w:ascii="Calibri" w:hAnsi="Calibri" w:cs="Calibri"/>
          <w:b/>
          <w:bCs/>
          <w:lang w:val="en-GB"/>
        </w:rPr>
      </w:pPr>
    </w:p>
    <w:p w:rsidR="00C05F0B" w:rsidRPr="0030338E" w:rsidRDefault="00095C30" w:rsidP="00C05F0B">
      <w:pPr>
        <w:rPr>
          <w:rFonts w:ascii="Calibri" w:hAnsi="Calibri" w:cs="Calibri"/>
          <w:lang w:val="en-GB"/>
        </w:rPr>
      </w:pPr>
      <w:r w:rsidRPr="0030338E">
        <w:rPr>
          <w:rFonts w:ascii="Calibri" w:hAnsi="Calibri" w:cs="Calibri"/>
          <w:b/>
          <w:bCs/>
          <w:lang w:val="en-GB"/>
        </w:rPr>
        <w:t>Supplementary</w:t>
      </w:r>
      <w:r w:rsidR="00C05F0B" w:rsidRPr="0030338E">
        <w:rPr>
          <w:rFonts w:ascii="Calibri" w:hAnsi="Calibri" w:cs="Calibri"/>
          <w:b/>
          <w:bCs/>
          <w:lang w:val="en-GB"/>
        </w:rPr>
        <w:t xml:space="preserve"> Table</w:t>
      </w:r>
      <w:r w:rsidR="00552D67" w:rsidRPr="0030338E">
        <w:rPr>
          <w:rFonts w:ascii="Calibri" w:hAnsi="Calibri" w:cs="Calibri"/>
          <w:b/>
          <w:bCs/>
          <w:lang w:val="en-GB"/>
        </w:rPr>
        <w:t xml:space="preserve"> 2</w:t>
      </w:r>
      <w:r w:rsidR="00C05F0B" w:rsidRPr="0030338E">
        <w:rPr>
          <w:rFonts w:ascii="Calibri" w:hAnsi="Calibri" w:cs="Calibri"/>
          <w:b/>
          <w:bCs/>
          <w:lang w:val="en-GB"/>
        </w:rPr>
        <w:t>.</w:t>
      </w:r>
      <w:r w:rsidR="00C05F0B" w:rsidRPr="0030338E">
        <w:rPr>
          <w:rFonts w:ascii="Calibri" w:hAnsi="Calibri" w:cs="Calibri"/>
          <w:lang w:val="en-GB"/>
        </w:rPr>
        <w:t xml:space="preserve"> Spinal Deformity Index (SDI) and functional status in the VFs cohort. </w:t>
      </w:r>
    </w:p>
    <w:tbl>
      <w:tblPr>
        <w:tblW w:w="9855" w:type="dxa"/>
        <w:jc w:val="center"/>
        <w:tblLook w:val="04A0" w:firstRow="1" w:lastRow="0" w:firstColumn="1" w:lastColumn="0" w:noHBand="0" w:noVBand="1"/>
      </w:tblPr>
      <w:tblGrid>
        <w:gridCol w:w="817"/>
        <w:gridCol w:w="3011"/>
        <w:gridCol w:w="3067"/>
        <w:gridCol w:w="2960"/>
      </w:tblGrid>
      <w:tr w:rsidR="00C05F0B" w:rsidRPr="0030338E" w:rsidTr="006C12B5">
        <w:trPr>
          <w:jc w:val="center"/>
        </w:trPr>
        <w:tc>
          <w:tcPr>
            <w:tcW w:w="817" w:type="dxa"/>
            <w:tcBorders>
              <w:bottom w:val="single" w:sz="12" w:space="0" w:color="auto"/>
            </w:tcBorders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SDI</w:t>
            </w:r>
          </w:p>
        </w:tc>
        <w:tc>
          <w:tcPr>
            <w:tcW w:w="3011" w:type="dxa"/>
            <w:tcBorders>
              <w:bottom w:val="single" w:sz="12" w:space="0" w:color="auto"/>
            </w:tcBorders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Number of subject (% of 62)</w:t>
            </w:r>
          </w:p>
        </w:tc>
        <w:tc>
          <w:tcPr>
            <w:tcW w:w="3067" w:type="dxa"/>
            <w:tcBorders>
              <w:bottom w:val="single" w:sz="12" w:space="0" w:color="auto"/>
            </w:tcBorders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Ambulant n (% of n)</w:t>
            </w: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Non ambulant n (% of n)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ind w:left="-531" w:firstLine="531"/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6 (9.7%)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(50%)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(50%)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8 (12.9%)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5 (62.5%)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(37.5%)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7 (11.3%)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4 (57.1%)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(43.9%)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7 (11.3%)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4 (57.1%)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(43.9%)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5 (8.1%)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(20%)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4 (80%)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(1.6%)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(100%)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4 (6.5%)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(25%)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(75%)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5 (8.1%)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5 (100%)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0 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9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(3.2%)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(100%)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(3.2%)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(50%)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(50%)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11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3 (4.8%)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(33.3%)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(66.6%)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(3.2%)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(100%)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15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(3.2%)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2 (100%)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19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(1.6%)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(100%)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21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(1.6%)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(100%)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22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(1.6%)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(100%)</w:t>
            </w:r>
          </w:p>
        </w:tc>
      </w:tr>
      <w:tr w:rsidR="00C05F0B" w:rsidRPr="0030338E" w:rsidTr="006C12B5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23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(1.6%)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F0B" w:rsidRPr="0030338E" w:rsidRDefault="00C05F0B" w:rsidP="006C12B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338E">
              <w:rPr>
                <w:rFonts w:ascii="Calibri" w:hAnsi="Calibri" w:cs="Calibri"/>
                <w:sz w:val="22"/>
                <w:szCs w:val="22"/>
                <w:lang w:val="en-GB"/>
              </w:rPr>
              <w:t>1 (100%)</w:t>
            </w:r>
          </w:p>
        </w:tc>
      </w:tr>
    </w:tbl>
    <w:p w:rsidR="00BD64C9" w:rsidRPr="0030338E" w:rsidRDefault="0030338E"/>
    <w:p w:rsidR="00A2738C" w:rsidRPr="0030338E" w:rsidRDefault="00A2738C"/>
    <w:p w:rsidR="00A2738C" w:rsidRPr="0030338E" w:rsidRDefault="00A2738C" w:rsidP="00A2738C"/>
    <w:p w:rsidR="00095C30" w:rsidRPr="0030338E" w:rsidRDefault="00095C30">
      <w:pPr>
        <w:spacing w:after="160" w:line="259" w:lineRule="auto"/>
        <w:rPr>
          <w:rFonts w:ascii="Calibri" w:hAnsi="Calibri" w:cs="Calibri"/>
          <w:b/>
          <w:bCs/>
          <w:lang w:val="en-GB"/>
        </w:rPr>
      </w:pPr>
      <w:r w:rsidRPr="0030338E">
        <w:rPr>
          <w:rFonts w:ascii="Calibri" w:hAnsi="Calibri" w:cs="Calibri"/>
          <w:b/>
          <w:bCs/>
          <w:lang w:val="en-GB"/>
        </w:rPr>
        <w:br w:type="page"/>
      </w:r>
    </w:p>
    <w:p w:rsidR="00095C30" w:rsidRPr="0030338E" w:rsidRDefault="00095C30">
      <w:pPr>
        <w:spacing w:after="160" w:line="259" w:lineRule="auto"/>
        <w:rPr>
          <w:rFonts w:ascii="Calibri" w:hAnsi="Calibri" w:cs="Calibri"/>
          <w:b/>
          <w:bCs/>
          <w:lang w:val="en-GB"/>
        </w:rPr>
      </w:pPr>
      <w:r w:rsidRPr="0030338E">
        <w:rPr>
          <w:rFonts w:ascii="Calibri" w:hAnsi="Calibri" w:cs="Calibri"/>
          <w:b/>
          <w:bCs/>
          <w:lang w:val="en-GB"/>
        </w:rPr>
        <w:lastRenderedPageBreak/>
        <w:t xml:space="preserve">Supplementary figure 1. Details of the cohort. Key to the figure: </w:t>
      </w:r>
      <w:r w:rsidR="0071516F" w:rsidRPr="0030338E">
        <w:rPr>
          <w:rFonts w:ascii="Calibri" w:hAnsi="Calibri" w:cs="Calibri"/>
          <w:bCs/>
          <w:lang w:val="en-GB"/>
        </w:rPr>
        <w:t xml:space="preserve">green shades Total Body Bone Mineral Density (TB BMD) Z-scores &gt; </w:t>
      </w:r>
      <w:proofErr w:type="gramStart"/>
      <w:r w:rsidR="0071516F" w:rsidRPr="0030338E">
        <w:rPr>
          <w:rFonts w:ascii="Calibri" w:hAnsi="Calibri" w:cs="Calibri"/>
          <w:bCs/>
          <w:lang w:val="en-GB"/>
        </w:rPr>
        <w:t>-2</w:t>
      </w:r>
      <w:proofErr w:type="gramEnd"/>
      <w:r w:rsidR="0071516F" w:rsidRPr="0030338E">
        <w:rPr>
          <w:rFonts w:ascii="Calibri" w:hAnsi="Calibri" w:cs="Calibri"/>
          <w:bCs/>
          <w:lang w:val="en-GB"/>
        </w:rPr>
        <w:t xml:space="preserve">; red shades TB BMD Z-scores </w:t>
      </w:r>
      <w:r w:rsidR="0071516F" w:rsidRPr="0030338E">
        <w:rPr>
          <w:rFonts w:ascii="Calibri" w:hAnsi="Calibri" w:cs="Calibri"/>
          <w:bCs/>
          <w:u w:val="single"/>
          <w:lang w:val="en-GB"/>
        </w:rPr>
        <w:t>&lt;</w:t>
      </w:r>
      <w:r w:rsidR="0071516F" w:rsidRPr="0030338E">
        <w:rPr>
          <w:rFonts w:ascii="Calibri" w:hAnsi="Calibri" w:cs="Calibri"/>
          <w:bCs/>
          <w:lang w:val="en-GB"/>
        </w:rPr>
        <w:t xml:space="preserve"> -2. Full colour filled columns: ambulant subjects; dashed columns: non-ambulant subjects. </w:t>
      </w:r>
    </w:p>
    <w:p w:rsidR="00095C30" w:rsidRPr="0030338E" w:rsidRDefault="00095C30">
      <w:pPr>
        <w:spacing w:after="160" w:line="259" w:lineRule="auto"/>
        <w:rPr>
          <w:rFonts w:ascii="Calibri" w:hAnsi="Calibri" w:cs="Calibri"/>
          <w:b/>
          <w:bCs/>
          <w:noProof/>
          <w:lang w:val="en-US"/>
        </w:rPr>
      </w:pPr>
    </w:p>
    <w:p w:rsidR="00947AFE" w:rsidRPr="0030338E" w:rsidRDefault="00095C30">
      <w:pPr>
        <w:spacing w:after="160" w:line="259" w:lineRule="auto"/>
        <w:rPr>
          <w:rFonts w:ascii="Calibri" w:hAnsi="Calibri" w:cs="Calibri"/>
          <w:b/>
          <w:bCs/>
          <w:lang w:val="en-GB"/>
        </w:rPr>
      </w:pPr>
      <w:r w:rsidRPr="0030338E">
        <w:rPr>
          <w:rFonts w:ascii="Calibri" w:hAnsi="Calibri" w:cs="Calibri"/>
          <w:b/>
          <w:bCs/>
          <w:noProof/>
        </w:rPr>
        <w:drawing>
          <wp:inline distT="0" distB="0" distL="0" distR="0">
            <wp:extent cx="6180370" cy="2911276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816" cy="29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AFE" w:rsidRPr="0030338E" w:rsidRDefault="00947AFE">
      <w:pPr>
        <w:spacing w:after="160" w:line="259" w:lineRule="auto"/>
        <w:rPr>
          <w:rFonts w:ascii="Calibri" w:hAnsi="Calibri" w:cs="Calibri"/>
          <w:b/>
          <w:bCs/>
          <w:lang w:val="en-GB"/>
        </w:rPr>
      </w:pPr>
    </w:p>
    <w:p w:rsidR="00095C30" w:rsidRPr="0030338E" w:rsidRDefault="00095C30" w:rsidP="00095C30">
      <w:pPr>
        <w:spacing w:line="480" w:lineRule="auto"/>
        <w:rPr>
          <w:rFonts w:ascii="Calibri" w:hAnsi="Calibri" w:cs="Calibri"/>
          <w:lang w:val="en-GB"/>
        </w:rPr>
      </w:pPr>
      <w:r w:rsidRPr="0030338E">
        <w:rPr>
          <w:rFonts w:ascii="Calibri" w:hAnsi="Calibri" w:cs="Calibri"/>
          <w:b/>
          <w:bCs/>
          <w:lang w:val="en-GB"/>
        </w:rPr>
        <w:t>Supplementary figure 2.</w:t>
      </w:r>
      <w:r w:rsidRPr="0030338E">
        <w:rPr>
          <w:rFonts w:ascii="Calibri" w:hAnsi="Calibri" w:cs="Calibri"/>
          <w:lang w:val="en-GB"/>
        </w:rPr>
        <w:t xml:space="preserve"> Distribution of SDI in the non-ambulant cohort according to the years after loss of ambulation (LOA).</w:t>
      </w:r>
    </w:p>
    <w:p w:rsidR="00095C30" w:rsidRPr="00740DD3" w:rsidRDefault="00095C30" w:rsidP="00095C30">
      <w:pPr>
        <w:spacing w:line="480" w:lineRule="auto"/>
        <w:rPr>
          <w:rFonts w:ascii="Calibri" w:hAnsi="Calibri" w:cs="Calibri"/>
          <w:lang w:val="en-GB"/>
        </w:rPr>
      </w:pPr>
      <w:r w:rsidRPr="0030338E">
        <w:rPr>
          <w:noProof/>
        </w:rPr>
        <w:drawing>
          <wp:inline distT="0" distB="0" distL="0" distR="0" wp14:anchorId="7CCB5AE1" wp14:editId="206A5C88">
            <wp:extent cx="5980430" cy="3591560"/>
            <wp:effectExtent l="0" t="0" r="1270" b="8890"/>
            <wp:docPr id="3" name="Gra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095C30" w:rsidRDefault="00095C30"/>
    <w:sectPr w:rsidR="00095C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BB"/>
    <w:rsid w:val="00070A1C"/>
    <w:rsid w:val="00095C30"/>
    <w:rsid w:val="002E7084"/>
    <w:rsid w:val="0030338E"/>
    <w:rsid w:val="003362BB"/>
    <w:rsid w:val="00552D67"/>
    <w:rsid w:val="00626E28"/>
    <w:rsid w:val="00664AED"/>
    <w:rsid w:val="0071516F"/>
    <w:rsid w:val="00947AFE"/>
    <w:rsid w:val="00A2738C"/>
    <w:rsid w:val="00C0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B0BE8-B9F2-4B52-88A2-68717BF3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5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ntsms\Nemo_Pediatrico\papers%20%20in%20preparation\DMD%20bone\Grafici%20a%20bar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'[Grafici a barre.xlsx]Foglio6'!$B$1</c:f>
              <c:strCache>
                <c:ptCount val="1"/>
                <c:pt idx="0">
                  <c:v>VF cohort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'[Grafici a barre.xlsx]Foglio6'!$A$2:$A$74</c:f>
              <c:numCache>
                <c:formatCode>0.00</c:formatCode>
                <c:ptCount val="7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0.20547945205479401</c:v>
                </c:pt>
                <c:pt idx="4">
                  <c:v>0.40000000000000036</c:v>
                </c:pt>
                <c:pt idx="5">
                  <c:v>0.59178082191780845</c:v>
                </c:pt>
                <c:pt idx="6">
                  <c:v>0.63299110198494191</c:v>
                </c:pt>
                <c:pt idx="7">
                  <c:v>1</c:v>
                </c:pt>
                <c:pt idx="8">
                  <c:v>1</c:v>
                </c:pt>
                <c:pt idx="9">
                  <c:v>1.0630136986301366</c:v>
                </c:pt>
                <c:pt idx="10">
                  <c:v>1.1671232876712327</c:v>
                </c:pt>
                <c:pt idx="11">
                  <c:v>1.2602739726027394</c:v>
                </c:pt>
                <c:pt idx="12">
                  <c:v>1.2684931506849324</c:v>
                </c:pt>
                <c:pt idx="13">
                  <c:v>1.3000000000000007</c:v>
                </c:pt>
                <c:pt idx="14">
                  <c:v>1.6054794520547944</c:v>
                </c:pt>
                <c:pt idx="15">
                  <c:v>1.8191780821917813</c:v>
                </c:pt>
                <c:pt idx="16">
                  <c:v>1.9150684931506845</c:v>
                </c:pt>
                <c:pt idx="17">
                  <c:v>2</c:v>
                </c:pt>
                <c:pt idx="18">
                  <c:v>2.0479452054794525</c:v>
                </c:pt>
                <c:pt idx="19">
                  <c:v>2.087671232876712</c:v>
                </c:pt>
                <c:pt idx="20">
                  <c:v>2.1753424657534239</c:v>
                </c:pt>
                <c:pt idx="21">
                  <c:v>2.1863013698630134</c:v>
                </c:pt>
                <c:pt idx="22">
                  <c:v>2.5</c:v>
                </c:pt>
                <c:pt idx="23">
                  <c:v>2.7013698630136993</c:v>
                </c:pt>
                <c:pt idx="24">
                  <c:v>2.706849315068494</c:v>
                </c:pt>
                <c:pt idx="25">
                  <c:v>2.7465753424657535</c:v>
                </c:pt>
                <c:pt idx="26">
                  <c:v>2.8109589041095884</c:v>
                </c:pt>
                <c:pt idx="27">
                  <c:v>3.0931506849315067</c:v>
                </c:pt>
                <c:pt idx="28">
                  <c:v>3.1000000000000014</c:v>
                </c:pt>
                <c:pt idx="29">
                  <c:v>3.3041095890410954</c:v>
                </c:pt>
                <c:pt idx="30">
                  <c:v>3.4000000000000004</c:v>
                </c:pt>
                <c:pt idx="31">
                  <c:v>3.4767123287671229</c:v>
                </c:pt>
                <c:pt idx="32">
                  <c:v>3.4794520547945211</c:v>
                </c:pt>
                <c:pt idx="33">
                  <c:v>3.4986301369863</c:v>
                </c:pt>
                <c:pt idx="34">
                  <c:v>3.7260273972602747</c:v>
                </c:pt>
                <c:pt idx="35">
                  <c:v>3.8164383561643831</c:v>
                </c:pt>
                <c:pt idx="36">
                  <c:v>3.9000000000000004</c:v>
                </c:pt>
                <c:pt idx="37">
                  <c:v>3.9315068493150687</c:v>
                </c:pt>
                <c:pt idx="38">
                  <c:v>4.2054794520547958</c:v>
                </c:pt>
                <c:pt idx="39">
                  <c:v>4.2739726027397253</c:v>
                </c:pt>
                <c:pt idx="40">
                  <c:v>4.586721423682409</c:v>
                </c:pt>
                <c:pt idx="41">
                  <c:v>4.5999999999999996</c:v>
                </c:pt>
                <c:pt idx="42">
                  <c:v>4.8767123287671232</c:v>
                </c:pt>
                <c:pt idx="43">
                  <c:v>4.9849418206707732</c:v>
                </c:pt>
                <c:pt idx="44">
                  <c:v>5.1424657534246574</c:v>
                </c:pt>
                <c:pt idx="45">
                  <c:v>5.1917808219178099</c:v>
                </c:pt>
                <c:pt idx="46">
                  <c:v>5.3000000000000007</c:v>
                </c:pt>
                <c:pt idx="47">
                  <c:v>5.3534246575342479</c:v>
                </c:pt>
                <c:pt idx="48">
                  <c:v>5.4410958904109581</c:v>
                </c:pt>
                <c:pt idx="49">
                  <c:v>5.5178082191780824</c:v>
                </c:pt>
                <c:pt idx="50">
                  <c:v>5.5424657534246577</c:v>
                </c:pt>
                <c:pt idx="51">
                  <c:v>6</c:v>
                </c:pt>
                <c:pt idx="52">
                  <c:v>6</c:v>
                </c:pt>
                <c:pt idx="53">
                  <c:v>6.3863013698630127</c:v>
                </c:pt>
                <c:pt idx="54">
                  <c:v>6.493150684931507</c:v>
                </c:pt>
                <c:pt idx="55">
                  <c:v>6.586301369863012</c:v>
                </c:pt>
                <c:pt idx="56">
                  <c:v>6.6821917808219169</c:v>
                </c:pt>
                <c:pt idx="57">
                  <c:v>6.7205479452054782</c:v>
                </c:pt>
                <c:pt idx="58">
                  <c:v>6.7972602739726042</c:v>
                </c:pt>
                <c:pt idx="59">
                  <c:v>6.8191780821917796</c:v>
                </c:pt>
                <c:pt idx="60">
                  <c:v>7</c:v>
                </c:pt>
                <c:pt idx="61">
                  <c:v>7.6712328767123275</c:v>
                </c:pt>
                <c:pt idx="62">
                  <c:v>7.7397260273972606</c:v>
                </c:pt>
                <c:pt idx="63">
                  <c:v>8.4849315068493141</c:v>
                </c:pt>
                <c:pt idx="64">
                  <c:v>8.7095890410958887</c:v>
                </c:pt>
                <c:pt idx="65">
                  <c:v>8.7095890410958887</c:v>
                </c:pt>
                <c:pt idx="66">
                  <c:v>9.1534246575342451</c:v>
                </c:pt>
                <c:pt idx="67">
                  <c:v>9.1917808219178099</c:v>
                </c:pt>
                <c:pt idx="68">
                  <c:v>9.5</c:v>
                </c:pt>
                <c:pt idx="69">
                  <c:v>9.9753424657534246</c:v>
                </c:pt>
                <c:pt idx="70">
                  <c:v>12.616438356164384</c:v>
                </c:pt>
                <c:pt idx="71">
                  <c:v>12.675342465753424</c:v>
                </c:pt>
                <c:pt idx="72">
                  <c:v>13.5</c:v>
                </c:pt>
              </c:numCache>
            </c:numRef>
          </c:xVal>
          <c:yVal>
            <c:numRef>
              <c:f>'[Grafici a barre.xlsx]Foglio6'!$B$2:$B$74</c:f>
              <c:numCache>
                <c:formatCode>General</c:formatCode>
                <c:ptCount val="73"/>
                <c:pt idx="0" formatCode="0.00">
                  <c:v>10</c:v>
                </c:pt>
                <c:pt idx="4" formatCode="0.00">
                  <c:v>4</c:v>
                </c:pt>
                <c:pt idx="5" formatCode="0.00">
                  <c:v>5</c:v>
                </c:pt>
                <c:pt idx="9" formatCode="0.00">
                  <c:v>2</c:v>
                </c:pt>
                <c:pt idx="10" formatCode="0.00">
                  <c:v>11</c:v>
                </c:pt>
                <c:pt idx="11" formatCode="0.00">
                  <c:v>4</c:v>
                </c:pt>
                <c:pt idx="12" formatCode="0.00">
                  <c:v>23</c:v>
                </c:pt>
                <c:pt idx="13" formatCode="0.00">
                  <c:v>11</c:v>
                </c:pt>
                <c:pt idx="14" formatCode="0.00">
                  <c:v>2</c:v>
                </c:pt>
                <c:pt idx="20" formatCode="0.00">
                  <c:v>3</c:v>
                </c:pt>
                <c:pt idx="22" formatCode="0.00">
                  <c:v>3</c:v>
                </c:pt>
                <c:pt idx="23" formatCode="0.00">
                  <c:v>1</c:v>
                </c:pt>
                <c:pt idx="24" formatCode="0.00">
                  <c:v>22</c:v>
                </c:pt>
                <c:pt idx="25" formatCode="0.00">
                  <c:v>5</c:v>
                </c:pt>
                <c:pt idx="26" formatCode="0.00">
                  <c:v>3</c:v>
                </c:pt>
                <c:pt idx="28" formatCode="0.00">
                  <c:v>4</c:v>
                </c:pt>
                <c:pt idx="29" formatCode="0.00">
                  <c:v>21</c:v>
                </c:pt>
                <c:pt idx="30" formatCode="0.00">
                  <c:v>7</c:v>
                </c:pt>
                <c:pt idx="33" formatCode="0.00">
                  <c:v>7</c:v>
                </c:pt>
                <c:pt idx="38" formatCode="0.00">
                  <c:v>7</c:v>
                </c:pt>
                <c:pt idx="44" formatCode="0.00">
                  <c:v>1</c:v>
                </c:pt>
                <c:pt idx="45" formatCode="0.00">
                  <c:v>19</c:v>
                </c:pt>
                <c:pt idx="50" formatCode="0.00">
                  <c:v>3</c:v>
                </c:pt>
                <c:pt idx="54" formatCode="0.00">
                  <c:v>9</c:v>
                </c:pt>
                <c:pt idx="56" formatCode="0.00">
                  <c:v>3</c:v>
                </c:pt>
                <c:pt idx="57" formatCode="0.00">
                  <c:v>2</c:v>
                </c:pt>
                <c:pt idx="61" formatCode="0.00">
                  <c:v>1</c:v>
                </c:pt>
                <c:pt idx="64" formatCode="0.00">
                  <c:v>9</c:v>
                </c:pt>
                <c:pt idx="65" formatCode="0.00">
                  <c:v>5</c:v>
                </c:pt>
                <c:pt idx="67" formatCode="0.00">
                  <c:v>3</c:v>
                </c:pt>
                <c:pt idx="69" formatCode="0.00">
                  <c:v>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1FB-40F9-B610-8022AE3D5B1F}"/>
            </c:ext>
          </c:extLst>
        </c:ser>
        <c:ser>
          <c:idx val="1"/>
          <c:order val="1"/>
          <c:tx>
            <c:strRef>
              <c:f>'[Grafici a barre.xlsx]Foglio6'!$C$1</c:f>
              <c:strCache>
                <c:ptCount val="1"/>
                <c:pt idx="0">
                  <c:v>VF naive cohort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'[Grafici a barre.xlsx]Foglio6'!$A$2:$A$74</c:f>
              <c:numCache>
                <c:formatCode>0.00</c:formatCode>
                <c:ptCount val="7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0.20547945205479401</c:v>
                </c:pt>
                <c:pt idx="4">
                  <c:v>0.40000000000000036</c:v>
                </c:pt>
                <c:pt idx="5">
                  <c:v>0.59178082191780845</c:v>
                </c:pt>
                <c:pt idx="6">
                  <c:v>0.63299110198494191</c:v>
                </c:pt>
                <c:pt idx="7">
                  <c:v>1</c:v>
                </c:pt>
                <c:pt idx="8">
                  <c:v>1</c:v>
                </c:pt>
                <c:pt idx="9">
                  <c:v>1.0630136986301366</c:v>
                </c:pt>
                <c:pt idx="10">
                  <c:v>1.1671232876712327</c:v>
                </c:pt>
                <c:pt idx="11">
                  <c:v>1.2602739726027394</c:v>
                </c:pt>
                <c:pt idx="12">
                  <c:v>1.2684931506849324</c:v>
                </c:pt>
                <c:pt idx="13">
                  <c:v>1.3000000000000007</c:v>
                </c:pt>
                <c:pt idx="14">
                  <c:v>1.6054794520547944</c:v>
                </c:pt>
                <c:pt idx="15">
                  <c:v>1.8191780821917813</c:v>
                </c:pt>
                <c:pt idx="16">
                  <c:v>1.9150684931506845</c:v>
                </c:pt>
                <c:pt idx="17">
                  <c:v>2</c:v>
                </c:pt>
                <c:pt idx="18">
                  <c:v>2.0479452054794525</c:v>
                </c:pt>
                <c:pt idx="19">
                  <c:v>2.087671232876712</c:v>
                </c:pt>
                <c:pt idx="20">
                  <c:v>2.1753424657534239</c:v>
                </c:pt>
                <c:pt idx="21">
                  <c:v>2.1863013698630134</c:v>
                </c:pt>
                <c:pt idx="22">
                  <c:v>2.5</c:v>
                </c:pt>
                <c:pt idx="23">
                  <c:v>2.7013698630136993</c:v>
                </c:pt>
                <c:pt idx="24">
                  <c:v>2.706849315068494</c:v>
                </c:pt>
                <c:pt idx="25">
                  <c:v>2.7465753424657535</c:v>
                </c:pt>
                <c:pt idx="26">
                  <c:v>2.8109589041095884</c:v>
                </c:pt>
                <c:pt idx="27">
                  <c:v>3.0931506849315067</c:v>
                </c:pt>
                <c:pt idx="28">
                  <c:v>3.1000000000000014</c:v>
                </c:pt>
                <c:pt idx="29">
                  <c:v>3.3041095890410954</c:v>
                </c:pt>
                <c:pt idx="30">
                  <c:v>3.4000000000000004</c:v>
                </c:pt>
                <c:pt idx="31">
                  <c:v>3.4767123287671229</c:v>
                </c:pt>
                <c:pt idx="32">
                  <c:v>3.4794520547945211</c:v>
                </c:pt>
                <c:pt idx="33">
                  <c:v>3.4986301369863</c:v>
                </c:pt>
                <c:pt idx="34">
                  <c:v>3.7260273972602747</c:v>
                </c:pt>
                <c:pt idx="35">
                  <c:v>3.8164383561643831</c:v>
                </c:pt>
                <c:pt idx="36">
                  <c:v>3.9000000000000004</c:v>
                </c:pt>
                <c:pt idx="37">
                  <c:v>3.9315068493150687</c:v>
                </c:pt>
                <c:pt idx="38">
                  <c:v>4.2054794520547958</c:v>
                </c:pt>
                <c:pt idx="39">
                  <c:v>4.2739726027397253</c:v>
                </c:pt>
                <c:pt idx="40">
                  <c:v>4.586721423682409</c:v>
                </c:pt>
                <c:pt idx="41">
                  <c:v>4.5999999999999996</c:v>
                </c:pt>
                <c:pt idx="42">
                  <c:v>4.8767123287671232</c:v>
                </c:pt>
                <c:pt idx="43">
                  <c:v>4.9849418206707732</c:v>
                </c:pt>
                <c:pt idx="44">
                  <c:v>5.1424657534246574</c:v>
                </c:pt>
                <c:pt idx="45">
                  <c:v>5.1917808219178099</c:v>
                </c:pt>
                <c:pt idx="46">
                  <c:v>5.3000000000000007</c:v>
                </c:pt>
                <c:pt idx="47">
                  <c:v>5.3534246575342479</c:v>
                </c:pt>
                <c:pt idx="48">
                  <c:v>5.4410958904109581</c:v>
                </c:pt>
                <c:pt idx="49">
                  <c:v>5.5178082191780824</c:v>
                </c:pt>
                <c:pt idx="50">
                  <c:v>5.5424657534246577</c:v>
                </c:pt>
                <c:pt idx="51">
                  <c:v>6</c:v>
                </c:pt>
                <c:pt idx="52">
                  <c:v>6</c:v>
                </c:pt>
                <c:pt idx="53">
                  <c:v>6.3863013698630127</c:v>
                </c:pt>
                <c:pt idx="54">
                  <c:v>6.493150684931507</c:v>
                </c:pt>
                <c:pt idx="55">
                  <c:v>6.586301369863012</c:v>
                </c:pt>
                <c:pt idx="56">
                  <c:v>6.6821917808219169</c:v>
                </c:pt>
                <c:pt idx="57">
                  <c:v>6.7205479452054782</c:v>
                </c:pt>
                <c:pt idx="58">
                  <c:v>6.7972602739726042</c:v>
                </c:pt>
                <c:pt idx="59">
                  <c:v>6.8191780821917796</c:v>
                </c:pt>
                <c:pt idx="60">
                  <c:v>7</c:v>
                </c:pt>
                <c:pt idx="61">
                  <c:v>7.6712328767123275</c:v>
                </c:pt>
                <c:pt idx="62">
                  <c:v>7.7397260273972606</c:v>
                </c:pt>
                <c:pt idx="63">
                  <c:v>8.4849315068493141</c:v>
                </c:pt>
                <c:pt idx="64">
                  <c:v>8.7095890410958887</c:v>
                </c:pt>
                <c:pt idx="65">
                  <c:v>8.7095890410958887</c:v>
                </c:pt>
                <c:pt idx="66">
                  <c:v>9.1534246575342451</c:v>
                </c:pt>
                <c:pt idx="67">
                  <c:v>9.1917808219178099</c:v>
                </c:pt>
                <c:pt idx="68">
                  <c:v>9.5</c:v>
                </c:pt>
                <c:pt idx="69">
                  <c:v>9.9753424657534246</c:v>
                </c:pt>
                <c:pt idx="70">
                  <c:v>12.616438356164384</c:v>
                </c:pt>
                <c:pt idx="71">
                  <c:v>12.675342465753424</c:v>
                </c:pt>
                <c:pt idx="72">
                  <c:v>13.5</c:v>
                </c:pt>
              </c:numCache>
            </c:numRef>
          </c:xVal>
          <c:yVal>
            <c:numRef>
              <c:f>'[Grafici a barre.xlsx]Foglio6'!$C$2:$C$74</c:f>
              <c:numCache>
                <c:formatCode>0.00</c:formatCode>
                <c:ptCount val="73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1">
                  <c:v>0</c:v>
                </c:pt>
                <c:pt idx="27">
                  <c:v>0</c:v>
                </c:pt>
                <c:pt idx="31">
                  <c:v>0</c:v>
                </c:pt>
                <c:pt idx="32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5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2">
                  <c:v>0</c:v>
                </c:pt>
                <c:pt idx="63">
                  <c:v>0</c:v>
                </c:pt>
                <c:pt idx="66">
                  <c:v>0</c:v>
                </c:pt>
                <c:pt idx="68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1FB-40F9-B610-8022AE3D5B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8989248"/>
        <c:axId val="179663984"/>
      </c:scatterChart>
      <c:valAx>
        <c:axId val="178989248"/>
        <c:scaling>
          <c:orientation val="minMax"/>
          <c:max val="1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r>
                  <a:rPr lang="en-US"/>
                  <a:t>Years after LOA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+mn-ea"/>
                  <a:cs typeface="Calibri" panose="020F0502020204030204" pitchFamily="34" charset="0"/>
                </a:defRPr>
              </a:pPr>
              <a:endParaRPr lang="it-IT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it-IT"/>
          </a:p>
        </c:txPr>
        <c:crossAx val="179663984"/>
        <c:crosses val="autoZero"/>
        <c:crossBetween val="midCat"/>
      </c:valAx>
      <c:valAx>
        <c:axId val="179663984"/>
        <c:scaling>
          <c:orientation val="minMax"/>
          <c:max val="2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r>
                  <a:rPr lang="en-US"/>
                  <a:t>SDI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+mn-ea"/>
                  <a:cs typeface="Calibri" panose="020F0502020204030204" pitchFamily="34" charset="0"/>
                </a:defRPr>
              </a:pPr>
              <a:endParaRPr lang="it-IT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it-IT"/>
          </a:p>
        </c:txPr>
        <c:crossAx val="178989248"/>
        <c:crosses val="autoZero"/>
        <c:crossBetween val="midCat"/>
        <c:majorUnit val="4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defRPr>
          </a:pPr>
          <a:endParaRPr lang="it-I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Calibri" panose="020F0502020204030204" pitchFamily="34" charset="0"/>
          <a:cs typeface="Calibri" panose="020F0502020204030204" pitchFamily="34" charset="0"/>
        </a:defRPr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Policlinico Gemelli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Capasso</dc:creator>
  <cp:keywords/>
  <dc:description/>
  <cp:lastModifiedBy>Anna Capasso</cp:lastModifiedBy>
  <cp:revision>3</cp:revision>
  <dcterms:created xsi:type="dcterms:W3CDTF">2026-02-13T09:53:00Z</dcterms:created>
  <dcterms:modified xsi:type="dcterms:W3CDTF">2026-02-13T09:53:00Z</dcterms:modified>
</cp:coreProperties>
</file>