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7DB5EB" w14:textId="77777777" w:rsidR="008A4BC7" w:rsidRPr="00A74E55" w:rsidRDefault="008A4BC7">
      <w:pPr>
        <w:rPr>
          <w:rFonts w:ascii="Times New Roman" w:eastAsia="Times New Roman" w:hAnsi="Times New Roman" w:cs="Times New Roman"/>
          <w:b/>
          <w:lang w:val="en-GB"/>
        </w:rPr>
      </w:pPr>
    </w:p>
    <w:p w14:paraId="03B8C447" w14:textId="77777777" w:rsidR="008A4BC7" w:rsidRPr="00A74E55" w:rsidRDefault="000D0BFA">
      <w:pPr>
        <w:jc w:val="center"/>
        <w:rPr>
          <w:rFonts w:ascii="Times New Roman" w:eastAsia="Times New Roman" w:hAnsi="Times New Roman" w:cs="Times New Roman"/>
          <w:b/>
          <w:sz w:val="44"/>
          <w:u w:val="single"/>
          <w:lang w:val="en-GB"/>
        </w:rPr>
      </w:pPr>
      <w:r w:rsidRPr="00A74E55">
        <w:rPr>
          <w:rFonts w:ascii="Times New Roman" w:eastAsia="Times New Roman" w:hAnsi="Times New Roman" w:cs="Times New Roman"/>
          <w:b/>
          <w:sz w:val="44"/>
          <w:u w:val="single"/>
          <w:lang w:val="en-GB"/>
        </w:rPr>
        <w:t>Supplementary Online Content</w:t>
      </w:r>
    </w:p>
    <w:p w14:paraId="624E8B58" w14:textId="77777777" w:rsidR="008A4BC7" w:rsidRPr="00A74E55" w:rsidRDefault="000D0BFA">
      <w:pPr>
        <w:rPr>
          <w:rFonts w:ascii="Times New Roman" w:eastAsia="Times New Roman" w:hAnsi="Times New Roman" w:cs="Times New Roman"/>
          <w:b/>
          <w:lang w:val="en-GB"/>
        </w:rPr>
      </w:pPr>
      <w:r w:rsidRPr="00A74E55">
        <w:rPr>
          <w:rFonts w:ascii="Times New Roman" w:eastAsia="Times New Roman" w:hAnsi="Times New Roman" w:cs="Times New Roman"/>
          <w:b/>
          <w:lang w:val="en-GB"/>
        </w:rPr>
        <w:t>Method S1.</w:t>
      </w:r>
      <w:r w:rsidRPr="00A74E55">
        <w:rPr>
          <w:rFonts w:ascii="Times New Roman" w:eastAsia="Times New Roman" w:hAnsi="Times New Roman" w:cs="Times New Roman"/>
          <w:lang w:val="en-GB"/>
        </w:rPr>
        <w:t xml:space="preserve"> Secondary Fracture Prevention Continuous Management Fee in Japan</w:t>
      </w:r>
    </w:p>
    <w:p w14:paraId="7A44879B" w14:textId="4A832DD2" w:rsidR="008A4BC7" w:rsidRPr="00A74E55" w:rsidRDefault="000D0BFA">
      <w:pPr>
        <w:rPr>
          <w:rFonts w:ascii="Times New Roman" w:eastAsia="Times New Roman" w:hAnsi="Times New Roman" w:cs="Times New Roman"/>
          <w:lang w:val="en-GB"/>
        </w:rPr>
      </w:pPr>
      <w:r w:rsidRPr="00A74E55">
        <w:rPr>
          <w:rFonts w:ascii="Times New Roman" w:eastAsia="Times New Roman" w:hAnsi="Times New Roman" w:cs="Times New Roman"/>
          <w:b/>
          <w:lang w:val="en-GB"/>
        </w:rPr>
        <w:t xml:space="preserve">Method S2. </w:t>
      </w:r>
      <w:r w:rsidRPr="00A74E55">
        <w:rPr>
          <w:rFonts w:ascii="Times New Roman" w:eastAsia="Times New Roman" w:hAnsi="Times New Roman" w:cs="Times New Roman"/>
          <w:lang w:val="en-GB"/>
        </w:rPr>
        <w:t>Segmented interrupted time</w:t>
      </w:r>
      <w:r w:rsidR="001822A4">
        <w:rPr>
          <w:rFonts w:ascii="Times New Roman" w:eastAsia="Times New Roman" w:hAnsi="Times New Roman" w:cs="Times New Roman"/>
          <w:lang w:val="en-GB"/>
        </w:rPr>
        <w:t>-</w:t>
      </w:r>
      <w:r w:rsidRPr="00A74E55">
        <w:rPr>
          <w:rFonts w:ascii="Times New Roman" w:eastAsia="Times New Roman" w:hAnsi="Times New Roman" w:cs="Times New Roman"/>
          <w:lang w:val="en-GB"/>
        </w:rPr>
        <w:t>series model specification</w:t>
      </w:r>
    </w:p>
    <w:p w14:paraId="321340F1" w14:textId="77777777" w:rsidR="008A4BC7" w:rsidRPr="00A74E55" w:rsidRDefault="000D0BFA">
      <w:pPr>
        <w:rPr>
          <w:rFonts w:ascii="Times New Roman" w:eastAsia="Times New Roman" w:hAnsi="Times New Roman" w:cs="Times New Roman"/>
          <w:lang w:val="en-GB"/>
        </w:rPr>
      </w:pPr>
      <w:r w:rsidRPr="00A74E55">
        <w:rPr>
          <w:rFonts w:ascii="Times New Roman" w:eastAsia="Times New Roman" w:hAnsi="Times New Roman" w:cs="Times New Roman"/>
          <w:b/>
          <w:lang w:val="en-GB"/>
        </w:rPr>
        <w:t>Table S1.</w:t>
      </w:r>
      <w:r w:rsidRPr="00A74E55">
        <w:rPr>
          <w:rFonts w:ascii="Times New Roman" w:eastAsia="Times New Roman" w:hAnsi="Times New Roman" w:cs="Times New Roman"/>
          <w:lang w:val="en-GB"/>
        </w:rPr>
        <w:t xml:space="preserve"> Definitions of outcomes</w:t>
      </w:r>
    </w:p>
    <w:p w14:paraId="27AF2C4D" w14:textId="2581BD90" w:rsidR="008A4BC7" w:rsidRDefault="000D0BFA">
      <w:pPr>
        <w:rPr>
          <w:rFonts w:ascii="Times New Roman" w:eastAsia="Times New Roman" w:hAnsi="Times New Roman" w:cs="Times New Roman"/>
          <w:lang w:val="en-GB"/>
        </w:rPr>
      </w:pPr>
      <w:r w:rsidRPr="00A74E55">
        <w:rPr>
          <w:rFonts w:ascii="Times New Roman" w:eastAsia="Times New Roman" w:hAnsi="Times New Roman" w:cs="Times New Roman"/>
          <w:b/>
          <w:lang w:val="en-GB"/>
        </w:rPr>
        <w:t>Table S2.</w:t>
      </w:r>
      <w:r w:rsidRPr="00A74E55">
        <w:rPr>
          <w:rFonts w:ascii="Times New Roman" w:eastAsia="Times New Roman" w:hAnsi="Times New Roman" w:cs="Times New Roman"/>
          <w:lang w:val="en-GB"/>
        </w:rPr>
        <w:t xml:space="preserve"> List of WHO</w:t>
      </w:r>
      <w:r w:rsidR="001822A4">
        <w:rPr>
          <w:rFonts w:ascii="Times New Roman" w:eastAsia="Times New Roman" w:hAnsi="Times New Roman" w:cs="Times New Roman"/>
          <w:lang w:val="en-GB"/>
        </w:rPr>
        <w:t>–</w:t>
      </w:r>
      <w:r w:rsidRPr="00A74E55">
        <w:rPr>
          <w:rFonts w:ascii="Times New Roman" w:eastAsia="Times New Roman" w:hAnsi="Times New Roman" w:cs="Times New Roman"/>
          <w:lang w:val="en-GB"/>
        </w:rPr>
        <w:t>ATC codes</w:t>
      </w:r>
    </w:p>
    <w:p w14:paraId="42C17E04" w14:textId="3AF8CF89" w:rsidR="00D523DB" w:rsidRPr="00D523DB" w:rsidRDefault="00D523DB">
      <w:pPr>
        <w:rPr>
          <w:rFonts w:ascii="Times New Roman" w:eastAsia="Times New Roman" w:hAnsi="Times New Roman" w:cs="Times New Roman"/>
        </w:rPr>
      </w:pPr>
      <w:r w:rsidRPr="00D523DB">
        <w:rPr>
          <w:rFonts w:ascii="Times New Roman" w:eastAsia="Times New Roman" w:hAnsi="Times New Roman" w:cs="Times New Roman"/>
          <w:b/>
          <w:bCs/>
        </w:rPr>
        <w:t>Figure S1.</w:t>
      </w:r>
      <w:r>
        <w:rPr>
          <w:rFonts w:ascii="Times New Roman" w:eastAsia="Times New Roman" w:hAnsi="Times New Roman" w:cs="Times New Roman"/>
        </w:rPr>
        <w:t xml:space="preserve"> </w:t>
      </w:r>
      <w:r w:rsidRPr="00D523DB">
        <w:rPr>
          <w:rFonts w:ascii="Times New Roman" w:eastAsia="Times New Roman" w:hAnsi="Times New Roman" w:cs="Times New Roman"/>
        </w:rPr>
        <w:t>Cumulative adoption of the reimbursement add-on across facilities after policy implementation</w:t>
      </w:r>
    </w:p>
    <w:p w14:paraId="06435C25" w14:textId="77777777" w:rsidR="008A4BC7" w:rsidRPr="00A74E55" w:rsidRDefault="000D0BFA">
      <w:pPr>
        <w:rPr>
          <w:rFonts w:ascii="Times New Roman" w:eastAsia="Times New Roman" w:hAnsi="Times New Roman" w:cs="Times New Roman"/>
          <w:lang w:val="en-GB"/>
        </w:rPr>
      </w:pPr>
      <w:r w:rsidRPr="00A74E55">
        <w:rPr>
          <w:rFonts w:ascii="Times New Roman" w:eastAsia="Times New Roman" w:hAnsi="Times New Roman" w:cs="Times New Roman"/>
          <w:lang w:val="en-GB"/>
        </w:rPr>
        <w:br w:type="page"/>
      </w:r>
    </w:p>
    <w:p w14:paraId="6132A692" w14:textId="7D5202D8" w:rsidR="008A4BC7" w:rsidRPr="00A74E55" w:rsidRDefault="000D0BFA">
      <w:pPr>
        <w:rPr>
          <w:rFonts w:ascii="Times New Roman" w:eastAsia="Times New Roman" w:hAnsi="Times New Roman" w:cs="Times New Roman"/>
          <w:b/>
          <w:lang w:val="en-GB"/>
        </w:rPr>
      </w:pPr>
      <w:r w:rsidRPr="00A74E55">
        <w:rPr>
          <w:rFonts w:ascii="Times New Roman" w:eastAsia="Times New Roman" w:hAnsi="Times New Roman" w:cs="Times New Roman"/>
          <w:b/>
          <w:lang w:val="en-GB"/>
        </w:rPr>
        <w:lastRenderedPageBreak/>
        <w:t>Method S1.</w:t>
      </w:r>
      <w:r w:rsidRPr="00A74E55">
        <w:rPr>
          <w:rFonts w:ascii="Times New Roman" w:eastAsia="Times New Roman" w:hAnsi="Times New Roman" w:cs="Times New Roman"/>
          <w:lang w:val="en-GB"/>
        </w:rPr>
        <w:t xml:space="preserve"> </w:t>
      </w:r>
      <w:r w:rsidRPr="00A74E55">
        <w:rPr>
          <w:rFonts w:ascii="Times New Roman" w:eastAsia="Times New Roman" w:hAnsi="Times New Roman" w:cs="Times New Roman"/>
          <w:b/>
          <w:lang w:val="en-GB"/>
        </w:rPr>
        <w:t>Secondary fracture prevention continuous management fee in Japan</w:t>
      </w:r>
    </w:p>
    <w:p w14:paraId="6F2D128B" w14:textId="77777777" w:rsidR="008A4BC7" w:rsidRPr="00A74E55" w:rsidRDefault="000D0BFA">
      <w:pPr>
        <w:rPr>
          <w:rFonts w:ascii="Times New Roman" w:eastAsia="Times New Roman" w:hAnsi="Times New Roman" w:cs="Times New Roman"/>
          <w:b/>
          <w:lang w:val="en-GB"/>
        </w:rPr>
      </w:pPr>
      <w:r w:rsidRPr="00A74E55">
        <w:rPr>
          <w:rFonts w:ascii="Times New Roman" w:eastAsia="Times New Roman" w:hAnsi="Times New Roman" w:cs="Times New Roman"/>
          <w:b/>
          <w:lang w:val="en-GB"/>
        </w:rPr>
        <w:t>Policy overview and clinical standards</w:t>
      </w:r>
    </w:p>
    <w:p w14:paraId="2F2D40BA" w14:textId="2DE984AB" w:rsidR="008A4BC7" w:rsidRPr="00A74E55" w:rsidRDefault="000D0BFA">
      <w:pPr>
        <w:rPr>
          <w:rFonts w:ascii="Times New Roman" w:eastAsia="Times New Roman" w:hAnsi="Times New Roman" w:cs="Times New Roman"/>
          <w:b/>
          <w:lang w:val="en-GB"/>
        </w:rPr>
      </w:pPr>
      <w:r w:rsidRPr="00A74E55">
        <w:rPr>
          <w:rFonts w:ascii="Times New Roman" w:eastAsia="Times New Roman" w:hAnsi="Times New Roman" w:cs="Times New Roman"/>
          <w:lang w:val="en-GB"/>
        </w:rPr>
        <w:t>The 2022 revision of the Japanese National Health Insurance Fee Schedule introduced a new add-on reimbursement known as the Secondary Fracture Prevention Continuous Management Fee. This policy aims to incentivise continuous osteoporosis assessment and treatment following hip fractures to prevent subsequent fractures. The policy is designed to be implemented in accordance with relevant academic guidelines, such as the 'Guidelines for the Prevention and Treatment of Osteoporosis', and 'Fracture Liaison Servic</w:t>
      </w:r>
      <w:r w:rsidRPr="00A74E55">
        <w:rPr>
          <w:rFonts w:ascii="Times New Roman" w:eastAsia="Times New Roman" w:hAnsi="Times New Roman" w:cs="Times New Roman"/>
          <w:lang w:val="en-GB"/>
        </w:rPr>
        <w:t xml:space="preserve">e Clinical Standards' </w:t>
      </w:r>
      <w:r w:rsidR="00A92EC4">
        <w:rPr>
          <w:rFonts w:ascii="Times New Roman" w:eastAsia="Times New Roman" w:hAnsi="Times New Roman" w:cs="Times New Roman"/>
          <w:lang w:val="en-GB"/>
        </w:rPr>
        <w:t xml:space="preserve">devised </w:t>
      </w:r>
      <w:r w:rsidRPr="00A74E55">
        <w:rPr>
          <w:rFonts w:ascii="Times New Roman" w:eastAsia="Times New Roman" w:hAnsi="Times New Roman" w:cs="Times New Roman"/>
          <w:lang w:val="en-GB"/>
        </w:rPr>
        <w:t>by the Japan Osteoporosis Society and the Japan Fragility Fracture Network.</w:t>
      </w:r>
    </w:p>
    <w:p w14:paraId="7618FE80" w14:textId="77777777" w:rsidR="008A4BC7" w:rsidRPr="00A74E55" w:rsidRDefault="000D0BFA">
      <w:pPr>
        <w:rPr>
          <w:rFonts w:ascii="Times New Roman" w:eastAsia="Times New Roman" w:hAnsi="Times New Roman" w:cs="Times New Roman"/>
          <w:b/>
          <w:lang w:val="en-GB"/>
        </w:rPr>
      </w:pPr>
      <w:r w:rsidRPr="00A74E55">
        <w:rPr>
          <w:rFonts w:ascii="Times New Roman" w:eastAsia="Times New Roman" w:hAnsi="Times New Roman" w:cs="Times New Roman"/>
          <w:b/>
          <w:lang w:val="en-GB"/>
        </w:rPr>
        <w:t>Fee categories, settings, and reimbursement points</w:t>
      </w:r>
    </w:p>
    <w:p w14:paraId="37E87A06" w14:textId="72936891" w:rsidR="008A4BC7" w:rsidRPr="00A74E55" w:rsidRDefault="000D0BFA">
      <w:pPr>
        <w:rPr>
          <w:rFonts w:ascii="Times New Roman" w:eastAsia="Times New Roman" w:hAnsi="Times New Roman" w:cs="Times New Roman"/>
          <w:lang w:val="en-GB"/>
        </w:rPr>
      </w:pPr>
      <w:r w:rsidRPr="00A74E55">
        <w:rPr>
          <w:rFonts w:ascii="Times New Roman" w:eastAsia="Times New Roman" w:hAnsi="Times New Roman" w:cs="Times New Roman"/>
          <w:lang w:val="en-GB"/>
        </w:rPr>
        <w:t>The fee structure is divided into three categories corresponding to the patient's stage of care within the clinical pathway: acute hospitalisation, post-acute recovery and outpatient follow-up. Specific reimbursement points (1 point = 10 Yen) are assigned as follows</w:t>
      </w:r>
      <w:r w:rsidR="00A92EC4">
        <w:rPr>
          <w:rFonts w:ascii="Times New Roman" w:eastAsia="Times New Roman" w:hAnsi="Times New Roman" w:cs="Times New Roman"/>
          <w:lang w:val="en-GB"/>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97"/>
        <w:gridCol w:w="6159"/>
        <w:gridCol w:w="1347"/>
        <w:gridCol w:w="3582"/>
      </w:tblGrid>
      <w:tr w:rsidR="008A4BC7" w:rsidRPr="001822A4" w14:paraId="59C740AC" w14:textId="77777777">
        <w:trPr>
          <w:tblCellSpacing w:w="15" w:type="dxa"/>
        </w:trPr>
        <w:tc>
          <w:tcPr>
            <w:tcW w:w="1052" w:type="dxa"/>
            <w:tcBorders>
              <w:top w:val="single" w:sz="6" w:space="0" w:color="auto"/>
              <w:left w:val="single" w:sz="6" w:space="0" w:color="auto"/>
              <w:bottom w:val="single" w:sz="6" w:space="0" w:color="auto"/>
              <w:right w:val="single" w:sz="6" w:space="0" w:color="auto"/>
            </w:tcBorders>
            <w:vAlign w:val="center"/>
          </w:tcPr>
          <w:p w14:paraId="6C9E0607" w14:textId="77777777" w:rsidR="008A4BC7" w:rsidRPr="00A74E55" w:rsidRDefault="000D0BFA">
            <w:pPr>
              <w:rPr>
                <w:rFonts w:ascii="Times New Roman" w:eastAsia="Times New Roman" w:hAnsi="Times New Roman" w:cs="Times New Roman"/>
                <w:lang w:val="en-GB"/>
              </w:rPr>
            </w:pPr>
            <w:r w:rsidRPr="00A74E55">
              <w:rPr>
                <w:rFonts w:ascii="Times New Roman" w:eastAsia="Times New Roman" w:hAnsi="Times New Roman" w:cs="Times New Roman"/>
                <w:b/>
                <w:lang w:val="en-GB"/>
              </w:rPr>
              <w:t>Category</w:t>
            </w:r>
          </w:p>
        </w:tc>
        <w:tc>
          <w:tcPr>
            <w:tcW w:w="6129" w:type="dxa"/>
            <w:tcBorders>
              <w:top w:val="single" w:sz="6" w:space="0" w:color="auto"/>
              <w:left w:val="single" w:sz="6" w:space="0" w:color="auto"/>
              <w:bottom w:val="single" w:sz="6" w:space="0" w:color="auto"/>
              <w:right w:val="single" w:sz="6" w:space="0" w:color="auto"/>
            </w:tcBorders>
            <w:vAlign w:val="center"/>
          </w:tcPr>
          <w:p w14:paraId="055A302F" w14:textId="77777777" w:rsidR="008A4BC7" w:rsidRPr="00A74E55" w:rsidRDefault="000D0BFA">
            <w:pPr>
              <w:rPr>
                <w:rFonts w:ascii="Times New Roman" w:eastAsia="Times New Roman" w:hAnsi="Times New Roman" w:cs="Times New Roman"/>
                <w:lang w:val="en-GB"/>
              </w:rPr>
            </w:pPr>
            <w:r w:rsidRPr="00A74E55">
              <w:rPr>
                <w:rFonts w:ascii="Times New Roman" w:eastAsia="Times New Roman" w:hAnsi="Times New Roman" w:cs="Times New Roman"/>
                <w:b/>
                <w:lang w:val="en-GB"/>
              </w:rPr>
              <w:t>Fee Name</w:t>
            </w:r>
          </w:p>
        </w:tc>
        <w:tc>
          <w:tcPr>
            <w:tcW w:w="1317" w:type="dxa"/>
            <w:tcBorders>
              <w:top w:val="single" w:sz="6" w:space="0" w:color="auto"/>
              <w:left w:val="single" w:sz="6" w:space="0" w:color="auto"/>
              <w:bottom w:val="single" w:sz="6" w:space="0" w:color="auto"/>
              <w:right w:val="single" w:sz="6" w:space="0" w:color="auto"/>
            </w:tcBorders>
            <w:vAlign w:val="center"/>
          </w:tcPr>
          <w:p w14:paraId="6FF73571" w14:textId="77777777" w:rsidR="008A4BC7" w:rsidRPr="00A74E55" w:rsidRDefault="000D0BFA">
            <w:pPr>
              <w:rPr>
                <w:rFonts w:ascii="Times New Roman" w:eastAsia="Times New Roman" w:hAnsi="Times New Roman" w:cs="Times New Roman"/>
                <w:lang w:val="en-GB"/>
              </w:rPr>
            </w:pPr>
            <w:r w:rsidRPr="00A74E55">
              <w:rPr>
                <w:rFonts w:ascii="Times New Roman" w:eastAsia="Times New Roman" w:hAnsi="Times New Roman" w:cs="Times New Roman"/>
                <w:b/>
                <w:lang w:val="en-GB"/>
              </w:rPr>
              <w:t>Points</w:t>
            </w:r>
          </w:p>
        </w:tc>
        <w:tc>
          <w:tcPr>
            <w:tcW w:w="3537" w:type="dxa"/>
            <w:tcBorders>
              <w:top w:val="single" w:sz="6" w:space="0" w:color="auto"/>
              <w:left w:val="single" w:sz="6" w:space="0" w:color="auto"/>
              <w:bottom w:val="single" w:sz="6" w:space="0" w:color="auto"/>
              <w:right w:val="single" w:sz="6" w:space="0" w:color="auto"/>
            </w:tcBorders>
            <w:vAlign w:val="center"/>
          </w:tcPr>
          <w:p w14:paraId="79CA1CFE" w14:textId="77777777" w:rsidR="008A4BC7" w:rsidRPr="00A74E55" w:rsidRDefault="000D0BFA">
            <w:pPr>
              <w:rPr>
                <w:rFonts w:ascii="Times New Roman" w:eastAsia="Times New Roman" w:hAnsi="Times New Roman" w:cs="Times New Roman"/>
                <w:lang w:val="en-GB"/>
              </w:rPr>
            </w:pPr>
            <w:r w:rsidRPr="00A74E55">
              <w:rPr>
                <w:rFonts w:ascii="Times New Roman" w:eastAsia="Times New Roman" w:hAnsi="Times New Roman" w:cs="Times New Roman"/>
                <w:b/>
                <w:lang w:val="en-GB"/>
              </w:rPr>
              <w:t>Setting/Billing Timing</w:t>
            </w:r>
          </w:p>
        </w:tc>
      </w:tr>
      <w:tr w:rsidR="008A4BC7" w:rsidRPr="001822A4" w14:paraId="60745D43" w14:textId="77777777">
        <w:trPr>
          <w:tblCellSpacing w:w="15" w:type="dxa"/>
        </w:trPr>
        <w:tc>
          <w:tcPr>
            <w:tcW w:w="1052" w:type="dxa"/>
            <w:tcBorders>
              <w:top w:val="single" w:sz="6" w:space="0" w:color="auto"/>
              <w:left w:val="single" w:sz="6" w:space="0" w:color="auto"/>
              <w:bottom w:val="single" w:sz="6" w:space="0" w:color="auto"/>
              <w:right w:val="single" w:sz="6" w:space="0" w:color="auto"/>
            </w:tcBorders>
            <w:vAlign w:val="center"/>
          </w:tcPr>
          <w:p w14:paraId="4C08DED3" w14:textId="77777777" w:rsidR="008A4BC7" w:rsidRPr="00A74E55" w:rsidRDefault="000D0BFA">
            <w:pPr>
              <w:rPr>
                <w:rFonts w:ascii="Times New Roman" w:eastAsia="Times New Roman" w:hAnsi="Times New Roman" w:cs="Times New Roman"/>
                <w:lang w:val="en-GB"/>
              </w:rPr>
            </w:pPr>
            <w:r w:rsidRPr="00A74E55">
              <w:rPr>
                <w:rFonts w:ascii="Times New Roman" w:eastAsia="Times New Roman" w:hAnsi="Times New Roman" w:cs="Times New Roman"/>
                <w:b/>
                <w:lang w:val="en-GB"/>
              </w:rPr>
              <w:t>Fee 1</w:t>
            </w:r>
          </w:p>
        </w:tc>
        <w:tc>
          <w:tcPr>
            <w:tcW w:w="6129" w:type="dxa"/>
            <w:tcBorders>
              <w:top w:val="single" w:sz="6" w:space="0" w:color="auto"/>
              <w:left w:val="single" w:sz="6" w:space="0" w:color="auto"/>
              <w:bottom w:val="single" w:sz="6" w:space="0" w:color="auto"/>
              <w:right w:val="single" w:sz="6" w:space="0" w:color="auto"/>
            </w:tcBorders>
            <w:vAlign w:val="center"/>
          </w:tcPr>
          <w:p w14:paraId="0B59246A" w14:textId="77777777" w:rsidR="008A4BC7" w:rsidRPr="00A74E55" w:rsidRDefault="000D0BFA">
            <w:pPr>
              <w:rPr>
                <w:rFonts w:ascii="Times New Roman" w:eastAsia="Times New Roman" w:hAnsi="Times New Roman" w:cs="Times New Roman"/>
                <w:lang w:val="en-GB"/>
              </w:rPr>
            </w:pPr>
            <w:r w:rsidRPr="00A74E55">
              <w:rPr>
                <w:rFonts w:ascii="Times New Roman" w:eastAsia="Times New Roman" w:hAnsi="Times New Roman" w:cs="Times New Roman"/>
                <w:lang w:val="en-GB"/>
              </w:rPr>
              <w:t>Secondary Fracture Prevention Continuous Management Fee 1</w:t>
            </w:r>
          </w:p>
        </w:tc>
        <w:tc>
          <w:tcPr>
            <w:tcW w:w="1317" w:type="dxa"/>
            <w:tcBorders>
              <w:top w:val="single" w:sz="6" w:space="0" w:color="auto"/>
              <w:left w:val="single" w:sz="6" w:space="0" w:color="auto"/>
              <w:bottom w:val="single" w:sz="6" w:space="0" w:color="auto"/>
              <w:right w:val="single" w:sz="6" w:space="0" w:color="auto"/>
            </w:tcBorders>
            <w:vAlign w:val="center"/>
          </w:tcPr>
          <w:p w14:paraId="75D6AF3A" w14:textId="77777777" w:rsidR="008A4BC7" w:rsidRPr="00A74E55" w:rsidRDefault="000D0BFA">
            <w:pPr>
              <w:rPr>
                <w:rFonts w:ascii="Times New Roman" w:eastAsia="Times New Roman" w:hAnsi="Times New Roman" w:cs="Times New Roman"/>
                <w:lang w:val="en-GB"/>
              </w:rPr>
            </w:pPr>
            <w:r w:rsidRPr="00A74E55">
              <w:rPr>
                <w:rFonts w:ascii="Times New Roman" w:eastAsia="Times New Roman" w:hAnsi="Times New Roman" w:cs="Times New Roman"/>
                <w:b/>
                <w:lang w:val="en-GB"/>
              </w:rPr>
              <w:t>1,000 points</w:t>
            </w:r>
          </w:p>
        </w:tc>
        <w:tc>
          <w:tcPr>
            <w:tcW w:w="3537" w:type="dxa"/>
            <w:tcBorders>
              <w:top w:val="single" w:sz="6" w:space="0" w:color="auto"/>
              <w:left w:val="single" w:sz="6" w:space="0" w:color="auto"/>
              <w:bottom w:val="single" w:sz="6" w:space="0" w:color="auto"/>
              <w:right w:val="single" w:sz="6" w:space="0" w:color="auto"/>
            </w:tcBorders>
            <w:vAlign w:val="center"/>
          </w:tcPr>
          <w:p w14:paraId="480D312A" w14:textId="77777777" w:rsidR="008A4BC7" w:rsidRPr="00A74E55" w:rsidRDefault="000D0BFA">
            <w:pPr>
              <w:rPr>
                <w:rFonts w:ascii="Times New Roman" w:eastAsia="Times New Roman" w:hAnsi="Times New Roman" w:cs="Times New Roman"/>
                <w:lang w:val="en-GB"/>
              </w:rPr>
            </w:pPr>
            <w:r w:rsidRPr="00A74E55">
              <w:rPr>
                <w:rFonts w:ascii="Times New Roman" w:eastAsia="Times New Roman" w:hAnsi="Times New Roman" w:cs="Times New Roman"/>
                <w:lang w:val="en-GB"/>
              </w:rPr>
              <w:t>Acute Care</w:t>
            </w:r>
          </w:p>
          <w:p w14:paraId="3D240415" w14:textId="77777777" w:rsidR="008A4BC7" w:rsidRPr="00A74E55" w:rsidRDefault="000D0BFA">
            <w:pPr>
              <w:rPr>
                <w:rFonts w:ascii="Times New Roman" w:eastAsia="Times New Roman" w:hAnsi="Times New Roman" w:cs="Times New Roman"/>
                <w:lang w:val="en-GB"/>
              </w:rPr>
            </w:pPr>
            <w:r w:rsidRPr="00A74E55">
              <w:rPr>
                <w:rFonts w:ascii="游明朝" w:eastAsia="游明朝" w:hAnsi="游明朝" w:cs="游明朝"/>
                <w:lang w:val="en-GB"/>
              </w:rPr>
              <w:br/>
            </w:r>
          </w:p>
          <w:p w14:paraId="29BD5BB8" w14:textId="77777777" w:rsidR="008A4BC7" w:rsidRPr="00A74E55" w:rsidRDefault="000D0BFA">
            <w:pPr>
              <w:rPr>
                <w:rFonts w:ascii="Times New Roman" w:eastAsia="Times New Roman" w:hAnsi="Times New Roman" w:cs="Times New Roman"/>
                <w:lang w:val="en-GB"/>
              </w:rPr>
            </w:pPr>
            <w:r w:rsidRPr="00A74E55">
              <w:rPr>
                <w:rFonts w:ascii="Times New Roman" w:eastAsia="Times New Roman" w:hAnsi="Times New Roman" w:cs="Times New Roman"/>
                <w:lang w:val="en-GB"/>
              </w:rPr>
              <w:t>Once per admission</w:t>
            </w:r>
          </w:p>
        </w:tc>
      </w:tr>
      <w:tr w:rsidR="008A4BC7" w:rsidRPr="001822A4" w14:paraId="0FF0CC39" w14:textId="77777777">
        <w:trPr>
          <w:tblCellSpacing w:w="15" w:type="dxa"/>
        </w:trPr>
        <w:tc>
          <w:tcPr>
            <w:tcW w:w="1052" w:type="dxa"/>
            <w:tcBorders>
              <w:top w:val="single" w:sz="6" w:space="0" w:color="auto"/>
              <w:left w:val="single" w:sz="6" w:space="0" w:color="auto"/>
              <w:bottom w:val="single" w:sz="6" w:space="0" w:color="auto"/>
              <w:right w:val="single" w:sz="6" w:space="0" w:color="auto"/>
            </w:tcBorders>
            <w:vAlign w:val="center"/>
          </w:tcPr>
          <w:p w14:paraId="6B2AAEC0" w14:textId="77777777" w:rsidR="008A4BC7" w:rsidRPr="00A74E55" w:rsidRDefault="000D0BFA">
            <w:pPr>
              <w:rPr>
                <w:rFonts w:ascii="Times New Roman" w:eastAsia="Times New Roman" w:hAnsi="Times New Roman" w:cs="Times New Roman"/>
                <w:lang w:val="en-GB"/>
              </w:rPr>
            </w:pPr>
            <w:r w:rsidRPr="00A74E55">
              <w:rPr>
                <w:rFonts w:ascii="Times New Roman" w:eastAsia="Times New Roman" w:hAnsi="Times New Roman" w:cs="Times New Roman"/>
                <w:b/>
                <w:lang w:val="en-GB"/>
              </w:rPr>
              <w:t>Fee 2</w:t>
            </w:r>
          </w:p>
        </w:tc>
        <w:tc>
          <w:tcPr>
            <w:tcW w:w="6129" w:type="dxa"/>
            <w:tcBorders>
              <w:top w:val="single" w:sz="6" w:space="0" w:color="auto"/>
              <w:left w:val="single" w:sz="6" w:space="0" w:color="auto"/>
              <w:bottom w:val="single" w:sz="6" w:space="0" w:color="auto"/>
              <w:right w:val="single" w:sz="6" w:space="0" w:color="auto"/>
            </w:tcBorders>
            <w:vAlign w:val="center"/>
          </w:tcPr>
          <w:p w14:paraId="5F7EECAA" w14:textId="77777777" w:rsidR="008A4BC7" w:rsidRPr="00A74E55" w:rsidRDefault="000D0BFA">
            <w:pPr>
              <w:rPr>
                <w:rFonts w:ascii="Times New Roman" w:eastAsia="Times New Roman" w:hAnsi="Times New Roman" w:cs="Times New Roman"/>
                <w:lang w:val="en-GB"/>
              </w:rPr>
            </w:pPr>
            <w:r w:rsidRPr="00A74E55">
              <w:rPr>
                <w:rFonts w:ascii="Times New Roman" w:eastAsia="Times New Roman" w:hAnsi="Times New Roman" w:cs="Times New Roman"/>
                <w:lang w:val="en-GB"/>
              </w:rPr>
              <w:t>Secondary Fracture Prevention Continuous Management Fee 2</w:t>
            </w:r>
          </w:p>
        </w:tc>
        <w:tc>
          <w:tcPr>
            <w:tcW w:w="1317" w:type="dxa"/>
            <w:tcBorders>
              <w:top w:val="single" w:sz="6" w:space="0" w:color="auto"/>
              <w:left w:val="single" w:sz="6" w:space="0" w:color="auto"/>
              <w:bottom w:val="single" w:sz="6" w:space="0" w:color="auto"/>
              <w:right w:val="single" w:sz="6" w:space="0" w:color="auto"/>
            </w:tcBorders>
            <w:vAlign w:val="center"/>
          </w:tcPr>
          <w:p w14:paraId="234A2BC6" w14:textId="77777777" w:rsidR="008A4BC7" w:rsidRPr="00A74E55" w:rsidRDefault="000D0BFA">
            <w:pPr>
              <w:rPr>
                <w:rFonts w:ascii="Times New Roman" w:eastAsia="Times New Roman" w:hAnsi="Times New Roman" w:cs="Times New Roman"/>
                <w:lang w:val="en-GB"/>
              </w:rPr>
            </w:pPr>
            <w:r w:rsidRPr="00A74E55">
              <w:rPr>
                <w:rFonts w:ascii="Times New Roman" w:eastAsia="Times New Roman" w:hAnsi="Times New Roman" w:cs="Times New Roman"/>
                <w:b/>
                <w:lang w:val="en-GB"/>
              </w:rPr>
              <w:t>750 points</w:t>
            </w:r>
          </w:p>
        </w:tc>
        <w:tc>
          <w:tcPr>
            <w:tcW w:w="3537" w:type="dxa"/>
            <w:tcBorders>
              <w:top w:val="single" w:sz="6" w:space="0" w:color="auto"/>
              <w:left w:val="single" w:sz="6" w:space="0" w:color="auto"/>
              <w:bottom w:val="single" w:sz="6" w:space="0" w:color="auto"/>
              <w:right w:val="single" w:sz="6" w:space="0" w:color="auto"/>
            </w:tcBorders>
            <w:vAlign w:val="center"/>
          </w:tcPr>
          <w:p w14:paraId="6F7E01A0" w14:textId="3BB5DF1C" w:rsidR="008A4BC7" w:rsidRPr="00A74E55" w:rsidRDefault="000D0BFA">
            <w:pPr>
              <w:rPr>
                <w:rFonts w:ascii="Times New Roman" w:eastAsia="Times New Roman" w:hAnsi="Times New Roman" w:cs="Times New Roman"/>
                <w:lang w:val="en-GB"/>
              </w:rPr>
            </w:pPr>
            <w:r w:rsidRPr="00A74E55">
              <w:rPr>
                <w:rFonts w:ascii="Times New Roman" w:eastAsia="Times New Roman" w:hAnsi="Times New Roman" w:cs="Times New Roman"/>
                <w:lang w:val="en-GB"/>
              </w:rPr>
              <w:t xml:space="preserve">Recovery Phase (e.g. </w:t>
            </w:r>
            <w:r w:rsidR="00A92EC4">
              <w:rPr>
                <w:rFonts w:ascii="Times New Roman" w:eastAsia="Times New Roman" w:hAnsi="Times New Roman" w:cs="Times New Roman"/>
                <w:lang w:val="en-GB"/>
              </w:rPr>
              <w:t>r</w:t>
            </w:r>
            <w:r w:rsidRPr="00A74E55">
              <w:rPr>
                <w:rFonts w:ascii="Times New Roman" w:eastAsia="Times New Roman" w:hAnsi="Times New Roman" w:cs="Times New Roman"/>
                <w:lang w:val="en-GB"/>
              </w:rPr>
              <w:t>ehab</w:t>
            </w:r>
            <w:r w:rsidR="001822A4">
              <w:rPr>
                <w:rFonts w:ascii="Times New Roman" w:eastAsia="Times New Roman" w:hAnsi="Times New Roman" w:cs="Times New Roman"/>
                <w:lang w:val="en-GB"/>
              </w:rPr>
              <w:t>ilitation</w:t>
            </w:r>
            <w:r w:rsidRPr="00A74E55">
              <w:rPr>
                <w:rFonts w:ascii="Times New Roman" w:eastAsia="Times New Roman" w:hAnsi="Times New Roman" w:cs="Times New Roman"/>
                <w:lang w:val="en-GB"/>
              </w:rPr>
              <w:t xml:space="preserve"> </w:t>
            </w:r>
            <w:r w:rsidR="00A92EC4">
              <w:rPr>
                <w:rFonts w:ascii="Times New Roman" w:eastAsia="Times New Roman" w:hAnsi="Times New Roman" w:cs="Times New Roman"/>
                <w:lang w:val="en-GB"/>
              </w:rPr>
              <w:t>w</w:t>
            </w:r>
            <w:r w:rsidRPr="00A74E55">
              <w:rPr>
                <w:rFonts w:ascii="Times New Roman" w:eastAsia="Times New Roman" w:hAnsi="Times New Roman" w:cs="Times New Roman"/>
                <w:lang w:val="en-GB"/>
              </w:rPr>
              <w:t>ard)</w:t>
            </w:r>
          </w:p>
          <w:p w14:paraId="501147E4" w14:textId="77777777" w:rsidR="008A4BC7" w:rsidRPr="00A74E55" w:rsidRDefault="000D0BFA">
            <w:pPr>
              <w:rPr>
                <w:rFonts w:ascii="Times New Roman" w:eastAsia="Times New Roman" w:hAnsi="Times New Roman" w:cs="Times New Roman"/>
                <w:lang w:val="en-GB"/>
              </w:rPr>
            </w:pPr>
            <w:r w:rsidRPr="00A74E55">
              <w:rPr>
                <w:rFonts w:ascii="游明朝" w:eastAsia="游明朝" w:hAnsi="游明朝" w:cs="游明朝"/>
                <w:lang w:val="en-GB"/>
              </w:rPr>
              <w:br/>
            </w:r>
          </w:p>
          <w:p w14:paraId="41FFDDE7" w14:textId="77777777" w:rsidR="008A4BC7" w:rsidRPr="00A74E55" w:rsidRDefault="000D0BFA">
            <w:pPr>
              <w:rPr>
                <w:rFonts w:ascii="Times New Roman" w:eastAsia="Times New Roman" w:hAnsi="Times New Roman" w:cs="Times New Roman"/>
                <w:lang w:val="en-GB"/>
              </w:rPr>
            </w:pPr>
            <w:r w:rsidRPr="00A74E55">
              <w:rPr>
                <w:rFonts w:ascii="Times New Roman" w:eastAsia="Times New Roman" w:hAnsi="Times New Roman" w:cs="Times New Roman"/>
                <w:lang w:val="en-GB"/>
              </w:rPr>
              <w:t>Once per admission</w:t>
            </w:r>
          </w:p>
        </w:tc>
      </w:tr>
      <w:tr w:rsidR="008A4BC7" w:rsidRPr="001822A4" w14:paraId="438A34B4" w14:textId="77777777">
        <w:trPr>
          <w:tblCellSpacing w:w="15" w:type="dxa"/>
        </w:trPr>
        <w:tc>
          <w:tcPr>
            <w:tcW w:w="1052" w:type="dxa"/>
            <w:tcBorders>
              <w:top w:val="single" w:sz="6" w:space="0" w:color="auto"/>
              <w:left w:val="single" w:sz="6" w:space="0" w:color="auto"/>
              <w:bottom w:val="single" w:sz="6" w:space="0" w:color="auto"/>
              <w:right w:val="single" w:sz="6" w:space="0" w:color="auto"/>
            </w:tcBorders>
            <w:vAlign w:val="center"/>
          </w:tcPr>
          <w:p w14:paraId="23D7705D" w14:textId="77777777" w:rsidR="008A4BC7" w:rsidRPr="00A74E55" w:rsidRDefault="000D0BFA">
            <w:pPr>
              <w:rPr>
                <w:rFonts w:ascii="Times New Roman" w:eastAsia="Times New Roman" w:hAnsi="Times New Roman" w:cs="Times New Roman"/>
                <w:lang w:val="en-GB"/>
              </w:rPr>
            </w:pPr>
            <w:r w:rsidRPr="00A74E55">
              <w:rPr>
                <w:rFonts w:ascii="Times New Roman" w:eastAsia="Times New Roman" w:hAnsi="Times New Roman" w:cs="Times New Roman"/>
                <w:b/>
                <w:lang w:val="en-GB"/>
              </w:rPr>
              <w:t>Fee 3</w:t>
            </w:r>
          </w:p>
        </w:tc>
        <w:tc>
          <w:tcPr>
            <w:tcW w:w="6129" w:type="dxa"/>
            <w:tcBorders>
              <w:top w:val="single" w:sz="6" w:space="0" w:color="auto"/>
              <w:left w:val="single" w:sz="6" w:space="0" w:color="auto"/>
              <w:bottom w:val="single" w:sz="6" w:space="0" w:color="auto"/>
              <w:right w:val="single" w:sz="6" w:space="0" w:color="auto"/>
            </w:tcBorders>
            <w:vAlign w:val="center"/>
          </w:tcPr>
          <w:p w14:paraId="1AFE6878" w14:textId="77777777" w:rsidR="008A4BC7" w:rsidRPr="00A74E55" w:rsidRDefault="000D0BFA">
            <w:pPr>
              <w:rPr>
                <w:rFonts w:ascii="Times New Roman" w:eastAsia="Times New Roman" w:hAnsi="Times New Roman" w:cs="Times New Roman"/>
                <w:lang w:val="en-GB"/>
              </w:rPr>
            </w:pPr>
            <w:r w:rsidRPr="00A74E55">
              <w:rPr>
                <w:rFonts w:ascii="Times New Roman" w:eastAsia="Times New Roman" w:hAnsi="Times New Roman" w:cs="Times New Roman"/>
                <w:lang w:val="en-GB"/>
              </w:rPr>
              <w:t>Secondary Fracture Prevention Continuous Management Fee 3</w:t>
            </w:r>
          </w:p>
        </w:tc>
        <w:tc>
          <w:tcPr>
            <w:tcW w:w="1317" w:type="dxa"/>
            <w:tcBorders>
              <w:top w:val="single" w:sz="6" w:space="0" w:color="auto"/>
              <w:left w:val="single" w:sz="6" w:space="0" w:color="auto"/>
              <w:bottom w:val="single" w:sz="6" w:space="0" w:color="auto"/>
              <w:right w:val="single" w:sz="6" w:space="0" w:color="auto"/>
            </w:tcBorders>
            <w:vAlign w:val="center"/>
          </w:tcPr>
          <w:p w14:paraId="2CFA7E6A" w14:textId="77777777" w:rsidR="008A4BC7" w:rsidRPr="00A74E55" w:rsidRDefault="000D0BFA">
            <w:pPr>
              <w:rPr>
                <w:rFonts w:ascii="Times New Roman" w:eastAsia="Times New Roman" w:hAnsi="Times New Roman" w:cs="Times New Roman"/>
                <w:lang w:val="en-GB"/>
              </w:rPr>
            </w:pPr>
            <w:r w:rsidRPr="00A74E55">
              <w:rPr>
                <w:rFonts w:ascii="Times New Roman" w:eastAsia="Times New Roman" w:hAnsi="Times New Roman" w:cs="Times New Roman"/>
                <w:b/>
                <w:lang w:val="en-GB"/>
              </w:rPr>
              <w:t>500 points</w:t>
            </w:r>
          </w:p>
        </w:tc>
        <w:tc>
          <w:tcPr>
            <w:tcW w:w="3537" w:type="dxa"/>
            <w:tcBorders>
              <w:top w:val="single" w:sz="6" w:space="0" w:color="auto"/>
              <w:left w:val="single" w:sz="6" w:space="0" w:color="auto"/>
              <w:bottom w:val="single" w:sz="6" w:space="0" w:color="auto"/>
              <w:right w:val="single" w:sz="6" w:space="0" w:color="auto"/>
            </w:tcBorders>
            <w:vAlign w:val="center"/>
          </w:tcPr>
          <w:p w14:paraId="20D0728A" w14:textId="77777777" w:rsidR="008A4BC7" w:rsidRPr="00A74E55" w:rsidRDefault="000D0BFA">
            <w:pPr>
              <w:rPr>
                <w:rFonts w:ascii="Times New Roman" w:eastAsia="Times New Roman" w:hAnsi="Times New Roman" w:cs="Times New Roman"/>
                <w:lang w:val="en-GB"/>
              </w:rPr>
            </w:pPr>
            <w:r w:rsidRPr="00A74E55">
              <w:rPr>
                <w:rFonts w:ascii="Times New Roman" w:eastAsia="Times New Roman" w:hAnsi="Times New Roman" w:cs="Times New Roman"/>
                <w:lang w:val="en-GB"/>
              </w:rPr>
              <w:t>Outpatient Setting</w:t>
            </w:r>
          </w:p>
          <w:p w14:paraId="77C6DD4A" w14:textId="77777777" w:rsidR="008A4BC7" w:rsidRPr="00A74E55" w:rsidRDefault="000D0BFA">
            <w:pPr>
              <w:rPr>
                <w:rFonts w:ascii="Times New Roman" w:eastAsia="Times New Roman" w:hAnsi="Times New Roman" w:cs="Times New Roman"/>
                <w:lang w:val="en-GB"/>
              </w:rPr>
            </w:pPr>
            <w:r w:rsidRPr="00A74E55">
              <w:rPr>
                <w:rFonts w:ascii="游明朝" w:eastAsia="游明朝" w:hAnsi="游明朝" w:cs="游明朝"/>
                <w:lang w:val="en-GB"/>
              </w:rPr>
              <w:br/>
            </w:r>
          </w:p>
          <w:p w14:paraId="232452D3" w14:textId="3C3C07E7" w:rsidR="008A4BC7" w:rsidRPr="00A74E55" w:rsidRDefault="000D0BFA">
            <w:pPr>
              <w:rPr>
                <w:rFonts w:ascii="Times New Roman" w:eastAsia="Times New Roman" w:hAnsi="Times New Roman" w:cs="Times New Roman"/>
                <w:lang w:val="en-GB"/>
              </w:rPr>
            </w:pPr>
            <w:r w:rsidRPr="00A74E55">
              <w:rPr>
                <w:rFonts w:ascii="Times New Roman" w:eastAsia="Times New Roman" w:hAnsi="Times New Roman" w:cs="Times New Roman"/>
                <w:lang w:val="en-GB"/>
              </w:rPr>
              <w:t>Once per month (max</w:t>
            </w:r>
            <w:r w:rsidR="00A92EC4">
              <w:rPr>
                <w:rFonts w:ascii="Times New Roman" w:eastAsia="Times New Roman" w:hAnsi="Times New Roman" w:cs="Times New Roman"/>
                <w:lang w:val="en-GB"/>
              </w:rPr>
              <w:t>imum</w:t>
            </w:r>
            <w:r w:rsidRPr="00A74E55">
              <w:rPr>
                <w:rFonts w:ascii="Times New Roman" w:eastAsia="Times New Roman" w:hAnsi="Times New Roman" w:cs="Times New Roman"/>
                <w:lang w:val="en-GB"/>
              </w:rPr>
              <w:t xml:space="preserve"> 1 year)</w:t>
            </w:r>
          </w:p>
        </w:tc>
      </w:tr>
    </w:tbl>
    <w:p w14:paraId="2814C53E" w14:textId="77777777" w:rsidR="008A4BC7" w:rsidRPr="00A74E55" w:rsidRDefault="008A4BC7">
      <w:pPr>
        <w:rPr>
          <w:rFonts w:ascii="Times New Roman" w:eastAsia="Times New Roman" w:hAnsi="Times New Roman" w:cs="Times New Roman"/>
          <w:lang w:val="en-GB"/>
        </w:rPr>
      </w:pPr>
    </w:p>
    <w:p w14:paraId="3FDFABEC" w14:textId="77777777" w:rsidR="008A4BC7" w:rsidRPr="00A74E55" w:rsidRDefault="000D0BFA">
      <w:pPr>
        <w:rPr>
          <w:rFonts w:ascii="Times New Roman" w:eastAsia="Times New Roman" w:hAnsi="Times New Roman" w:cs="Times New Roman"/>
          <w:b/>
          <w:lang w:val="en-GB"/>
        </w:rPr>
      </w:pPr>
      <w:r w:rsidRPr="00A74E55">
        <w:rPr>
          <w:rFonts w:ascii="Times New Roman" w:eastAsia="Times New Roman" w:hAnsi="Times New Roman" w:cs="Times New Roman"/>
          <w:b/>
          <w:lang w:val="en-GB"/>
        </w:rPr>
        <w:t>Eligible patients and required care components</w:t>
      </w:r>
    </w:p>
    <w:p w14:paraId="02D352C2" w14:textId="65D72C72" w:rsidR="008A4BC7" w:rsidRPr="00A74E55" w:rsidRDefault="000D0BFA">
      <w:pPr>
        <w:rPr>
          <w:rFonts w:ascii="Times New Roman" w:eastAsia="Times New Roman" w:hAnsi="Times New Roman" w:cs="Times New Roman"/>
          <w:lang w:val="en-GB"/>
        </w:rPr>
      </w:pPr>
      <w:r w:rsidRPr="00A74E55">
        <w:rPr>
          <w:rFonts w:ascii="Times New Roman" w:eastAsia="Times New Roman" w:hAnsi="Times New Roman" w:cs="Times New Roman"/>
          <w:lang w:val="en-GB"/>
        </w:rPr>
        <w:t xml:space="preserve">This fee </w:t>
      </w:r>
      <w:r w:rsidR="00A92EC4">
        <w:rPr>
          <w:rFonts w:ascii="Times New Roman" w:eastAsia="Times New Roman" w:hAnsi="Times New Roman" w:cs="Times New Roman"/>
          <w:lang w:val="en-GB"/>
        </w:rPr>
        <w:t xml:space="preserve">is </w:t>
      </w:r>
      <w:r w:rsidR="00A92EC4" w:rsidRPr="000B250D">
        <w:rPr>
          <w:rFonts w:ascii="Times New Roman" w:eastAsia="Times New Roman" w:hAnsi="Times New Roman" w:cs="Times New Roman"/>
          <w:lang w:val="en-GB"/>
        </w:rPr>
        <w:t>appli</w:t>
      </w:r>
      <w:r w:rsidR="00A92EC4">
        <w:rPr>
          <w:rFonts w:ascii="Times New Roman" w:eastAsia="Times New Roman" w:hAnsi="Times New Roman" w:cs="Times New Roman"/>
          <w:lang w:val="en-GB"/>
        </w:rPr>
        <w:t>cable</w:t>
      </w:r>
      <w:r w:rsidR="00A92EC4" w:rsidRPr="000B250D">
        <w:rPr>
          <w:rFonts w:ascii="Times New Roman" w:eastAsia="Times New Roman" w:hAnsi="Times New Roman" w:cs="Times New Roman"/>
          <w:lang w:val="en-GB"/>
        </w:rPr>
        <w:t xml:space="preserve"> </w:t>
      </w:r>
      <w:r w:rsidRPr="00A74E55">
        <w:rPr>
          <w:rFonts w:ascii="Times New Roman" w:eastAsia="Times New Roman" w:hAnsi="Times New Roman" w:cs="Times New Roman"/>
          <w:lang w:val="en-GB"/>
        </w:rPr>
        <w:t>exclusively to patients with hip fracture who have undergone surgery. The requirements for each stage are as follows.</w:t>
      </w:r>
    </w:p>
    <w:p w14:paraId="001A7DAD" w14:textId="0F14B6C2" w:rsidR="008A4BC7" w:rsidRPr="00A74E55" w:rsidRDefault="000D0BFA">
      <w:pPr>
        <w:rPr>
          <w:rFonts w:ascii="Times New Roman" w:eastAsia="Times New Roman" w:hAnsi="Times New Roman" w:cs="Times New Roman"/>
          <w:lang w:val="en-GB"/>
        </w:rPr>
      </w:pPr>
      <w:r w:rsidRPr="00A74E55">
        <w:rPr>
          <w:rFonts w:ascii="Times New Roman" w:eastAsia="Times New Roman" w:hAnsi="Times New Roman" w:cs="Times New Roman"/>
          <w:lang w:val="en-GB"/>
        </w:rPr>
        <w:t xml:space="preserve">Fee 1 (Acute Phase) applies to patients admitted to a general ward (excluding wards claiming special inpatient basic fees) who underwent surgery for hip fractures. This fee can be claimed </w:t>
      </w:r>
      <w:r w:rsidR="00A92EC4">
        <w:rPr>
          <w:rFonts w:ascii="Times New Roman" w:eastAsia="Times New Roman" w:hAnsi="Times New Roman" w:cs="Times New Roman"/>
          <w:lang w:val="en-GB"/>
        </w:rPr>
        <w:t xml:space="preserve">upon undergoing </w:t>
      </w:r>
      <w:r w:rsidRPr="00A74E55">
        <w:rPr>
          <w:rFonts w:ascii="Times New Roman" w:eastAsia="Times New Roman" w:hAnsi="Times New Roman" w:cs="Times New Roman"/>
          <w:lang w:val="en-GB"/>
        </w:rPr>
        <w:t xml:space="preserve">planned evaluation of osteoporosis, and the necessary treatment for secondary fracture prevention is initiated during </w:t>
      </w:r>
      <w:r w:rsidRPr="00A74E55">
        <w:rPr>
          <w:rFonts w:ascii="Times New Roman" w:eastAsia="Times New Roman" w:hAnsi="Times New Roman" w:cs="Times New Roman"/>
          <w:lang w:val="en-GB"/>
        </w:rPr>
        <w:lastRenderedPageBreak/>
        <w:t>hospitalisation. Specific evaluations include bone mineral density measurements (specifically</w:t>
      </w:r>
      <w:r w:rsidR="00A92EC4">
        <w:rPr>
          <w:rFonts w:ascii="Times New Roman" w:eastAsia="Times New Roman" w:hAnsi="Times New Roman" w:cs="Times New Roman"/>
          <w:lang w:val="en-GB"/>
        </w:rPr>
        <w:t xml:space="preserve"> </w:t>
      </w:r>
      <w:r w:rsidRPr="00A74E55">
        <w:rPr>
          <w:rFonts w:ascii="Times New Roman" w:eastAsia="Times New Roman" w:hAnsi="Times New Roman" w:cs="Times New Roman"/>
          <w:lang w:val="en-GB"/>
        </w:rPr>
        <w:t>dual-energy X-ray absorptiometry) and thoracolumbar spine radiography to screen for existing vertebral fractures. The guidelines also recommend performing blood tests (including bone turnover markers), evaluating secondary causes, and conducting fall risk assessments. Comprehensive g</w:t>
      </w:r>
      <w:r w:rsidRPr="00A74E55">
        <w:rPr>
          <w:rFonts w:ascii="Times New Roman" w:eastAsia="Times New Roman" w:hAnsi="Times New Roman" w:cs="Times New Roman"/>
          <w:lang w:val="en-GB"/>
        </w:rPr>
        <w:t>eriatric assessments, such as evaluation of cognitive function, sarcopenia, and locomotive syndrome, are also encouraged to formulate a holistic management plan.</w:t>
      </w:r>
    </w:p>
    <w:p w14:paraId="1353F4E0" w14:textId="43193C37" w:rsidR="008A4BC7" w:rsidRPr="00A74E55" w:rsidRDefault="000D0BFA">
      <w:pPr>
        <w:rPr>
          <w:rFonts w:ascii="Times New Roman" w:eastAsia="Times New Roman" w:hAnsi="Times New Roman" w:cs="Times New Roman"/>
          <w:lang w:val="en-GB"/>
        </w:rPr>
      </w:pPr>
      <w:r w:rsidRPr="00A74E55">
        <w:rPr>
          <w:rFonts w:ascii="Times New Roman" w:eastAsia="Times New Roman" w:hAnsi="Times New Roman" w:cs="Times New Roman"/>
          <w:lang w:val="en-GB"/>
        </w:rPr>
        <w:t xml:space="preserve">Fee 2 (Recovery Phase) </w:t>
      </w:r>
      <w:r w:rsidR="00D97A54">
        <w:rPr>
          <w:rFonts w:ascii="Times New Roman" w:eastAsia="Times New Roman" w:hAnsi="Times New Roman" w:cs="Times New Roman"/>
          <w:lang w:val="en-GB"/>
        </w:rPr>
        <w:t>a</w:t>
      </w:r>
      <w:r w:rsidRPr="00A74E55">
        <w:rPr>
          <w:rFonts w:ascii="Times New Roman" w:eastAsia="Times New Roman" w:hAnsi="Times New Roman" w:cs="Times New Roman"/>
          <w:lang w:val="en-GB"/>
        </w:rPr>
        <w:t>pplies to inpatients in recovery-phase wards (e.g. convalescent rehabilitation wards or community</w:t>
      </w:r>
      <w:r w:rsidR="00A92EC4">
        <w:rPr>
          <w:rFonts w:ascii="Times New Roman" w:eastAsia="Times New Roman" w:hAnsi="Times New Roman" w:cs="Times New Roman"/>
          <w:lang w:val="en-GB"/>
        </w:rPr>
        <w:t>-</w:t>
      </w:r>
      <w:r w:rsidRPr="00A74E55">
        <w:rPr>
          <w:rFonts w:ascii="Times New Roman" w:eastAsia="Times New Roman" w:hAnsi="Times New Roman" w:cs="Times New Roman"/>
          <w:lang w:val="en-GB"/>
        </w:rPr>
        <w:t xml:space="preserve">integrated care wards) who have previously received Fee 1, either at the same institution or </w:t>
      </w:r>
      <w:r w:rsidRPr="00A92EC4">
        <w:rPr>
          <w:rFonts w:ascii="Times New Roman" w:eastAsia="Times New Roman" w:hAnsi="Times New Roman" w:cs="Times New Roman"/>
        </w:rPr>
        <w:t>a tr</w:t>
      </w:r>
      <w:r w:rsidRPr="00A74E55">
        <w:rPr>
          <w:rFonts w:ascii="Times New Roman" w:eastAsia="Times New Roman" w:hAnsi="Times New Roman" w:cs="Times New Roman"/>
          <w:lang w:val="en-GB"/>
        </w:rPr>
        <w:t>ansferring</w:t>
      </w:r>
      <w:r w:rsidRPr="00A74E55">
        <w:rPr>
          <w:rFonts w:ascii="Times New Roman" w:eastAsia="Times New Roman" w:hAnsi="Times New Roman" w:cs="Times New Roman"/>
          <w:lang w:val="en-GB"/>
        </w:rPr>
        <w:t xml:space="preserve"> one. The facility must continue osteoporosis evaluation and treatment that was initiated during the recovery phase.</w:t>
      </w:r>
    </w:p>
    <w:p w14:paraId="16E5E121" w14:textId="4EF2D05D" w:rsidR="008A4BC7" w:rsidRPr="00A74E55" w:rsidRDefault="000D0BFA">
      <w:pPr>
        <w:rPr>
          <w:rFonts w:ascii="Times New Roman" w:eastAsia="Times New Roman" w:hAnsi="Times New Roman" w:cs="Times New Roman"/>
          <w:lang w:val="en-GB"/>
        </w:rPr>
      </w:pPr>
      <w:r w:rsidRPr="00A74E55">
        <w:rPr>
          <w:rFonts w:ascii="Times New Roman" w:eastAsia="Times New Roman" w:hAnsi="Times New Roman" w:cs="Times New Roman"/>
          <w:lang w:val="en-GB"/>
        </w:rPr>
        <w:t xml:space="preserve">Fee 3 (Maintenance Phase) </w:t>
      </w:r>
      <w:r w:rsidR="00D97A54">
        <w:rPr>
          <w:rFonts w:ascii="Times New Roman" w:eastAsia="Times New Roman" w:hAnsi="Times New Roman" w:cs="Times New Roman"/>
          <w:lang w:val="en-GB"/>
        </w:rPr>
        <w:t>a</w:t>
      </w:r>
      <w:r w:rsidRPr="00A74E55">
        <w:rPr>
          <w:rFonts w:ascii="Times New Roman" w:eastAsia="Times New Roman" w:hAnsi="Times New Roman" w:cs="Times New Roman"/>
          <w:lang w:val="en-GB"/>
        </w:rPr>
        <w:t>pplies to non</w:t>
      </w:r>
      <w:r w:rsidR="00A92EC4">
        <w:rPr>
          <w:rFonts w:ascii="Times New Roman" w:eastAsia="Times New Roman" w:hAnsi="Times New Roman" w:cs="Times New Roman"/>
          <w:lang w:val="en-GB"/>
        </w:rPr>
        <w:t>-</w:t>
      </w:r>
      <w:r w:rsidRPr="00A74E55">
        <w:rPr>
          <w:rFonts w:ascii="Times New Roman" w:eastAsia="Times New Roman" w:hAnsi="Times New Roman" w:cs="Times New Roman"/>
          <w:lang w:val="en-GB"/>
        </w:rPr>
        <w:t>hospitali</w:t>
      </w:r>
      <w:r w:rsidR="00A92EC4">
        <w:rPr>
          <w:rFonts w:ascii="Times New Roman" w:eastAsia="Times New Roman" w:hAnsi="Times New Roman" w:cs="Times New Roman"/>
          <w:lang w:val="en-GB"/>
        </w:rPr>
        <w:t>s</w:t>
      </w:r>
      <w:r w:rsidRPr="00A74E55">
        <w:rPr>
          <w:rFonts w:ascii="Times New Roman" w:eastAsia="Times New Roman" w:hAnsi="Times New Roman" w:cs="Times New Roman"/>
          <w:lang w:val="en-GB"/>
        </w:rPr>
        <w:t xml:space="preserve">ed patients who previously received Fee 1 and are billed when the institution continues the planned osteoporosis evaluation and treatment in an outpatient setting. Billing </w:t>
      </w:r>
      <w:r w:rsidR="00A92EC4">
        <w:rPr>
          <w:rFonts w:ascii="Times New Roman" w:eastAsia="Times New Roman" w:hAnsi="Times New Roman" w:cs="Times New Roman"/>
          <w:lang w:val="en-GB"/>
        </w:rPr>
        <w:t>i</w:t>
      </w:r>
      <w:r w:rsidRPr="00A74E55">
        <w:rPr>
          <w:rFonts w:ascii="Times New Roman" w:eastAsia="Times New Roman" w:hAnsi="Times New Roman" w:cs="Times New Roman"/>
          <w:lang w:val="en-GB"/>
        </w:rPr>
        <w:t xml:space="preserve">s limited to once per month for up to </w:t>
      </w:r>
      <w:r w:rsidR="00A92EC4">
        <w:rPr>
          <w:rFonts w:ascii="Times New Roman" w:eastAsia="Times New Roman" w:hAnsi="Times New Roman" w:cs="Times New Roman"/>
          <w:lang w:val="en-GB"/>
        </w:rPr>
        <w:t xml:space="preserve">1 </w:t>
      </w:r>
      <w:r w:rsidRPr="00A74E55">
        <w:rPr>
          <w:rFonts w:ascii="Times New Roman" w:eastAsia="Times New Roman" w:hAnsi="Times New Roman" w:cs="Times New Roman"/>
          <w:lang w:val="en-GB"/>
        </w:rPr>
        <w:t xml:space="preserve">year following the </w:t>
      </w:r>
      <w:r w:rsidR="00A92EC4">
        <w:rPr>
          <w:rFonts w:ascii="Times New Roman" w:eastAsia="Times New Roman" w:hAnsi="Times New Roman" w:cs="Times New Roman"/>
          <w:lang w:val="en-GB"/>
        </w:rPr>
        <w:t xml:space="preserve">initiation </w:t>
      </w:r>
      <w:r w:rsidRPr="00A74E55">
        <w:rPr>
          <w:rFonts w:ascii="Times New Roman" w:eastAsia="Times New Roman" w:hAnsi="Times New Roman" w:cs="Times New Roman"/>
          <w:lang w:val="en-GB"/>
        </w:rPr>
        <w:t>of Fee 1.</w:t>
      </w:r>
    </w:p>
    <w:p w14:paraId="0BFA7B92" w14:textId="77777777" w:rsidR="008A4BC7" w:rsidRPr="00A74E55" w:rsidRDefault="008A4BC7">
      <w:pPr>
        <w:rPr>
          <w:rFonts w:ascii="Times New Roman" w:eastAsia="Times New Roman" w:hAnsi="Times New Roman" w:cs="Times New Roman"/>
          <w:lang w:val="en-GB"/>
        </w:rPr>
      </w:pPr>
    </w:p>
    <w:p w14:paraId="23633595" w14:textId="77777777" w:rsidR="008A4BC7" w:rsidRPr="00A74E55" w:rsidRDefault="000D0BFA">
      <w:pPr>
        <w:rPr>
          <w:rFonts w:ascii="Times New Roman" w:eastAsia="Times New Roman" w:hAnsi="Times New Roman" w:cs="Times New Roman"/>
          <w:b/>
          <w:lang w:val="en-GB"/>
        </w:rPr>
      </w:pPr>
      <w:r w:rsidRPr="00A74E55">
        <w:rPr>
          <w:rFonts w:ascii="Times New Roman" w:eastAsia="Times New Roman" w:hAnsi="Times New Roman" w:cs="Times New Roman"/>
          <w:b/>
          <w:lang w:val="en-GB"/>
        </w:rPr>
        <w:t>Facility standards and staffing requirements</w:t>
      </w:r>
    </w:p>
    <w:p w14:paraId="300B48AE" w14:textId="002CF530" w:rsidR="008A4BC7" w:rsidRPr="00A74E55" w:rsidRDefault="000D0BFA">
      <w:pPr>
        <w:rPr>
          <w:rFonts w:ascii="Times New Roman" w:eastAsia="Times New Roman" w:hAnsi="Times New Roman" w:cs="Times New Roman"/>
          <w:lang w:val="en-GB"/>
        </w:rPr>
      </w:pPr>
      <w:r w:rsidRPr="00A74E55">
        <w:rPr>
          <w:rFonts w:ascii="Times New Roman" w:eastAsia="Times New Roman" w:hAnsi="Times New Roman" w:cs="Times New Roman"/>
          <w:lang w:val="en-GB"/>
        </w:rPr>
        <w:t>The facility standards require a coordinated osteoporosis care structure (FLS team) with the following specific staffing requirements. Multidisciplinary Team: The team must include a full-time doctor who specialises in osteoporosis as well as nurses and pharmacists.</w:t>
      </w:r>
    </w:p>
    <w:p w14:paraId="3BF013DA" w14:textId="77777777" w:rsidR="008A4BC7" w:rsidRPr="00A74E55" w:rsidRDefault="000D0BFA">
      <w:pPr>
        <w:rPr>
          <w:rFonts w:ascii="Times New Roman" w:eastAsia="Times New Roman" w:hAnsi="Times New Roman" w:cs="Times New Roman"/>
          <w:b/>
          <w:lang w:val="en-GB"/>
        </w:rPr>
      </w:pPr>
      <w:r w:rsidRPr="00A74E55">
        <w:rPr>
          <w:rFonts w:ascii="Times New Roman" w:eastAsia="Times New Roman" w:hAnsi="Times New Roman" w:cs="Times New Roman"/>
          <w:lang w:val="en-GB"/>
        </w:rPr>
        <w:br w:type="page"/>
      </w:r>
    </w:p>
    <w:p w14:paraId="04366778" w14:textId="57C6DBA6" w:rsidR="008A4BC7" w:rsidRPr="00A74E55" w:rsidRDefault="000D0BFA">
      <w:pPr>
        <w:rPr>
          <w:rFonts w:ascii="Times New Roman" w:eastAsia="Times New Roman" w:hAnsi="Times New Roman" w:cs="Times New Roman"/>
          <w:lang w:val="en-GB"/>
        </w:rPr>
      </w:pPr>
      <w:r w:rsidRPr="00A74E55">
        <w:rPr>
          <w:rFonts w:ascii="Times New Roman" w:eastAsia="Times New Roman" w:hAnsi="Times New Roman" w:cs="Times New Roman"/>
          <w:b/>
          <w:lang w:val="en-GB"/>
        </w:rPr>
        <w:lastRenderedPageBreak/>
        <w:t>Method S2. Segmented interrupted time</w:t>
      </w:r>
      <w:r w:rsidR="00A92EC4">
        <w:rPr>
          <w:rFonts w:ascii="Times New Roman" w:eastAsia="Times New Roman" w:hAnsi="Times New Roman" w:cs="Times New Roman"/>
          <w:b/>
          <w:lang w:val="en-GB"/>
        </w:rPr>
        <w:t>-</w:t>
      </w:r>
      <w:r w:rsidRPr="00A74E55">
        <w:rPr>
          <w:rFonts w:ascii="Times New Roman" w:eastAsia="Times New Roman" w:hAnsi="Times New Roman" w:cs="Times New Roman"/>
          <w:b/>
          <w:lang w:val="en-GB"/>
        </w:rPr>
        <w:t>series model specification</w:t>
      </w:r>
    </w:p>
    <w:p w14:paraId="362C0ED5" w14:textId="77777777" w:rsidR="008A4BC7" w:rsidRPr="00A74E55" w:rsidRDefault="000D0BFA">
      <w:pPr>
        <w:rPr>
          <w:rFonts w:ascii="Times New Roman" w:eastAsia="Times New Roman" w:hAnsi="Times New Roman" w:cs="Times New Roman"/>
          <w:lang w:val="en-GB"/>
        </w:rPr>
      </w:pPr>
      <w:r w:rsidRPr="00A74E55">
        <w:rPr>
          <w:rFonts w:ascii="Times New Roman" w:eastAsia="Times New Roman" w:hAnsi="Times New Roman" w:cs="Times New Roman"/>
          <w:b/>
          <w:lang w:val="en-GB"/>
        </w:rPr>
        <w:t>Prespecified impact model (level and slope change)</w:t>
      </w:r>
    </w:p>
    <w:p w14:paraId="5341C99C" w14:textId="1E5777B0" w:rsidR="008A4BC7" w:rsidRPr="00A74E55" w:rsidRDefault="000D0BFA">
      <w:pPr>
        <w:rPr>
          <w:rFonts w:ascii="Times New Roman" w:eastAsia="Times New Roman" w:hAnsi="Times New Roman" w:cs="Times New Roman"/>
          <w:lang w:val="en-GB"/>
        </w:rPr>
      </w:pPr>
      <w:r w:rsidRPr="00A74E55">
        <w:rPr>
          <w:rFonts w:ascii="Times New Roman" w:eastAsia="Times New Roman" w:hAnsi="Times New Roman" w:cs="Times New Roman"/>
          <w:lang w:val="en-GB"/>
        </w:rPr>
        <w:t xml:space="preserve">We prespecified an impact model that allowed for an immediate change in the outcome level at the introduction of the policy (level change) and a change in the monthly trend after implementation (slope change). This </w:t>
      </w:r>
      <w:r w:rsidR="00A92EC4" w:rsidRPr="00A92EC4">
        <w:rPr>
          <w:rFonts w:ascii="Times New Roman" w:eastAsia="Times New Roman" w:hAnsi="Times New Roman" w:cs="Times New Roman"/>
          <w:lang w:val="en-GB"/>
        </w:rPr>
        <w:t>reflects</w:t>
      </w:r>
      <w:r w:rsidRPr="00A74E55">
        <w:rPr>
          <w:rFonts w:ascii="Times New Roman" w:eastAsia="Times New Roman" w:hAnsi="Times New Roman" w:cs="Times New Roman"/>
          <w:lang w:val="en-GB"/>
        </w:rPr>
        <w:t xml:space="preserve"> the possibility of abrupt implementation effects and gradual changes over time.</w:t>
      </w:r>
    </w:p>
    <w:p w14:paraId="1DE04369" w14:textId="77777777" w:rsidR="008A4BC7" w:rsidRPr="00A74E55" w:rsidRDefault="008A4BC7">
      <w:pPr>
        <w:rPr>
          <w:rFonts w:ascii="Times New Roman" w:eastAsia="Times New Roman" w:hAnsi="Times New Roman" w:cs="Times New Roman"/>
          <w:lang w:val="en-GB"/>
        </w:rPr>
      </w:pPr>
    </w:p>
    <w:p w14:paraId="3F86CF89" w14:textId="77777777" w:rsidR="008A4BC7" w:rsidRPr="00A74E55" w:rsidRDefault="000D0BFA">
      <w:pPr>
        <w:rPr>
          <w:rFonts w:ascii="Times New Roman" w:eastAsia="Times New Roman" w:hAnsi="Times New Roman" w:cs="Times New Roman"/>
          <w:lang w:val="en-GB"/>
        </w:rPr>
      </w:pPr>
      <w:r w:rsidRPr="00A74E55">
        <w:rPr>
          <w:rFonts w:ascii="Times New Roman" w:eastAsia="Times New Roman" w:hAnsi="Times New Roman" w:cs="Times New Roman"/>
          <w:b/>
          <w:lang w:val="en-GB"/>
        </w:rPr>
        <w:t>Notation</w:t>
      </w:r>
    </w:p>
    <w:p w14:paraId="31D4A40C" w14:textId="1C974A38" w:rsidR="008A4BC7" w:rsidRPr="00A74E55" w:rsidRDefault="000D0BFA">
      <w:pPr>
        <w:rPr>
          <w:rFonts w:ascii="Times New Roman" w:eastAsia="Times New Roman" w:hAnsi="Times New Roman" w:cs="Times New Roman"/>
          <w:lang w:val="en-GB"/>
        </w:rPr>
      </w:pPr>
      <w:r w:rsidRPr="00A74E55">
        <w:rPr>
          <w:rFonts w:ascii="Times New Roman" w:eastAsia="Times New Roman" w:hAnsi="Times New Roman" w:cs="Times New Roman"/>
          <w:lang w:val="en-GB"/>
        </w:rPr>
        <w:t>Let t index calendar months from the start of observation (t = 0, 1, 2,</w:t>
      </w:r>
      <w:r w:rsidRPr="00A92EC4">
        <w:rPr>
          <w:rFonts w:ascii="Times New Roman" w:eastAsia="Times New Roman" w:hAnsi="Times New Roman" w:cs="Times New Roman"/>
        </w:rPr>
        <w:t xml:space="preserve"> …)</w:t>
      </w:r>
      <w:r w:rsidRPr="00A74E55">
        <w:rPr>
          <w:rFonts w:ascii="Times New Roman" w:eastAsia="Times New Roman" w:hAnsi="Times New Roman" w:cs="Times New Roman"/>
          <w:lang w:val="en-GB"/>
        </w:rPr>
        <w:t>. Let t₀ denote April 2022.</w:t>
      </w:r>
    </w:p>
    <w:p w14:paraId="45A61BB4" w14:textId="77777777" w:rsidR="008A4BC7" w:rsidRPr="00A74E55" w:rsidRDefault="000D0BFA">
      <w:pPr>
        <w:rPr>
          <w:rFonts w:ascii="Times New Roman" w:eastAsia="Times New Roman" w:hAnsi="Times New Roman" w:cs="Times New Roman"/>
          <w:lang w:val="en-GB"/>
        </w:rPr>
      </w:pPr>
      <w:r w:rsidRPr="00A74E55">
        <w:rPr>
          <w:rFonts w:ascii="Times New Roman" w:eastAsia="Times New Roman" w:hAnsi="Times New Roman" w:cs="Times New Roman"/>
          <w:lang w:val="en-GB"/>
        </w:rPr>
        <w:t>Postₜ = I (t ≥ t₀)</w:t>
      </w:r>
    </w:p>
    <w:p w14:paraId="10819CD7" w14:textId="77777777" w:rsidR="008A4BC7" w:rsidRPr="00A74E55" w:rsidRDefault="000D0BFA">
      <w:pPr>
        <w:rPr>
          <w:rFonts w:ascii="Times New Roman" w:eastAsia="Times New Roman" w:hAnsi="Times New Roman" w:cs="Times New Roman"/>
          <w:lang w:val="en-GB"/>
        </w:rPr>
      </w:pPr>
      <w:r w:rsidRPr="00A74E55">
        <w:rPr>
          <w:rFonts w:ascii="Times New Roman" w:eastAsia="Times New Roman" w:hAnsi="Times New Roman" w:cs="Times New Roman"/>
          <w:lang w:val="en-GB"/>
        </w:rPr>
        <w:t>Timeₜ = t</w:t>
      </w:r>
    </w:p>
    <w:p w14:paraId="576A8C6A" w14:textId="77777777" w:rsidR="008A4BC7" w:rsidRPr="00A74E55" w:rsidRDefault="000D0BFA">
      <w:pPr>
        <w:rPr>
          <w:rFonts w:ascii="Times New Roman" w:eastAsia="Times New Roman" w:hAnsi="Times New Roman" w:cs="Times New Roman"/>
          <w:lang w:val="en-GB"/>
        </w:rPr>
      </w:pPr>
      <w:r w:rsidRPr="00A74E55">
        <w:rPr>
          <w:rFonts w:ascii="Times New Roman" w:eastAsia="Times New Roman" w:hAnsi="Times New Roman" w:cs="Times New Roman"/>
          <w:lang w:val="en-GB"/>
        </w:rPr>
        <w:t xml:space="preserve">We defined TimeAfterₜ as 0 for t &lt; t₀ and as (t </w:t>
      </w:r>
      <w:r w:rsidRPr="00A74E55">
        <w:rPr>
          <w:rFonts w:ascii="Times New Roman" w:eastAsia="Times New Roman" w:hAnsi="Times New Roman" w:cs="Times New Roman" w:hint="eastAsia"/>
          <w:lang w:val="en-GB"/>
        </w:rPr>
        <w:t>−</w:t>
      </w:r>
      <w:r w:rsidRPr="00A74E55">
        <w:rPr>
          <w:rFonts w:ascii="Times New Roman" w:eastAsia="Times New Roman" w:hAnsi="Times New Roman" w:cs="Times New Roman"/>
          <w:lang w:val="en-GB"/>
        </w:rPr>
        <w:t xml:space="preserve"> t₀) for t ≥ t₀. </w:t>
      </w:r>
    </w:p>
    <w:p w14:paraId="2D99B412" w14:textId="77777777" w:rsidR="008A4BC7" w:rsidRPr="00A74E55" w:rsidRDefault="008A4BC7">
      <w:pPr>
        <w:rPr>
          <w:rFonts w:ascii="Times New Roman" w:eastAsia="Times New Roman" w:hAnsi="Times New Roman" w:cs="Times New Roman"/>
          <w:lang w:val="en-GB"/>
        </w:rPr>
      </w:pPr>
    </w:p>
    <w:p w14:paraId="7C9DF026" w14:textId="77777777" w:rsidR="008A4BC7" w:rsidRPr="00A74E55" w:rsidRDefault="000D0BFA">
      <w:pPr>
        <w:rPr>
          <w:rFonts w:ascii="Times New Roman" w:eastAsia="Times New Roman" w:hAnsi="Times New Roman" w:cs="Times New Roman"/>
          <w:lang w:val="en-GB"/>
        </w:rPr>
      </w:pPr>
      <w:r w:rsidRPr="00A74E55">
        <w:rPr>
          <w:rFonts w:ascii="Times New Roman" w:eastAsia="Times New Roman" w:hAnsi="Times New Roman" w:cs="Times New Roman"/>
          <w:b/>
          <w:lang w:val="en-GB"/>
        </w:rPr>
        <w:t>Segmented Poisson regression model</w:t>
      </w:r>
    </w:p>
    <w:p w14:paraId="5212EB4C" w14:textId="7307116B" w:rsidR="008A4BC7" w:rsidRPr="00A74E55" w:rsidRDefault="000D0BFA">
      <w:pPr>
        <w:rPr>
          <w:rFonts w:ascii="Times New Roman" w:eastAsia="Times New Roman" w:hAnsi="Times New Roman" w:cs="Times New Roman"/>
          <w:lang w:val="en-GB"/>
        </w:rPr>
      </w:pPr>
      <w:r w:rsidRPr="00A74E55">
        <w:rPr>
          <w:rFonts w:ascii="Times New Roman" w:eastAsia="Times New Roman" w:hAnsi="Times New Roman" w:cs="Times New Roman"/>
          <w:lang w:val="en-GB"/>
        </w:rPr>
        <w:t>For each series and outcome, we fitted a segmented Poisson regression model with a log link and an offset to model the monthly event counts.</w:t>
      </w:r>
    </w:p>
    <w:p w14:paraId="3AD9A870" w14:textId="77777777" w:rsidR="008A4BC7" w:rsidRPr="00A74E55" w:rsidRDefault="000D0BFA">
      <w:pPr>
        <w:rPr>
          <w:rFonts w:ascii="Times New Roman" w:eastAsia="Times New Roman" w:hAnsi="Times New Roman" w:cs="Times New Roman"/>
          <w:lang w:val="en-GB"/>
        </w:rPr>
      </w:pPr>
      <w:r w:rsidRPr="00A74E55">
        <w:rPr>
          <w:rFonts w:ascii="Times New Roman" w:eastAsia="Times New Roman" w:hAnsi="Times New Roman" w:cs="Times New Roman"/>
          <w:lang w:val="en-GB"/>
        </w:rPr>
        <w:t xml:space="preserve">Let </w:t>
      </w:r>
      <m:oMath>
        <m:sSub>
          <m:sSubPr>
            <m:ctrlPr>
              <w:rPr>
                <w:rFonts w:ascii="Cambria Math" w:hAnsi="Cambria Math" w:cs="Times New Roman"/>
                <w:lang w:val="en-GB"/>
              </w:rPr>
            </m:ctrlPr>
          </m:sSubPr>
          <m:e>
            <m:r>
              <w:rPr>
                <w:rFonts w:ascii="Cambria Math" w:hAnsi="Cambria Math" w:cs="Times New Roman"/>
                <w:lang w:val="en-GB"/>
              </w:rPr>
              <m:t>Y</m:t>
            </m:r>
          </m:e>
          <m:sub>
            <m:r>
              <w:rPr>
                <w:rFonts w:ascii="Cambria Math" w:hAnsi="Cambria Math" w:cs="Times New Roman"/>
                <w:lang w:val="en-GB"/>
              </w:rPr>
              <m:t>t</m:t>
            </m:r>
          </m:sub>
        </m:sSub>
      </m:oMath>
      <w:r w:rsidRPr="00A74E55">
        <w:rPr>
          <w:rFonts w:ascii="Times New Roman" w:eastAsia="Times New Roman" w:hAnsi="Times New Roman" w:cs="Times New Roman"/>
          <w:lang w:val="en-GB"/>
        </w:rPr>
        <w:t xml:space="preserve"> denote the outcome count in calendar month </w:t>
      </w:r>
      <m:oMath>
        <m:r>
          <w:rPr>
            <w:rFonts w:ascii="Cambria Math" w:hAnsi="Cambria Math" w:cs="Times New Roman"/>
            <w:lang w:val="en-GB"/>
          </w:rPr>
          <m:t>t</m:t>
        </m:r>
      </m:oMath>
      <w:r w:rsidRPr="00A74E55">
        <w:rPr>
          <w:rFonts w:ascii="Times New Roman" w:eastAsia="Times New Roman" w:hAnsi="Times New Roman" w:cs="Times New Roman"/>
          <w:lang w:val="en-GB"/>
        </w:rPr>
        <w:t xml:space="preserve"> for a given series. </w:t>
      </w:r>
    </w:p>
    <w:p w14:paraId="4B1FA4C2" w14:textId="2EA17736" w:rsidR="008A4BC7" w:rsidRPr="00A74E55" w:rsidRDefault="000D0BFA">
      <w:pPr>
        <w:rPr>
          <w:rFonts w:ascii="Times New Roman" w:eastAsia="Times New Roman" w:hAnsi="Times New Roman" w:cs="Times New Roman"/>
          <w:lang w:val="en-GB"/>
        </w:rPr>
      </w:pPr>
      <m:oMath>
        <m:sSub>
          <m:sSubPr>
            <m:ctrlPr>
              <w:rPr>
                <w:rFonts w:ascii="Cambria Math" w:hAnsi="Cambria Math" w:cs="Times New Roman"/>
                <w:lang w:val="en-GB"/>
              </w:rPr>
            </m:ctrlPr>
          </m:sSubPr>
          <m:e>
            <m:r>
              <w:rPr>
                <w:rFonts w:ascii="Cambria Math" w:hAnsi="Cambria Math" w:cs="Times New Roman"/>
                <w:lang w:val="en-GB"/>
              </w:rPr>
              <m:t>Y</m:t>
            </m:r>
          </m:e>
          <m:sub>
            <m:r>
              <w:rPr>
                <w:rFonts w:ascii="Cambria Math" w:hAnsi="Cambria Math" w:cs="Times New Roman"/>
                <w:lang w:val="en-GB"/>
              </w:rPr>
              <m:t>t</m:t>
            </m:r>
          </m:sub>
        </m:sSub>
      </m:oMath>
      <w:r w:rsidRPr="00A74E55">
        <w:rPr>
          <w:rFonts w:ascii="Times New Roman" w:eastAsia="Times New Roman" w:hAnsi="Times New Roman" w:cs="Times New Roman"/>
          <w:lang w:val="en-GB"/>
        </w:rPr>
        <w:t xml:space="preserve"> is the number of participants experiencing an event in month </w:t>
      </w:r>
      <m:oMath>
        <m:r>
          <w:rPr>
            <w:rFonts w:ascii="Cambria Math" w:hAnsi="Cambria Math" w:cs="Times New Roman"/>
            <w:lang w:val="en-GB"/>
          </w:rPr>
          <m:t>t</m:t>
        </m:r>
      </m:oMath>
      <w:r w:rsidRPr="00A74E55">
        <w:rPr>
          <w:rFonts w:ascii="Times New Roman" w:eastAsia="Times New Roman" w:hAnsi="Times New Roman" w:cs="Times New Roman"/>
          <w:lang w:val="en-GB"/>
        </w:rPr>
        <w:t xml:space="preserve">, and </w:t>
      </w:r>
      <m:oMath>
        <m:sSub>
          <m:sSubPr>
            <m:ctrlPr>
              <w:rPr>
                <w:rFonts w:ascii="Cambria Math" w:hAnsi="Cambria Math" w:cs="Times New Roman"/>
                <w:lang w:val="en-GB"/>
              </w:rPr>
            </m:ctrlPr>
          </m:sSubPr>
          <m:e>
            <m:r>
              <w:rPr>
                <w:rFonts w:ascii="Cambria Math" w:hAnsi="Cambria Math" w:cs="Times New Roman"/>
                <w:lang w:val="en-GB"/>
              </w:rPr>
              <m:t>E</m:t>
            </m:r>
          </m:e>
          <m:sub>
            <m:r>
              <w:rPr>
                <w:rFonts w:ascii="Cambria Math" w:hAnsi="Cambria Math" w:cs="Times New Roman"/>
                <w:lang w:val="en-GB"/>
              </w:rPr>
              <m:t>t</m:t>
            </m:r>
          </m:sub>
        </m:sSub>
      </m:oMath>
      <w:r w:rsidRPr="00A74E55">
        <w:rPr>
          <w:rFonts w:ascii="Times New Roman" w:eastAsia="Times New Roman" w:hAnsi="Times New Roman" w:cs="Times New Roman"/>
          <w:lang w:val="en-GB"/>
        </w:rPr>
        <w:t xml:space="preserve"> </w:t>
      </w:r>
      <w:r w:rsidR="008226CF">
        <w:rPr>
          <w:rFonts w:ascii="Times New Roman" w:eastAsia="Times New Roman" w:hAnsi="Times New Roman" w:cs="Times New Roman"/>
          <w:lang w:val="en-GB"/>
        </w:rPr>
        <w:t xml:space="preserve">represents </w:t>
      </w:r>
      <w:r w:rsidRPr="00A74E55">
        <w:rPr>
          <w:rFonts w:ascii="Times New Roman" w:eastAsia="Times New Roman" w:hAnsi="Times New Roman" w:cs="Times New Roman"/>
          <w:lang w:val="en-GB"/>
        </w:rPr>
        <w:t xml:space="preserve">the total person-time at risk accrued in month </w:t>
      </w:r>
      <m:oMath>
        <m:r>
          <w:rPr>
            <w:rFonts w:ascii="Cambria Math" w:hAnsi="Cambria Math" w:cs="Times New Roman"/>
            <w:lang w:val="en-GB"/>
          </w:rPr>
          <m:t>t</m:t>
        </m:r>
      </m:oMath>
      <w:r w:rsidRPr="00A74E55">
        <w:rPr>
          <w:rFonts w:ascii="Times New Roman" w:eastAsia="Times New Roman" w:hAnsi="Times New Roman" w:cs="Times New Roman"/>
          <w:lang w:val="en-GB"/>
        </w:rPr>
        <w:t>.</w:t>
      </w:r>
    </w:p>
    <w:p w14:paraId="180078AD" w14:textId="77777777" w:rsidR="008A4BC7" w:rsidRPr="00A74E55" w:rsidRDefault="008A4BC7">
      <w:pPr>
        <w:rPr>
          <w:rFonts w:ascii="Times New Roman" w:eastAsia="Times New Roman" w:hAnsi="Times New Roman" w:cs="Times New Roman"/>
          <w:lang w:val="en-GB"/>
        </w:rPr>
      </w:pPr>
    </w:p>
    <w:p w14:paraId="65224249" w14:textId="77777777" w:rsidR="008A4BC7" w:rsidRPr="00A74E55" w:rsidRDefault="000D0BFA">
      <w:pPr>
        <w:rPr>
          <w:rFonts w:ascii="Times New Roman" w:eastAsia="Times New Roman" w:hAnsi="Times New Roman" w:cs="Times New Roman"/>
          <w:lang w:val="en-GB"/>
        </w:rPr>
      </w:pPr>
      <w:r w:rsidRPr="00A74E55">
        <w:rPr>
          <w:rFonts w:ascii="Times New Roman" w:eastAsia="Times New Roman" w:hAnsi="Times New Roman" w:cs="Times New Roman"/>
          <w:lang w:val="en-GB"/>
        </w:rPr>
        <w:t>Yₜ ~ Poisson(μₜ)</w:t>
      </w:r>
    </w:p>
    <w:p w14:paraId="6E55E89F" w14:textId="77777777" w:rsidR="008A4BC7" w:rsidRPr="00A74E55" w:rsidRDefault="000D0BFA">
      <w:pPr>
        <w:rPr>
          <w:rFonts w:ascii="Times New Roman" w:eastAsia="Times New Roman" w:hAnsi="Times New Roman" w:cs="Times New Roman"/>
          <w:lang w:val="en-GB"/>
        </w:rPr>
      </w:pPr>
      <w:r w:rsidRPr="00A74E55">
        <w:rPr>
          <w:rFonts w:ascii="Times New Roman" w:eastAsia="Times New Roman" w:hAnsi="Times New Roman" w:cs="Times New Roman"/>
          <w:lang w:val="en-GB"/>
        </w:rPr>
        <w:t>log(μₜ) = log(Eₜ) + β₀ + β₁·Timeₜ + β₂·Postₜ + β₃·TimeAfterₜ + δ</w:t>
      </w:r>
      <w:r w:rsidRPr="00A74E55">
        <w:rPr>
          <w:rFonts w:ascii="Times New Roman" w:eastAsia="Times New Roman" w:hAnsi="Times New Roman" w:cs="Times New Roman"/>
          <w:vertAlign w:val="subscript"/>
          <w:lang w:val="en-GB"/>
        </w:rPr>
        <w:t>1</w:t>
      </w:r>
      <w:r w:rsidRPr="00A74E55">
        <w:rPr>
          <w:rFonts w:ascii="Times New Roman" w:eastAsia="Times New Roman" w:hAnsi="Times New Roman" w:cs="Times New Roman"/>
          <w:lang w:val="en-GB"/>
        </w:rPr>
        <w:t xml:space="preserve"> </w:t>
      </w:r>
      <m:oMath>
        <m:func>
          <m:funcPr>
            <m:ctrlPr>
              <w:rPr>
                <w:rFonts w:ascii="Cambria Math" w:hAnsi="Cambria Math" w:cs="Times New Roman"/>
                <w:lang w:val="en-GB"/>
              </w:rPr>
            </m:ctrlPr>
          </m:funcPr>
          <m:fName>
            <m:r>
              <m:rPr>
                <m:sty m:val="p"/>
              </m:rPr>
              <w:rPr>
                <w:rFonts w:ascii="Cambria Math" w:eastAsia="Cambria Math" w:hAnsi="Cambria Math" w:cs="Times New Roman"/>
                <w:lang w:val="en-GB"/>
              </w:rPr>
              <m:t>sin</m:t>
            </m:r>
          </m:fName>
          <m:e>
            <m:d>
              <m:dPr>
                <m:ctrlPr>
                  <w:rPr>
                    <w:rFonts w:ascii="Cambria Math" w:hAnsi="Cambria Math" w:cs="Times New Roman"/>
                    <w:lang w:val="en-GB"/>
                  </w:rPr>
                </m:ctrlPr>
              </m:dPr>
              <m:e>
                <m:f>
                  <m:fPr>
                    <m:ctrlPr>
                      <w:rPr>
                        <w:rFonts w:ascii="Cambria Math" w:hAnsi="Cambria Math" w:cs="Times New Roman"/>
                        <w:lang w:val="en-GB"/>
                      </w:rPr>
                    </m:ctrlPr>
                  </m:fPr>
                  <m:num>
                    <m:r>
                      <w:rPr>
                        <w:rFonts w:ascii="Cambria Math" w:eastAsia="Cambria Math" w:hAnsi="Cambria Math" w:cs="Times New Roman"/>
                        <w:lang w:val="en-GB"/>
                      </w:rPr>
                      <m:t>2</m:t>
                    </m:r>
                    <m:r>
                      <w:rPr>
                        <w:rFonts w:ascii="Cambria Math" w:eastAsia="ＭＳ 明朝" w:hAnsi="Cambria Math" w:cs="Times New Roman"/>
                        <w:lang w:val="en-GB"/>
                      </w:rPr>
                      <m:t>π</m:t>
                    </m:r>
                    <m:r>
                      <m:rPr>
                        <m:sty m:val="p"/>
                      </m:rPr>
                      <w:rPr>
                        <w:rFonts w:ascii="Cambria Math" w:hAnsi="Cambria Math" w:cs="Times New Roman"/>
                        <w:lang w:val="en-GB"/>
                      </w:rPr>
                      <m:t>Time</m:t>
                    </m:r>
                    <m:r>
                      <m:rPr>
                        <m:sty m:val="p"/>
                      </m:rPr>
                      <w:rPr>
                        <w:rFonts w:ascii="Segoe UI Symbol" w:hAnsi="Segoe UI Symbol" w:cs="Segoe UI Symbol"/>
                        <w:lang w:val="en-GB"/>
                      </w:rPr>
                      <m:t>ₜ</m:t>
                    </m:r>
                  </m:num>
                  <m:den>
                    <m:r>
                      <w:rPr>
                        <w:rFonts w:ascii="Cambria Math" w:eastAsia="Cambria Math" w:hAnsi="Cambria Math" w:cs="Times New Roman"/>
                        <w:lang w:val="en-GB"/>
                      </w:rPr>
                      <m:t>12</m:t>
                    </m:r>
                  </m:den>
                </m:f>
              </m:e>
            </m:d>
          </m:e>
        </m:func>
      </m:oMath>
      <w:r w:rsidRPr="00A74E55">
        <w:rPr>
          <w:rFonts w:ascii="Times New Roman" w:eastAsia="Times New Roman" w:hAnsi="Times New Roman" w:cs="Times New Roman"/>
          <w:lang w:val="en-GB"/>
        </w:rPr>
        <w:t xml:space="preserve"> + δ</w:t>
      </w:r>
      <w:r w:rsidRPr="00A74E55">
        <w:rPr>
          <w:rFonts w:ascii="Times New Roman" w:eastAsia="Times New Roman" w:hAnsi="Times New Roman" w:cs="Times New Roman"/>
          <w:vertAlign w:val="subscript"/>
          <w:lang w:val="en-GB"/>
        </w:rPr>
        <w:t>2</w:t>
      </w:r>
      <w:r w:rsidRPr="00A74E55">
        <w:rPr>
          <w:rFonts w:ascii="Times New Roman" w:eastAsia="Times New Roman" w:hAnsi="Times New Roman" w:cs="Times New Roman"/>
          <w:lang w:val="en-GB"/>
        </w:rPr>
        <w:t xml:space="preserve"> </w:t>
      </w:r>
      <m:oMath>
        <m:func>
          <m:funcPr>
            <m:ctrlPr>
              <w:rPr>
                <w:rFonts w:ascii="Cambria Math" w:hAnsi="Cambria Math" w:cs="Times New Roman"/>
                <w:lang w:val="en-GB"/>
              </w:rPr>
            </m:ctrlPr>
          </m:funcPr>
          <m:fName>
            <m:r>
              <m:rPr>
                <m:sty m:val="p"/>
              </m:rPr>
              <w:rPr>
                <w:rFonts w:ascii="Cambria Math" w:eastAsia="Cambria Math" w:hAnsi="Cambria Math" w:cs="Times New Roman"/>
                <w:lang w:val="en-GB"/>
              </w:rPr>
              <m:t>cos</m:t>
            </m:r>
          </m:fName>
          <m:e>
            <m:d>
              <m:dPr>
                <m:ctrlPr>
                  <w:rPr>
                    <w:rFonts w:ascii="Cambria Math" w:hAnsi="Cambria Math" w:cs="Times New Roman"/>
                    <w:lang w:val="en-GB"/>
                  </w:rPr>
                </m:ctrlPr>
              </m:dPr>
              <m:e>
                <m:f>
                  <m:fPr>
                    <m:ctrlPr>
                      <w:rPr>
                        <w:rFonts w:ascii="Cambria Math" w:hAnsi="Cambria Math" w:cs="Times New Roman"/>
                        <w:lang w:val="en-GB"/>
                      </w:rPr>
                    </m:ctrlPr>
                  </m:fPr>
                  <m:num>
                    <m:r>
                      <w:rPr>
                        <w:rFonts w:ascii="Cambria Math" w:eastAsia="Cambria Math" w:hAnsi="Cambria Math" w:cs="Times New Roman"/>
                        <w:lang w:val="en-GB"/>
                      </w:rPr>
                      <m:t>2</m:t>
                    </m:r>
                    <m:r>
                      <w:rPr>
                        <w:rFonts w:ascii="Cambria Math" w:eastAsia="ＭＳ 明朝" w:hAnsi="Cambria Math" w:cs="Times New Roman"/>
                        <w:lang w:val="en-GB"/>
                      </w:rPr>
                      <m:t>π</m:t>
                    </m:r>
                    <m:r>
                      <m:rPr>
                        <m:sty m:val="p"/>
                      </m:rPr>
                      <w:rPr>
                        <w:rFonts w:ascii="Cambria Math" w:hAnsi="Cambria Math" w:cs="Times New Roman"/>
                        <w:lang w:val="en-GB"/>
                      </w:rPr>
                      <m:t>Time</m:t>
                    </m:r>
                    <m:r>
                      <m:rPr>
                        <m:sty m:val="p"/>
                      </m:rPr>
                      <w:rPr>
                        <w:rFonts w:ascii="Segoe UI Symbol" w:hAnsi="Segoe UI Symbol" w:cs="Segoe UI Symbol"/>
                        <w:lang w:val="en-GB"/>
                      </w:rPr>
                      <m:t>ₜ</m:t>
                    </m:r>
                  </m:num>
                  <m:den>
                    <m:r>
                      <w:rPr>
                        <w:rFonts w:ascii="Cambria Math" w:eastAsia="Cambria Math" w:hAnsi="Cambria Math" w:cs="Times New Roman"/>
                        <w:lang w:val="en-GB"/>
                      </w:rPr>
                      <m:t>12</m:t>
                    </m:r>
                  </m:den>
                </m:f>
              </m:e>
            </m:d>
          </m:e>
        </m:func>
      </m:oMath>
    </w:p>
    <w:p w14:paraId="70CA107F" w14:textId="77777777" w:rsidR="008A4BC7" w:rsidRPr="00A74E55" w:rsidRDefault="008A4BC7">
      <w:pPr>
        <w:rPr>
          <w:rFonts w:ascii="Times New Roman" w:eastAsia="Times New Roman" w:hAnsi="Times New Roman" w:cs="Times New Roman"/>
          <w:lang w:val="en-GB"/>
        </w:rPr>
      </w:pPr>
    </w:p>
    <w:p w14:paraId="12E7D858" w14:textId="7B110863" w:rsidR="008A4BC7" w:rsidRPr="00A74E55" w:rsidRDefault="000D0BFA">
      <w:pPr>
        <w:rPr>
          <w:rFonts w:ascii="Times New Roman" w:eastAsia="Times New Roman" w:hAnsi="Times New Roman" w:cs="Times New Roman"/>
          <w:lang w:val="en-GB"/>
        </w:rPr>
      </w:pPr>
      <w:r w:rsidRPr="00A74E55">
        <w:rPr>
          <w:rFonts w:ascii="Times New Roman" w:eastAsia="Times New Roman" w:hAnsi="Times New Roman" w:cs="Times New Roman"/>
          <w:lang w:val="en-GB"/>
        </w:rPr>
        <w:t>In this parameterisation, β₀ is the intercept, representing the baseline outcome level at the start of</w:t>
      </w:r>
      <w:r w:rsidR="00A92EC4">
        <w:rPr>
          <w:rFonts w:ascii="Times New Roman" w:eastAsia="Times New Roman" w:hAnsi="Times New Roman" w:cs="Times New Roman"/>
          <w:lang w:val="en-GB"/>
        </w:rPr>
        <w:t xml:space="preserve"> the</w:t>
      </w:r>
      <w:r w:rsidRPr="00A74E55">
        <w:rPr>
          <w:rFonts w:ascii="Times New Roman" w:eastAsia="Times New Roman" w:hAnsi="Times New Roman" w:cs="Times New Roman"/>
          <w:lang w:val="en-GB"/>
        </w:rPr>
        <w:t xml:space="preserve"> observation (Timeₜ = 0) in the pre-policy period (Postₜ = 0 and TimeAfterₜ = 0). β₁ captures the pre-policy trend, β₂ captures the immediate post-policy level change, and β₃ captures the change in slope after policy introduction. δ</w:t>
      </w:r>
      <w:r w:rsidRPr="00A74E55">
        <w:rPr>
          <w:rFonts w:ascii="Times New Roman" w:eastAsia="Times New Roman" w:hAnsi="Times New Roman" w:cs="Times New Roman"/>
          <w:vertAlign w:val="subscript"/>
          <w:lang w:val="en-GB"/>
        </w:rPr>
        <w:t xml:space="preserve">1 </w:t>
      </w:r>
      <w:r w:rsidRPr="00A74E55">
        <w:rPr>
          <w:rFonts w:ascii="Times New Roman" w:eastAsia="Times New Roman" w:hAnsi="Times New Roman" w:cs="Times New Roman"/>
          <w:lang w:val="en-GB"/>
        </w:rPr>
        <w:t>and δ</w:t>
      </w:r>
      <w:r w:rsidRPr="00A74E55">
        <w:rPr>
          <w:rFonts w:ascii="Times New Roman" w:eastAsia="Times New Roman" w:hAnsi="Times New Roman" w:cs="Times New Roman"/>
          <w:vertAlign w:val="subscript"/>
          <w:lang w:val="en-GB"/>
        </w:rPr>
        <w:t xml:space="preserve">2 </w:t>
      </w:r>
      <w:r w:rsidRPr="00A74E55">
        <w:rPr>
          <w:rFonts w:ascii="Times New Roman" w:eastAsia="Times New Roman" w:hAnsi="Times New Roman" w:cs="Times New Roman"/>
          <w:lang w:val="en-GB"/>
        </w:rPr>
        <w:t>are coefficients for the Fourier terms (sine and cosine pair with a 12-month period), which adjust for seasonality. To account for the overdispersion and serial autocorrelation inherent in monthly time-series data, Newey–West standard errors were estimated with a lag</w:t>
      </w:r>
      <w:r w:rsidRPr="00A74E55">
        <w:rPr>
          <w:rFonts w:ascii="Times New Roman" w:eastAsia="Times New Roman" w:hAnsi="Times New Roman" w:cs="Times New Roman"/>
          <w:lang w:val="en-GB"/>
        </w:rPr>
        <w:t xml:space="preserve"> of 12 months.</w:t>
      </w:r>
    </w:p>
    <w:p w14:paraId="6363535A" w14:textId="77777777" w:rsidR="008A4BC7" w:rsidRPr="00A74E55" w:rsidRDefault="008A4BC7">
      <w:pPr>
        <w:rPr>
          <w:rFonts w:ascii="Times New Roman" w:eastAsia="Times New Roman" w:hAnsi="Times New Roman" w:cs="Times New Roman"/>
          <w:lang w:val="en-GB"/>
        </w:rPr>
      </w:pPr>
    </w:p>
    <w:p w14:paraId="7481840D" w14:textId="77777777" w:rsidR="008A4BC7" w:rsidRPr="00A74E55" w:rsidRDefault="000D0BFA">
      <w:pPr>
        <w:rPr>
          <w:rFonts w:ascii="Times New Roman" w:eastAsia="Times New Roman" w:hAnsi="Times New Roman" w:cs="Times New Roman"/>
          <w:lang w:val="en-GB"/>
        </w:rPr>
      </w:pPr>
      <w:r w:rsidRPr="00A74E55">
        <w:rPr>
          <w:rFonts w:ascii="Times New Roman" w:eastAsia="Times New Roman" w:hAnsi="Times New Roman" w:cs="Times New Roman"/>
          <w:b/>
          <w:lang w:val="en-GB"/>
        </w:rPr>
        <w:t>Model-based predictions and counterfactuals</w:t>
      </w:r>
    </w:p>
    <w:p w14:paraId="27B3D731" w14:textId="72FA82DA" w:rsidR="008A4BC7" w:rsidRPr="00A92EC4" w:rsidRDefault="000D0BFA">
      <w:pPr>
        <w:rPr>
          <w:rFonts w:ascii="Times New Roman" w:eastAsia="Times New Roman" w:hAnsi="Times New Roman" w:cs="Times New Roman"/>
        </w:rPr>
      </w:pPr>
      <w:r w:rsidRPr="00A92EC4">
        <w:rPr>
          <w:rFonts w:ascii="Times New Roman" w:eastAsia="Times New Roman" w:hAnsi="Times New Roman" w:cs="Times New Roman"/>
        </w:rPr>
        <w:t>Predicted values on the rate scale were obtained using model-based predictions with the offset suppressed.</w:t>
      </w:r>
    </w:p>
    <w:p w14:paraId="39533F01" w14:textId="77777777" w:rsidR="008A4BC7" w:rsidRPr="00A74E55" w:rsidRDefault="000D0BFA">
      <w:pPr>
        <w:rPr>
          <w:rFonts w:ascii="Times New Roman" w:eastAsia="Times New Roman" w:hAnsi="Times New Roman" w:cs="Times New Roman"/>
          <w:lang w:val="en-GB"/>
        </w:rPr>
      </w:pPr>
      <w:r w:rsidRPr="00A74E55">
        <w:rPr>
          <w:rFonts w:ascii="Times New Roman" w:eastAsia="Times New Roman" w:hAnsi="Times New Roman" w:cs="Times New Roman"/>
          <w:lang w:val="en-GB"/>
        </w:rPr>
        <w:t>ηₜ = β₀ + β₁·Timeₜ + β₂·Postₜ + β₃·TimeAfterₜ + δ</w:t>
      </w:r>
      <w:r w:rsidRPr="00A74E55">
        <w:rPr>
          <w:rFonts w:ascii="Times New Roman" w:eastAsia="Times New Roman" w:hAnsi="Times New Roman" w:cs="Times New Roman"/>
          <w:vertAlign w:val="subscript"/>
          <w:lang w:val="en-GB"/>
        </w:rPr>
        <w:t>1</w:t>
      </w:r>
      <w:r w:rsidRPr="00A74E55">
        <w:rPr>
          <w:rFonts w:ascii="Times New Roman" w:eastAsia="Times New Roman" w:hAnsi="Times New Roman" w:cs="Times New Roman"/>
          <w:lang w:val="en-GB"/>
        </w:rPr>
        <w:t xml:space="preserve"> </w:t>
      </w:r>
      <m:oMath>
        <m:func>
          <m:funcPr>
            <m:ctrlPr>
              <w:rPr>
                <w:rFonts w:ascii="Cambria Math" w:hAnsi="Cambria Math" w:cs="Times New Roman"/>
                <w:lang w:val="en-GB"/>
              </w:rPr>
            </m:ctrlPr>
          </m:funcPr>
          <m:fName>
            <m:r>
              <m:rPr>
                <m:sty m:val="p"/>
              </m:rPr>
              <w:rPr>
                <w:rFonts w:ascii="Cambria Math" w:eastAsia="Cambria Math" w:hAnsi="Cambria Math" w:cs="Times New Roman"/>
                <w:lang w:val="en-GB"/>
              </w:rPr>
              <m:t>sin</m:t>
            </m:r>
          </m:fName>
          <m:e>
            <m:d>
              <m:dPr>
                <m:ctrlPr>
                  <w:rPr>
                    <w:rFonts w:ascii="Cambria Math" w:hAnsi="Cambria Math" w:cs="Times New Roman"/>
                    <w:lang w:val="en-GB"/>
                  </w:rPr>
                </m:ctrlPr>
              </m:dPr>
              <m:e>
                <m:f>
                  <m:fPr>
                    <m:ctrlPr>
                      <w:rPr>
                        <w:rFonts w:ascii="Cambria Math" w:hAnsi="Cambria Math" w:cs="Times New Roman"/>
                        <w:lang w:val="en-GB"/>
                      </w:rPr>
                    </m:ctrlPr>
                  </m:fPr>
                  <m:num>
                    <m:r>
                      <w:rPr>
                        <w:rFonts w:ascii="Cambria Math" w:eastAsia="Cambria Math" w:hAnsi="Cambria Math" w:cs="Times New Roman"/>
                        <w:lang w:val="en-GB"/>
                      </w:rPr>
                      <m:t>2</m:t>
                    </m:r>
                    <m:r>
                      <w:rPr>
                        <w:rFonts w:ascii="Cambria Math" w:eastAsia="ＭＳ 明朝" w:hAnsi="Cambria Math" w:cs="Times New Roman"/>
                        <w:lang w:val="en-GB"/>
                      </w:rPr>
                      <m:t>π</m:t>
                    </m:r>
                    <m:r>
                      <m:rPr>
                        <m:sty m:val="p"/>
                      </m:rPr>
                      <w:rPr>
                        <w:rFonts w:ascii="Cambria Math" w:hAnsi="Cambria Math" w:cs="Times New Roman"/>
                        <w:lang w:val="en-GB"/>
                      </w:rPr>
                      <m:t>Time</m:t>
                    </m:r>
                    <m:r>
                      <m:rPr>
                        <m:sty m:val="p"/>
                      </m:rPr>
                      <w:rPr>
                        <w:rFonts w:ascii="Segoe UI Symbol" w:hAnsi="Segoe UI Symbol" w:cs="Segoe UI Symbol"/>
                        <w:lang w:val="en-GB"/>
                      </w:rPr>
                      <m:t>ₜ</m:t>
                    </m:r>
                  </m:num>
                  <m:den>
                    <m:r>
                      <w:rPr>
                        <w:rFonts w:ascii="Cambria Math" w:eastAsia="Cambria Math" w:hAnsi="Cambria Math" w:cs="Times New Roman"/>
                        <w:lang w:val="en-GB"/>
                      </w:rPr>
                      <m:t>12</m:t>
                    </m:r>
                  </m:den>
                </m:f>
              </m:e>
            </m:d>
          </m:e>
        </m:func>
      </m:oMath>
      <w:r w:rsidRPr="00A74E55">
        <w:rPr>
          <w:rFonts w:ascii="Times New Roman" w:eastAsia="Times New Roman" w:hAnsi="Times New Roman" w:cs="Times New Roman"/>
          <w:lang w:val="en-GB"/>
        </w:rPr>
        <w:t xml:space="preserve"> + δ</w:t>
      </w:r>
      <w:r w:rsidRPr="00A74E55">
        <w:rPr>
          <w:rFonts w:ascii="Times New Roman" w:eastAsia="Times New Roman" w:hAnsi="Times New Roman" w:cs="Times New Roman"/>
          <w:vertAlign w:val="subscript"/>
          <w:lang w:val="en-GB"/>
        </w:rPr>
        <w:t>2</w:t>
      </w:r>
      <w:r w:rsidRPr="00A74E55">
        <w:rPr>
          <w:rFonts w:ascii="Times New Roman" w:eastAsia="Times New Roman" w:hAnsi="Times New Roman" w:cs="Times New Roman"/>
          <w:lang w:val="en-GB"/>
        </w:rPr>
        <w:t xml:space="preserve"> </w:t>
      </w:r>
      <m:oMath>
        <m:func>
          <m:funcPr>
            <m:ctrlPr>
              <w:rPr>
                <w:rFonts w:ascii="Cambria Math" w:hAnsi="Cambria Math" w:cs="Times New Roman"/>
                <w:lang w:val="en-GB"/>
              </w:rPr>
            </m:ctrlPr>
          </m:funcPr>
          <m:fName>
            <m:r>
              <m:rPr>
                <m:sty m:val="p"/>
              </m:rPr>
              <w:rPr>
                <w:rFonts w:ascii="Cambria Math" w:eastAsia="Cambria Math" w:hAnsi="Cambria Math" w:cs="Times New Roman"/>
                <w:lang w:val="en-GB"/>
              </w:rPr>
              <m:t>cos</m:t>
            </m:r>
          </m:fName>
          <m:e>
            <m:d>
              <m:dPr>
                <m:ctrlPr>
                  <w:rPr>
                    <w:rFonts w:ascii="Cambria Math" w:hAnsi="Cambria Math" w:cs="Times New Roman"/>
                    <w:lang w:val="en-GB"/>
                  </w:rPr>
                </m:ctrlPr>
              </m:dPr>
              <m:e>
                <m:f>
                  <m:fPr>
                    <m:ctrlPr>
                      <w:rPr>
                        <w:rFonts w:ascii="Cambria Math" w:hAnsi="Cambria Math" w:cs="Times New Roman"/>
                        <w:lang w:val="en-GB"/>
                      </w:rPr>
                    </m:ctrlPr>
                  </m:fPr>
                  <m:num>
                    <m:r>
                      <w:rPr>
                        <w:rFonts w:ascii="Cambria Math" w:eastAsia="Cambria Math" w:hAnsi="Cambria Math" w:cs="Times New Roman"/>
                        <w:lang w:val="en-GB"/>
                      </w:rPr>
                      <m:t>2</m:t>
                    </m:r>
                    <m:r>
                      <w:rPr>
                        <w:rFonts w:ascii="Cambria Math" w:eastAsia="ＭＳ 明朝" w:hAnsi="Cambria Math" w:cs="Times New Roman"/>
                        <w:lang w:val="en-GB"/>
                      </w:rPr>
                      <m:t>π</m:t>
                    </m:r>
                    <m:r>
                      <m:rPr>
                        <m:sty m:val="p"/>
                      </m:rPr>
                      <w:rPr>
                        <w:rFonts w:ascii="Cambria Math" w:hAnsi="Cambria Math" w:cs="Times New Roman"/>
                        <w:lang w:val="en-GB"/>
                      </w:rPr>
                      <m:t>Time</m:t>
                    </m:r>
                    <m:r>
                      <m:rPr>
                        <m:sty m:val="p"/>
                      </m:rPr>
                      <w:rPr>
                        <w:rFonts w:ascii="Segoe UI Symbol" w:hAnsi="Segoe UI Symbol" w:cs="Segoe UI Symbol"/>
                        <w:lang w:val="en-GB"/>
                      </w:rPr>
                      <m:t>ₜ</m:t>
                    </m:r>
                  </m:num>
                  <m:den>
                    <m:r>
                      <w:rPr>
                        <w:rFonts w:ascii="Cambria Math" w:eastAsia="Cambria Math" w:hAnsi="Cambria Math" w:cs="Times New Roman"/>
                        <w:lang w:val="en-GB"/>
                      </w:rPr>
                      <m:t>12</m:t>
                    </m:r>
                  </m:den>
                </m:f>
              </m:e>
            </m:d>
          </m:e>
        </m:func>
      </m:oMath>
    </w:p>
    <w:p w14:paraId="49A4D8C9" w14:textId="0F7AE926" w:rsidR="008A4BC7" w:rsidRPr="00A74E55" w:rsidRDefault="000D0BFA">
      <w:pPr>
        <w:rPr>
          <w:rFonts w:ascii="Times New Roman" w:eastAsia="Times New Roman" w:hAnsi="Times New Roman" w:cs="Times New Roman"/>
          <w:lang w:val="en-GB"/>
        </w:rPr>
      </w:pPr>
      <w:r w:rsidRPr="00A74E55">
        <w:rPr>
          <w:rFonts w:ascii="Times New Roman" w:eastAsia="Times New Roman" w:hAnsi="Times New Roman" w:cs="Times New Roman"/>
          <w:lang w:val="en-GB"/>
        </w:rPr>
        <w:lastRenderedPageBreak/>
        <w:t>Predicted rate: r̂ₜ = exp(ηₜ)</w:t>
      </w:r>
    </w:p>
    <w:p w14:paraId="541D858A" w14:textId="6680BEF9" w:rsidR="008A4BC7" w:rsidRPr="00A74E55" w:rsidRDefault="000D0BFA">
      <w:pPr>
        <w:rPr>
          <w:rFonts w:ascii="Times New Roman" w:eastAsia="Times New Roman" w:hAnsi="Times New Roman" w:cs="Times New Roman"/>
          <w:lang w:val="en-GB"/>
        </w:rPr>
      </w:pPr>
      <w:r w:rsidRPr="00A74E55">
        <w:rPr>
          <w:rFonts w:ascii="Times New Roman" w:eastAsia="Times New Roman" w:hAnsi="Times New Roman" w:cs="Times New Roman"/>
          <w:lang w:val="en-GB"/>
        </w:rPr>
        <w:t>Counterfactual predictions for the post-policy period were generated from the estimated pre-policy trend by setting Postₜ = 0 and TimeAfterₜ = 0</w:t>
      </w:r>
      <w:r w:rsidR="00A92EC4">
        <w:rPr>
          <w:rFonts w:ascii="Times New Roman" w:eastAsia="Times New Roman" w:hAnsi="Times New Roman" w:cs="Times New Roman"/>
          <w:lang w:val="en-GB"/>
        </w:rPr>
        <w:t>,</w:t>
      </w:r>
      <w:r w:rsidRPr="00A74E55">
        <w:rPr>
          <w:rFonts w:ascii="Times New Roman" w:eastAsia="Times New Roman" w:hAnsi="Times New Roman" w:cs="Times New Roman"/>
          <w:lang w:val="en-GB"/>
        </w:rPr>
        <w:t xml:space="preserve"> while retaining the estimated baseline trend and seasonality.</w:t>
      </w:r>
    </w:p>
    <w:p w14:paraId="0B98D5E7" w14:textId="77777777" w:rsidR="008A4BC7" w:rsidRPr="00A74E55" w:rsidRDefault="000D0BFA">
      <w:pPr>
        <w:rPr>
          <w:rFonts w:ascii="Times New Roman" w:eastAsia="Times New Roman" w:hAnsi="Times New Roman" w:cs="Times New Roman"/>
          <w:lang w:val="en-GB"/>
        </w:rPr>
      </w:pPr>
      <w:r w:rsidRPr="00A74E55">
        <w:rPr>
          <w:rFonts w:ascii="Times New Roman" w:eastAsia="Times New Roman" w:hAnsi="Times New Roman" w:cs="Times New Roman"/>
          <w:lang w:val="en-GB"/>
        </w:rPr>
        <w:t>ηₜ</w:t>
      </w:r>
      <w:r w:rsidRPr="00A74E55">
        <w:rPr>
          <w:rFonts w:ascii="Times New Roman" w:eastAsia="Times New Roman" w:hAnsi="Times New Roman" w:cs="Times New Roman"/>
          <w:vertAlign w:val="superscript"/>
          <w:lang w:val="en-GB"/>
        </w:rPr>
        <w:t>cf</w:t>
      </w:r>
      <w:r w:rsidRPr="00A74E55">
        <w:rPr>
          <w:rFonts w:ascii="Times New Roman" w:eastAsia="Times New Roman" w:hAnsi="Times New Roman" w:cs="Times New Roman"/>
          <w:lang w:val="en-GB"/>
        </w:rPr>
        <w:t xml:space="preserve"> = β₀ + β₁·Timeₜ + δ</w:t>
      </w:r>
      <w:r w:rsidRPr="00A74E55">
        <w:rPr>
          <w:rFonts w:ascii="Times New Roman" w:eastAsia="Times New Roman" w:hAnsi="Times New Roman" w:cs="Times New Roman"/>
          <w:vertAlign w:val="subscript"/>
          <w:lang w:val="en-GB"/>
        </w:rPr>
        <w:t>1</w:t>
      </w:r>
      <w:r w:rsidRPr="00A74E55">
        <w:rPr>
          <w:rFonts w:ascii="Times New Roman" w:eastAsia="Times New Roman" w:hAnsi="Times New Roman" w:cs="Times New Roman"/>
          <w:lang w:val="en-GB"/>
        </w:rPr>
        <w:t xml:space="preserve"> </w:t>
      </w:r>
      <m:oMath>
        <m:func>
          <m:funcPr>
            <m:ctrlPr>
              <w:rPr>
                <w:rFonts w:ascii="Cambria Math" w:hAnsi="Cambria Math" w:cs="Times New Roman"/>
                <w:lang w:val="en-GB"/>
              </w:rPr>
            </m:ctrlPr>
          </m:funcPr>
          <m:fName>
            <m:r>
              <m:rPr>
                <m:sty m:val="p"/>
              </m:rPr>
              <w:rPr>
                <w:rFonts w:ascii="Cambria Math" w:eastAsia="Cambria Math" w:hAnsi="Cambria Math" w:cs="Times New Roman"/>
                <w:lang w:val="en-GB"/>
              </w:rPr>
              <m:t>sin</m:t>
            </m:r>
          </m:fName>
          <m:e>
            <m:d>
              <m:dPr>
                <m:ctrlPr>
                  <w:rPr>
                    <w:rFonts w:ascii="Cambria Math" w:hAnsi="Cambria Math" w:cs="Times New Roman"/>
                    <w:lang w:val="en-GB"/>
                  </w:rPr>
                </m:ctrlPr>
              </m:dPr>
              <m:e>
                <m:f>
                  <m:fPr>
                    <m:ctrlPr>
                      <w:rPr>
                        <w:rFonts w:ascii="Cambria Math" w:hAnsi="Cambria Math" w:cs="Times New Roman"/>
                        <w:lang w:val="en-GB"/>
                      </w:rPr>
                    </m:ctrlPr>
                  </m:fPr>
                  <m:num>
                    <m:r>
                      <w:rPr>
                        <w:rFonts w:ascii="Cambria Math" w:eastAsia="Cambria Math" w:hAnsi="Cambria Math" w:cs="Times New Roman"/>
                        <w:lang w:val="en-GB"/>
                      </w:rPr>
                      <m:t>2</m:t>
                    </m:r>
                    <m:r>
                      <w:rPr>
                        <w:rFonts w:ascii="Cambria Math" w:eastAsia="ＭＳ 明朝" w:hAnsi="Cambria Math" w:cs="Times New Roman"/>
                        <w:lang w:val="en-GB"/>
                      </w:rPr>
                      <m:t>π</m:t>
                    </m:r>
                    <m:r>
                      <m:rPr>
                        <m:sty m:val="p"/>
                      </m:rPr>
                      <w:rPr>
                        <w:rFonts w:ascii="Cambria Math" w:hAnsi="Cambria Math" w:cs="Times New Roman"/>
                        <w:lang w:val="en-GB"/>
                      </w:rPr>
                      <m:t>Time</m:t>
                    </m:r>
                    <m:r>
                      <m:rPr>
                        <m:sty m:val="p"/>
                      </m:rPr>
                      <w:rPr>
                        <w:rFonts w:ascii="Segoe UI Symbol" w:hAnsi="Segoe UI Symbol" w:cs="Segoe UI Symbol"/>
                        <w:lang w:val="en-GB"/>
                      </w:rPr>
                      <m:t>ₜ</m:t>
                    </m:r>
                  </m:num>
                  <m:den>
                    <m:r>
                      <w:rPr>
                        <w:rFonts w:ascii="Cambria Math" w:eastAsia="Cambria Math" w:hAnsi="Cambria Math" w:cs="Times New Roman"/>
                        <w:lang w:val="en-GB"/>
                      </w:rPr>
                      <m:t>12</m:t>
                    </m:r>
                  </m:den>
                </m:f>
              </m:e>
            </m:d>
          </m:e>
        </m:func>
      </m:oMath>
      <w:r w:rsidRPr="00A74E55">
        <w:rPr>
          <w:rFonts w:ascii="Times New Roman" w:eastAsia="Times New Roman" w:hAnsi="Times New Roman" w:cs="Times New Roman"/>
          <w:lang w:val="en-GB"/>
        </w:rPr>
        <w:t xml:space="preserve"> + δ</w:t>
      </w:r>
      <w:r w:rsidRPr="00A74E55">
        <w:rPr>
          <w:rFonts w:ascii="Times New Roman" w:eastAsia="Times New Roman" w:hAnsi="Times New Roman" w:cs="Times New Roman"/>
          <w:vertAlign w:val="subscript"/>
          <w:lang w:val="en-GB"/>
        </w:rPr>
        <w:t>2</w:t>
      </w:r>
      <w:r w:rsidRPr="00A74E55">
        <w:rPr>
          <w:rFonts w:ascii="Times New Roman" w:eastAsia="Times New Roman" w:hAnsi="Times New Roman" w:cs="Times New Roman"/>
          <w:lang w:val="en-GB"/>
        </w:rPr>
        <w:t xml:space="preserve"> </w:t>
      </w:r>
      <m:oMath>
        <m:func>
          <m:funcPr>
            <m:ctrlPr>
              <w:rPr>
                <w:rFonts w:ascii="Cambria Math" w:hAnsi="Cambria Math" w:cs="Times New Roman"/>
                <w:lang w:val="en-GB"/>
              </w:rPr>
            </m:ctrlPr>
          </m:funcPr>
          <m:fName>
            <m:r>
              <m:rPr>
                <m:sty m:val="p"/>
              </m:rPr>
              <w:rPr>
                <w:rFonts w:ascii="Cambria Math" w:eastAsia="Cambria Math" w:hAnsi="Cambria Math" w:cs="Times New Roman"/>
                <w:lang w:val="en-GB"/>
              </w:rPr>
              <m:t>cos</m:t>
            </m:r>
          </m:fName>
          <m:e>
            <m:d>
              <m:dPr>
                <m:ctrlPr>
                  <w:rPr>
                    <w:rFonts w:ascii="Cambria Math" w:hAnsi="Cambria Math" w:cs="Times New Roman"/>
                    <w:lang w:val="en-GB"/>
                  </w:rPr>
                </m:ctrlPr>
              </m:dPr>
              <m:e>
                <m:f>
                  <m:fPr>
                    <m:ctrlPr>
                      <w:rPr>
                        <w:rFonts w:ascii="Cambria Math" w:hAnsi="Cambria Math" w:cs="Times New Roman"/>
                        <w:lang w:val="en-GB"/>
                      </w:rPr>
                    </m:ctrlPr>
                  </m:fPr>
                  <m:num>
                    <m:r>
                      <w:rPr>
                        <w:rFonts w:ascii="Cambria Math" w:eastAsia="Cambria Math" w:hAnsi="Cambria Math" w:cs="Times New Roman"/>
                        <w:lang w:val="en-GB"/>
                      </w:rPr>
                      <m:t>2</m:t>
                    </m:r>
                    <m:r>
                      <w:rPr>
                        <w:rFonts w:ascii="Cambria Math" w:eastAsia="ＭＳ 明朝" w:hAnsi="Cambria Math" w:cs="Times New Roman"/>
                        <w:lang w:val="en-GB"/>
                      </w:rPr>
                      <m:t>π</m:t>
                    </m:r>
                    <m:r>
                      <m:rPr>
                        <m:sty m:val="p"/>
                      </m:rPr>
                      <w:rPr>
                        <w:rFonts w:ascii="Cambria Math" w:hAnsi="Cambria Math" w:cs="Times New Roman"/>
                        <w:lang w:val="en-GB"/>
                      </w:rPr>
                      <m:t>Time</m:t>
                    </m:r>
                    <m:r>
                      <m:rPr>
                        <m:sty m:val="p"/>
                      </m:rPr>
                      <w:rPr>
                        <w:rFonts w:ascii="Segoe UI Symbol" w:hAnsi="Segoe UI Symbol" w:cs="Segoe UI Symbol"/>
                        <w:lang w:val="en-GB"/>
                      </w:rPr>
                      <m:t>ₜ</m:t>
                    </m:r>
                  </m:num>
                  <m:den>
                    <m:r>
                      <w:rPr>
                        <w:rFonts w:ascii="Cambria Math" w:eastAsia="Cambria Math" w:hAnsi="Cambria Math" w:cs="Times New Roman"/>
                        <w:lang w:val="en-GB"/>
                      </w:rPr>
                      <m:t>12</m:t>
                    </m:r>
                  </m:den>
                </m:f>
              </m:e>
            </m:d>
          </m:e>
        </m:func>
      </m:oMath>
    </w:p>
    <w:p w14:paraId="0152BF6F" w14:textId="2879FF04" w:rsidR="008A4BC7" w:rsidRPr="00A74E55" w:rsidRDefault="000D0BFA">
      <w:pPr>
        <w:rPr>
          <w:rFonts w:ascii="Times New Roman" w:eastAsia="Times New Roman" w:hAnsi="Times New Roman" w:cs="Times New Roman"/>
          <w:lang w:val="en-GB"/>
        </w:rPr>
      </w:pPr>
      <w:r w:rsidRPr="00A74E55">
        <w:rPr>
          <w:rFonts w:ascii="Times New Roman" w:eastAsia="Times New Roman" w:hAnsi="Times New Roman" w:cs="Times New Roman"/>
          <w:lang w:val="en-GB"/>
        </w:rPr>
        <w:t>Counterfactual rate: r̂ₜ</w:t>
      </w:r>
      <w:r w:rsidRPr="00A74E55">
        <w:rPr>
          <w:rFonts w:ascii="Times New Roman" w:eastAsia="Times New Roman" w:hAnsi="Times New Roman" w:cs="Times New Roman"/>
          <w:vertAlign w:val="superscript"/>
          <w:lang w:val="en-GB"/>
        </w:rPr>
        <w:t>cf</w:t>
      </w:r>
      <w:r w:rsidRPr="00A74E55">
        <w:rPr>
          <w:rFonts w:ascii="Times New Roman" w:eastAsia="Times New Roman" w:hAnsi="Times New Roman" w:cs="Times New Roman"/>
          <w:lang w:val="en-GB"/>
        </w:rPr>
        <w:t xml:space="preserve"> = exp(ηₜ</w:t>
      </w:r>
      <w:r w:rsidRPr="00A74E55">
        <w:rPr>
          <w:rFonts w:ascii="Times New Roman" w:eastAsia="Times New Roman" w:hAnsi="Times New Roman" w:cs="Times New Roman"/>
          <w:vertAlign w:val="superscript"/>
          <w:lang w:val="en-GB"/>
        </w:rPr>
        <w:t>cf</w:t>
      </w:r>
      <w:r w:rsidRPr="00A74E55">
        <w:rPr>
          <w:rFonts w:ascii="Times New Roman" w:eastAsia="Times New Roman" w:hAnsi="Times New Roman" w:cs="Times New Roman"/>
          <w:lang w:val="en-GB"/>
        </w:rPr>
        <w:t>)</w:t>
      </w:r>
    </w:p>
    <w:p w14:paraId="5E86C7DC" w14:textId="40FC0C37" w:rsidR="008A4BC7" w:rsidRPr="00A74E55" w:rsidRDefault="000D0BFA">
      <w:pPr>
        <w:rPr>
          <w:rFonts w:ascii="Times New Roman" w:eastAsia="Times New Roman" w:hAnsi="Times New Roman" w:cs="Times New Roman"/>
          <w:lang w:val="en-GB"/>
        </w:rPr>
      </w:pPr>
      <w:r w:rsidRPr="00A74E55">
        <w:rPr>
          <w:rFonts w:ascii="Times New Roman" w:eastAsia="Times New Roman" w:hAnsi="Times New Roman" w:cs="Times New Roman"/>
          <w:lang w:val="en-GB"/>
        </w:rPr>
        <w:t xml:space="preserve">The absolute effect at 12 months was defined as the difference between the predicted post-policy value and the counterfactual value at </w:t>
      </w:r>
      <m:oMath>
        <m:sSub>
          <m:sSubPr>
            <m:ctrlPr>
              <w:rPr>
                <w:rFonts w:ascii="Cambria Math" w:eastAsia="Times New Roman" w:hAnsi="Cambria Math" w:cs="Times New Roman"/>
                <w:lang w:val="en-GB"/>
              </w:rPr>
            </m:ctrlPr>
          </m:sSubPr>
          <m:e>
            <m:r>
              <w:rPr>
                <w:rFonts w:ascii="Cambria Math" w:eastAsia="Times New Roman" w:hAnsi="Cambria Math" w:cs="Times New Roman"/>
                <w:lang w:val="en-GB"/>
              </w:rPr>
              <m:t>t</m:t>
            </m:r>
          </m:e>
          <m:sub>
            <m:r>
              <w:rPr>
                <w:rFonts w:ascii="Cambria Math" w:eastAsia="Times New Roman" w:hAnsi="Cambria Math" w:cs="Times New Roman"/>
                <w:lang w:val="en-GB"/>
              </w:rPr>
              <m:t>0</m:t>
            </m:r>
          </m:sub>
        </m:sSub>
        <m:r>
          <w:rPr>
            <w:rFonts w:ascii="Cambria Math" w:eastAsia="Times New Roman" w:hAnsi="Cambria Math" w:cs="Times New Roman"/>
            <w:lang w:val="en-GB"/>
          </w:rPr>
          <m:t>+12</m:t>
        </m:r>
      </m:oMath>
      <w:r w:rsidRPr="00A74E55">
        <w:rPr>
          <w:rFonts w:ascii="Times New Roman" w:eastAsia="Times New Roman" w:hAnsi="Times New Roman" w:cs="Times New Roman"/>
          <w:lang w:val="en-GB"/>
        </w:rPr>
        <w:t xml:space="preserve"> (percentage</w:t>
      </w:r>
      <w:r w:rsidR="00A92EC4">
        <w:rPr>
          <w:rFonts w:ascii="Times New Roman" w:eastAsia="Times New Roman" w:hAnsi="Times New Roman" w:cs="Times New Roman"/>
          <w:lang w:val="en-GB"/>
        </w:rPr>
        <w:t xml:space="preserve"> </w:t>
      </w:r>
      <w:r w:rsidRPr="00A74E55">
        <w:rPr>
          <w:rFonts w:ascii="Times New Roman" w:eastAsia="Times New Roman" w:hAnsi="Times New Roman" w:cs="Times New Roman"/>
          <w:lang w:val="en-GB"/>
        </w:rPr>
        <w:t xml:space="preserve">point change). The relative effect at 12 months was defined as the ratio of the predicted post-policy value to the counterfactual value at </w:t>
      </w:r>
      <m:oMath>
        <m:sSub>
          <m:sSubPr>
            <m:ctrlPr>
              <w:rPr>
                <w:rFonts w:ascii="Cambria Math" w:eastAsia="Times New Roman" w:hAnsi="Cambria Math" w:cs="Times New Roman"/>
                <w:lang w:val="en-GB"/>
              </w:rPr>
            </m:ctrlPr>
          </m:sSubPr>
          <m:e>
            <m:r>
              <w:rPr>
                <w:rFonts w:ascii="Cambria Math" w:eastAsia="Times New Roman" w:hAnsi="Cambria Math" w:cs="Times New Roman"/>
                <w:lang w:val="en-GB"/>
              </w:rPr>
              <m:t>t</m:t>
            </m:r>
          </m:e>
          <m:sub>
            <m:r>
              <w:rPr>
                <w:rFonts w:ascii="Cambria Math" w:eastAsia="Times New Roman" w:hAnsi="Cambria Math" w:cs="Times New Roman"/>
                <w:lang w:val="en-GB"/>
              </w:rPr>
              <m:t>0</m:t>
            </m:r>
          </m:sub>
        </m:sSub>
        <m:r>
          <w:rPr>
            <w:rFonts w:ascii="Cambria Math" w:eastAsia="Times New Roman" w:hAnsi="Cambria Math" w:cs="Times New Roman"/>
            <w:lang w:val="en-GB"/>
          </w:rPr>
          <m:t>+12</m:t>
        </m:r>
      </m:oMath>
      <w:r w:rsidRPr="00A74E55">
        <w:rPr>
          <w:rFonts w:ascii="Times New Roman" w:eastAsia="Times New Roman" w:hAnsi="Times New Roman" w:cs="Times New Roman"/>
          <w:lang w:val="en-GB"/>
        </w:rPr>
        <w:t>.</w:t>
      </w:r>
    </w:p>
    <w:p w14:paraId="73AE2826" w14:textId="77777777" w:rsidR="008A4BC7" w:rsidRPr="00A74E55" w:rsidRDefault="000D0BFA">
      <w:pPr>
        <w:rPr>
          <w:rFonts w:ascii="Times New Roman" w:eastAsia="Times New Roman" w:hAnsi="Times New Roman" w:cs="Times New Roman"/>
          <w:b/>
          <w:lang w:val="en-GB"/>
        </w:rPr>
      </w:pPr>
      <w:r w:rsidRPr="00A74E55">
        <w:rPr>
          <w:rFonts w:ascii="Times New Roman" w:eastAsia="Times New Roman" w:hAnsi="Times New Roman" w:cs="Times New Roman"/>
          <w:lang w:val="en-GB"/>
        </w:rPr>
        <w:br w:type="page"/>
      </w:r>
    </w:p>
    <w:p w14:paraId="7B472E51" w14:textId="77777777" w:rsidR="008A4BC7" w:rsidRPr="00A74E55" w:rsidRDefault="000D0BFA">
      <w:pPr>
        <w:rPr>
          <w:rFonts w:ascii="Times New Roman" w:eastAsia="Times New Roman" w:hAnsi="Times New Roman" w:cs="Times New Roman"/>
          <w:lang w:val="en-GB"/>
        </w:rPr>
      </w:pPr>
      <w:r w:rsidRPr="00A74E55">
        <w:rPr>
          <w:rFonts w:ascii="Times New Roman" w:eastAsia="Times New Roman" w:hAnsi="Times New Roman" w:cs="Times New Roman"/>
          <w:b/>
          <w:lang w:val="en-GB"/>
        </w:rPr>
        <w:lastRenderedPageBreak/>
        <w:t>Table S1.</w:t>
      </w:r>
      <w:r w:rsidRPr="00A74E55">
        <w:rPr>
          <w:rFonts w:ascii="Times New Roman" w:eastAsia="Times New Roman" w:hAnsi="Times New Roman" w:cs="Times New Roman"/>
          <w:lang w:val="en-GB"/>
        </w:rPr>
        <w:t xml:space="preserve"> Definitions of outcomes</w:t>
      </w:r>
    </w:p>
    <w:tbl>
      <w:tblPr>
        <w:tblW w:w="10466" w:type="dxa"/>
        <w:tblCellMar>
          <w:left w:w="99" w:type="dxa"/>
          <w:right w:w="99" w:type="dxa"/>
        </w:tblCellMar>
        <w:tblLook w:val="04A0" w:firstRow="1" w:lastRow="0" w:firstColumn="1" w:lastColumn="0" w:noHBand="0" w:noVBand="1"/>
      </w:tblPr>
      <w:tblGrid>
        <w:gridCol w:w="3318"/>
        <w:gridCol w:w="7148"/>
      </w:tblGrid>
      <w:tr w:rsidR="008A4BC7" w:rsidRPr="001822A4" w14:paraId="375157D8" w14:textId="77777777">
        <w:trPr>
          <w:trHeight w:val="426"/>
        </w:trPr>
        <w:tc>
          <w:tcPr>
            <w:tcW w:w="3318" w:type="dxa"/>
            <w:tcBorders>
              <w:top w:val="single" w:sz="4" w:space="0" w:color="auto"/>
              <w:left w:val="nil"/>
              <w:bottom w:val="single" w:sz="4" w:space="0" w:color="auto"/>
              <w:right w:val="nil"/>
            </w:tcBorders>
            <w:shd w:val="clear" w:color="auto" w:fill="E7E6E6"/>
            <w:vAlign w:val="center"/>
          </w:tcPr>
          <w:p w14:paraId="74C8C4A5" w14:textId="77777777" w:rsidR="008A4BC7" w:rsidRPr="00A74E55" w:rsidRDefault="000D0BFA">
            <w:pPr>
              <w:rPr>
                <w:rFonts w:ascii="Times New Roman" w:eastAsia="Times New Roman" w:hAnsi="Times New Roman" w:cs="Times New Roman"/>
                <w:b/>
                <w:color w:val="252525"/>
                <w:lang w:val="en-GB"/>
              </w:rPr>
            </w:pPr>
            <w:r w:rsidRPr="00A74E55">
              <w:rPr>
                <w:rFonts w:ascii="Times New Roman" w:eastAsia="Times New Roman" w:hAnsi="Times New Roman" w:cs="Times New Roman"/>
                <w:b/>
                <w:color w:val="252525"/>
                <w:lang w:val="en-GB"/>
              </w:rPr>
              <w:t>Outcome criteria</w:t>
            </w:r>
          </w:p>
        </w:tc>
        <w:tc>
          <w:tcPr>
            <w:tcW w:w="7148" w:type="dxa"/>
            <w:tcBorders>
              <w:top w:val="single" w:sz="4" w:space="0" w:color="auto"/>
              <w:left w:val="nil"/>
              <w:bottom w:val="single" w:sz="4" w:space="0" w:color="auto"/>
              <w:right w:val="nil"/>
            </w:tcBorders>
            <w:shd w:val="clear" w:color="auto" w:fill="E7E6E6"/>
            <w:vAlign w:val="center"/>
          </w:tcPr>
          <w:p w14:paraId="552CEB72" w14:textId="77777777" w:rsidR="008A4BC7" w:rsidRPr="00A74E55" w:rsidRDefault="000D0BFA">
            <w:pPr>
              <w:rPr>
                <w:rFonts w:ascii="Times New Roman" w:eastAsia="Times New Roman" w:hAnsi="Times New Roman" w:cs="Times New Roman"/>
                <w:b/>
                <w:color w:val="252525"/>
                <w:lang w:val="en-GB"/>
              </w:rPr>
            </w:pPr>
            <w:r w:rsidRPr="00A74E55">
              <w:rPr>
                <w:rFonts w:ascii="Times New Roman" w:eastAsia="Times New Roman" w:hAnsi="Times New Roman" w:cs="Times New Roman"/>
                <w:b/>
                <w:color w:val="252525"/>
                <w:lang w:val="en-GB"/>
              </w:rPr>
              <w:t>Definition</w:t>
            </w:r>
          </w:p>
        </w:tc>
      </w:tr>
      <w:tr w:rsidR="008A4BC7" w:rsidRPr="001822A4" w14:paraId="2D689735" w14:textId="77777777">
        <w:trPr>
          <w:trHeight w:val="426"/>
        </w:trPr>
        <w:tc>
          <w:tcPr>
            <w:tcW w:w="3318" w:type="dxa"/>
            <w:tcBorders>
              <w:top w:val="nil"/>
              <w:left w:val="nil"/>
              <w:bottom w:val="nil"/>
              <w:right w:val="nil"/>
            </w:tcBorders>
            <w:vAlign w:val="center"/>
          </w:tcPr>
          <w:p w14:paraId="46A3D4BB" w14:textId="77777777" w:rsidR="008A4BC7" w:rsidRPr="00A74E55" w:rsidRDefault="000D0BFA">
            <w:pPr>
              <w:rPr>
                <w:rFonts w:ascii="Times New Roman" w:eastAsia="Times New Roman" w:hAnsi="Times New Roman" w:cs="Times New Roman"/>
                <w:color w:val="252525"/>
                <w:lang w:val="en-GB"/>
              </w:rPr>
            </w:pPr>
            <w:r w:rsidRPr="00A74E55">
              <w:rPr>
                <w:rFonts w:ascii="Times New Roman" w:eastAsia="Times New Roman" w:hAnsi="Times New Roman" w:cs="Times New Roman"/>
                <w:color w:val="252525"/>
                <w:lang w:val="en-GB"/>
              </w:rPr>
              <w:t>Clavicle fracture</w:t>
            </w:r>
          </w:p>
        </w:tc>
        <w:tc>
          <w:tcPr>
            <w:tcW w:w="7148" w:type="dxa"/>
            <w:tcBorders>
              <w:top w:val="nil"/>
              <w:left w:val="nil"/>
              <w:bottom w:val="nil"/>
              <w:right w:val="nil"/>
            </w:tcBorders>
          </w:tcPr>
          <w:p w14:paraId="1624ECEB" w14:textId="77777777" w:rsidR="008A4BC7" w:rsidRPr="00A74E55" w:rsidRDefault="000D0BFA">
            <w:pPr>
              <w:rPr>
                <w:rFonts w:ascii="Times New Roman" w:eastAsia="Times New Roman" w:hAnsi="Times New Roman" w:cs="Times New Roman"/>
                <w:color w:val="252525"/>
                <w:lang w:val="en-GB"/>
              </w:rPr>
            </w:pPr>
            <w:r w:rsidRPr="00A74E55">
              <w:rPr>
                <w:rFonts w:ascii="Times New Roman" w:eastAsia="Times New Roman" w:hAnsi="Times New Roman" w:cs="Times New Roman"/>
                <w:color w:val="252525"/>
                <w:lang w:val="en-GB"/>
              </w:rPr>
              <w:t>Diagnosis (ICD-10 codes): S420</w:t>
            </w:r>
          </w:p>
          <w:p w14:paraId="21A1A4D3" w14:textId="77777777" w:rsidR="008A4BC7" w:rsidRPr="00A74E55" w:rsidRDefault="000D0BFA">
            <w:pPr>
              <w:rPr>
                <w:rFonts w:ascii="Times New Roman" w:eastAsia="Times New Roman" w:hAnsi="Times New Roman" w:cs="Times New Roman"/>
                <w:color w:val="252525"/>
                <w:lang w:val="en-GB"/>
              </w:rPr>
            </w:pPr>
            <w:r w:rsidRPr="00A74E55">
              <w:rPr>
                <w:rFonts w:ascii="Times New Roman" w:eastAsia="Times New Roman" w:hAnsi="Times New Roman" w:cs="Times New Roman"/>
                <w:color w:val="252525"/>
                <w:lang w:val="en-GB"/>
              </w:rPr>
              <w:t xml:space="preserve">AND </w:t>
            </w:r>
          </w:p>
          <w:p w14:paraId="513D07FF" w14:textId="77777777" w:rsidR="008A4BC7" w:rsidRPr="00A74E55" w:rsidRDefault="000D0BFA">
            <w:pPr>
              <w:rPr>
                <w:rFonts w:ascii="Times New Roman" w:eastAsia="Times New Roman" w:hAnsi="Times New Roman" w:cs="Times New Roman"/>
                <w:color w:val="252525"/>
                <w:lang w:val="en-GB"/>
              </w:rPr>
            </w:pPr>
            <w:r w:rsidRPr="00A74E55">
              <w:rPr>
                <w:rFonts w:ascii="Times New Roman" w:eastAsia="Times New Roman" w:hAnsi="Times New Roman" w:cs="Times New Roman"/>
                <w:color w:val="252525"/>
                <w:lang w:val="en-GB"/>
              </w:rPr>
              <w:t>One specific treatment (Original Japanese procedure codes): 140044110, 140044330, 140044550, 150017650 [External fixation], 150017010 [Fracture reduction], 150018610, 150019510, 150042910, 150043310, 150353510, 150353910 [Surgery]</w:t>
            </w:r>
          </w:p>
        </w:tc>
      </w:tr>
      <w:tr w:rsidR="008A4BC7" w:rsidRPr="001822A4" w14:paraId="41889748" w14:textId="77777777">
        <w:trPr>
          <w:trHeight w:val="426"/>
        </w:trPr>
        <w:tc>
          <w:tcPr>
            <w:tcW w:w="3318" w:type="dxa"/>
            <w:tcBorders>
              <w:top w:val="nil"/>
              <w:left w:val="nil"/>
              <w:bottom w:val="nil"/>
              <w:right w:val="nil"/>
            </w:tcBorders>
            <w:shd w:val="clear" w:color="auto" w:fill="E7E6E6"/>
            <w:vAlign w:val="center"/>
          </w:tcPr>
          <w:p w14:paraId="207D905E" w14:textId="77777777" w:rsidR="008A4BC7" w:rsidRPr="00A74E55" w:rsidRDefault="000D0BFA">
            <w:pPr>
              <w:rPr>
                <w:rFonts w:ascii="Times New Roman" w:eastAsia="Times New Roman" w:hAnsi="Times New Roman" w:cs="Times New Roman"/>
                <w:color w:val="252525"/>
                <w:lang w:val="en-GB"/>
              </w:rPr>
            </w:pPr>
            <w:r w:rsidRPr="00A74E55">
              <w:rPr>
                <w:rFonts w:ascii="Times New Roman" w:eastAsia="Times New Roman" w:hAnsi="Times New Roman" w:cs="Times New Roman"/>
                <w:color w:val="252525"/>
                <w:lang w:val="en-GB"/>
              </w:rPr>
              <w:t>Humerus fracture (except distal humerus)</w:t>
            </w:r>
          </w:p>
        </w:tc>
        <w:tc>
          <w:tcPr>
            <w:tcW w:w="7148" w:type="dxa"/>
            <w:tcBorders>
              <w:top w:val="nil"/>
              <w:left w:val="nil"/>
              <w:bottom w:val="nil"/>
              <w:right w:val="nil"/>
            </w:tcBorders>
            <w:shd w:val="clear" w:color="auto" w:fill="E7E6E6"/>
          </w:tcPr>
          <w:p w14:paraId="0C181DE6" w14:textId="77777777" w:rsidR="008A4BC7" w:rsidRPr="00A74E55" w:rsidRDefault="000D0BFA">
            <w:pPr>
              <w:rPr>
                <w:rFonts w:ascii="Times New Roman" w:eastAsia="Times New Roman" w:hAnsi="Times New Roman" w:cs="Times New Roman"/>
                <w:color w:val="252525"/>
                <w:lang w:val="en-GB"/>
              </w:rPr>
            </w:pPr>
            <w:r w:rsidRPr="00A74E55">
              <w:rPr>
                <w:rFonts w:ascii="Times New Roman" w:eastAsia="Times New Roman" w:hAnsi="Times New Roman" w:cs="Times New Roman"/>
                <w:color w:val="252525"/>
                <w:lang w:val="en-GB"/>
              </w:rPr>
              <w:t>Diagnosis (ICD-10 codes): S422, S423</w:t>
            </w:r>
          </w:p>
          <w:p w14:paraId="143FB96E" w14:textId="77777777" w:rsidR="008A4BC7" w:rsidRPr="00A74E55" w:rsidRDefault="000D0BFA">
            <w:pPr>
              <w:rPr>
                <w:rFonts w:ascii="Times New Roman" w:eastAsia="Times New Roman" w:hAnsi="Times New Roman" w:cs="Times New Roman"/>
                <w:color w:val="252525"/>
                <w:lang w:val="en-GB"/>
              </w:rPr>
            </w:pPr>
            <w:r w:rsidRPr="00A74E55">
              <w:rPr>
                <w:rFonts w:ascii="Times New Roman" w:eastAsia="Times New Roman" w:hAnsi="Times New Roman" w:cs="Times New Roman"/>
                <w:color w:val="252525"/>
                <w:lang w:val="en-GB"/>
              </w:rPr>
              <w:t xml:space="preserve">AND </w:t>
            </w:r>
          </w:p>
          <w:p w14:paraId="6BB95F44" w14:textId="77777777" w:rsidR="008A4BC7" w:rsidRPr="00A74E55" w:rsidRDefault="000D0BFA">
            <w:pPr>
              <w:rPr>
                <w:rFonts w:ascii="Times New Roman" w:eastAsia="Times New Roman" w:hAnsi="Times New Roman" w:cs="Times New Roman"/>
                <w:color w:val="252525"/>
                <w:lang w:val="en-GB"/>
              </w:rPr>
            </w:pPr>
            <w:r w:rsidRPr="00A74E55">
              <w:rPr>
                <w:rFonts w:ascii="Times New Roman" w:eastAsia="Times New Roman" w:hAnsi="Times New Roman" w:cs="Times New Roman"/>
                <w:color w:val="252525"/>
                <w:lang w:val="en-GB"/>
              </w:rPr>
              <w:t>One specific treatment (Original Japanese procedure codes): 140040810, 140041430, 140042050, 140048350, 140048450 [External fixation], 150016610 [Fracture reduction], 150018210, 150019110, 150042610, 150352110, 150353210, 150047010, 150049410 [surgery]</w:t>
            </w:r>
          </w:p>
        </w:tc>
      </w:tr>
      <w:tr w:rsidR="008A4BC7" w:rsidRPr="001822A4" w14:paraId="1AC4C3C5" w14:textId="77777777">
        <w:trPr>
          <w:trHeight w:val="426"/>
        </w:trPr>
        <w:tc>
          <w:tcPr>
            <w:tcW w:w="3318" w:type="dxa"/>
            <w:tcBorders>
              <w:top w:val="nil"/>
              <w:left w:val="nil"/>
              <w:bottom w:val="nil"/>
              <w:right w:val="nil"/>
            </w:tcBorders>
            <w:vAlign w:val="center"/>
          </w:tcPr>
          <w:p w14:paraId="30208E6F" w14:textId="77777777" w:rsidR="008A4BC7" w:rsidRPr="00A74E55" w:rsidRDefault="000D0BFA">
            <w:pPr>
              <w:rPr>
                <w:rFonts w:ascii="Times New Roman" w:eastAsia="Times New Roman" w:hAnsi="Times New Roman" w:cs="Times New Roman"/>
                <w:color w:val="252525"/>
                <w:lang w:val="en-GB"/>
              </w:rPr>
            </w:pPr>
            <w:r w:rsidRPr="00A74E55">
              <w:rPr>
                <w:rFonts w:ascii="Times New Roman" w:eastAsia="Times New Roman" w:hAnsi="Times New Roman" w:cs="Times New Roman"/>
                <w:color w:val="252525"/>
                <w:lang w:val="en-GB"/>
              </w:rPr>
              <w:t>Distal humerus fracture</w:t>
            </w:r>
          </w:p>
        </w:tc>
        <w:tc>
          <w:tcPr>
            <w:tcW w:w="7148" w:type="dxa"/>
            <w:tcBorders>
              <w:top w:val="nil"/>
              <w:left w:val="nil"/>
              <w:bottom w:val="nil"/>
              <w:right w:val="nil"/>
            </w:tcBorders>
          </w:tcPr>
          <w:p w14:paraId="6C04F3AA" w14:textId="77777777" w:rsidR="008A4BC7" w:rsidRPr="00A74E55" w:rsidRDefault="000D0BFA">
            <w:pPr>
              <w:rPr>
                <w:rFonts w:ascii="Times New Roman" w:eastAsia="Times New Roman" w:hAnsi="Times New Roman" w:cs="Times New Roman"/>
                <w:color w:val="252525"/>
                <w:lang w:val="en-GB"/>
              </w:rPr>
            </w:pPr>
            <w:r w:rsidRPr="00A74E55">
              <w:rPr>
                <w:rFonts w:ascii="Times New Roman" w:eastAsia="Times New Roman" w:hAnsi="Times New Roman" w:cs="Times New Roman"/>
                <w:color w:val="252525"/>
                <w:lang w:val="en-GB"/>
              </w:rPr>
              <w:t>Diagnosis (ICD-10 codes): S424</w:t>
            </w:r>
          </w:p>
          <w:p w14:paraId="1504BB91" w14:textId="77777777" w:rsidR="008A4BC7" w:rsidRPr="00A74E55" w:rsidRDefault="000D0BFA">
            <w:pPr>
              <w:rPr>
                <w:rFonts w:ascii="Times New Roman" w:eastAsia="Times New Roman" w:hAnsi="Times New Roman" w:cs="Times New Roman"/>
                <w:color w:val="252525"/>
                <w:lang w:val="en-GB"/>
              </w:rPr>
            </w:pPr>
            <w:r w:rsidRPr="00A74E55">
              <w:rPr>
                <w:rFonts w:ascii="Times New Roman" w:eastAsia="Times New Roman" w:hAnsi="Times New Roman" w:cs="Times New Roman"/>
                <w:color w:val="252525"/>
                <w:lang w:val="en-GB"/>
              </w:rPr>
              <w:t xml:space="preserve">AND </w:t>
            </w:r>
          </w:p>
          <w:p w14:paraId="719C786C" w14:textId="77777777" w:rsidR="008A4BC7" w:rsidRPr="00A74E55" w:rsidRDefault="000D0BFA">
            <w:pPr>
              <w:rPr>
                <w:rFonts w:ascii="Times New Roman" w:eastAsia="Times New Roman" w:hAnsi="Times New Roman" w:cs="Times New Roman"/>
                <w:color w:val="252525"/>
                <w:lang w:val="en-GB"/>
              </w:rPr>
            </w:pPr>
            <w:r w:rsidRPr="00A74E55">
              <w:rPr>
                <w:rFonts w:ascii="Times New Roman" w:eastAsia="Times New Roman" w:hAnsi="Times New Roman" w:cs="Times New Roman"/>
                <w:color w:val="252525"/>
                <w:lang w:val="en-GB"/>
              </w:rPr>
              <w:t>One specific treatment (Original Japanese procedure codes): 140040810, 140041430, 140042050, 140048350, 140048450 [External fixation], 150016610 [Fracture reduction], 150018210, 150019110, 150043010, 150352110, 150353610 [surgery]</w:t>
            </w:r>
          </w:p>
        </w:tc>
      </w:tr>
      <w:tr w:rsidR="008A4BC7" w:rsidRPr="001822A4" w14:paraId="57CDCF17" w14:textId="77777777">
        <w:trPr>
          <w:trHeight w:val="426"/>
        </w:trPr>
        <w:tc>
          <w:tcPr>
            <w:tcW w:w="3318" w:type="dxa"/>
            <w:tcBorders>
              <w:top w:val="nil"/>
              <w:left w:val="nil"/>
              <w:bottom w:val="nil"/>
              <w:right w:val="nil"/>
            </w:tcBorders>
            <w:shd w:val="clear" w:color="auto" w:fill="E7E6E6"/>
            <w:vAlign w:val="center"/>
          </w:tcPr>
          <w:p w14:paraId="09970BDA" w14:textId="77777777" w:rsidR="008A4BC7" w:rsidRPr="00A74E55" w:rsidRDefault="000D0BFA">
            <w:pPr>
              <w:rPr>
                <w:rFonts w:ascii="Times New Roman" w:eastAsia="Times New Roman" w:hAnsi="Times New Roman" w:cs="Times New Roman"/>
                <w:color w:val="252525"/>
                <w:lang w:val="en-GB"/>
              </w:rPr>
            </w:pPr>
            <w:r w:rsidRPr="00A74E55">
              <w:rPr>
                <w:rFonts w:ascii="Times New Roman" w:eastAsia="Times New Roman" w:hAnsi="Times New Roman" w:cs="Times New Roman"/>
                <w:color w:val="252525"/>
                <w:lang w:val="en-GB"/>
              </w:rPr>
              <w:t>Vertebral fracture</w:t>
            </w:r>
          </w:p>
        </w:tc>
        <w:tc>
          <w:tcPr>
            <w:tcW w:w="7148" w:type="dxa"/>
            <w:tcBorders>
              <w:top w:val="nil"/>
              <w:left w:val="nil"/>
              <w:bottom w:val="nil"/>
              <w:right w:val="nil"/>
            </w:tcBorders>
            <w:shd w:val="clear" w:color="auto" w:fill="E7E6E6"/>
            <w:vAlign w:val="center"/>
          </w:tcPr>
          <w:p w14:paraId="02AE4EEA" w14:textId="77777777" w:rsidR="008A4BC7" w:rsidRPr="00A74E55" w:rsidRDefault="000D0BFA">
            <w:pPr>
              <w:rPr>
                <w:rFonts w:ascii="Times New Roman" w:eastAsia="Times New Roman" w:hAnsi="Times New Roman" w:cs="Times New Roman"/>
                <w:color w:val="252525"/>
                <w:lang w:val="en-GB"/>
              </w:rPr>
            </w:pPr>
            <w:r w:rsidRPr="00A74E55">
              <w:rPr>
                <w:rFonts w:ascii="Times New Roman" w:eastAsia="Times New Roman" w:hAnsi="Times New Roman" w:cs="Times New Roman"/>
                <w:color w:val="252525"/>
                <w:lang w:val="en-GB"/>
              </w:rPr>
              <w:t xml:space="preserve">Diagnosis (ICD-10 codes): S220, S221, S320, S327, T0210, T08 </w:t>
            </w:r>
          </w:p>
          <w:p w14:paraId="74161AA1" w14:textId="77777777" w:rsidR="008A4BC7" w:rsidRPr="00A74E55" w:rsidRDefault="000D0BFA">
            <w:pPr>
              <w:rPr>
                <w:rFonts w:ascii="Times New Roman" w:eastAsia="Times New Roman" w:hAnsi="Times New Roman" w:cs="Times New Roman"/>
                <w:color w:val="252525"/>
                <w:lang w:val="en-GB"/>
              </w:rPr>
            </w:pPr>
            <w:r w:rsidRPr="00A74E55">
              <w:rPr>
                <w:rFonts w:ascii="Times New Roman" w:eastAsia="Times New Roman" w:hAnsi="Times New Roman" w:cs="Times New Roman"/>
                <w:color w:val="252525"/>
                <w:lang w:val="en-GB"/>
              </w:rPr>
              <w:t xml:space="preserve">AND </w:t>
            </w:r>
          </w:p>
          <w:p w14:paraId="0F089877" w14:textId="77777777" w:rsidR="008A4BC7" w:rsidRPr="00A74E55" w:rsidRDefault="000D0BFA">
            <w:pPr>
              <w:rPr>
                <w:rFonts w:ascii="Times New Roman" w:eastAsia="Times New Roman" w:hAnsi="Times New Roman" w:cs="Times New Roman"/>
                <w:color w:val="252525"/>
                <w:lang w:val="en-GB"/>
              </w:rPr>
            </w:pPr>
            <w:r w:rsidRPr="00A74E55">
              <w:rPr>
                <w:rFonts w:ascii="Times New Roman" w:eastAsia="Times New Roman" w:hAnsi="Times New Roman" w:cs="Times New Roman"/>
                <w:color w:val="252525"/>
                <w:lang w:val="en-GB"/>
              </w:rPr>
              <w:t>One specific treatment (Original Japanese procedure codes): 140043410, 140043530, 140043630, 140043750, 140043850, 140061310, 140047410, 140047950 [External fixation], 150059510 [Fracture reduction], 150355210, 150314810, 150282510, 150282610, 150314610, 150314710 [Surgery]</w:t>
            </w:r>
          </w:p>
        </w:tc>
      </w:tr>
      <w:tr w:rsidR="008A4BC7" w:rsidRPr="001822A4" w14:paraId="7D14769B" w14:textId="77777777">
        <w:trPr>
          <w:trHeight w:val="426"/>
        </w:trPr>
        <w:tc>
          <w:tcPr>
            <w:tcW w:w="3318" w:type="dxa"/>
            <w:tcBorders>
              <w:top w:val="nil"/>
              <w:left w:val="nil"/>
              <w:right w:val="nil"/>
            </w:tcBorders>
          </w:tcPr>
          <w:p w14:paraId="0D8E9899" w14:textId="77777777" w:rsidR="008A4BC7" w:rsidRPr="00A74E55" w:rsidRDefault="000D0BFA">
            <w:pPr>
              <w:rPr>
                <w:rFonts w:ascii="Times New Roman" w:eastAsia="Times New Roman" w:hAnsi="Times New Roman" w:cs="Times New Roman"/>
                <w:color w:val="252525"/>
                <w:lang w:val="en-GB"/>
              </w:rPr>
            </w:pPr>
            <w:r w:rsidRPr="00A74E55">
              <w:rPr>
                <w:rFonts w:ascii="Times New Roman" w:eastAsia="Times New Roman" w:hAnsi="Times New Roman" w:cs="Times New Roman"/>
                <w:lang w:val="en-GB"/>
              </w:rPr>
              <w:t xml:space="preserve">Radius/Ulna fracture </w:t>
            </w:r>
            <w:r w:rsidRPr="00A74E55">
              <w:rPr>
                <w:rFonts w:ascii="Times New Roman" w:eastAsia="Times New Roman" w:hAnsi="Times New Roman" w:cs="Times New Roman"/>
                <w:color w:val="252525"/>
                <w:lang w:val="en-GB"/>
              </w:rPr>
              <w:t xml:space="preserve">(except </w:t>
            </w:r>
            <w:r w:rsidRPr="00A74E55">
              <w:rPr>
                <w:rFonts w:ascii="Times New Roman" w:eastAsia="Times New Roman" w:hAnsi="Times New Roman" w:cs="Times New Roman"/>
                <w:color w:val="252525"/>
                <w:lang w:val="en-GB"/>
              </w:rPr>
              <w:lastRenderedPageBreak/>
              <w:t>distal</w:t>
            </w:r>
            <w:r w:rsidRPr="00A74E55">
              <w:rPr>
                <w:rFonts w:ascii="Times New Roman" w:eastAsia="Times New Roman" w:hAnsi="Times New Roman" w:cs="Times New Roman"/>
                <w:lang w:val="en-GB"/>
              </w:rPr>
              <w:t xml:space="preserve"> Radius/Ulna</w:t>
            </w:r>
            <w:r w:rsidRPr="00A74E55">
              <w:rPr>
                <w:rFonts w:ascii="Times New Roman" w:eastAsia="Times New Roman" w:hAnsi="Times New Roman" w:cs="Times New Roman"/>
                <w:color w:val="252525"/>
                <w:lang w:val="en-GB"/>
              </w:rPr>
              <w:t>)</w:t>
            </w:r>
          </w:p>
        </w:tc>
        <w:tc>
          <w:tcPr>
            <w:tcW w:w="7148" w:type="dxa"/>
            <w:tcBorders>
              <w:top w:val="nil"/>
              <w:left w:val="nil"/>
              <w:right w:val="nil"/>
            </w:tcBorders>
          </w:tcPr>
          <w:p w14:paraId="3280E6FF" w14:textId="77777777" w:rsidR="008A4BC7" w:rsidRPr="00A74E55" w:rsidRDefault="000D0BFA">
            <w:pPr>
              <w:rPr>
                <w:rFonts w:ascii="Times New Roman" w:eastAsia="Times New Roman" w:hAnsi="Times New Roman" w:cs="Times New Roman"/>
                <w:color w:val="252525"/>
                <w:lang w:val="en-GB"/>
              </w:rPr>
            </w:pPr>
            <w:r w:rsidRPr="00A74E55">
              <w:rPr>
                <w:rFonts w:ascii="Times New Roman" w:eastAsia="Times New Roman" w:hAnsi="Times New Roman" w:cs="Times New Roman"/>
                <w:color w:val="252525"/>
                <w:lang w:val="en-GB"/>
              </w:rPr>
              <w:lastRenderedPageBreak/>
              <w:t>Diagnosis (ICD-10 codes): S520, S521, S522, S523, S524, S527</w:t>
            </w:r>
          </w:p>
          <w:p w14:paraId="162A8E12" w14:textId="77777777" w:rsidR="008A4BC7" w:rsidRPr="00A74E55" w:rsidRDefault="000D0BFA">
            <w:pPr>
              <w:rPr>
                <w:rFonts w:ascii="Times New Roman" w:eastAsia="Times New Roman" w:hAnsi="Times New Roman" w:cs="Times New Roman"/>
                <w:color w:val="252525"/>
                <w:lang w:val="en-GB"/>
              </w:rPr>
            </w:pPr>
            <w:r w:rsidRPr="00A74E55">
              <w:rPr>
                <w:rFonts w:ascii="Times New Roman" w:eastAsia="Times New Roman" w:hAnsi="Times New Roman" w:cs="Times New Roman"/>
                <w:color w:val="252525"/>
                <w:lang w:val="en-GB"/>
              </w:rPr>
              <w:lastRenderedPageBreak/>
              <w:t xml:space="preserve">AND </w:t>
            </w:r>
          </w:p>
          <w:p w14:paraId="7998FC50" w14:textId="77777777" w:rsidR="008A4BC7" w:rsidRPr="00A74E55" w:rsidRDefault="000D0BFA">
            <w:pPr>
              <w:rPr>
                <w:rFonts w:ascii="Times New Roman" w:eastAsia="Times New Roman" w:hAnsi="Times New Roman" w:cs="Times New Roman"/>
                <w:color w:val="252525"/>
                <w:lang w:val="en-GB"/>
              </w:rPr>
            </w:pPr>
            <w:r w:rsidRPr="00A74E55">
              <w:rPr>
                <w:rFonts w:ascii="Times New Roman" w:eastAsia="Times New Roman" w:hAnsi="Times New Roman" w:cs="Times New Roman"/>
                <w:color w:val="252525"/>
                <w:lang w:val="en-GB"/>
              </w:rPr>
              <w:t>One specific treatment (Original Japanese procedure codes): 140040810, 140041430, 140042050 [External fixation], 150016810 [Fracture reduction], 150018410, 150019310, 150352310, 150043010, 150353610 [Surgery]</w:t>
            </w:r>
          </w:p>
        </w:tc>
      </w:tr>
      <w:tr w:rsidR="008A4BC7" w:rsidRPr="001822A4" w14:paraId="737BE431" w14:textId="77777777">
        <w:trPr>
          <w:trHeight w:val="426"/>
        </w:trPr>
        <w:tc>
          <w:tcPr>
            <w:tcW w:w="3318" w:type="dxa"/>
            <w:tcBorders>
              <w:top w:val="nil"/>
              <w:left w:val="nil"/>
              <w:right w:val="nil"/>
            </w:tcBorders>
            <w:shd w:val="clear" w:color="auto" w:fill="E7E6E6"/>
          </w:tcPr>
          <w:p w14:paraId="151707BB" w14:textId="77777777" w:rsidR="008A4BC7" w:rsidRPr="00A74E55" w:rsidRDefault="000D0BFA">
            <w:pPr>
              <w:rPr>
                <w:rFonts w:ascii="Times New Roman" w:eastAsia="Times New Roman" w:hAnsi="Times New Roman" w:cs="Times New Roman"/>
                <w:lang w:val="en-GB"/>
              </w:rPr>
            </w:pPr>
            <w:r w:rsidRPr="00A74E55">
              <w:rPr>
                <w:rFonts w:ascii="Times New Roman" w:eastAsia="Times New Roman" w:hAnsi="Times New Roman" w:cs="Times New Roman"/>
                <w:lang w:val="en-GB"/>
              </w:rPr>
              <w:lastRenderedPageBreak/>
              <w:t>Wrist fracture</w:t>
            </w:r>
          </w:p>
        </w:tc>
        <w:tc>
          <w:tcPr>
            <w:tcW w:w="7148" w:type="dxa"/>
            <w:tcBorders>
              <w:top w:val="nil"/>
              <w:left w:val="nil"/>
              <w:right w:val="nil"/>
            </w:tcBorders>
            <w:shd w:val="clear" w:color="auto" w:fill="E7E6E6"/>
          </w:tcPr>
          <w:p w14:paraId="2F90484F" w14:textId="77777777" w:rsidR="008A4BC7" w:rsidRPr="00A74E55" w:rsidRDefault="000D0BFA">
            <w:pPr>
              <w:rPr>
                <w:rFonts w:ascii="Times New Roman" w:eastAsia="Times New Roman" w:hAnsi="Times New Roman" w:cs="Times New Roman"/>
                <w:color w:val="252525"/>
                <w:lang w:val="en-GB"/>
              </w:rPr>
            </w:pPr>
            <w:r w:rsidRPr="00A74E55">
              <w:rPr>
                <w:rFonts w:ascii="Times New Roman" w:eastAsia="Times New Roman" w:hAnsi="Times New Roman" w:cs="Times New Roman"/>
                <w:color w:val="252525"/>
                <w:lang w:val="en-GB"/>
              </w:rPr>
              <w:t>Diagnosis (ICD-10 codes): S525, S526</w:t>
            </w:r>
          </w:p>
          <w:p w14:paraId="4D32BB17" w14:textId="77777777" w:rsidR="008A4BC7" w:rsidRPr="00A74E55" w:rsidRDefault="000D0BFA">
            <w:pPr>
              <w:rPr>
                <w:rFonts w:ascii="Times New Roman" w:eastAsia="Times New Roman" w:hAnsi="Times New Roman" w:cs="Times New Roman"/>
                <w:color w:val="252525"/>
                <w:lang w:val="en-GB"/>
              </w:rPr>
            </w:pPr>
            <w:r w:rsidRPr="00A74E55">
              <w:rPr>
                <w:rFonts w:ascii="Times New Roman" w:eastAsia="Times New Roman" w:hAnsi="Times New Roman" w:cs="Times New Roman"/>
                <w:color w:val="252525"/>
                <w:lang w:val="en-GB"/>
              </w:rPr>
              <w:t xml:space="preserve">AND </w:t>
            </w:r>
          </w:p>
          <w:p w14:paraId="2E404AA2" w14:textId="77777777" w:rsidR="008A4BC7" w:rsidRPr="00A74E55" w:rsidRDefault="000D0BFA">
            <w:pPr>
              <w:rPr>
                <w:rFonts w:ascii="Times New Roman" w:eastAsia="Times New Roman" w:hAnsi="Times New Roman" w:cs="Times New Roman"/>
                <w:color w:val="252525"/>
                <w:lang w:val="en-GB"/>
              </w:rPr>
            </w:pPr>
            <w:r w:rsidRPr="00A74E55">
              <w:rPr>
                <w:rFonts w:ascii="Times New Roman" w:eastAsia="Times New Roman" w:hAnsi="Times New Roman" w:cs="Times New Roman"/>
                <w:color w:val="252525"/>
                <w:lang w:val="en-GB"/>
              </w:rPr>
              <w:t>One specific treatment (Original Japanese procedure codes): 140040810, 140041430, 140042050 [External fixation], 150016810 [Fracture reduction], 150018410, 150019310, 150043110, 150352310, 150353710 [Surgery]</w:t>
            </w:r>
          </w:p>
        </w:tc>
      </w:tr>
      <w:tr w:rsidR="008A4BC7" w:rsidRPr="001822A4" w14:paraId="7570CA09" w14:textId="77777777">
        <w:trPr>
          <w:trHeight w:val="426"/>
        </w:trPr>
        <w:tc>
          <w:tcPr>
            <w:tcW w:w="3318" w:type="dxa"/>
            <w:tcBorders>
              <w:top w:val="nil"/>
              <w:left w:val="nil"/>
              <w:right w:val="nil"/>
            </w:tcBorders>
          </w:tcPr>
          <w:p w14:paraId="72EE269B" w14:textId="77777777" w:rsidR="008A4BC7" w:rsidRPr="00A74E55" w:rsidRDefault="000D0BFA">
            <w:pPr>
              <w:rPr>
                <w:rFonts w:ascii="Times New Roman" w:eastAsia="Times New Roman" w:hAnsi="Times New Roman" w:cs="Times New Roman"/>
                <w:lang w:val="en-GB"/>
              </w:rPr>
            </w:pPr>
            <w:r w:rsidRPr="00A74E55">
              <w:rPr>
                <w:rFonts w:ascii="Times New Roman" w:eastAsia="Times New Roman" w:hAnsi="Times New Roman" w:cs="Times New Roman"/>
                <w:lang w:val="en-GB"/>
              </w:rPr>
              <w:t>Pelvis fracture</w:t>
            </w:r>
          </w:p>
        </w:tc>
        <w:tc>
          <w:tcPr>
            <w:tcW w:w="7148" w:type="dxa"/>
            <w:tcBorders>
              <w:top w:val="nil"/>
              <w:left w:val="nil"/>
              <w:right w:val="nil"/>
            </w:tcBorders>
          </w:tcPr>
          <w:p w14:paraId="354BFD6C" w14:textId="77777777" w:rsidR="008A4BC7" w:rsidRPr="00A74E55" w:rsidRDefault="000D0BFA">
            <w:pPr>
              <w:rPr>
                <w:rFonts w:ascii="Times New Roman" w:eastAsia="Times New Roman" w:hAnsi="Times New Roman" w:cs="Times New Roman"/>
                <w:color w:val="252525"/>
                <w:lang w:val="en-GB"/>
              </w:rPr>
            </w:pPr>
            <w:r w:rsidRPr="00A74E55">
              <w:rPr>
                <w:rFonts w:ascii="Times New Roman" w:eastAsia="Times New Roman" w:hAnsi="Times New Roman" w:cs="Times New Roman"/>
                <w:color w:val="252525"/>
                <w:lang w:val="en-GB"/>
              </w:rPr>
              <w:t>Diagnosis (ICD-10 codes): S321, S322, S323, S324, S325, S327, S328</w:t>
            </w:r>
          </w:p>
          <w:p w14:paraId="3F45EE7A" w14:textId="77777777" w:rsidR="008A4BC7" w:rsidRPr="00A74E55" w:rsidRDefault="000D0BFA">
            <w:pPr>
              <w:rPr>
                <w:rFonts w:ascii="Times New Roman" w:eastAsia="Times New Roman" w:hAnsi="Times New Roman" w:cs="Times New Roman"/>
                <w:color w:val="252525"/>
                <w:lang w:val="en-GB"/>
              </w:rPr>
            </w:pPr>
            <w:r w:rsidRPr="00A74E55">
              <w:rPr>
                <w:rFonts w:ascii="Times New Roman" w:eastAsia="Times New Roman" w:hAnsi="Times New Roman" w:cs="Times New Roman"/>
                <w:color w:val="252525"/>
                <w:lang w:val="en-GB"/>
              </w:rPr>
              <w:t xml:space="preserve">AND </w:t>
            </w:r>
          </w:p>
          <w:p w14:paraId="78DA9AC7" w14:textId="77777777" w:rsidR="008A4BC7" w:rsidRPr="00A74E55" w:rsidRDefault="000D0BFA">
            <w:pPr>
              <w:rPr>
                <w:rFonts w:ascii="Times New Roman" w:eastAsia="Times New Roman" w:hAnsi="Times New Roman" w:cs="Times New Roman"/>
                <w:color w:val="252525"/>
                <w:lang w:val="en-GB"/>
              </w:rPr>
            </w:pPr>
            <w:r w:rsidRPr="00A74E55">
              <w:rPr>
                <w:rFonts w:ascii="Times New Roman" w:eastAsia="Times New Roman" w:hAnsi="Times New Roman" w:cs="Times New Roman"/>
                <w:color w:val="252525"/>
                <w:lang w:val="en-GB"/>
              </w:rPr>
              <w:t>One specific treatment (Original Japanese procedure codes): 150395810, 150266970 [External fixation], 150060410 [Fracture reduction], 150059810, 150060810, 150060910, 150384510 [Surgery]</w:t>
            </w:r>
          </w:p>
        </w:tc>
      </w:tr>
      <w:tr w:rsidR="008A4BC7" w:rsidRPr="001822A4" w14:paraId="2F501987" w14:textId="77777777">
        <w:trPr>
          <w:trHeight w:val="426"/>
        </w:trPr>
        <w:tc>
          <w:tcPr>
            <w:tcW w:w="3318" w:type="dxa"/>
            <w:tcBorders>
              <w:top w:val="nil"/>
              <w:left w:val="nil"/>
              <w:right w:val="nil"/>
            </w:tcBorders>
            <w:shd w:val="clear" w:color="auto" w:fill="E7E6E6"/>
          </w:tcPr>
          <w:p w14:paraId="0303C451" w14:textId="77777777" w:rsidR="008A4BC7" w:rsidRPr="00A74E55" w:rsidRDefault="000D0BFA">
            <w:pPr>
              <w:rPr>
                <w:rFonts w:ascii="Times New Roman" w:eastAsia="Times New Roman" w:hAnsi="Times New Roman" w:cs="Times New Roman"/>
                <w:lang w:val="en-GB"/>
              </w:rPr>
            </w:pPr>
            <w:r w:rsidRPr="00A74E55">
              <w:rPr>
                <w:rFonts w:ascii="Times New Roman" w:eastAsia="Times New Roman" w:hAnsi="Times New Roman" w:cs="Times New Roman"/>
                <w:color w:val="252525"/>
                <w:lang w:val="en-GB"/>
              </w:rPr>
              <w:t>Hip fracture</w:t>
            </w:r>
          </w:p>
        </w:tc>
        <w:tc>
          <w:tcPr>
            <w:tcW w:w="7148" w:type="dxa"/>
            <w:tcBorders>
              <w:top w:val="nil"/>
              <w:left w:val="nil"/>
              <w:right w:val="nil"/>
            </w:tcBorders>
            <w:shd w:val="clear" w:color="auto" w:fill="E7E6E6"/>
          </w:tcPr>
          <w:p w14:paraId="428F1372" w14:textId="77777777" w:rsidR="008A4BC7" w:rsidRPr="00A74E55" w:rsidRDefault="000D0BFA">
            <w:pPr>
              <w:rPr>
                <w:rFonts w:ascii="Times New Roman" w:eastAsia="Times New Roman" w:hAnsi="Times New Roman" w:cs="Times New Roman"/>
                <w:color w:val="252525"/>
                <w:lang w:val="en-GB"/>
              </w:rPr>
            </w:pPr>
            <w:r w:rsidRPr="00A74E55">
              <w:rPr>
                <w:rFonts w:ascii="Times New Roman" w:eastAsia="Times New Roman" w:hAnsi="Times New Roman" w:cs="Times New Roman"/>
                <w:color w:val="252525"/>
                <w:lang w:val="en-GB"/>
              </w:rPr>
              <w:t>Diagnosis (ICD-10 codes): S720, S721, S722</w:t>
            </w:r>
          </w:p>
          <w:p w14:paraId="05E9C2DA" w14:textId="77777777" w:rsidR="008A4BC7" w:rsidRPr="00A74E55" w:rsidRDefault="000D0BFA">
            <w:pPr>
              <w:rPr>
                <w:rFonts w:ascii="Times New Roman" w:eastAsia="Times New Roman" w:hAnsi="Times New Roman" w:cs="Times New Roman"/>
                <w:color w:val="252525"/>
                <w:lang w:val="en-GB"/>
              </w:rPr>
            </w:pPr>
            <w:r w:rsidRPr="00A74E55">
              <w:rPr>
                <w:rFonts w:ascii="Times New Roman" w:eastAsia="Times New Roman" w:hAnsi="Times New Roman" w:cs="Times New Roman"/>
                <w:color w:val="252525"/>
                <w:lang w:val="en-GB"/>
              </w:rPr>
              <w:t xml:space="preserve">AND </w:t>
            </w:r>
          </w:p>
          <w:p w14:paraId="73E4E5C8" w14:textId="77777777" w:rsidR="008A4BC7" w:rsidRPr="00A74E55" w:rsidRDefault="000D0BFA">
            <w:pPr>
              <w:rPr>
                <w:rFonts w:ascii="Times New Roman" w:eastAsia="Times New Roman" w:hAnsi="Times New Roman" w:cs="Times New Roman"/>
                <w:color w:val="252525"/>
                <w:lang w:val="en-GB"/>
              </w:rPr>
            </w:pPr>
            <w:r w:rsidRPr="00A74E55">
              <w:rPr>
                <w:rFonts w:ascii="Times New Roman" w:eastAsia="Times New Roman" w:hAnsi="Times New Roman" w:cs="Times New Roman"/>
                <w:color w:val="252525"/>
                <w:lang w:val="en-GB"/>
              </w:rPr>
              <w:t>One specific treatment (Original Japanese procedure codes): 150016710 [Fracture reduction], 150018310, 150019210, 150352210, 150353310, 150042710, 150049510, 150050410, 150446210 [Surgery]</w:t>
            </w:r>
          </w:p>
        </w:tc>
      </w:tr>
      <w:tr w:rsidR="008A4BC7" w:rsidRPr="001822A4" w14:paraId="38642371" w14:textId="77777777">
        <w:trPr>
          <w:trHeight w:val="426"/>
        </w:trPr>
        <w:tc>
          <w:tcPr>
            <w:tcW w:w="3318" w:type="dxa"/>
            <w:tcBorders>
              <w:top w:val="nil"/>
              <w:left w:val="nil"/>
              <w:right w:val="nil"/>
            </w:tcBorders>
          </w:tcPr>
          <w:p w14:paraId="2EF00ADD" w14:textId="77777777" w:rsidR="008A4BC7" w:rsidRPr="00A74E55" w:rsidRDefault="000D0BFA">
            <w:pPr>
              <w:rPr>
                <w:rFonts w:ascii="Times New Roman" w:eastAsia="Times New Roman" w:hAnsi="Times New Roman" w:cs="Times New Roman"/>
                <w:color w:val="252525"/>
                <w:lang w:val="en-GB"/>
              </w:rPr>
            </w:pPr>
            <w:r w:rsidRPr="00A74E55">
              <w:rPr>
                <w:rFonts w:ascii="Times New Roman" w:eastAsia="Times New Roman" w:hAnsi="Times New Roman" w:cs="Times New Roman"/>
                <w:color w:val="252525"/>
                <w:lang w:val="en-GB"/>
              </w:rPr>
              <w:t>Femur fracture</w:t>
            </w:r>
          </w:p>
        </w:tc>
        <w:tc>
          <w:tcPr>
            <w:tcW w:w="7148" w:type="dxa"/>
            <w:tcBorders>
              <w:top w:val="nil"/>
              <w:left w:val="nil"/>
              <w:right w:val="nil"/>
            </w:tcBorders>
          </w:tcPr>
          <w:p w14:paraId="49DD8A50" w14:textId="77777777" w:rsidR="008A4BC7" w:rsidRPr="00A74E55" w:rsidRDefault="000D0BFA">
            <w:pPr>
              <w:rPr>
                <w:rFonts w:ascii="Times New Roman" w:eastAsia="Times New Roman" w:hAnsi="Times New Roman" w:cs="Times New Roman"/>
                <w:color w:val="252525"/>
                <w:lang w:val="en-GB"/>
              </w:rPr>
            </w:pPr>
            <w:r w:rsidRPr="00A74E55">
              <w:rPr>
                <w:rFonts w:ascii="Times New Roman" w:eastAsia="Times New Roman" w:hAnsi="Times New Roman" w:cs="Times New Roman"/>
                <w:color w:val="252525"/>
                <w:lang w:val="en-GB"/>
              </w:rPr>
              <w:t xml:space="preserve">Diagnosis (ICD-10 codes): S723, S724, S727, S728, S729 </w:t>
            </w:r>
          </w:p>
          <w:p w14:paraId="53100A95" w14:textId="77777777" w:rsidR="008A4BC7" w:rsidRPr="00A74E55" w:rsidRDefault="000D0BFA">
            <w:pPr>
              <w:rPr>
                <w:rFonts w:ascii="Times New Roman" w:eastAsia="Times New Roman" w:hAnsi="Times New Roman" w:cs="Times New Roman"/>
                <w:color w:val="252525"/>
                <w:lang w:val="en-GB"/>
              </w:rPr>
            </w:pPr>
            <w:r w:rsidRPr="00A74E55">
              <w:rPr>
                <w:rFonts w:ascii="Times New Roman" w:eastAsia="Times New Roman" w:hAnsi="Times New Roman" w:cs="Times New Roman"/>
                <w:color w:val="252525"/>
                <w:lang w:val="en-GB"/>
              </w:rPr>
              <w:t xml:space="preserve">AND </w:t>
            </w:r>
          </w:p>
          <w:p w14:paraId="2972E912" w14:textId="77777777" w:rsidR="008A4BC7" w:rsidRPr="00A74E55" w:rsidRDefault="000D0BFA">
            <w:pPr>
              <w:rPr>
                <w:rFonts w:ascii="Times New Roman" w:eastAsia="Times New Roman" w:hAnsi="Times New Roman" w:cs="Times New Roman"/>
                <w:color w:val="252525"/>
                <w:lang w:val="en-GB"/>
              </w:rPr>
            </w:pPr>
            <w:r w:rsidRPr="00A74E55">
              <w:rPr>
                <w:rFonts w:ascii="Times New Roman" w:eastAsia="Times New Roman" w:hAnsi="Times New Roman" w:cs="Times New Roman"/>
                <w:color w:val="252525"/>
                <w:lang w:val="en-GB"/>
              </w:rPr>
              <w:t>One specific treatment (Original Japanese procedure codes): 140040610, 140040810, 140041230, 140041430, 140041850, 140042050, 140048010, 150243010 [External fixation], 150016710 [Fracture reduction], 150018310, 150019210, 150352210, 150042810, 150353410 [Surgery]</w:t>
            </w:r>
          </w:p>
        </w:tc>
      </w:tr>
      <w:tr w:rsidR="008A4BC7" w:rsidRPr="001822A4" w14:paraId="2B48B51A" w14:textId="77777777">
        <w:trPr>
          <w:trHeight w:val="426"/>
        </w:trPr>
        <w:tc>
          <w:tcPr>
            <w:tcW w:w="3318" w:type="dxa"/>
            <w:tcBorders>
              <w:top w:val="nil"/>
              <w:left w:val="nil"/>
              <w:right w:val="nil"/>
            </w:tcBorders>
            <w:shd w:val="clear" w:color="auto" w:fill="E7E6E6"/>
          </w:tcPr>
          <w:p w14:paraId="74B07FF6" w14:textId="77777777" w:rsidR="008A4BC7" w:rsidRPr="00A74E55" w:rsidRDefault="000D0BFA">
            <w:pPr>
              <w:rPr>
                <w:rFonts w:ascii="Times New Roman" w:eastAsia="Times New Roman" w:hAnsi="Times New Roman" w:cs="Times New Roman"/>
                <w:color w:val="252525"/>
                <w:lang w:val="en-GB"/>
              </w:rPr>
            </w:pPr>
            <w:r w:rsidRPr="00A74E55">
              <w:rPr>
                <w:rFonts w:ascii="Times New Roman" w:eastAsia="Times New Roman" w:hAnsi="Times New Roman" w:cs="Times New Roman"/>
                <w:color w:val="252525"/>
                <w:lang w:val="en-GB"/>
              </w:rPr>
              <w:lastRenderedPageBreak/>
              <w:t>Tibia/Fibula fracture (except distal Tibia/Fibula)</w:t>
            </w:r>
          </w:p>
        </w:tc>
        <w:tc>
          <w:tcPr>
            <w:tcW w:w="7148" w:type="dxa"/>
            <w:tcBorders>
              <w:top w:val="nil"/>
              <w:left w:val="nil"/>
              <w:right w:val="nil"/>
            </w:tcBorders>
            <w:shd w:val="clear" w:color="auto" w:fill="E7E6E6"/>
          </w:tcPr>
          <w:p w14:paraId="3229FF5F" w14:textId="77777777" w:rsidR="008A4BC7" w:rsidRPr="00A74E55" w:rsidRDefault="000D0BFA">
            <w:pPr>
              <w:rPr>
                <w:rFonts w:ascii="Times New Roman" w:eastAsia="Times New Roman" w:hAnsi="Times New Roman" w:cs="Times New Roman"/>
                <w:color w:val="252525"/>
                <w:lang w:val="en-GB"/>
              </w:rPr>
            </w:pPr>
            <w:r w:rsidRPr="00A74E55">
              <w:rPr>
                <w:rFonts w:ascii="Times New Roman" w:eastAsia="Times New Roman" w:hAnsi="Times New Roman" w:cs="Times New Roman"/>
                <w:color w:val="252525"/>
                <w:lang w:val="en-GB"/>
              </w:rPr>
              <w:t xml:space="preserve">Diagnosis (ICD-10 codes): S821, S822, S824, S827, S828, S829 </w:t>
            </w:r>
          </w:p>
          <w:p w14:paraId="1036B4DC" w14:textId="77777777" w:rsidR="008A4BC7" w:rsidRPr="00A74E55" w:rsidRDefault="000D0BFA">
            <w:pPr>
              <w:rPr>
                <w:rFonts w:ascii="Times New Roman" w:eastAsia="Times New Roman" w:hAnsi="Times New Roman" w:cs="Times New Roman"/>
                <w:color w:val="252525"/>
                <w:lang w:val="en-GB"/>
              </w:rPr>
            </w:pPr>
            <w:r w:rsidRPr="00A74E55">
              <w:rPr>
                <w:rFonts w:ascii="Times New Roman" w:eastAsia="Times New Roman" w:hAnsi="Times New Roman" w:cs="Times New Roman"/>
                <w:color w:val="252525"/>
                <w:lang w:val="en-GB"/>
              </w:rPr>
              <w:t xml:space="preserve">AND </w:t>
            </w:r>
          </w:p>
          <w:p w14:paraId="1DC50B21" w14:textId="77777777" w:rsidR="008A4BC7" w:rsidRPr="00A74E55" w:rsidRDefault="000D0BFA">
            <w:pPr>
              <w:rPr>
                <w:rFonts w:ascii="Times New Roman" w:eastAsia="Times New Roman" w:hAnsi="Times New Roman" w:cs="Times New Roman"/>
                <w:color w:val="252525"/>
                <w:lang w:val="en-GB"/>
              </w:rPr>
            </w:pPr>
            <w:r w:rsidRPr="00A74E55">
              <w:rPr>
                <w:rFonts w:ascii="Times New Roman" w:eastAsia="Times New Roman" w:hAnsi="Times New Roman" w:cs="Times New Roman"/>
                <w:color w:val="252525"/>
                <w:lang w:val="en-GB"/>
              </w:rPr>
              <w:t>One specific treatment (Original Japanese procedure codes: 140040810, 140041430, 140042050, 150395810, 150266970 [External fixation], 150016910 [Fracture reduction], 150018510, 150019410, 150352410, 150353410, 150042810 [Surgery]</w:t>
            </w:r>
          </w:p>
        </w:tc>
      </w:tr>
      <w:tr w:rsidR="008A4BC7" w:rsidRPr="001822A4" w14:paraId="10F3A07B" w14:textId="77777777">
        <w:trPr>
          <w:trHeight w:val="426"/>
        </w:trPr>
        <w:tc>
          <w:tcPr>
            <w:tcW w:w="3318" w:type="dxa"/>
            <w:tcBorders>
              <w:top w:val="nil"/>
              <w:left w:val="nil"/>
              <w:bottom w:val="single" w:sz="4" w:space="0" w:color="auto"/>
              <w:right w:val="nil"/>
            </w:tcBorders>
          </w:tcPr>
          <w:p w14:paraId="1F585E32" w14:textId="77777777" w:rsidR="008A4BC7" w:rsidRPr="00A74E55" w:rsidRDefault="000D0BFA">
            <w:pPr>
              <w:rPr>
                <w:rFonts w:ascii="Times New Roman" w:eastAsia="Times New Roman" w:hAnsi="Times New Roman" w:cs="Times New Roman"/>
                <w:color w:val="252525"/>
                <w:lang w:val="en-GB"/>
              </w:rPr>
            </w:pPr>
            <w:r w:rsidRPr="00A74E55">
              <w:rPr>
                <w:rFonts w:ascii="Times New Roman" w:eastAsia="Times New Roman" w:hAnsi="Times New Roman" w:cs="Times New Roman"/>
                <w:color w:val="252525"/>
                <w:lang w:val="en-GB"/>
              </w:rPr>
              <w:t>Ankle fracture</w:t>
            </w:r>
          </w:p>
        </w:tc>
        <w:tc>
          <w:tcPr>
            <w:tcW w:w="7148" w:type="dxa"/>
            <w:tcBorders>
              <w:top w:val="nil"/>
              <w:left w:val="nil"/>
              <w:bottom w:val="single" w:sz="4" w:space="0" w:color="auto"/>
              <w:right w:val="nil"/>
            </w:tcBorders>
          </w:tcPr>
          <w:p w14:paraId="1C225D0A" w14:textId="77777777" w:rsidR="008A4BC7" w:rsidRPr="00A74E55" w:rsidRDefault="000D0BFA">
            <w:pPr>
              <w:rPr>
                <w:rFonts w:ascii="Times New Roman" w:eastAsia="Times New Roman" w:hAnsi="Times New Roman" w:cs="Times New Roman"/>
                <w:color w:val="252525"/>
                <w:lang w:val="en-GB"/>
              </w:rPr>
            </w:pPr>
            <w:r w:rsidRPr="00A74E55">
              <w:rPr>
                <w:rFonts w:ascii="Times New Roman" w:eastAsia="Times New Roman" w:hAnsi="Times New Roman" w:cs="Times New Roman"/>
                <w:color w:val="252525"/>
                <w:lang w:val="en-GB"/>
              </w:rPr>
              <w:t>Diagnosis (ICD-10 codes): S823, S825, S826, S921</w:t>
            </w:r>
          </w:p>
          <w:p w14:paraId="6D57F6F0" w14:textId="77777777" w:rsidR="008A4BC7" w:rsidRPr="00A74E55" w:rsidRDefault="000D0BFA">
            <w:pPr>
              <w:rPr>
                <w:rFonts w:ascii="Times New Roman" w:eastAsia="Times New Roman" w:hAnsi="Times New Roman" w:cs="Times New Roman"/>
                <w:color w:val="252525"/>
                <w:lang w:val="en-GB"/>
              </w:rPr>
            </w:pPr>
            <w:r w:rsidRPr="00A74E55">
              <w:rPr>
                <w:rFonts w:ascii="Times New Roman" w:eastAsia="Times New Roman" w:hAnsi="Times New Roman" w:cs="Times New Roman"/>
                <w:color w:val="252525"/>
                <w:lang w:val="en-GB"/>
              </w:rPr>
              <w:t xml:space="preserve">AND </w:t>
            </w:r>
          </w:p>
          <w:p w14:paraId="62A938C4" w14:textId="77777777" w:rsidR="008A4BC7" w:rsidRPr="00A74E55" w:rsidRDefault="000D0BFA">
            <w:pPr>
              <w:rPr>
                <w:rFonts w:ascii="Times New Roman" w:eastAsia="Times New Roman" w:hAnsi="Times New Roman" w:cs="Times New Roman"/>
                <w:color w:val="252525"/>
                <w:lang w:val="en-GB"/>
              </w:rPr>
            </w:pPr>
            <w:r w:rsidRPr="00A74E55">
              <w:rPr>
                <w:rFonts w:ascii="Times New Roman" w:eastAsia="Times New Roman" w:hAnsi="Times New Roman" w:cs="Times New Roman"/>
                <w:color w:val="252525"/>
                <w:lang w:val="en-GB"/>
              </w:rPr>
              <w:t>One specific treatment (Original Japanese procedure codes): 140040810, 140041430, 140042050, 150395810, 150266970 [external fixation] 150016910,</w:t>
            </w:r>
            <w:r w:rsidRPr="00A74E55">
              <w:rPr>
                <w:rFonts w:ascii="Times New Roman" w:eastAsia="Times New Roman" w:hAnsi="Times New Roman" w:cs="Times New Roman"/>
                <w:color w:val="333333"/>
                <w:lang w:val="en-GB"/>
              </w:rPr>
              <w:t xml:space="preserve"> 150017310, 150034410</w:t>
            </w:r>
            <w:r w:rsidRPr="00A74E55">
              <w:rPr>
                <w:rFonts w:ascii="Times New Roman" w:eastAsia="Times New Roman" w:hAnsi="Times New Roman" w:cs="Times New Roman"/>
                <w:color w:val="252525"/>
                <w:lang w:val="en-GB"/>
              </w:rPr>
              <w:t>, 150035810 [Fracture reduction], 150018510, 150018910, 150019410, 150019810, 150352410, 150352610, 150043210, 150353810 [Surgery]</w:t>
            </w:r>
          </w:p>
        </w:tc>
      </w:tr>
    </w:tbl>
    <w:p w14:paraId="6D604A06" w14:textId="5D563E04" w:rsidR="008A4BC7" w:rsidRPr="00A74E55" w:rsidRDefault="000D0BFA">
      <w:pPr>
        <w:rPr>
          <w:rFonts w:ascii="Times New Roman" w:eastAsia="Times New Roman" w:hAnsi="Times New Roman" w:cs="Times New Roman"/>
          <w:b/>
          <w:lang w:val="en-GB"/>
        </w:rPr>
      </w:pPr>
      <w:r w:rsidRPr="00A74E55">
        <w:rPr>
          <w:rFonts w:ascii="Times New Roman" w:eastAsia="Times New Roman" w:hAnsi="Times New Roman" w:cs="Times New Roman"/>
          <w:b/>
          <w:lang w:val="en-GB"/>
        </w:rPr>
        <w:t>ICD-10, International Classification of Diseases, 10</w:t>
      </w:r>
      <w:r w:rsidRPr="00A74E55">
        <w:rPr>
          <w:rFonts w:ascii="Times New Roman" w:eastAsia="Times New Roman" w:hAnsi="Times New Roman" w:cs="Times New Roman"/>
          <w:b/>
          <w:vertAlign w:val="superscript"/>
          <w:lang w:val="en-GB"/>
        </w:rPr>
        <w:t>th</w:t>
      </w:r>
      <w:r w:rsidRPr="00A74E55">
        <w:rPr>
          <w:rFonts w:ascii="Times New Roman" w:eastAsia="Times New Roman" w:hAnsi="Times New Roman" w:cs="Times New Roman"/>
          <w:b/>
          <w:lang w:val="en-GB"/>
        </w:rPr>
        <w:t xml:space="preserve"> Revision</w:t>
      </w:r>
    </w:p>
    <w:p w14:paraId="2204C2FD" w14:textId="77777777" w:rsidR="008A4BC7" w:rsidRPr="00A74E55" w:rsidRDefault="000D0BFA">
      <w:pPr>
        <w:rPr>
          <w:rFonts w:ascii="Times New Roman" w:eastAsia="Times New Roman" w:hAnsi="Times New Roman" w:cs="Times New Roman"/>
          <w:b/>
          <w:lang w:val="en-GB"/>
        </w:rPr>
      </w:pPr>
      <w:r w:rsidRPr="00A74E55">
        <w:rPr>
          <w:rFonts w:ascii="Times New Roman" w:eastAsia="Times New Roman" w:hAnsi="Times New Roman" w:cs="Times New Roman"/>
          <w:lang w:val="en-GB"/>
        </w:rPr>
        <w:br w:type="page"/>
      </w:r>
    </w:p>
    <w:p w14:paraId="2BB932A9" w14:textId="206D61EA" w:rsidR="008A4BC7" w:rsidRPr="00A74E55" w:rsidRDefault="000D0BFA">
      <w:pPr>
        <w:rPr>
          <w:rFonts w:ascii="Times New Roman" w:eastAsia="Times New Roman" w:hAnsi="Times New Roman" w:cs="Times New Roman"/>
          <w:lang w:val="en-GB"/>
        </w:rPr>
      </w:pPr>
      <w:r w:rsidRPr="00A74E55">
        <w:rPr>
          <w:rFonts w:ascii="Times New Roman" w:eastAsia="Times New Roman" w:hAnsi="Times New Roman" w:cs="Times New Roman"/>
          <w:b/>
          <w:lang w:val="en-GB"/>
        </w:rPr>
        <w:lastRenderedPageBreak/>
        <w:t>Table S2. List of WHO</w:t>
      </w:r>
      <w:r w:rsidR="00A92EC4">
        <w:rPr>
          <w:rFonts w:ascii="Times New Roman" w:eastAsia="Times New Roman" w:hAnsi="Times New Roman" w:cs="Times New Roman"/>
          <w:b/>
          <w:lang w:val="en-GB"/>
        </w:rPr>
        <w:t>–</w:t>
      </w:r>
      <w:r w:rsidRPr="00A74E55">
        <w:rPr>
          <w:rFonts w:ascii="Times New Roman" w:eastAsia="Times New Roman" w:hAnsi="Times New Roman" w:cs="Times New Roman"/>
          <w:b/>
          <w:lang w:val="en-GB"/>
        </w:rPr>
        <w:t>ATC codes</w:t>
      </w:r>
    </w:p>
    <w:tbl>
      <w:tblPr>
        <w:tblW w:w="10471" w:type="dxa"/>
        <w:tblCellMar>
          <w:left w:w="99" w:type="dxa"/>
          <w:right w:w="99" w:type="dxa"/>
        </w:tblCellMar>
        <w:tblLook w:val="04A0" w:firstRow="1" w:lastRow="0" w:firstColumn="1" w:lastColumn="0" w:noHBand="0" w:noVBand="1"/>
      </w:tblPr>
      <w:tblGrid>
        <w:gridCol w:w="4126"/>
        <w:gridCol w:w="6345"/>
      </w:tblGrid>
      <w:tr w:rsidR="008A4BC7" w:rsidRPr="001822A4" w14:paraId="662B126A" w14:textId="77777777">
        <w:trPr>
          <w:trHeight w:val="426"/>
        </w:trPr>
        <w:tc>
          <w:tcPr>
            <w:tcW w:w="4126" w:type="dxa"/>
            <w:tcBorders>
              <w:top w:val="single" w:sz="4" w:space="0" w:color="auto"/>
              <w:left w:val="nil"/>
              <w:bottom w:val="single" w:sz="4" w:space="0" w:color="auto"/>
              <w:right w:val="nil"/>
            </w:tcBorders>
            <w:shd w:val="clear" w:color="auto" w:fill="E7E6E6"/>
            <w:vAlign w:val="center"/>
          </w:tcPr>
          <w:p w14:paraId="7AD9538F" w14:textId="77777777" w:rsidR="008A4BC7" w:rsidRPr="00A74E55" w:rsidRDefault="000D0BFA">
            <w:pPr>
              <w:rPr>
                <w:rFonts w:ascii="Times New Roman" w:eastAsia="Times New Roman" w:hAnsi="Times New Roman" w:cs="Times New Roman"/>
                <w:b/>
                <w:color w:val="252525"/>
                <w:lang w:val="en-GB"/>
              </w:rPr>
            </w:pPr>
            <w:r w:rsidRPr="00A74E55">
              <w:rPr>
                <w:rFonts w:ascii="Times New Roman" w:eastAsia="Times New Roman" w:hAnsi="Times New Roman" w:cs="Times New Roman"/>
                <w:b/>
                <w:color w:val="252525"/>
                <w:lang w:val="en-GB"/>
              </w:rPr>
              <w:t>Medication class</w:t>
            </w:r>
          </w:p>
        </w:tc>
        <w:tc>
          <w:tcPr>
            <w:tcW w:w="6345" w:type="dxa"/>
            <w:tcBorders>
              <w:top w:val="single" w:sz="4" w:space="0" w:color="auto"/>
              <w:left w:val="nil"/>
              <w:bottom w:val="single" w:sz="4" w:space="0" w:color="auto"/>
              <w:right w:val="nil"/>
            </w:tcBorders>
            <w:shd w:val="clear" w:color="auto" w:fill="E7E6E6"/>
            <w:vAlign w:val="center"/>
          </w:tcPr>
          <w:p w14:paraId="7E6790CD" w14:textId="1F520FDF" w:rsidR="008A4BC7" w:rsidRPr="00A74E55" w:rsidRDefault="000D0BFA">
            <w:pPr>
              <w:rPr>
                <w:rFonts w:ascii="Times New Roman" w:eastAsia="Times New Roman" w:hAnsi="Times New Roman" w:cs="Times New Roman"/>
                <w:b/>
                <w:color w:val="252525"/>
                <w:lang w:val="en-GB"/>
              </w:rPr>
            </w:pPr>
            <w:r w:rsidRPr="00A74E55">
              <w:rPr>
                <w:rFonts w:ascii="Times New Roman" w:eastAsia="Times New Roman" w:hAnsi="Times New Roman" w:cs="Times New Roman"/>
                <w:b/>
                <w:lang w:val="en-GB"/>
              </w:rPr>
              <w:t>WHO</w:t>
            </w:r>
            <w:r w:rsidR="00A92EC4">
              <w:rPr>
                <w:rFonts w:ascii="Times New Roman" w:eastAsia="Times New Roman" w:hAnsi="Times New Roman" w:cs="Times New Roman"/>
                <w:b/>
                <w:lang w:val="en-GB"/>
              </w:rPr>
              <w:t>–</w:t>
            </w:r>
            <w:r w:rsidRPr="00A74E55">
              <w:rPr>
                <w:rFonts w:ascii="Times New Roman" w:eastAsia="Times New Roman" w:hAnsi="Times New Roman" w:cs="Times New Roman"/>
                <w:b/>
                <w:lang w:val="en-GB"/>
              </w:rPr>
              <w:t>ATC codes</w:t>
            </w:r>
          </w:p>
        </w:tc>
      </w:tr>
      <w:tr w:rsidR="008A4BC7" w:rsidRPr="001822A4" w14:paraId="5169B33B" w14:textId="77777777">
        <w:trPr>
          <w:trHeight w:val="426"/>
        </w:trPr>
        <w:tc>
          <w:tcPr>
            <w:tcW w:w="4126" w:type="dxa"/>
            <w:tcBorders>
              <w:top w:val="nil"/>
              <w:left w:val="nil"/>
              <w:right w:val="nil"/>
            </w:tcBorders>
            <w:vAlign w:val="center"/>
          </w:tcPr>
          <w:p w14:paraId="1D6E55C9" w14:textId="77777777" w:rsidR="008A4BC7" w:rsidRPr="00A74E55" w:rsidRDefault="000D0BFA">
            <w:pPr>
              <w:rPr>
                <w:rFonts w:ascii="Times New Roman" w:eastAsia="Times New Roman" w:hAnsi="Times New Roman" w:cs="Times New Roman"/>
                <w:color w:val="252525"/>
                <w:lang w:val="en-GB"/>
              </w:rPr>
            </w:pPr>
            <w:r w:rsidRPr="00A74E55">
              <w:rPr>
                <w:rFonts w:ascii="Times New Roman" w:eastAsia="Times New Roman" w:hAnsi="Times New Roman" w:cs="Times New Roman"/>
                <w:color w:val="252525"/>
                <w:lang w:val="en-GB"/>
              </w:rPr>
              <w:t>Bisphosphonates</w:t>
            </w:r>
          </w:p>
        </w:tc>
        <w:tc>
          <w:tcPr>
            <w:tcW w:w="6345" w:type="dxa"/>
            <w:tcBorders>
              <w:top w:val="nil"/>
              <w:left w:val="nil"/>
              <w:right w:val="nil"/>
            </w:tcBorders>
            <w:vAlign w:val="center"/>
          </w:tcPr>
          <w:p w14:paraId="2CDDBB5D" w14:textId="77777777" w:rsidR="008A4BC7" w:rsidRPr="00A74E55" w:rsidRDefault="000D0BFA">
            <w:pPr>
              <w:rPr>
                <w:rFonts w:ascii="Times New Roman" w:eastAsia="Times New Roman" w:hAnsi="Times New Roman" w:cs="Times New Roman"/>
                <w:lang w:val="en-GB"/>
              </w:rPr>
            </w:pPr>
            <w:r w:rsidRPr="00A74E55">
              <w:rPr>
                <w:rFonts w:ascii="Times New Roman" w:eastAsia="Times New Roman" w:hAnsi="Times New Roman" w:cs="Times New Roman"/>
                <w:color w:val="252525"/>
                <w:lang w:val="en-GB"/>
              </w:rPr>
              <w:t>M05BA</w:t>
            </w:r>
          </w:p>
        </w:tc>
      </w:tr>
      <w:tr w:rsidR="008A4BC7" w:rsidRPr="001822A4" w14:paraId="43E44820" w14:textId="77777777">
        <w:trPr>
          <w:trHeight w:val="426"/>
        </w:trPr>
        <w:tc>
          <w:tcPr>
            <w:tcW w:w="4126" w:type="dxa"/>
            <w:tcBorders>
              <w:top w:val="nil"/>
              <w:left w:val="nil"/>
              <w:right w:val="nil"/>
            </w:tcBorders>
            <w:vAlign w:val="center"/>
          </w:tcPr>
          <w:p w14:paraId="5F0DAD1B" w14:textId="77777777" w:rsidR="008A4BC7" w:rsidRPr="00A74E55" w:rsidRDefault="000D0BFA">
            <w:pPr>
              <w:rPr>
                <w:rFonts w:ascii="Times New Roman" w:eastAsia="Times New Roman" w:hAnsi="Times New Roman" w:cs="Times New Roman"/>
                <w:color w:val="252525"/>
                <w:lang w:val="en-GB"/>
              </w:rPr>
            </w:pPr>
            <w:r w:rsidRPr="00A74E55">
              <w:rPr>
                <w:rFonts w:ascii="Times New Roman" w:eastAsia="Times New Roman" w:hAnsi="Times New Roman" w:cs="Times New Roman"/>
                <w:color w:val="252525"/>
                <w:lang w:val="en-GB"/>
              </w:rPr>
              <w:t>Teriparatide</w:t>
            </w:r>
          </w:p>
        </w:tc>
        <w:tc>
          <w:tcPr>
            <w:tcW w:w="6345" w:type="dxa"/>
            <w:tcBorders>
              <w:top w:val="nil"/>
              <w:left w:val="nil"/>
              <w:right w:val="nil"/>
            </w:tcBorders>
            <w:vAlign w:val="center"/>
          </w:tcPr>
          <w:p w14:paraId="2AB6DA5F" w14:textId="77777777" w:rsidR="008A4BC7" w:rsidRPr="00A74E55" w:rsidRDefault="000D0BFA">
            <w:pPr>
              <w:rPr>
                <w:rFonts w:ascii="Times New Roman" w:eastAsia="Times New Roman" w:hAnsi="Times New Roman" w:cs="Times New Roman"/>
                <w:lang w:val="en-GB"/>
              </w:rPr>
            </w:pPr>
            <w:r w:rsidRPr="00A74E55">
              <w:rPr>
                <w:rFonts w:ascii="Times New Roman" w:eastAsia="Times New Roman" w:hAnsi="Times New Roman" w:cs="Times New Roman"/>
                <w:lang w:val="en-GB"/>
              </w:rPr>
              <w:t>H05AA02</w:t>
            </w:r>
          </w:p>
        </w:tc>
      </w:tr>
      <w:tr w:rsidR="008A4BC7" w:rsidRPr="001822A4" w14:paraId="527204C0" w14:textId="77777777">
        <w:trPr>
          <w:trHeight w:val="426"/>
        </w:trPr>
        <w:tc>
          <w:tcPr>
            <w:tcW w:w="4126" w:type="dxa"/>
            <w:tcBorders>
              <w:top w:val="nil"/>
              <w:left w:val="nil"/>
              <w:right w:val="nil"/>
            </w:tcBorders>
            <w:vAlign w:val="center"/>
          </w:tcPr>
          <w:p w14:paraId="27AFD6C2" w14:textId="1530F9D2" w:rsidR="008A4BC7" w:rsidRPr="00A74E55" w:rsidRDefault="000D0BFA">
            <w:pPr>
              <w:rPr>
                <w:rFonts w:ascii="Times New Roman" w:eastAsia="Times New Roman" w:hAnsi="Times New Roman" w:cs="Times New Roman"/>
                <w:color w:val="252525"/>
                <w:lang w:val="en-GB"/>
              </w:rPr>
            </w:pPr>
            <w:r w:rsidRPr="00A74E55">
              <w:rPr>
                <w:rFonts w:ascii="Times New Roman" w:eastAsia="Times New Roman" w:hAnsi="Times New Roman" w:cs="Times New Roman"/>
                <w:color w:val="252525"/>
                <w:lang w:val="en-GB"/>
              </w:rPr>
              <w:t xml:space="preserve">Selective </w:t>
            </w:r>
            <w:r w:rsidR="00A92EC4">
              <w:rPr>
                <w:rFonts w:ascii="Times New Roman" w:eastAsia="Times New Roman" w:hAnsi="Times New Roman" w:cs="Times New Roman"/>
                <w:color w:val="252525"/>
                <w:lang w:val="en-GB"/>
              </w:rPr>
              <w:t>o</w:t>
            </w:r>
            <w:r w:rsidRPr="00A74E55">
              <w:rPr>
                <w:rFonts w:ascii="Times New Roman" w:eastAsia="Times New Roman" w:hAnsi="Times New Roman" w:cs="Times New Roman"/>
                <w:color w:val="252525"/>
                <w:lang w:val="en-GB"/>
              </w:rPr>
              <w:t>estrogen receptor modulators</w:t>
            </w:r>
          </w:p>
        </w:tc>
        <w:tc>
          <w:tcPr>
            <w:tcW w:w="6345" w:type="dxa"/>
            <w:tcBorders>
              <w:top w:val="nil"/>
              <w:left w:val="nil"/>
              <w:right w:val="nil"/>
            </w:tcBorders>
            <w:vAlign w:val="center"/>
          </w:tcPr>
          <w:p w14:paraId="1FCE8FDE" w14:textId="77777777" w:rsidR="008A4BC7" w:rsidRPr="00A74E55" w:rsidRDefault="000D0BFA">
            <w:pPr>
              <w:rPr>
                <w:rFonts w:ascii="Times New Roman" w:eastAsia="Times New Roman" w:hAnsi="Times New Roman" w:cs="Times New Roman"/>
                <w:lang w:val="en-GB"/>
              </w:rPr>
            </w:pPr>
            <w:r w:rsidRPr="00A74E55">
              <w:rPr>
                <w:rFonts w:ascii="Times New Roman" w:eastAsia="Times New Roman" w:hAnsi="Times New Roman" w:cs="Times New Roman"/>
                <w:color w:val="252525"/>
                <w:lang w:val="en-GB"/>
              </w:rPr>
              <w:t>G03XC</w:t>
            </w:r>
          </w:p>
        </w:tc>
      </w:tr>
      <w:tr w:rsidR="008A4BC7" w:rsidRPr="001822A4" w14:paraId="256AF8A6" w14:textId="77777777">
        <w:trPr>
          <w:trHeight w:val="426"/>
        </w:trPr>
        <w:tc>
          <w:tcPr>
            <w:tcW w:w="4126" w:type="dxa"/>
            <w:tcBorders>
              <w:top w:val="nil"/>
              <w:left w:val="nil"/>
              <w:right w:val="nil"/>
            </w:tcBorders>
            <w:vAlign w:val="center"/>
          </w:tcPr>
          <w:p w14:paraId="7B2D1010" w14:textId="77777777" w:rsidR="008A4BC7" w:rsidRPr="00A74E55" w:rsidRDefault="000D0BFA">
            <w:pPr>
              <w:rPr>
                <w:rFonts w:ascii="Times New Roman" w:eastAsia="Times New Roman" w:hAnsi="Times New Roman" w:cs="Times New Roman"/>
                <w:color w:val="252525"/>
                <w:lang w:val="en-GB"/>
              </w:rPr>
            </w:pPr>
            <w:r w:rsidRPr="00A74E55">
              <w:rPr>
                <w:rFonts w:ascii="Times New Roman" w:eastAsia="Times New Roman" w:hAnsi="Times New Roman" w:cs="Times New Roman"/>
                <w:lang w:val="en-GB"/>
              </w:rPr>
              <w:t>Denosumab</w:t>
            </w:r>
          </w:p>
        </w:tc>
        <w:tc>
          <w:tcPr>
            <w:tcW w:w="6345" w:type="dxa"/>
            <w:tcBorders>
              <w:top w:val="nil"/>
              <w:left w:val="nil"/>
              <w:right w:val="nil"/>
            </w:tcBorders>
            <w:vAlign w:val="center"/>
          </w:tcPr>
          <w:p w14:paraId="0ACE3F9C" w14:textId="77777777" w:rsidR="008A4BC7" w:rsidRPr="00A74E55" w:rsidRDefault="000D0BFA">
            <w:pPr>
              <w:rPr>
                <w:rFonts w:ascii="Times New Roman" w:eastAsia="Times New Roman" w:hAnsi="Times New Roman" w:cs="Times New Roman"/>
                <w:lang w:val="en-GB"/>
              </w:rPr>
            </w:pPr>
            <w:r w:rsidRPr="00A74E55">
              <w:rPr>
                <w:rFonts w:ascii="Times New Roman" w:eastAsia="Times New Roman" w:hAnsi="Times New Roman" w:cs="Times New Roman"/>
                <w:color w:val="252525"/>
                <w:lang w:val="en-GB"/>
              </w:rPr>
              <w:t>M05BX04</w:t>
            </w:r>
          </w:p>
        </w:tc>
      </w:tr>
      <w:tr w:rsidR="008A4BC7" w:rsidRPr="001822A4" w14:paraId="60A20365" w14:textId="77777777">
        <w:trPr>
          <w:trHeight w:val="426"/>
        </w:trPr>
        <w:tc>
          <w:tcPr>
            <w:tcW w:w="4126" w:type="dxa"/>
            <w:tcBorders>
              <w:top w:val="nil"/>
              <w:left w:val="nil"/>
              <w:right w:val="nil"/>
            </w:tcBorders>
            <w:vAlign w:val="center"/>
          </w:tcPr>
          <w:p w14:paraId="13D1BBE5" w14:textId="77777777" w:rsidR="008A4BC7" w:rsidRPr="00A74E55" w:rsidRDefault="000D0BFA">
            <w:pPr>
              <w:rPr>
                <w:rFonts w:ascii="Times New Roman" w:eastAsia="Times New Roman" w:hAnsi="Times New Roman" w:cs="Times New Roman"/>
                <w:color w:val="252525"/>
                <w:lang w:val="en-GB"/>
              </w:rPr>
            </w:pPr>
            <w:r w:rsidRPr="00A74E55">
              <w:rPr>
                <w:rFonts w:ascii="Times New Roman" w:eastAsia="Times New Roman" w:hAnsi="Times New Roman" w:cs="Times New Roman"/>
                <w:lang w:val="en-GB"/>
              </w:rPr>
              <w:t>Romosozumab</w:t>
            </w:r>
          </w:p>
        </w:tc>
        <w:tc>
          <w:tcPr>
            <w:tcW w:w="6345" w:type="dxa"/>
            <w:tcBorders>
              <w:top w:val="nil"/>
              <w:left w:val="nil"/>
              <w:right w:val="nil"/>
            </w:tcBorders>
            <w:vAlign w:val="center"/>
          </w:tcPr>
          <w:p w14:paraId="7021ED85" w14:textId="77777777" w:rsidR="008A4BC7" w:rsidRPr="00A74E55" w:rsidRDefault="000D0BFA">
            <w:pPr>
              <w:rPr>
                <w:rFonts w:ascii="Times New Roman" w:eastAsia="Times New Roman" w:hAnsi="Times New Roman" w:cs="Times New Roman"/>
                <w:lang w:val="en-GB"/>
              </w:rPr>
            </w:pPr>
            <w:r w:rsidRPr="00A74E55">
              <w:rPr>
                <w:rFonts w:ascii="Times New Roman" w:eastAsia="Times New Roman" w:hAnsi="Times New Roman" w:cs="Times New Roman"/>
                <w:color w:val="252525"/>
                <w:lang w:val="en-GB"/>
              </w:rPr>
              <w:t>M05BX06</w:t>
            </w:r>
          </w:p>
        </w:tc>
      </w:tr>
      <w:tr w:rsidR="008A4BC7" w:rsidRPr="001822A4" w14:paraId="08710E0D" w14:textId="77777777">
        <w:trPr>
          <w:trHeight w:val="426"/>
        </w:trPr>
        <w:tc>
          <w:tcPr>
            <w:tcW w:w="4126" w:type="dxa"/>
            <w:tcBorders>
              <w:top w:val="nil"/>
              <w:left w:val="nil"/>
              <w:right w:val="nil"/>
            </w:tcBorders>
            <w:vAlign w:val="center"/>
          </w:tcPr>
          <w:p w14:paraId="4269321A" w14:textId="77777777" w:rsidR="008A4BC7" w:rsidRPr="00A74E55" w:rsidRDefault="000D0BFA">
            <w:pPr>
              <w:rPr>
                <w:rFonts w:ascii="Times New Roman" w:eastAsia="Times New Roman" w:hAnsi="Times New Roman" w:cs="Times New Roman"/>
                <w:color w:val="252525"/>
                <w:lang w:val="en-GB"/>
              </w:rPr>
            </w:pPr>
            <w:r w:rsidRPr="00A74E55">
              <w:rPr>
                <w:rFonts w:ascii="Times New Roman" w:eastAsia="Times New Roman" w:hAnsi="Times New Roman" w:cs="Times New Roman"/>
                <w:lang w:val="en-GB"/>
              </w:rPr>
              <w:t>Abaloparatide</w:t>
            </w:r>
          </w:p>
        </w:tc>
        <w:tc>
          <w:tcPr>
            <w:tcW w:w="6345" w:type="dxa"/>
            <w:tcBorders>
              <w:top w:val="nil"/>
              <w:left w:val="nil"/>
              <w:right w:val="nil"/>
            </w:tcBorders>
            <w:vAlign w:val="center"/>
          </w:tcPr>
          <w:p w14:paraId="58B3E550" w14:textId="77777777" w:rsidR="008A4BC7" w:rsidRPr="00A74E55" w:rsidRDefault="000D0BFA">
            <w:pPr>
              <w:rPr>
                <w:rFonts w:ascii="Times New Roman" w:eastAsia="Times New Roman" w:hAnsi="Times New Roman" w:cs="Times New Roman"/>
                <w:lang w:val="en-GB"/>
              </w:rPr>
            </w:pPr>
            <w:r w:rsidRPr="00A74E55">
              <w:rPr>
                <w:rFonts w:ascii="Times New Roman" w:eastAsia="Times New Roman" w:hAnsi="Times New Roman" w:cs="Times New Roman"/>
                <w:lang w:val="en-GB"/>
              </w:rPr>
              <w:t>H05AA04</w:t>
            </w:r>
          </w:p>
        </w:tc>
      </w:tr>
      <w:tr w:rsidR="008A4BC7" w:rsidRPr="001822A4" w14:paraId="34658BD1" w14:textId="77777777">
        <w:trPr>
          <w:trHeight w:val="426"/>
        </w:trPr>
        <w:tc>
          <w:tcPr>
            <w:tcW w:w="4126" w:type="dxa"/>
            <w:tcBorders>
              <w:top w:val="nil"/>
              <w:left w:val="nil"/>
              <w:right w:val="nil"/>
            </w:tcBorders>
            <w:vAlign w:val="center"/>
          </w:tcPr>
          <w:p w14:paraId="7434AFFB" w14:textId="77777777" w:rsidR="008A4BC7" w:rsidRPr="00A74E55" w:rsidRDefault="000D0BFA">
            <w:pPr>
              <w:rPr>
                <w:rFonts w:ascii="Times New Roman" w:eastAsia="Times New Roman" w:hAnsi="Times New Roman" w:cs="Times New Roman"/>
                <w:color w:val="252525"/>
                <w:lang w:val="en-GB"/>
              </w:rPr>
            </w:pPr>
            <w:r w:rsidRPr="00A74E55">
              <w:rPr>
                <w:rFonts w:ascii="Times New Roman" w:eastAsia="Times New Roman" w:hAnsi="Times New Roman" w:cs="Times New Roman"/>
                <w:color w:val="252525"/>
                <w:lang w:val="en-GB"/>
              </w:rPr>
              <w:t>Vitamin D agents</w:t>
            </w:r>
          </w:p>
        </w:tc>
        <w:tc>
          <w:tcPr>
            <w:tcW w:w="6345" w:type="dxa"/>
            <w:tcBorders>
              <w:top w:val="nil"/>
              <w:left w:val="nil"/>
              <w:right w:val="nil"/>
            </w:tcBorders>
            <w:vAlign w:val="center"/>
          </w:tcPr>
          <w:p w14:paraId="24503748" w14:textId="77777777" w:rsidR="008A4BC7" w:rsidRPr="00A74E55" w:rsidRDefault="000D0BFA">
            <w:pPr>
              <w:rPr>
                <w:rFonts w:ascii="Times New Roman" w:eastAsia="Times New Roman" w:hAnsi="Times New Roman" w:cs="Times New Roman"/>
                <w:color w:val="252525"/>
                <w:lang w:val="en-GB"/>
              </w:rPr>
            </w:pPr>
            <w:r w:rsidRPr="00A74E55">
              <w:rPr>
                <w:rFonts w:ascii="Times New Roman" w:eastAsia="Times New Roman" w:hAnsi="Times New Roman" w:cs="Times New Roman"/>
                <w:color w:val="252525"/>
                <w:lang w:val="en-GB"/>
              </w:rPr>
              <w:t>A11CC</w:t>
            </w:r>
          </w:p>
        </w:tc>
      </w:tr>
      <w:tr w:rsidR="008A4BC7" w:rsidRPr="001822A4" w14:paraId="743D5AAB" w14:textId="77777777">
        <w:trPr>
          <w:trHeight w:val="426"/>
        </w:trPr>
        <w:tc>
          <w:tcPr>
            <w:tcW w:w="4126" w:type="dxa"/>
            <w:tcBorders>
              <w:top w:val="nil"/>
              <w:left w:val="nil"/>
              <w:bottom w:val="nil"/>
              <w:right w:val="nil"/>
            </w:tcBorders>
            <w:vAlign w:val="center"/>
          </w:tcPr>
          <w:p w14:paraId="36B18F6B" w14:textId="77777777" w:rsidR="008A4BC7" w:rsidRPr="00A74E55" w:rsidRDefault="000D0BFA">
            <w:pPr>
              <w:rPr>
                <w:rFonts w:ascii="Times New Roman" w:eastAsia="Times New Roman" w:hAnsi="Times New Roman" w:cs="Times New Roman"/>
                <w:color w:val="252525"/>
                <w:lang w:val="en-GB"/>
              </w:rPr>
            </w:pPr>
            <w:r w:rsidRPr="00A74E55">
              <w:rPr>
                <w:rFonts w:ascii="Times New Roman" w:eastAsia="Times New Roman" w:hAnsi="Times New Roman" w:cs="Times New Roman"/>
                <w:color w:val="252525"/>
                <w:lang w:val="en-GB"/>
              </w:rPr>
              <w:t>Calcium agents</w:t>
            </w:r>
          </w:p>
        </w:tc>
        <w:tc>
          <w:tcPr>
            <w:tcW w:w="6345" w:type="dxa"/>
            <w:tcBorders>
              <w:top w:val="nil"/>
              <w:left w:val="nil"/>
              <w:bottom w:val="nil"/>
              <w:right w:val="nil"/>
            </w:tcBorders>
            <w:vAlign w:val="center"/>
          </w:tcPr>
          <w:p w14:paraId="54D7C214" w14:textId="77777777" w:rsidR="008A4BC7" w:rsidRPr="00A74E55" w:rsidRDefault="000D0BFA">
            <w:pPr>
              <w:rPr>
                <w:rFonts w:ascii="Times New Roman" w:eastAsia="Times New Roman" w:hAnsi="Times New Roman" w:cs="Times New Roman"/>
                <w:color w:val="252525"/>
                <w:lang w:val="en-GB"/>
              </w:rPr>
            </w:pPr>
            <w:r w:rsidRPr="00A74E55">
              <w:rPr>
                <w:rFonts w:ascii="Times New Roman" w:eastAsia="Times New Roman" w:hAnsi="Times New Roman" w:cs="Times New Roman"/>
                <w:color w:val="252525"/>
                <w:lang w:val="en-GB"/>
              </w:rPr>
              <w:t>A12AA</w:t>
            </w:r>
          </w:p>
        </w:tc>
      </w:tr>
      <w:tr w:rsidR="008A4BC7" w:rsidRPr="001822A4" w14:paraId="14AC778E" w14:textId="77777777">
        <w:trPr>
          <w:trHeight w:val="426"/>
        </w:trPr>
        <w:tc>
          <w:tcPr>
            <w:tcW w:w="4126" w:type="dxa"/>
            <w:tcBorders>
              <w:top w:val="nil"/>
              <w:left w:val="nil"/>
              <w:right w:val="nil"/>
            </w:tcBorders>
            <w:vAlign w:val="center"/>
          </w:tcPr>
          <w:p w14:paraId="70CC576A" w14:textId="77777777" w:rsidR="008A4BC7" w:rsidRPr="00A74E55" w:rsidRDefault="000D0BFA">
            <w:pPr>
              <w:rPr>
                <w:rFonts w:ascii="Times New Roman" w:eastAsia="Times New Roman" w:hAnsi="Times New Roman" w:cs="Times New Roman"/>
                <w:lang w:val="en-GB"/>
              </w:rPr>
            </w:pPr>
            <w:r w:rsidRPr="00A74E55">
              <w:rPr>
                <w:rFonts w:ascii="Times New Roman" w:eastAsia="Times New Roman" w:hAnsi="Times New Roman" w:cs="Times New Roman"/>
                <w:lang w:val="en-GB"/>
              </w:rPr>
              <w:t>Loop diuretic drugs</w:t>
            </w:r>
          </w:p>
        </w:tc>
        <w:tc>
          <w:tcPr>
            <w:tcW w:w="6345" w:type="dxa"/>
            <w:tcBorders>
              <w:top w:val="nil"/>
              <w:left w:val="nil"/>
              <w:right w:val="nil"/>
            </w:tcBorders>
            <w:vAlign w:val="center"/>
          </w:tcPr>
          <w:p w14:paraId="6A42831A" w14:textId="77777777" w:rsidR="008A4BC7" w:rsidRPr="00A74E55" w:rsidRDefault="000D0BFA">
            <w:pPr>
              <w:rPr>
                <w:rFonts w:ascii="Times New Roman" w:eastAsia="Times New Roman" w:hAnsi="Times New Roman" w:cs="Times New Roman"/>
                <w:color w:val="252525"/>
                <w:lang w:val="en-GB"/>
              </w:rPr>
            </w:pPr>
            <w:r w:rsidRPr="00A74E55">
              <w:rPr>
                <w:rFonts w:ascii="Times New Roman" w:eastAsia="Times New Roman" w:hAnsi="Times New Roman" w:cs="Times New Roman"/>
                <w:color w:val="252525"/>
                <w:lang w:val="en-GB"/>
              </w:rPr>
              <w:t>C03C</w:t>
            </w:r>
          </w:p>
        </w:tc>
      </w:tr>
      <w:tr w:rsidR="008A4BC7" w:rsidRPr="001822A4" w14:paraId="237A0D0E" w14:textId="77777777">
        <w:trPr>
          <w:trHeight w:val="426"/>
        </w:trPr>
        <w:tc>
          <w:tcPr>
            <w:tcW w:w="4126" w:type="dxa"/>
            <w:tcBorders>
              <w:top w:val="nil"/>
              <w:left w:val="nil"/>
              <w:right w:val="nil"/>
            </w:tcBorders>
            <w:vAlign w:val="bottom"/>
          </w:tcPr>
          <w:p w14:paraId="377346C6" w14:textId="77777777" w:rsidR="008A4BC7" w:rsidRPr="00A74E55" w:rsidRDefault="000D0BFA">
            <w:pPr>
              <w:rPr>
                <w:rFonts w:ascii="Times New Roman" w:eastAsia="Times New Roman" w:hAnsi="Times New Roman" w:cs="Times New Roman"/>
                <w:lang w:val="en-GB"/>
              </w:rPr>
            </w:pPr>
            <w:r w:rsidRPr="00A74E55">
              <w:rPr>
                <w:rFonts w:ascii="Times New Roman" w:eastAsia="Times New Roman" w:hAnsi="Times New Roman" w:cs="Times New Roman"/>
                <w:lang w:val="en-GB"/>
              </w:rPr>
              <w:t>Proton pump inhibitors</w:t>
            </w:r>
          </w:p>
        </w:tc>
        <w:tc>
          <w:tcPr>
            <w:tcW w:w="6345" w:type="dxa"/>
            <w:tcBorders>
              <w:top w:val="nil"/>
              <w:left w:val="nil"/>
              <w:right w:val="nil"/>
            </w:tcBorders>
            <w:vAlign w:val="center"/>
          </w:tcPr>
          <w:p w14:paraId="5C6ED8A5" w14:textId="77777777" w:rsidR="008A4BC7" w:rsidRPr="00A74E55" w:rsidRDefault="000D0BFA">
            <w:pPr>
              <w:rPr>
                <w:rFonts w:ascii="Times New Roman" w:eastAsia="Times New Roman" w:hAnsi="Times New Roman" w:cs="Times New Roman"/>
                <w:lang w:val="en-GB"/>
              </w:rPr>
            </w:pPr>
            <w:r w:rsidRPr="00A74E55">
              <w:rPr>
                <w:rFonts w:ascii="Times New Roman" w:eastAsia="Times New Roman" w:hAnsi="Times New Roman" w:cs="Times New Roman"/>
                <w:lang w:val="en-GB"/>
              </w:rPr>
              <w:t>A02BC</w:t>
            </w:r>
          </w:p>
        </w:tc>
      </w:tr>
      <w:tr w:rsidR="008A4BC7" w:rsidRPr="001822A4" w14:paraId="2EAD09F4" w14:textId="77777777">
        <w:trPr>
          <w:trHeight w:val="426"/>
        </w:trPr>
        <w:tc>
          <w:tcPr>
            <w:tcW w:w="4126" w:type="dxa"/>
            <w:tcBorders>
              <w:top w:val="nil"/>
              <w:left w:val="nil"/>
              <w:right w:val="nil"/>
            </w:tcBorders>
            <w:vAlign w:val="center"/>
          </w:tcPr>
          <w:p w14:paraId="1C53A722" w14:textId="77777777" w:rsidR="008A4BC7" w:rsidRPr="00A74E55" w:rsidRDefault="000D0BFA">
            <w:pPr>
              <w:rPr>
                <w:rFonts w:ascii="Times New Roman" w:eastAsia="Times New Roman" w:hAnsi="Times New Roman" w:cs="Times New Roman"/>
                <w:lang w:val="en-GB"/>
              </w:rPr>
            </w:pPr>
            <w:r w:rsidRPr="00A74E55">
              <w:rPr>
                <w:rFonts w:ascii="Times New Roman" w:eastAsia="Times New Roman" w:hAnsi="Times New Roman" w:cs="Times New Roman"/>
                <w:lang w:val="en-GB"/>
              </w:rPr>
              <w:t>Antidepressants</w:t>
            </w:r>
          </w:p>
        </w:tc>
        <w:tc>
          <w:tcPr>
            <w:tcW w:w="6345" w:type="dxa"/>
            <w:tcBorders>
              <w:top w:val="nil"/>
              <w:left w:val="nil"/>
              <w:right w:val="nil"/>
            </w:tcBorders>
            <w:vAlign w:val="center"/>
          </w:tcPr>
          <w:p w14:paraId="503F7D0C" w14:textId="77777777" w:rsidR="008A4BC7" w:rsidRPr="00A74E55" w:rsidRDefault="000D0BFA">
            <w:pPr>
              <w:rPr>
                <w:rFonts w:ascii="Times New Roman" w:eastAsia="Times New Roman" w:hAnsi="Times New Roman" w:cs="Times New Roman"/>
                <w:color w:val="252525"/>
                <w:lang w:val="en-GB"/>
              </w:rPr>
            </w:pPr>
            <w:r w:rsidRPr="00A74E55">
              <w:rPr>
                <w:rFonts w:ascii="Times New Roman" w:eastAsia="Times New Roman" w:hAnsi="Times New Roman" w:cs="Times New Roman"/>
                <w:color w:val="252525"/>
                <w:lang w:val="en-GB"/>
              </w:rPr>
              <w:t>N06A</w:t>
            </w:r>
          </w:p>
        </w:tc>
      </w:tr>
      <w:tr w:rsidR="008A4BC7" w:rsidRPr="001822A4" w14:paraId="77997166" w14:textId="77777777">
        <w:trPr>
          <w:trHeight w:val="426"/>
        </w:trPr>
        <w:tc>
          <w:tcPr>
            <w:tcW w:w="4126" w:type="dxa"/>
            <w:tcBorders>
              <w:top w:val="nil"/>
              <w:left w:val="nil"/>
              <w:right w:val="nil"/>
            </w:tcBorders>
            <w:vAlign w:val="center"/>
          </w:tcPr>
          <w:p w14:paraId="3F63B241" w14:textId="77777777" w:rsidR="008A4BC7" w:rsidRPr="00A74E55" w:rsidRDefault="000D0BFA">
            <w:pPr>
              <w:rPr>
                <w:rFonts w:ascii="Times New Roman" w:eastAsia="Times New Roman" w:hAnsi="Times New Roman" w:cs="Times New Roman"/>
                <w:lang w:val="en-GB"/>
              </w:rPr>
            </w:pPr>
            <w:r w:rsidRPr="00A74E55">
              <w:rPr>
                <w:rFonts w:ascii="Times New Roman" w:eastAsia="Times New Roman" w:hAnsi="Times New Roman" w:cs="Times New Roman"/>
                <w:lang w:val="en-GB"/>
              </w:rPr>
              <w:t>Antipsychotics</w:t>
            </w:r>
          </w:p>
        </w:tc>
        <w:tc>
          <w:tcPr>
            <w:tcW w:w="6345" w:type="dxa"/>
            <w:tcBorders>
              <w:top w:val="nil"/>
              <w:left w:val="nil"/>
              <w:right w:val="nil"/>
            </w:tcBorders>
            <w:vAlign w:val="center"/>
          </w:tcPr>
          <w:p w14:paraId="6EBA2E91" w14:textId="77777777" w:rsidR="008A4BC7" w:rsidRPr="00A74E55" w:rsidRDefault="000D0BFA">
            <w:pPr>
              <w:rPr>
                <w:rFonts w:ascii="Times New Roman" w:eastAsia="Times New Roman" w:hAnsi="Times New Roman" w:cs="Times New Roman"/>
                <w:color w:val="252525"/>
                <w:lang w:val="en-GB"/>
              </w:rPr>
            </w:pPr>
            <w:r w:rsidRPr="00A74E55">
              <w:rPr>
                <w:rFonts w:ascii="Times New Roman" w:eastAsia="Times New Roman" w:hAnsi="Times New Roman" w:cs="Times New Roman"/>
                <w:color w:val="252525"/>
                <w:lang w:val="en-GB"/>
              </w:rPr>
              <w:t>N05A</w:t>
            </w:r>
          </w:p>
        </w:tc>
      </w:tr>
      <w:tr w:rsidR="008A4BC7" w:rsidRPr="001822A4" w14:paraId="15751D12" w14:textId="77777777">
        <w:trPr>
          <w:trHeight w:val="426"/>
        </w:trPr>
        <w:tc>
          <w:tcPr>
            <w:tcW w:w="4126" w:type="dxa"/>
            <w:tcBorders>
              <w:top w:val="nil"/>
              <w:left w:val="nil"/>
              <w:right w:val="nil"/>
            </w:tcBorders>
            <w:vAlign w:val="center"/>
          </w:tcPr>
          <w:p w14:paraId="54A058A7" w14:textId="77777777" w:rsidR="008A4BC7" w:rsidRPr="00A74E55" w:rsidRDefault="000D0BFA">
            <w:pPr>
              <w:rPr>
                <w:rFonts w:ascii="Times New Roman" w:eastAsia="Times New Roman" w:hAnsi="Times New Roman" w:cs="Times New Roman"/>
                <w:lang w:val="en-GB"/>
              </w:rPr>
            </w:pPr>
            <w:r w:rsidRPr="00A74E55">
              <w:rPr>
                <w:rFonts w:ascii="Times New Roman" w:eastAsia="Times New Roman" w:hAnsi="Times New Roman" w:cs="Times New Roman"/>
                <w:lang w:val="en-GB"/>
              </w:rPr>
              <w:t>Antiepileptics</w:t>
            </w:r>
          </w:p>
        </w:tc>
        <w:tc>
          <w:tcPr>
            <w:tcW w:w="6345" w:type="dxa"/>
            <w:tcBorders>
              <w:top w:val="nil"/>
              <w:left w:val="nil"/>
              <w:right w:val="nil"/>
            </w:tcBorders>
            <w:vAlign w:val="center"/>
          </w:tcPr>
          <w:p w14:paraId="2675EF96" w14:textId="77777777" w:rsidR="008A4BC7" w:rsidRPr="00A74E55" w:rsidRDefault="000D0BFA">
            <w:pPr>
              <w:rPr>
                <w:rFonts w:ascii="Times New Roman" w:eastAsia="Times New Roman" w:hAnsi="Times New Roman" w:cs="Times New Roman"/>
                <w:color w:val="252525"/>
                <w:lang w:val="en-GB"/>
              </w:rPr>
            </w:pPr>
            <w:r w:rsidRPr="00A74E55">
              <w:rPr>
                <w:rFonts w:ascii="Times New Roman" w:eastAsia="Times New Roman" w:hAnsi="Times New Roman" w:cs="Times New Roman"/>
                <w:color w:val="252525"/>
                <w:lang w:val="en-GB"/>
              </w:rPr>
              <w:t>N03</w:t>
            </w:r>
          </w:p>
        </w:tc>
      </w:tr>
      <w:tr w:rsidR="008A4BC7" w:rsidRPr="001822A4" w14:paraId="6B697C7B" w14:textId="77777777">
        <w:trPr>
          <w:trHeight w:val="426"/>
        </w:trPr>
        <w:tc>
          <w:tcPr>
            <w:tcW w:w="4126" w:type="dxa"/>
            <w:tcBorders>
              <w:top w:val="nil"/>
              <w:left w:val="nil"/>
              <w:right w:val="nil"/>
            </w:tcBorders>
            <w:vAlign w:val="center"/>
          </w:tcPr>
          <w:p w14:paraId="48E8EB45" w14:textId="77777777" w:rsidR="008A4BC7" w:rsidRPr="00A74E55" w:rsidRDefault="000D0BFA">
            <w:pPr>
              <w:rPr>
                <w:rFonts w:ascii="Times New Roman" w:eastAsia="Times New Roman" w:hAnsi="Times New Roman" w:cs="Times New Roman"/>
                <w:lang w:val="en-GB"/>
              </w:rPr>
            </w:pPr>
            <w:r w:rsidRPr="00A74E55">
              <w:rPr>
                <w:rFonts w:ascii="Times New Roman" w:eastAsia="Times New Roman" w:hAnsi="Times New Roman" w:cs="Times New Roman"/>
                <w:lang w:val="en-GB"/>
              </w:rPr>
              <w:t>Opioids</w:t>
            </w:r>
          </w:p>
        </w:tc>
        <w:tc>
          <w:tcPr>
            <w:tcW w:w="6345" w:type="dxa"/>
            <w:tcBorders>
              <w:top w:val="nil"/>
              <w:left w:val="nil"/>
              <w:right w:val="nil"/>
            </w:tcBorders>
            <w:vAlign w:val="center"/>
          </w:tcPr>
          <w:p w14:paraId="2A968498" w14:textId="77777777" w:rsidR="008A4BC7" w:rsidRPr="00A74E55" w:rsidRDefault="000D0BFA">
            <w:pPr>
              <w:rPr>
                <w:rFonts w:ascii="Times New Roman" w:eastAsia="Times New Roman" w:hAnsi="Times New Roman" w:cs="Times New Roman"/>
                <w:color w:val="252525"/>
                <w:lang w:val="en-GB"/>
              </w:rPr>
            </w:pPr>
            <w:r w:rsidRPr="00A74E55">
              <w:rPr>
                <w:rFonts w:ascii="Times New Roman" w:eastAsia="Times New Roman" w:hAnsi="Times New Roman" w:cs="Times New Roman"/>
                <w:color w:val="252525"/>
                <w:lang w:val="en-GB"/>
              </w:rPr>
              <w:t>N02A</w:t>
            </w:r>
          </w:p>
        </w:tc>
      </w:tr>
      <w:tr w:rsidR="008A4BC7" w:rsidRPr="001822A4" w14:paraId="414CDA21" w14:textId="77777777">
        <w:trPr>
          <w:trHeight w:val="426"/>
        </w:trPr>
        <w:tc>
          <w:tcPr>
            <w:tcW w:w="4126" w:type="dxa"/>
            <w:tcBorders>
              <w:top w:val="nil"/>
              <w:left w:val="nil"/>
              <w:bottom w:val="single" w:sz="4" w:space="0" w:color="auto"/>
              <w:right w:val="nil"/>
            </w:tcBorders>
            <w:vAlign w:val="center"/>
          </w:tcPr>
          <w:p w14:paraId="48D95C8A" w14:textId="77777777" w:rsidR="008A4BC7" w:rsidRPr="00A74E55" w:rsidRDefault="000D0BFA">
            <w:pPr>
              <w:rPr>
                <w:rFonts w:ascii="Times New Roman" w:eastAsia="Times New Roman" w:hAnsi="Times New Roman" w:cs="Times New Roman"/>
                <w:lang w:val="en-GB"/>
              </w:rPr>
            </w:pPr>
            <w:r w:rsidRPr="00A74E55">
              <w:rPr>
                <w:rFonts w:ascii="Times New Roman" w:eastAsia="Times New Roman" w:hAnsi="Times New Roman" w:cs="Times New Roman"/>
                <w:lang w:val="en-GB"/>
              </w:rPr>
              <w:t>Systemic steroids</w:t>
            </w:r>
          </w:p>
        </w:tc>
        <w:tc>
          <w:tcPr>
            <w:tcW w:w="6345" w:type="dxa"/>
            <w:tcBorders>
              <w:top w:val="nil"/>
              <w:left w:val="nil"/>
              <w:bottom w:val="single" w:sz="4" w:space="0" w:color="auto"/>
              <w:right w:val="nil"/>
            </w:tcBorders>
            <w:vAlign w:val="center"/>
          </w:tcPr>
          <w:p w14:paraId="55BFFCAA" w14:textId="77777777" w:rsidR="008A4BC7" w:rsidRPr="00A74E55" w:rsidRDefault="000D0BFA">
            <w:pPr>
              <w:rPr>
                <w:rFonts w:ascii="Times New Roman" w:eastAsia="Times New Roman" w:hAnsi="Times New Roman" w:cs="Times New Roman"/>
                <w:color w:val="252525"/>
                <w:lang w:val="en-GB"/>
              </w:rPr>
            </w:pPr>
            <w:r w:rsidRPr="00A74E55">
              <w:rPr>
                <w:rFonts w:ascii="Times New Roman" w:eastAsia="Times New Roman" w:hAnsi="Times New Roman" w:cs="Times New Roman"/>
                <w:color w:val="252525"/>
                <w:lang w:val="en-GB"/>
              </w:rPr>
              <w:t>H02AB</w:t>
            </w:r>
          </w:p>
        </w:tc>
      </w:tr>
    </w:tbl>
    <w:p w14:paraId="197E4036" w14:textId="77777777" w:rsidR="00A34956" w:rsidRDefault="000D0BFA">
      <w:pPr>
        <w:rPr>
          <w:rFonts w:ascii="Times New Roman" w:eastAsia="Times New Roman" w:hAnsi="Times New Roman" w:cs="Times New Roman"/>
          <w:lang w:val="en-GB"/>
        </w:rPr>
        <w:sectPr w:rsidR="00A34956">
          <w:pgSz w:w="16838" w:h="11906" w:orient="landscape"/>
          <w:pgMar w:top="720" w:right="720" w:bottom="720" w:left="720" w:header="851" w:footer="992" w:gutter="0"/>
          <w:cols w:space="425"/>
          <w:docGrid w:type="lines" w:linePitch="360"/>
        </w:sectPr>
      </w:pPr>
      <w:r w:rsidRPr="00A74E55">
        <w:rPr>
          <w:rFonts w:ascii="Times New Roman" w:eastAsia="Times New Roman" w:hAnsi="Times New Roman" w:cs="Times New Roman"/>
          <w:lang w:val="en-GB"/>
        </w:rPr>
        <w:t>ATC, Anatomical Therapeutic Chemical; WHO, World Health Organization</w:t>
      </w:r>
    </w:p>
    <w:p w14:paraId="2B6F3D8F" w14:textId="77777777" w:rsidR="00A34956" w:rsidRPr="00A34956" w:rsidRDefault="00A34956" w:rsidP="00A34956">
      <w:pPr>
        <w:rPr>
          <w:rFonts w:ascii="Times New Roman" w:eastAsia="Times New Roman" w:hAnsi="Times New Roman" w:cs="Times New Roman"/>
          <w:b/>
        </w:rPr>
      </w:pPr>
      <w:r w:rsidRPr="00FE4F05">
        <w:rPr>
          <w:rFonts w:ascii="Times New Roman" w:eastAsia="Times New Roman" w:hAnsi="Times New Roman" w:cs="Times New Roman"/>
          <w:b/>
          <w:bCs/>
          <w:highlight w:val="yellow"/>
        </w:rPr>
        <w:lastRenderedPageBreak/>
        <w:t>Figure S1.</w:t>
      </w:r>
      <w:r w:rsidRPr="00FE4F05">
        <w:rPr>
          <w:rFonts w:ascii="Times New Roman" w:eastAsia="Times New Roman" w:hAnsi="Times New Roman" w:cs="Times New Roman"/>
          <w:b/>
          <w:highlight w:val="yellow"/>
        </w:rPr>
        <w:t xml:space="preserve"> Cumulative adoption of the reimbursement add-on across facilities after policy implementation</w:t>
      </w:r>
    </w:p>
    <w:p w14:paraId="033FB0F4" w14:textId="2FA76891" w:rsidR="00A34956" w:rsidRPr="00A74E55" w:rsidRDefault="009B562C">
      <w:pPr>
        <w:rPr>
          <w:rFonts w:ascii="Times New Roman" w:eastAsia="Times New Roman" w:hAnsi="Times New Roman" w:cs="Times New Roman"/>
          <w:b/>
          <w:lang w:val="en-GB"/>
        </w:rPr>
      </w:pPr>
      <w:r>
        <w:rPr>
          <w:rFonts w:ascii="Times New Roman" w:eastAsia="Times New Roman" w:hAnsi="Times New Roman" w:cs="Times New Roman"/>
          <w:b/>
          <w:noProof/>
          <w:lang w:val="en-GB"/>
        </w:rPr>
        <w:drawing>
          <wp:anchor distT="0" distB="0" distL="114300" distR="114300" simplePos="0" relativeHeight="251658240" behindDoc="0" locked="0" layoutInCell="1" allowOverlap="1" wp14:anchorId="44635BC4" wp14:editId="79F68479">
            <wp:simplePos x="0" y="0"/>
            <wp:positionH relativeFrom="margin">
              <wp:posOffset>1486958</wp:posOffset>
            </wp:positionH>
            <wp:positionV relativeFrom="margin">
              <wp:posOffset>282998</wp:posOffset>
            </wp:positionV>
            <wp:extent cx="6858000" cy="4114800"/>
            <wp:effectExtent l="0" t="0" r="0" b="0"/>
            <wp:wrapSquare wrapText="bothSides"/>
            <wp:docPr id="74048594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485945" name="図 740485945"/>
                    <pic:cNvPicPr/>
                  </pic:nvPicPr>
                  <pic:blipFill>
                    <a:blip r:embed="rId5"/>
                    <a:stretch>
                      <a:fillRect/>
                    </a:stretch>
                  </pic:blipFill>
                  <pic:spPr>
                    <a:xfrm>
                      <a:off x="0" y="0"/>
                      <a:ext cx="6858000" cy="4114800"/>
                    </a:xfrm>
                    <a:prstGeom prst="rect">
                      <a:avLst/>
                    </a:prstGeom>
                  </pic:spPr>
                </pic:pic>
              </a:graphicData>
            </a:graphic>
          </wp:anchor>
        </w:drawing>
      </w:r>
    </w:p>
    <w:sectPr w:rsidR="00A34956" w:rsidRPr="00A74E55">
      <w:pgSz w:w="16838" w:h="11906" w:orient="landscape"/>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Wingdings">
    <w:panose1 w:val="05000000000000000000"/>
    <w:charset w:val="00"/>
    <w:family w:val="decorative"/>
    <w:pitch w:val="variable"/>
    <w:sig w:usb0="00000003" w:usb1="00000000" w:usb2="00000000" w:usb3="00000000" w:csb0="80000001"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altName w:val="MS PGothic"/>
    <w:panose1 w:val="020B0600070205080204"/>
    <w:charset w:val="80"/>
    <w:family w:val="swiss"/>
    <w:pitch w:val="variable"/>
    <w:sig w:usb0="E00002FF" w:usb1="6AC7FDFB" w:usb2="08000012" w:usb3="00000000" w:csb0="0002009F" w:csb1="00000000"/>
  </w:font>
  <w:font w:name="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ＭＳ 明朝">
    <w:altName w:val="MS Mincho"/>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407BC6"/>
    <w:multiLevelType w:val="hybridMultilevel"/>
    <w:tmpl w:val="00000000"/>
    <w:lvl w:ilvl="0" w:tplc="15E8CF4C">
      <w:start w:val="1"/>
      <w:numFmt w:val="bullet"/>
      <w:lvlText w:val=""/>
      <w:lvlJc w:val="left"/>
      <w:pPr>
        <w:ind w:left="720" w:hanging="360"/>
      </w:pPr>
      <w:rPr>
        <w:rFonts w:ascii="Symbol" w:eastAsia="Symbol" w:hAnsi="Symbol" w:cs="Symbol"/>
        <w:sz w:val="20"/>
      </w:rPr>
    </w:lvl>
    <w:lvl w:ilvl="1" w:tplc="4874E3EE">
      <w:start w:val="1"/>
      <w:numFmt w:val="decimal"/>
      <w:lvlText w:val=""/>
      <w:lvlJc w:val="left"/>
    </w:lvl>
    <w:lvl w:ilvl="2" w:tplc="DF5A42B0">
      <w:start w:val="1"/>
      <w:numFmt w:val="decimal"/>
      <w:lvlText w:val=""/>
      <w:lvlJc w:val="left"/>
    </w:lvl>
    <w:lvl w:ilvl="3" w:tplc="C35E7852">
      <w:start w:val="1"/>
      <w:numFmt w:val="decimal"/>
      <w:lvlText w:val=""/>
      <w:lvlJc w:val="left"/>
    </w:lvl>
    <w:lvl w:ilvl="4" w:tplc="4A840556">
      <w:start w:val="1"/>
      <w:numFmt w:val="decimal"/>
      <w:lvlText w:val=""/>
      <w:lvlJc w:val="left"/>
    </w:lvl>
    <w:lvl w:ilvl="5" w:tplc="299824B4">
      <w:start w:val="1"/>
      <w:numFmt w:val="decimal"/>
      <w:lvlText w:val=""/>
      <w:lvlJc w:val="left"/>
    </w:lvl>
    <w:lvl w:ilvl="6" w:tplc="7A126632">
      <w:start w:val="1"/>
      <w:numFmt w:val="decimal"/>
      <w:lvlText w:val=""/>
      <w:lvlJc w:val="left"/>
    </w:lvl>
    <w:lvl w:ilvl="7" w:tplc="E5267172">
      <w:start w:val="1"/>
      <w:numFmt w:val="decimal"/>
      <w:lvlText w:val=""/>
      <w:lvlJc w:val="left"/>
    </w:lvl>
    <w:lvl w:ilvl="8" w:tplc="C5FCD330">
      <w:start w:val="1"/>
      <w:numFmt w:val="decimal"/>
      <w:lvlText w:val=""/>
      <w:lvlJc w:val="left"/>
    </w:lvl>
  </w:abstractNum>
  <w:abstractNum w:abstractNumId="1" w15:restartNumberingAfterBreak="0">
    <w:nsid w:val="2203BB1E"/>
    <w:multiLevelType w:val="hybridMultilevel"/>
    <w:tmpl w:val="00000000"/>
    <w:lvl w:ilvl="0" w:tplc="A774BBEC">
      <w:start w:val="1"/>
      <w:numFmt w:val="decimal"/>
      <w:lvlText w:val=""/>
      <w:lvlJc w:val="left"/>
      <w:pPr>
        <w:ind w:left="440" w:hanging="440"/>
      </w:pPr>
      <w:rPr>
        <w:rFonts w:ascii="Wingdings" w:eastAsia="Wingdings" w:hAnsi="Wingdings" w:cs="Wingdings"/>
      </w:rPr>
    </w:lvl>
    <w:lvl w:ilvl="1" w:tplc="ED964728">
      <w:start w:val="1"/>
      <w:numFmt w:val="decimal"/>
      <w:lvlText w:val=""/>
      <w:lvlJc w:val="left"/>
    </w:lvl>
    <w:lvl w:ilvl="2" w:tplc="3C1A1BD2">
      <w:start w:val="1"/>
      <w:numFmt w:val="decimal"/>
      <w:lvlText w:val=""/>
      <w:lvlJc w:val="left"/>
    </w:lvl>
    <w:lvl w:ilvl="3" w:tplc="B5A27E3C">
      <w:start w:val="1"/>
      <w:numFmt w:val="decimal"/>
      <w:lvlText w:val=""/>
      <w:lvlJc w:val="left"/>
    </w:lvl>
    <w:lvl w:ilvl="4" w:tplc="44D02DB0">
      <w:start w:val="1"/>
      <w:numFmt w:val="decimal"/>
      <w:lvlText w:val=""/>
      <w:lvlJc w:val="left"/>
    </w:lvl>
    <w:lvl w:ilvl="5" w:tplc="15A6FF06">
      <w:start w:val="1"/>
      <w:numFmt w:val="decimal"/>
      <w:lvlText w:val=""/>
      <w:lvlJc w:val="left"/>
    </w:lvl>
    <w:lvl w:ilvl="6" w:tplc="4FBAF20C">
      <w:start w:val="1"/>
      <w:numFmt w:val="decimal"/>
      <w:lvlText w:val=""/>
      <w:lvlJc w:val="left"/>
    </w:lvl>
    <w:lvl w:ilvl="7" w:tplc="4CBC2A94">
      <w:start w:val="1"/>
      <w:numFmt w:val="decimal"/>
      <w:lvlText w:val=""/>
      <w:lvlJc w:val="left"/>
    </w:lvl>
    <w:lvl w:ilvl="8" w:tplc="E3909F1C">
      <w:start w:val="1"/>
      <w:numFmt w:val="decimal"/>
      <w:lvlText w:val=""/>
      <w:lvlJc w:val="left"/>
    </w:lvl>
  </w:abstractNum>
  <w:abstractNum w:abstractNumId="2" w15:restartNumberingAfterBreak="0">
    <w:nsid w:val="424852FA"/>
    <w:multiLevelType w:val="hybridMultilevel"/>
    <w:tmpl w:val="00000000"/>
    <w:lvl w:ilvl="0" w:tplc="8AD6A57E">
      <w:start w:val="1"/>
      <w:numFmt w:val="bullet"/>
      <w:lvlText w:val=""/>
      <w:lvlJc w:val="left"/>
      <w:pPr>
        <w:ind w:left="720" w:hanging="360"/>
      </w:pPr>
      <w:rPr>
        <w:rFonts w:ascii="Symbol" w:eastAsia="Symbol" w:hAnsi="Symbol" w:cs="Symbol"/>
        <w:sz w:val="20"/>
      </w:rPr>
    </w:lvl>
    <w:lvl w:ilvl="1" w:tplc="7436C606">
      <w:start w:val="1"/>
      <w:numFmt w:val="decimal"/>
      <w:lvlText w:val=""/>
      <w:lvlJc w:val="left"/>
    </w:lvl>
    <w:lvl w:ilvl="2" w:tplc="6B74B768">
      <w:start w:val="1"/>
      <w:numFmt w:val="decimal"/>
      <w:lvlText w:val=""/>
      <w:lvlJc w:val="left"/>
    </w:lvl>
    <w:lvl w:ilvl="3" w:tplc="92CE5322">
      <w:start w:val="1"/>
      <w:numFmt w:val="decimal"/>
      <w:lvlText w:val=""/>
      <w:lvlJc w:val="left"/>
    </w:lvl>
    <w:lvl w:ilvl="4" w:tplc="AC6404E8">
      <w:start w:val="1"/>
      <w:numFmt w:val="decimal"/>
      <w:lvlText w:val=""/>
      <w:lvlJc w:val="left"/>
    </w:lvl>
    <w:lvl w:ilvl="5" w:tplc="A57E6562">
      <w:start w:val="1"/>
      <w:numFmt w:val="decimal"/>
      <w:lvlText w:val=""/>
      <w:lvlJc w:val="left"/>
    </w:lvl>
    <w:lvl w:ilvl="6" w:tplc="FF18E27E">
      <w:start w:val="1"/>
      <w:numFmt w:val="decimal"/>
      <w:lvlText w:val=""/>
      <w:lvlJc w:val="left"/>
    </w:lvl>
    <w:lvl w:ilvl="7" w:tplc="B4940A7E">
      <w:start w:val="1"/>
      <w:numFmt w:val="decimal"/>
      <w:lvlText w:val=""/>
      <w:lvlJc w:val="left"/>
    </w:lvl>
    <w:lvl w:ilvl="8" w:tplc="CA303960">
      <w:start w:val="1"/>
      <w:numFmt w:val="decimal"/>
      <w:lvlText w:val=""/>
      <w:lvlJc w:val="left"/>
    </w:lvl>
  </w:abstractNum>
  <w:abstractNum w:abstractNumId="3" w15:restartNumberingAfterBreak="0">
    <w:nsid w:val="4EFC7281"/>
    <w:multiLevelType w:val="hybridMultilevel"/>
    <w:tmpl w:val="00000000"/>
    <w:lvl w:ilvl="0" w:tplc="6942791A">
      <w:start w:val="1"/>
      <w:numFmt w:val="bullet"/>
      <w:lvlText w:val=""/>
      <w:lvlJc w:val="left"/>
      <w:pPr>
        <w:ind w:left="720" w:hanging="360"/>
      </w:pPr>
      <w:rPr>
        <w:rFonts w:ascii="Symbol" w:eastAsia="Symbol" w:hAnsi="Symbol" w:cs="Symbol"/>
        <w:sz w:val="20"/>
      </w:rPr>
    </w:lvl>
    <w:lvl w:ilvl="1" w:tplc="7EC241B2">
      <w:start w:val="1"/>
      <w:numFmt w:val="decimal"/>
      <w:lvlText w:val=""/>
      <w:lvlJc w:val="left"/>
    </w:lvl>
    <w:lvl w:ilvl="2" w:tplc="CA547B30">
      <w:start w:val="1"/>
      <w:numFmt w:val="decimal"/>
      <w:lvlText w:val=""/>
      <w:lvlJc w:val="left"/>
    </w:lvl>
    <w:lvl w:ilvl="3" w:tplc="58FAD5E0">
      <w:start w:val="1"/>
      <w:numFmt w:val="decimal"/>
      <w:lvlText w:val=""/>
      <w:lvlJc w:val="left"/>
    </w:lvl>
    <w:lvl w:ilvl="4" w:tplc="8A16F6F8">
      <w:start w:val="1"/>
      <w:numFmt w:val="decimal"/>
      <w:lvlText w:val=""/>
      <w:lvlJc w:val="left"/>
    </w:lvl>
    <w:lvl w:ilvl="5" w:tplc="342E533A">
      <w:start w:val="1"/>
      <w:numFmt w:val="decimal"/>
      <w:lvlText w:val=""/>
      <w:lvlJc w:val="left"/>
    </w:lvl>
    <w:lvl w:ilvl="6" w:tplc="5002CC8C">
      <w:start w:val="1"/>
      <w:numFmt w:val="decimal"/>
      <w:lvlText w:val=""/>
      <w:lvlJc w:val="left"/>
    </w:lvl>
    <w:lvl w:ilvl="7" w:tplc="97E6D72E">
      <w:start w:val="1"/>
      <w:numFmt w:val="decimal"/>
      <w:lvlText w:val=""/>
      <w:lvlJc w:val="left"/>
    </w:lvl>
    <w:lvl w:ilvl="8" w:tplc="A6E8C256">
      <w:start w:val="1"/>
      <w:numFmt w:val="decimal"/>
      <w:lvlText w:val=""/>
      <w:lvlJc w:val="left"/>
    </w:lvl>
  </w:abstractNum>
  <w:abstractNum w:abstractNumId="4" w15:restartNumberingAfterBreak="0">
    <w:nsid w:val="514C02A5"/>
    <w:multiLevelType w:val="hybridMultilevel"/>
    <w:tmpl w:val="00000000"/>
    <w:lvl w:ilvl="0" w:tplc="A2F8B770">
      <w:start w:val="1"/>
      <w:numFmt w:val="upperLetter"/>
      <w:lvlText w:val="%1."/>
      <w:lvlJc w:val="left"/>
      <w:pPr>
        <w:ind w:left="360" w:hanging="360"/>
      </w:pPr>
    </w:lvl>
    <w:lvl w:ilvl="1" w:tplc="B6661F12">
      <w:start w:val="1"/>
      <w:numFmt w:val="decimal"/>
      <w:lvlText w:val=""/>
      <w:lvlJc w:val="left"/>
    </w:lvl>
    <w:lvl w:ilvl="2" w:tplc="4BC2CFA0">
      <w:start w:val="1"/>
      <w:numFmt w:val="decimal"/>
      <w:lvlText w:val=""/>
      <w:lvlJc w:val="left"/>
    </w:lvl>
    <w:lvl w:ilvl="3" w:tplc="BD641B28">
      <w:start w:val="1"/>
      <w:numFmt w:val="decimal"/>
      <w:lvlText w:val=""/>
      <w:lvlJc w:val="left"/>
    </w:lvl>
    <w:lvl w:ilvl="4" w:tplc="4DD69720">
      <w:start w:val="1"/>
      <w:numFmt w:val="decimal"/>
      <w:lvlText w:val=""/>
      <w:lvlJc w:val="left"/>
    </w:lvl>
    <w:lvl w:ilvl="5" w:tplc="49887492">
      <w:start w:val="1"/>
      <w:numFmt w:val="decimal"/>
      <w:lvlText w:val=""/>
      <w:lvlJc w:val="left"/>
    </w:lvl>
    <w:lvl w:ilvl="6" w:tplc="7076C476">
      <w:start w:val="1"/>
      <w:numFmt w:val="decimal"/>
      <w:lvlText w:val=""/>
      <w:lvlJc w:val="left"/>
    </w:lvl>
    <w:lvl w:ilvl="7" w:tplc="828E1A6C">
      <w:start w:val="1"/>
      <w:numFmt w:val="decimal"/>
      <w:lvlText w:val=""/>
      <w:lvlJc w:val="left"/>
    </w:lvl>
    <w:lvl w:ilvl="8" w:tplc="290AD5E2">
      <w:start w:val="1"/>
      <w:numFmt w:val="decimal"/>
      <w:lvlText w:val=""/>
      <w:lvlJc w:val="left"/>
    </w:lvl>
  </w:abstractNum>
  <w:abstractNum w:abstractNumId="5" w15:restartNumberingAfterBreak="0">
    <w:nsid w:val="5646AD2D"/>
    <w:multiLevelType w:val="hybridMultilevel"/>
    <w:tmpl w:val="00000000"/>
    <w:lvl w:ilvl="0" w:tplc="6DBC39DE">
      <w:start w:val="1"/>
      <w:numFmt w:val="decimal"/>
      <w:lvlText w:val="%1."/>
      <w:lvlJc w:val="left"/>
      <w:pPr>
        <w:ind w:left="720" w:hanging="360"/>
      </w:pPr>
    </w:lvl>
    <w:lvl w:ilvl="1" w:tplc="79180932">
      <w:start w:val="1"/>
      <w:numFmt w:val="decimal"/>
      <w:lvlText w:val=""/>
      <w:lvlJc w:val="left"/>
    </w:lvl>
    <w:lvl w:ilvl="2" w:tplc="4886ABA8">
      <w:start w:val="1"/>
      <w:numFmt w:val="decimal"/>
      <w:lvlText w:val=""/>
      <w:lvlJc w:val="left"/>
    </w:lvl>
    <w:lvl w:ilvl="3" w:tplc="F41EBCF0">
      <w:start w:val="1"/>
      <w:numFmt w:val="decimal"/>
      <w:lvlText w:val=""/>
      <w:lvlJc w:val="left"/>
    </w:lvl>
    <w:lvl w:ilvl="4" w:tplc="D6B81346">
      <w:start w:val="1"/>
      <w:numFmt w:val="decimal"/>
      <w:lvlText w:val=""/>
      <w:lvlJc w:val="left"/>
    </w:lvl>
    <w:lvl w:ilvl="5" w:tplc="E964681C">
      <w:start w:val="1"/>
      <w:numFmt w:val="decimal"/>
      <w:lvlText w:val=""/>
      <w:lvlJc w:val="left"/>
    </w:lvl>
    <w:lvl w:ilvl="6" w:tplc="63040ACE">
      <w:start w:val="1"/>
      <w:numFmt w:val="decimal"/>
      <w:lvlText w:val=""/>
      <w:lvlJc w:val="left"/>
    </w:lvl>
    <w:lvl w:ilvl="7" w:tplc="EF8A374E">
      <w:start w:val="1"/>
      <w:numFmt w:val="decimal"/>
      <w:lvlText w:val=""/>
      <w:lvlJc w:val="left"/>
    </w:lvl>
    <w:lvl w:ilvl="8" w:tplc="12FA676C">
      <w:start w:val="1"/>
      <w:numFmt w:val="decimal"/>
      <w:lvlText w:val=""/>
      <w:lvlJc w:val="left"/>
    </w:lvl>
  </w:abstractNum>
  <w:abstractNum w:abstractNumId="6" w15:restartNumberingAfterBreak="0">
    <w:nsid w:val="5CE05443"/>
    <w:multiLevelType w:val="hybridMultilevel"/>
    <w:tmpl w:val="00000000"/>
    <w:lvl w:ilvl="0" w:tplc="FAB6E2B6">
      <w:start w:val="1"/>
      <w:numFmt w:val="bullet"/>
      <w:lvlText w:val=""/>
      <w:lvlJc w:val="left"/>
      <w:pPr>
        <w:ind w:left="720" w:hanging="360"/>
      </w:pPr>
      <w:rPr>
        <w:rFonts w:ascii="Symbol" w:eastAsia="Symbol" w:hAnsi="Symbol" w:cs="Symbol"/>
        <w:sz w:val="20"/>
      </w:rPr>
    </w:lvl>
    <w:lvl w:ilvl="1" w:tplc="06A8A1B6">
      <w:start w:val="1"/>
      <w:numFmt w:val="decimal"/>
      <w:lvlText w:val=""/>
      <w:lvlJc w:val="left"/>
    </w:lvl>
    <w:lvl w:ilvl="2" w:tplc="301E3D3A">
      <w:start w:val="1"/>
      <w:numFmt w:val="decimal"/>
      <w:lvlText w:val=""/>
      <w:lvlJc w:val="left"/>
    </w:lvl>
    <w:lvl w:ilvl="3" w:tplc="46EAFD96">
      <w:start w:val="1"/>
      <w:numFmt w:val="decimal"/>
      <w:lvlText w:val=""/>
      <w:lvlJc w:val="left"/>
    </w:lvl>
    <w:lvl w:ilvl="4" w:tplc="2DE64756">
      <w:start w:val="1"/>
      <w:numFmt w:val="decimal"/>
      <w:lvlText w:val=""/>
      <w:lvlJc w:val="left"/>
    </w:lvl>
    <w:lvl w:ilvl="5" w:tplc="FE58334C">
      <w:start w:val="1"/>
      <w:numFmt w:val="decimal"/>
      <w:lvlText w:val=""/>
      <w:lvlJc w:val="left"/>
    </w:lvl>
    <w:lvl w:ilvl="6" w:tplc="3A4A9B30">
      <w:start w:val="1"/>
      <w:numFmt w:val="decimal"/>
      <w:lvlText w:val=""/>
      <w:lvlJc w:val="left"/>
    </w:lvl>
    <w:lvl w:ilvl="7" w:tplc="F7BA5708">
      <w:start w:val="1"/>
      <w:numFmt w:val="decimal"/>
      <w:lvlText w:val=""/>
      <w:lvlJc w:val="left"/>
    </w:lvl>
    <w:lvl w:ilvl="8" w:tplc="5B1CB952">
      <w:start w:val="1"/>
      <w:numFmt w:val="decimal"/>
      <w:lvlText w:val=""/>
      <w:lvlJc w:val="left"/>
    </w:lvl>
  </w:abstractNum>
  <w:num w:numId="1" w16cid:durableId="787237519">
    <w:abstractNumId w:val="5"/>
  </w:num>
  <w:num w:numId="2" w16cid:durableId="1954633373">
    <w:abstractNumId w:val="4"/>
  </w:num>
  <w:num w:numId="3" w16cid:durableId="494031759">
    <w:abstractNumId w:val="1"/>
  </w:num>
  <w:num w:numId="4" w16cid:durableId="1161198531">
    <w:abstractNumId w:val="2"/>
  </w:num>
  <w:num w:numId="5" w16cid:durableId="1717006509">
    <w:abstractNumId w:val="3"/>
  </w:num>
  <w:num w:numId="6" w16cid:durableId="575166812">
    <w:abstractNumId w:val="0"/>
  </w:num>
  <w:num w:numId="7" w16cid:durableId="16569572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removeDateAndTime/>
  <w:bordersDoNotSurroundHeader/>
  <w:bordersDoNotSurroundFooter/>
  <w:proofState w:grammar="clean"/>
  <w:trackRevisions/>
  <w:defaultTabStop w:val="84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4BC7"/>
    <w:rsid w:val="00060705"/>
    <w:rsid w:val="000E500A"/>
    <w:rsid w:val="001822A4"/>
    <w:rsid w:val="002F14E4"/>
    <w:rsid w:val="003128ED"/>
    <w:rsid w:val="00347A5D"/>
    <w:rsid w:val="00365680"/>
    <w:rsid w:val="00392F5A"/>
    <w:rsid w:val="003B418E"/>
    <w:rsid w:val="0048656D"/>
    <w:rsid w:val="00762C30"/>
    <w:rsid w:val="008201FC"/>
    <w:rsid w:val="008226CF"/>
    <w:rsid w:val="008A4BC7"/>
    <w:rsid w:val="008F368D"/>
    <w:rsid w:val="009555B5"/>
    <w:rsid w:val="009651B9"/>
    <w:rsid w:val="009B562C"/>
    <w:rsid w:val="00A059AC"/>
    <w:rsid w:val="00A34956"/>
    <w:rsid w:val="00A74E55"/>
    <w:rsid w:val="00A92EC4"/>
    <w:rsid w:val="00C30EB7"/>
    <w:rsid w:val="00CF42B0"/>
    <w:rsid w:val="00D523DB"/>
    <w:rsid w:val="00D97A54"/>
    <w:rsid w:val="00DE4E78"/>
    <w:rsid w:val="00E8548F"/>
    <w:rsid w:val="00F4540A"/>
    <w:rsid w:val="00FC5E0A"/>
    <w:rsid w:val="00FE4F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3903D7A"/>
  <w15:docId w15:val="{6D6E1BC1-0A96-4C77-8629-9AE3BB520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itle" w:uiPriority="10" w:qFormat="1"/>
    <w:lsdException w:name="Default Paragraph Font" w:semiHidden="1" w:uiPriority="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rFonts w:ascii="ＭＳ Ｐゴシック" w:eastAsia="ＭＳ Ｐゴシック" w:hAnsi="ＭＳ Ｐゴシック" w:cs="ＭＳ Ｐゴシック"/>
      <w:sz w:val="24"/>
    </w:rPr>
  </w:style>
  <w:style w:type="paragraph" w:styleId="1">
    <w:name w:val="heading 1"/>
    <w:basedOn w:val="a"/>
    <w:next w:val="a"/>
    <w:qFormat/>
    <w:pPr>
      <w:keepNext/>
      <w:outlineLvl w:val="0"/>
    </w:pPr>
    <w:rPr>
      <w:rFonts w:ascii="游ゴシック Light" w:eastAsia="游ゴシック Light" w:hAnsi="游ゴシック Light" w:cs="游ゴシック Light"/>
    </w:rPr>
  </w:style>
  <w:style w:type="paragraph" w:styleId="2">
    <w:name w:val="heading 2"/>
    <w:basedOn w:val="a"/>
    <w:next w:val="a"/>
    <w:qFormat/>
    <w:pPr>
      <w:keepNext/>
      <w:outlineLvl w:val="1"/>
    </w:pPr>
    <w:rPr>
      <w:rFonts w:ascii="游ゴシック Light" w:eastAsia="游ゴシック Light" w:hAnsi="游ゴシック Light" w:cs="游ゴシック Light"/>
    </w:rPr>
  </w:style>
  <w:style w:type="paragraph" w:styleId="4">
    <w:name w:val="heading 4"/>
    <w:basedOn w:val="a"/>
    <w:next w:val="a"/>
    <w:pPr>
      <w:keepNext/>
      <w:ind w:left="400"/>
      <w:outlineLvl w:val="3"/>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OC11">
    <w:name w:val="TOC 11"/>
    <w:basedOn w:val="a"/>
    <w:pPr>
      <w:spacing w:line="305" w:lineRule="auto"/>
    </w:pPr>
    <w:rPr>
      <w:rFonts w:ascii="Calibri" w:eastAsia="Calibri" w:hAnsi="Calibri" w:cs="Calibri"/>
      <w:sz w:val="26"/>
    </w:rPr>
  </w:style>
  <w:style w:type="paragraph" w:customStyle="1" w:styleId="TOC21">
    <w:name w:val="TOC 21"/>
    <w:basedOn w:val="a"/>
    <w:pPr>
      <w:spacing w:line="330" w:lineRule="auto"/>
    </w:pPr>
    <w:rPr>
      <w:rFonts w:ascii="Calibri" w:eastAsia="Calibri" w:hAnsi="Calibri" w:cs="Calibri"/>
    </w:rPr>
  </w:style>
  <w:style w:type="paragraph" w:customStyle="1" w:styleId="TOC31">
    <w:name w:val="TOC 31"/>
    <w:basedOn w:val="a"/>
    <w:pPr>
      <w:spacing w:line="360" w:lineRule="auto"/>
    </w:pPr>
    <w:rPr>
      <w:rFonts w:ascii="Calibri" w:eastAsia="Calibri" w:hAnsi="Calibri" w:cs="Calibri"/>
      <w:sz w:val="22"/>
    </w:rPr>
  </w:style>
  <w:style w:type="paragraph" w:customStyle="1" w:styleId="TOC41">
    <w:name w:val="TOC 41"/>
    <w:basedOn w:val="a"/>
    <w:pPr>
      <w:spacing w:line="330" w:lineRule="exact"/>
    </w:pPr>
    <w:rPr>
      <w:rFonts w:ascii="Calibri" w:eastAsia="Calibri" w:hAnsi="Calibri" w:cs="Calibri"/>
    </w:rPr>
  </w:style>
  <w:style w:type="paragraph" w:customStyle="1" w:styleId="TOC51">
    <w:name w:val="TOC 51"/>
    <w:basedOn w:val="a"/>
    <w:pPr>
      <w:spacing w:line="330" w:lineRule="exact"/>
    </w:pPr>
    <w:rPr>
      <w:rFonts w:ascii="Calibri" w:eastAsia="Calibri" w:hAnsi="Calibri" w:cs="Calibri"/>
    </w:rPr>
  </w:style>
  <w:style w:type="paragraph" w:customStyle="1" w:styleId="TOC61">
    <w:name w:val="TOC 61"/>
    <w:basedOn w:val="a"/>
    <w:pPr>
      <w:spacing w:line="330" w:lineRule="exact"/>
    </w:pPr>
    <w:rPr>
      <w:rFonts w:ascii="Calibri" w:eastAsia="Calibri" w:hAnsi="Calibri" w:cs="Calibri"/>
    </w:rPr>
  </w:style>
  <w:style w:type="paragraph" w:customStyle="1" w:styleId="TOC71">
    <w:name w:val="TOC 71"/>
    <w:basedOn w:val="a"/>
    <w:pPr>
      <w:spacing w:line="330" w:lineRule="exact"/>
    </w:pPr>
    <w:rPr>
      <w:rFonts w:ascii="Calibri" w:eastAsia="Calibri" w:hAnsi="Calibri" w:cs="Calibri"/>
    </w:rPr>
  </w:style>
  <w:style w:type="paragraph" w:customStyle="1" w:styleId="TOC81">
    <w:name w:val="TOC 81"/>
    <w:basedOn w:val="a"/>
    <w:pPr>
      <w:spacing w:line="330" w:lineRule="exact"/>
    </w:pPr>
    <w:rPr>
      <w:rFonts w:ascii="Calibri" w:eastAsia="Calibri" w:hAnsi="Calibri" w:cs="Calibri"/>
    </w:rPr>
  </w:style>
  <w:style w:type="paragraph" w:customStyle="1" w:styleId="TOC91">
    <w:name w:val="TOC 91"/>
    <w:basedOn w:val="a"/>
    <w:pPr>
      <w:spacing w:line="330" w:lineRule="exact"/>
    </w:pPr>
    <w:rPr>
      <w:rFonts w:ascii="Calibri" w:eastAsia="Calibri" w:hAnsi="Calibri" w:cs="Calibri"/>
    </w:rPr>
  </w:style>
  <w:style w:type="table" w:styleId="a3">
    <w:name w:val="Table Grid"/>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ldDefaultTableStyle">
    <w:name w:val="Old Default Table Style"/>
    <w:tblPr>
      <w:tblCellMar>
        <w:top w:w="0" w:type="dxa"/>
        <w:left w:w="0" w:type="dxa"/>
        <w:bottom w:w="0" w:type="dxa"/>
        <w:right w:w="0" w:type="dxa"/>
      </w:tblCellMar>
    </w:tblPr>
  </w:style>
  <w:style w:type="character" w:customStyle="1" w:styleId="CommentReference1">
    <w:name w:val="Comment Reference1"/>
    <w:basedOn w:val="a0"/>
    <w:rPr>
      <w:sz w:val="16"/>
    </w:rPr>
  </w:style>
  <w:style w:type="character" w:customStyle="1" w:styleId="EndnoteReference1">
    <w:name w:val="Endnote Reference1"/>
    <w:basedOn w:val="a0"/>
    <w:rPr>
      <w:vertAlign w:val="superscript"/>
    </w:rPr>
  </w:style>
  <w:style w:type="character" w:customStyle="1" w:styleId="FootnoteReference1">
    <w:name w:val="Footnote Reference1"/>
    <w:basedOn w:val="a0"/>
    <w:rPr>
      <w:vertAlign w:val="superscript"/>
    </w:rPr>
  </w:style>
  <w:style w:type="paragraph" w:customStyle="1" w:styleId="TOC110">
    <w:name w:val="TOC 11"/>
    <w:basedOn w:val="a"/>
    <w:pPr>
      <w:spacing w:line="305" w:lineRule="auto"/>
    </w:pPr>
    <w:rPr>
      <w:rFonts w:ascii="Calibri" w:eastAsia="Calibri" w:hAnsi="Calibri" w:cs="Calibri"/>
      <w:sz w:val="26"/>
    </w:rPr>
  </w:style>
  <w:style w:type="paragraph" w:customStyle="1" w:styleId="TOC210">
    <w:name w:val="TOC 21"/>
    <w:basedOn w:val="a"/>
    <w:pPr>
      <w:spacing w:line="330" w:lineRule="auto"/>
    </w:pPr>
    <w:rPr>
      <w:rFonts w:ascii="Calibri" w:eastAsia="Calibri" w:hAnsi="Calibri" w:cs="Calibri"/>
    </w:rPr>
  </w:style>
  <w:style w:type="paragraph" w:customStyle="1" w:styleId="TOC310">
    <w:name w:val="TOC 31"/>
    <w:basedOn w:val="a"/>
    <w:pPr>
      <w:spacing w:line="360" w:lineRule="auto"/>
    </w:pPr>
    <w:rPr>
      <w:rFonts w:ascii="Calibri" w:eastAsia="Calibri" w:hAnsi="Calibri" w:cs="Calibri"/>
      <w:sz w:val="22"/>
    </w:rPr>
  </w:style>
  <w:style w:type="paragraph" w:customStyle="1" w:styleId="TOC410">
    <w:name w:val="TOC 41"/>
    <w:basedOn w:val="a"/>
    <w:pPr>
      <w:spacing w:line="330" w:lineRule="exact"/>
    </w:pPr>
    <w:rPr>
      <w:rFonts w:ascii="Calibri" w:eastAsia="Calibri" w:hAnsi="Calibri" w:cs="Calibri"/>
    </w:rPr>
  </w:style>
  <w:style w:type="paragraph" w:customStyle="1" w:styleId="TOC510">
    <w:name w:val="TOC 51"/>
    <w:basedOn w:val="a"/>
    <w:pPr>
      <w:spacing w:line="330" w:lineRule="exact"/>
    </w:pPr>
    <w:rPr>
      <w:rFonts w:ascii="Calibri" w:eastAsia="Calibri" w:hAnsi="Calibri" w:cs="Calibri"/>
    </w:rPr>
  </w:style>
  <w:style w:type="paragraph" w:customStyle="1" w:styleId="TOC610">
    <w:name w:val="TOC 61"/>
    <w:basedOn w:val="a"/>
    <w:pPr>
      <w:spacing w:line="330" w:lineRule="exact"/>
    </w:pPr>
    <w:rPr>
      <w:rFonts w:ascii="Calibri" w:eastAsia="Calibri" w:hAnsi="Calibri" w:cs="Calibri"/>
    </w:rPr>
  </w:style>
  <w:style w:type="paragraph" w:customStyle="1" w:styleId="TOC710">
    <w:name w:val="TOC 71"/>
    <w:basedOn w:val="a"/>
    <w:pPr>
      <w:spacing w:line="330" w:lineRule="exact"/>
    </w:pPr>
    <w:rPr>
      <w:rFonts w:ascii="Calibri" w:eastAsia="Calibri" w:hAnsi="Calibri" w:cs="Calibri"/>
    </w:rPr>
  </w:style>
  <w:style w:type="paragraph" w:customStyle="1" w:styleId="TOC810">
    <w:name w:val="TOC 81"/>
    <w:basedOn w:val="a"/>
    <w:pPr>
      <w:spacing w:line="330" w:lineRule="exact"/>
    </w:pPr>
    <w:rPr>
      <w:rFonts w:ascii="Calibri" w:eastAsia="Calibri" w:hAnsi="Calibri" w:cs="Calibri"/>
    </w:rPr>
  </w:style>
  <w:style w:type="paragraph" w:customStyle="1" w:styleId="TOC910">
    <w:name w:val="TOC 91"/>
    <w:basedOn w:val="a"/>
    <w:pPr>
      <w:spacing w:line="330" w:lineRule="exact"/>
    </w:pPr>
    <w:rPr>
      <w:rFonts w:ascii="Calibri" w:eastAsia="Calibri" w:hAnsi="Calibri" w:cs="Calibri"/>
    </w:rPr>
  </w:style>
  <w:style w:type="character" w:customStyle="1" w:styleId="CommentReference10">
    <w:name w:val="Comment Reference1"/>
    <w:basedOn w:val="a0"/>
    <w:rPr>
      <w:sz w:val="16"/>
    </w:rPr>
  </w:style>
  <w:style w:type="character" w:customStyle="1" w:styleId="EndnoteReference10">
    <w:name w:val="Endnote Reference1"/>
    <w:basedOn w:val="a0"/>
    <w:rPr>
      <w:vertAlign w:val="superscript"/>
    </w:rPr>
  </w:style>
  <w:style w:type="character" w:customStyle="1" w:styleId="FootnoteReference10">
    <w:name w:val="Footnote Reference1"/>
    <w:basedOn w:val="a0"/>
    <w:rPr>
      <w:vertAlign w:val="superscript"/>
    </w:rPr>
  </w:style>
  <w:style w:type="paragraph" w:styleId="a4">
    <w:name w:val="Revision"/>
  </w:style>
  <w:style w:type="character" w:styleId="a5">
    <w:name w:val="annotation reference"/>
    <w:basedOn w:val="a0"/>
    <w:rPr>
      <w:sz w:val="18"/>
    </w:rPr>
  </w:style>
  <w:style w:type="paragraph" w:styleId="a6">
    <w:name w:val="annotation text"/>
    <w:basedOn w:val="a"/>
    <w:pPr>
      <w:widowControl w:val="0"/>
    </w:pPr>
    <w:rPr>
      <w:rFonts w:ascii="游明朝" w:eastAsia="游明朝" w:hAnsi="游明朝" w:cs="游明朝"/>
      <w:sz w:val="21"/>
    </w:rPr>
  </w:style>
  <w:style w:type="paragraph" w:styleId="a7">
    <w:name w:val="annotation subject"/>
    <w:basedOn w:val="a6"/>
    <w:rPr>
      <w:b/>
    </w:rPr>
  </w:style>
  <w:style w:type="paragraph" w:styleId="a8">
    <w:name w:val="List Paragraph"/>
    <w:basedOn w:val="a"/>
    <w:pPr>
      <w:ind w:left="840"/>
    </w:pPr>
  </w:style>
  <w:style w:type="paragraph" w:customStyle="1" w:styleId="Default">
    <w:name w:val="Default"/>
    <w:pPr>
      <w:widowControl w:val="0"/>
    </w:pPr>
    <w:rPr>
      <w:rFonts w:ascii="Arial" w:eastAsia="Arial" w:hAnsi="Arial" w:cs="Arial"/>
      <w:color w:val="000000"/>
      <w:sz w:val="24"/>
    </w:rPr>
  </w:style>
  <w:style w:type="paragraph" w:customStyle="1" w:styleId="EndnoteText1">
    <w:name w:val="Endnote Text1"/>
    <w:basedOn w:val="a"/>
    <w:rPr>
      <w:rFonts w:ascii="Calibri" w:eastAsia="Calibri" w:hAnsi="Calibri" w:cs="Calibri"/>
    </w:rPr>
  </w:style>
  <w:style w:type="paragraph" w:customStyle="1" w:styleId="Keywords">
    <w:name w:val="Keywords"/>
    <w:basedOn w:val="a"/>
    <w:pPr>
      <w:spacing w:line="396" w:lineRule="auto"/>
      <w:ind w:left="1000"/>
    </w:pPr>
    <w:rPr>
      <w:rFonts w:ascii="Calibri" w:eastAsia="Calibri" w:hAnsi="Calibri" w:cs="Calibri"/>
      <w:sz w:val="20"/>
    </w:rPr>
  </w:style>
  <w:style w:type="paragraph" w:customStyle="1" w:styleId="Reference">
    <w:name w:val="Reference"/>
    <w:basedOn w:val="a"/>
    <w:pPr>
      <w:spacing w:after="320" w:line="360" w:lineRule="auto"/>
      <w:ind w:left="400" w:hanging="400"/>
      <w:jc w:val="both"/>
    </w:pPr>
    <w:rPr>
      <w:rFonts w:ascii="Calibri" w:eastAsia="Calibri" w:hAnsi="Calibri" w:cs="Calibri"/>
      <w:sz w:val="22"/>
    </w:rPr>
  </w:style>
  <w:style w:type="paragraph" w:customStyle="1" w:styleId="Acknowledgements">
    <w:name w:val="Acknowledgements"/>
    <w:basedOn w:val="a"/>
    <w:pPr>
      <w:shd w:val="clear" w:color="auto" w:fill="F9EDFF"/>
      <w:spacing w:after="160" w:line="396" w:lineRule="auto"/>
      <w:jc w:val="both"/>
    </w:pPr>
    <w:rPr>
      <w:rFonts w:ascii="Calibri" w:eastAsia="Calibri" w:hAnsi="Calibri" w:cs="Calibri"/>
      <w:sz w:val="20"/>
    </w:rPr>
  </w:style>
  <w:style w:type="paragraph" w:customStyle="1" w:styleId="Correspondence">
    <w:name w:val="Correspondence"/>
    <w:basedOn w:val="a"/>
    <w:pPr>
      <w:shd w:val="clear" w:color="auto" w:fill="F3F7F9"/>
      <w:spacing w:before="240" w:after="120" w:line="396" w:lineRule="auto"/>
      <w:ind w:left="400" w:hanging="400"/>
    </w:pPr>
    <w:rPr>
      <w:rFonts w:ascii="Calibri" w:eastAsia="Calibri" w:hAnsi="Calibri" w:cs="Calibri"/>
      <w:sz w:val="20"/>
    </w:rPr>
  </w:style>
  <w:style w:type="paragraph" w:styleId="a9">
    <w:name w:val="List"/>
    <w:basedOn w:val="a"/>
    <w:pPr>
      <w:spacing w:line="360" w:lineRule="auto"/>
      <w:ind w:left="400" w:hanging="400"/>
      <w:jc w:val="both"/>
    </w:pPr>
    <w:rPr>
      <w:rFonts w:ascii="Calibri" w:eastAsia="Calibri" w:hAnsi="Calibri" w:cs="Calibri"/>
      <w:sz w:val="22"/>
    </w:rPr>
  </w:style>
  <w:style w:type="paragraph" w:styleId="5">
    <w:name w:val="List 5"/>
    <w:basedOn w:val="a"/>
    <w:pPr>
      <w:spacing w:line="360" w:lineRule="auto"/>
      <w:ind w:left="1800" w:hanging="400"/>
    </w:pPr>
    <w:rPr>
      <w:rFonts w:ascii="Calibri" w:eastAsia="Calibri" w:hAnsi="Calibri" w:cs="Calibri"/>
      <w:sz w:val="22"/>
    </w:rPr>
  </w:style>
  <w:style w:type="character" w:customStyle="1" w:styleId="DatabaseLink">
    <w:name w:val="Database Link"/>
    <w:basedOn w:val="a0"/>
  </w:style>
  <w:style w:type="paragraph" w:styleId="aa">
    <w:name w:val="Block Text"/>
    <w:basedOn w:val="a"/>
    <w:pPr>
      <w:spacing w:after="160" w:line="360" w:lineRule="auto"/>
      <w:ind w:left="1200"/>
    </w:pPr>
    <w:rPr>
      <w:rFonts w:ascii="Calibri" w:eastAsia="Calibri" w:hAnsi="Calibri" w:cs="Calibri"/>
      <w:sz w:val="22"/>
    </w:rPr>
  </w:style>
  <w:style w:type="paragraph" w:customStyle="1" w:styleId="Abstract">
    <w:name w:val="Abstract"/>
    <w:basedOn w:val="a"/>
    <w:pPr>
      <w:spacing w:after="160" w:line="360" w:lineRule="auto"/>
      <w:ind w:left="1440" w:right="1440"/>
      <w:jc w:val="both"/>
    </w:pPr>
    <w:rPr>
      <w:rFonts w:ascii="Calibri" w:eastAsia="Calibri" w:hAnsi="Calibri" w:cs="Calibri"/>
      <w:sz w:val="22"/>
    </w:rPr>
  </w:style>
  <w:style w:type="character" w:customStyle="1" w:styleId="GrantID">
    <w:name w:val="Grant ID"/>
    <w:basedOn w:val="a0"/>
  </w:style>
  <w:style w:type="paragraph" w:customStyle="1" w:styleId="Note">
    <w:name w:val="Note"/>
    <w:basedOn w:val="a"/>
    <w:pPr>
      <w:shd w:val="clear" w:color="auto" w:fill="EDF0FF"/>
      <w:spacing w:line="432" w:lineRule="auto"/>
    </w:pPr>
    <w:rPr>
      <w:rFonts w:ascii="Calibri" w:eastAsia="Calibri" w:hAnsi="Calibri" w:cs="Calibri"/>
      <w:sz w:val="20"/>
    </w:rPr>
  </w:style>
  <w:style w:type="paragraph" w:customStyle="1" w:styleId="QuotationSource">
    <w:name w:val="Quotation Source"/>
    <w:basedOn w:val="a"/>
    <w:pPr>
      <w:spacing w:after="170" w:line="360" w:lineRule="auto"/>
      <w:ind w:left="1200"/>
      <w:jc w:val="right"/>
    </w:pPr>
    <w:rPr>
      <w:rFonts w:ascii="Calibri" w:eastAsia="Calibri" w:hAnsi="Calibri" w:cs="Calibri"/>
      <w:sz w:val="22"/>
    </w:rPr>
  </w:style>
  <w:style w:type="character" w:customStyle="1" w:styleId="Country">
    <w:name w:val="Country"/>
    <w:basedOn w:val="a0"/>
  </w:style>
  <w:style w:type="character" w:customStyle="1" w:styleId="Miscellaneous">
    <w:name w:val="Miscellaneous"/>
    <w:basedOn w:val="a0"/>
  </w:style>
  <w:style w:type="paragraph" w:customStyle="1" w:styleId="Surtitle">
    <w:name w:val="Surtitle"/>
    <w:basedOn w:val="a"/>
    <w:qFormat/>
    <w:pPr>
      <w:spacing w:after="160" w:line="208" w:lineRule="auto"/>
    </w:pPr>
    <w:rPr>
      <w:rFonts w:ascii="Calibri" w:eastAsia="Calibri" w:hAnsi="Calibri" w:cs="Calibri"/>
      <w:sz w:val="38"/>
    </w:rPr>
  </w:style>
  <w:style w:type="paragraph" w:customStyle="1" w:styleId="Quotation">
    <w:name w:val="Quotation"/>
    <w:basedOn w:val="a"/>
    <w:pPr>
      <w:spacing w:after="160" w:line="360" w:lineRule="auto"/>
      <w:ind w:left="1200" w:right="1200"/>
      <w:jc w:val="both"/>
    </w:pPr>
    <w:rPr>
      <w:rFonts w:ascii="Calibri" w:eastAsia="Calibri" w:hAnsi="Calibri" w:cs="Calibri"/>
      <w:sz w:val="22"/>
    </w:rPr>
  </w:style>
  <w:style w:type="character" w:customStyle="1" w:styleId="ArticleTitle">
    <w:name w:val="Article Title"/>
    <w:basedOn w:val="a0"/>
    <w:qFormat/>
  </w:style>
  <w:style w:type="character" w:customStyle="1" w:styleId="Edition">
    <w:name w:val="Edition"/>
    <w:basedOn w:val="a0"/>
  </w:style>
  <w:style w:type="character" w:customStyle="1" w:styleId="Year">
    <w:name w:val="Year"/>
    <w:basedOn w:val="a0"/>
  </w:style>
  <w:style w:type="character" w:customStyle="1" w:styleId="GeneSequence">
    <w:name w:val="Gene Sequence"/>
    <w:basedOn w:val="a0"/>
  </w:style>
  <w:style w:type="paragraph" w:customStyle="1" w:styleId="Statement">
    <w:name w:val="Statement"/>
    <w:basedOn w:val="a"/>
    <w:pPr>
      <w:ind w:left="900"/>
    </w:pPr>
    <w:rPr>
      <w:rFonts w:ascii="Calibri" w:eastAsia="Calibri" w:hAnsi="Calibri" w:cs="Calibri"/>
      <w:sz w:val="22"/>
    </w:rPr>
  </w:style>
  <w:style w:type="paragraph" w:customStyle="1" w:styleId="Glossary">
    <w:name w:val="Glossary"/>
    <w:basedOn w:val="a"/>
    <w:pPr>
      <w:shd w:val="clear" w:color="auto" w:fill="FFEDF0"/>
      <w:spacing w:before="120" w:after="120" w:line="432" w:lineRule="auto"/>
    </w:pPr>
    <w:rPr>
      <w:rFonts w:ascii="Calibri" w:eastAsia="Calibri" w:hAnsi="Calibri" w:cs="Calibri"/>
      <w:sz w:val="20"/>
    </w:rPr>
  </w:style>
  <w:style w:type="character" w:customStyle="1" w:styleId="Location">
    <w:name w:val="Location"/>
    <w:basedOn w:val="a0"/>
  </w:style>
  <w:style w:type="paragraph" w:customStyle="1" w:styleId="List7">
    <w:name w:val="List 7"/>
    <w:basedOn w:val="a"/>
    <w:pPr>
      <w:spacing w:line="360" w:lineRule="auto"/>
      <w:ind w:left="1920" w:hanging="400"/>
    </w:pPr>
    <w:rPr>
      <w:rFonts w:ascii="Calibri" w:eastAsia="Calibri" w:hAnsi="Calibri" w:cs="Calibri"/>
      <w:sz w:val="22"/>
    </w:rPr>
  </w:style>
  <w:style w:type="paragraph" w:customStyle="1" w:styleId="List6">
    <w:name w:val="List 6"/>
    <w:basedOn w:val="a"/>
    <w:pPr>
      <w:spacing w:line="360" w:lineRule="auto"/>
      <w:ind w:left="1860" w:hanging="400"/>
    </w:pPr>
    <w:rPr>
      <w:rFonts w:ascii="Calibri" w:eastAsia="Calibri" w:hAnsi="Calibri" w:cs="Calibri"/>
      <w:sz w:val="22"/>
    </w:rPr>
  </w:style>
  <w:style w:type="character" w:customStyle="1" w:styleId="Conference">
    <w:name w:val="Conference"/>
    <w:basedOn w:val="a0"/>
  </w:style>
  <w:style w:type="paragraph" w:styleId="20">
    <w:name w:val="List 2"/>
    <w:basedOn w:val="a"/>
    <w:pPr>
      <w:spacing w:line="360" w:lineRule="auto"/>
      <w:ind w:left="800" w:hanging="400"/>
      <w:jc w:val="both"/>
    </w:pPr>
    <w:rPr>
      <w:rFonts w:ascii="Calibri" w:eastAsia="Calibri" w:hAnsi="Calibri" w:cs="Calibri"/>
      <w:sz w:val="22"/>
    </w:rPr>
  </w:style>
  <w:style w:type="paragraph" w:customStyle="1" w:styleId="CommentText0">
    <w:name w:val="Comment Text_0"/>
    <w:basedOn w:val="a"/>
    <w:rPr>
      <w:rFonts w:ascii="Calibri" w:eastAsia="Calibri" w:hAnsi="Calibri" w:cs="Calibri"/>
      <w:sz w:val="20"/>
    </w:rPr>
  </w:style>
  <w:style w:type="character" w:customStyle="1" w:styleId="NameScientific">
    <w:name w:val="Name Scientific"/>
    <w:basedOn w:val="a0"/>
  </w:style>
  <w:style w:type="paragraph" w:customStyle="1" w:styleId="Affiliation">
    <w:name w:val="Affiliation"/>
    <w:basedOn w:val="a"/>
    <w:pPr>
      <w:shd w:val="clear" w:color="auto" w:fill="F4FFED"/>
      <w:spacing w:before="240" w:after="120" w:line="396" w:lineRule="auto"/>
      <w:ind w:left="400" w:hanging="400"/>
    </w:pPr>
    <w:rPr>
      <w:rFonts w:ascii="Calibri" w:eastAsia="Calibri" w:hAnsi="Calibri" w:cs="Calibri"/>
      <w:sz w:val="20"/>
    </w:rPr>
  </w:style>
  <w:style w:type="character" w:customStyle="1" w:styleId="IssueNumber">
    <w:name w:val="Issue Number"/>
    <w:basedOn w:val="a0"/>
  </w:style>
  <w:style w:type="character" w:customStyle="1" w:styleId="City">
    <w:name w:val="City"/>
    <w:basedOn w:val="a0"/>
  </w:style>
  <w:style w:type="paragraph" w:customStyle="1" w:styleId="TableNote">
    <w:name w:val="Table Note"/>
    <w:basedOn w:val="a"/>
    <w:rPr>
      <w:rFonts w:ascii="Calibri" w:eastAsia="Calibri" w:hAnsi="Calibri" w:cs="Calibri"/>
      <w:sz w:val="18"/>
    </w:rPr>
  </w:style>
  <w:style w:type="paragraph" w:customStyle="1" w:styleId="TableHead">
    <w:name w:val="Table Head"/>
    <w:basedOn w:val="a"/>
    <w:pPr>
      <w:shd w:val="clear" w:color="auto" w:fill="FFEDFA"/>
    </w:pPr>
    <w:rPr>
      <w:rFonts w:ascii="Calibri" w:eastAsia="Calibri" w:hAnsi="Calibri" w:cs="Calibri"/>
      <w:sz w:val="20"/>
    </w:rPr>
  </w:style>
  <w:style w:type="paragraph" w:customStyle="1" w:styleId="Copyright">
    <w:name w:val="Copyright"/>
    <w:basedOn w:val="a"/>
    <w:pPr>
      <w:shd w:val="clear" w:color="auto" w:fill="E9F9FF"/>
    </w:pPr>
    <w:rPr>
      <w:rFonts w:ascii="Calibri" w:eastAsia="Calibri" w:hAnsi="Calibri" w:cs="Calibri"/>
      <w:sz w:val="18"/>
    </w:rPr>
  </w:style>
  <w:style w:type="paragraph" w:customStyle="1" w:styleId="TableBody">
    <w:name w:val="Table Body"/>
    <w:basedOn w:val="a"/>
    <w:pPr>
      <w:spacing w:after="160" w:line="396" w:lineRule="auto"/>
    </w:pPr>
    <w:rPr>
      <w:rFonts w:ascii="Calibri" w:eastAsia="Calibri" w:hAnsi="Calibri" w:cs="Calibri"/>
      <w:sz w:val="20"/>
    </w:rPr>
  </w:style>
  <w:style w:type="paragraph" w:customStyle="1" w:styleId="Biography">
    <w:name w:val="Biography"/>
    <w:basedOn w:val="a"/>
    <w:pPr>
      <w:shd w:val="clear" w:color="auto" w:fill="EEFEF4"/>
      <w:spacing w:after="160" w:line="396" w:lineRule="auto"/>
    </w:pPr>
    <w:rPr>
      <w:rFonts w:ascii="Calibri" w:eastAsia="Calibri" w:hAnsi="Calibri" w:cs="Calibri"/>
      <w:sz w:val="20"/>
    </w:rPr>
  </w:style>
  <w:style w:type="character" w:customStyle="1" w:styleId="Cross-reference">
    <w:name w:val="Cross-reference"/>
    <w:basedOn w:val="a0"/>
  </w:style>
  <w:style w:type="paragraph" w:customStyle="1" w:styleId="TableList">
    <w:name w:val="Table List"/>
    <w:basedOn w:val="a"/>
    <w:pPr>
      <w:ind w:left="300" w:hanging="300"/>
    </w:pPr>
    <w:rPr>
      <w:sz w:val="20"/>
    </w:rPr>
  </w:style>
  <w:style w:type="character" w:customStyle="1" w:styleId="Source">
    <w:name w:val="Source"/>
    <w:basedOn w:val="a0"/>
  </w:style>
  <w:style w:type="character" w:customStyle="1" w:styleId="Label">
    <w:name w:val="Label"/>
    <w:basedOn w:val="a0"/>
    <w:rPr>
      <w:vertAlign w:val="baseline"/>
    </w:rPr>
  </w:style>
  <w:style w:type="paragraph" w:customStyle="1" w:styleId="ChapterNumber">
    <w:name w:val="Chapter Number"/>
    <w:basedOn w:val="a"/>
    <w:rPr>
      <w:rFonts w:ascii="Calibri" w:eastAsia="Calibri" w:hAnsi="Calibri" w:cs="Calibri"/>
    </w:rPr>
  </w:style>
  <w:style w:type="character" w:customStyle="1" w:styleId="GivenName">
    <w:name w:val="Given Name"/>
    <w:basedOn w:val="a0"/>
  </w:style>
  <w:style w:type="paragraph" w:customStyle="1" w:styleId="List8">
    <w:name w:val="List 8"/>
    <w:basedOn w:val="a"/>
    <w:pPr>
      <w:spacing w:line="360" w:lineRule="auto"/>
      <w:ind w:left="1980" w:hanging="400"/>
    </w:pPr>
    <w:rPr>
      <w:rFonts w:ascii="Calibri" w:eastAsia="Calibri" w:hAnsi="Calibri" w:cs="Calibri"/>
      <w:sz w:val="22"/>
    </w:rPr>
  </w:style>
  <w:style w:type="paragraph" w:customStyle="1" w:styleId="Annotation">
    <w:name w:val="Annotation"/>
    <w:basedOn w:val="a"/>
    <w:pPr>
      <w:spacing w:after="160" w:line="360" w:lineRule="auto"/>
      <w:ind w:left="400"/>
    </w:pPr>
    <w:rPr>
      <w:rFonts w:ascii="Calibri" w:eastAsia="Calibri" w:hAnsi="Calibri" w:cs="Calibri"/>
      <w:sz w:val="22"/>
    </w:rPr>
  </w:style>
  <w:style w:type="paragraph" w:styleId="40">
    <w:name w:val="List 4"/>
    <w:basedOn w:val="a"/>
    <w:pPr>
      <w:spacing w:line="360" w:lineRule="auto"/>
      <w:ind w:left="1600" w:hanging="400"/>
    </w:pPr>
    <w:rPr>
      <w:rFonts w:ascii="Calibri" w:eastAsia="Calibri" w:hAnsi="Calibri" w:cs="Calibri"/>
      <w:sz w:val="22"/>
    </w:rPr>
  </w:style>
  <w:style w:type="paragraph" w:customStyle="1" w:styleId="AbstractSubheading">
    <w:name w:val="Abstract Subheading"/>
    <w:basedOn w:val="a"/>
    <w:next w:val="a"/>
    <w:pPr>
      <w:keepNext/>
      <w:keepLines/>
      <w:ind w:left="1440"/>
      <w:outlineLvl w:val="8"/>
    </w:pPr>
    <w:rPr>
      <w:sz w:val="22"/>
    </w:rPr>
  </w:style>
  <w:style w:type="character" w:customStyle="1" w:styleId="Region">
    <w:name w:val="Region"/>
    <w:basedOn w:val="a0"/>
  </w:style>
  <w:style w:type="paragraph" w:customStyle="1" w:styleId="FootnoteText1">
    <w:name w:val="Footnote Text1"/>
    <w:basedOn w:val="a"/>
    <w:rPr>
      <w:rFonts w:ascii="Calibri" w:eastAsia="Calibri" w:hAnsi="Calibri" w:cs="Calibri"/>
    </w:rPr>
  </w:style>
  <w:style w:type="character" w:customStyle="1" w:styleId="Publisher">
    <w:name w:val="Publisher"/>
    <w:basedOn w:val="a0"/>
  </w:style>
  <w:style w:type="paragraph" w:customStyle="1" w:styleId="Caption1">
    <w:name w:val="Caption1"/>
    <w:basedOn w:val="a"/>
    <w:pPr>
      <w:shd w:val="clear" w:color="auto" w:fill="FFF5ED"/>
      <w:spacing w:before="240" w:line="349" w:lineRule="auto"/>
      <w:jc w:val="both"/>
    </w:pPr>
    <w:rPr>
      <w:rFonts w:ascii="Calibri" w:eastAsia="Calibri" w:hAnsi="Calibri" w:cs="Calibri"/>
      <w:sz w:val="22"/>
    </w:rPr>
  </w:style>
  <w:style w:type="character" w:customStyle="1" w:styleId="GlossaryTerm">
    <w:name w:val="Glossary Term"/>
    <w:basedOn w:val="a0"/>
  </w:style>
  <w:style w:type="paragraph" w:styleId="3">
    <w:name w:val="List 3"/>
    <w:basedOn w:val="a"/>
    <w:pPr>
      <w:spacing w:line="360" w:lineRule="auto"/>
      <w:ind w:left="1200" w:hanging="400"/>
      <w:jc w:val="both"/>
    </w:pPr>
    <w:rPr>
      <w:rFonts w:ascii="Calibri" w:eastAsia="Calibri" w:hAnsi="Calibri" w:cs="Calibri"/>
      <w:sz w:val="22"/>
    </w:rPr>
  </w:style>
  <w:style w:type="character" w:customStyle="1" w:styleId="FamilyName">
    <w:name w:val="Family Name"/>
    <w:basedOn w:val="a0"/>
  </w:style>
  <w:style w:type="character" w:customStyle="1" w:styleId="PageNumbers">
    <w:name w:val="Page Numbers"/>
    <w:basedOn w:val="a0"/>
  </w:style>
  <w:style w:type="paragraph" w:styleId="ab">
    <w:name w:val="Subtitle"/>
    <w:basedOn w:val="a"/>
    <w:qFormat/>
    <w:pPr>
      <w:spacing w:after="160" w:line="208" w:lineRule="auto"/>
    </w:pPr>
    <w:rPr>
      <w:rFonts w:ascii="Calibri" w:eastAsia="Calibri" w:hAnsi="Calibri" w:cs="Calibri"/>
      <w:sz w:val="38"/>
    </w:rPr>
  </w:style>
  <w:style w:type="character" w:customStyle="1" w:styleId="Postcode">
    <w:name w:val="Postcode"/>
    <w:basedOn w:val="a0"/>
  </w:style>
  <w:style w:type="character" w:customStyle="1" w:styleId="Heading">
    <w:name w:val="Heading:"/>
    <w:basedOn w:val="a0"/>
    <w:rPr>
      <w:color w:val="5B89C1"/>
    </w:rPr>
  </w:style>
  <w:style w:type="paragraph" w:customStyle="1" w:styleId="Formula">
    <w:name w:val="Formula"/>
    <w:basedOn w:val="a"/>
    <w:pPr>
      <w:shd w:val="clear" w:color="auto" w:fill="FFF5ED"/>
      <w:spacing w:before="120" w:after="120" w:line="360" w:lineRule="auto"/>
    </w:pPr>
    <w:rPr>
      <w:rFonts w:ascii="Calibri" w:eastAsia="Calibri" w:hAnsi="Calibri" w:cs="Calibri"/>
      <w:sz w:val="22"/>
    </w:rPr>
  </w:style>
  <w:style w:type="character" w:customStyle="1" w:styleId="Organization">
    <w:name w:val="Organization"/>
    <w:basedOn w:val="a0"/>
  </w:style>
  <w:style w:type="character" w:customStyle="1" w:styleId="VolumeNumber">
    <w:name w:val="Volume Number"/>
    <w:basedOn w:val="a0"/>
  </w:style>
  <w:style w:type="paragraph" w:customStyle="1" w:styleId="Authors">
    <w:name w:val="Authors"/>
    <w:basedOn w:val="a"/>
    <w:pPr>
      <w:spacing w:before="360" w:after="120" w:line="283" w:lineRule="auto"/>
    </w:pPr>
    <w:rPr>
      <w:rFonts w:ascii="Calibri" w:eastAsia="Calibri" w:hAnsi="Calibri" w:cs="Calibri"/>
      <w:sz w:val="28"/>
    </w:rPr>
  </w:style>
  <w:style w:type="character" w:styleId="ac">
    <w:name w:val="Hyperlink"/>
    <w:basedOn w:val="a0"/>
    <w:rPr>
      <w:color w:val="0563C1"/>
    </w:rPr>
  </w:style>
  <w:style w:type="paragraph" w:customStyle="1" w:styleId="List1">
    <w:name w:val="List 1"/>
    <w:basedOn w:val="a"/>
    <w:pPr>
      <w:ind w:left="1200" w:hanging="600"/>
      <w:jc w:val="both"/>
    </w:pPr>
    <w:rPr>
      <w:rFonts w:ascii="Times New Roman" w:eastAsia="Times New Roman" w:hAnsi="Times New Roman" w:cs="Times New Roman"/>
      <w:sz w:val="22"/>
    </w:rPr>
  </w:style>
  <w:style w:type="paragraph" w:customStyle="1" w:styleId="List9">
    <w:name w:val="List 9"/>
    <w:basedOn w:val="a"/>
    <w:pPr>
      <w:ind w:left="1200" w:hanging="600"/>
      <w:jc w:val="both"/>
    </w:pPr>
    <w:rPr>
      <w:rFonts w:ascii="Times New Roman" w:eastAsia="Times New Roman" w:hAnsi="Times New Roman" w:cs="Times New Roman"/>
      <w:sz w:val="22"/>
    </w:rPr>
  </w:style>
  <w:style w:type="paragraph" w:styleId="ad">
    <w:name w:val="Balloon Text"/>
    <w:basedOn w:val="a"/>
    <w:rPr>
      <w:rFonts w:ascii="Tahoma" w:eastAsia="Tahoma" w:hAnsi="Tahoma" w:cs="Tahoma"/>
      <w:sz w:val="16"/>
    </w:rPr>
  </w:style>
  <w:style w:type="paragraph" w:styleId="Web">
    <w:name w:val="Normal (Web)"/>
    <w:basedOn w:val="a"/>
    <w:qFormat/>
    <w:rPr>
      <w:rFonts w:ascii="Times New Roman" w:eastAsia="Times New Roman" w:hAnsi="Times New Roman" w:cs="Times New Roman"/>
    </w:rPr>
  </w:style>
  <w:style w:type="character" w:styleId="ae">
    <w:name w:val="Unresolved Mention"/>
    <w:basedOn w:val="a0"/>
    <w:rPr>
      <w:color w:val="605E5C"/>
    </w:rPr>
  </w:style>
  <w:style w:type="paragraph" w:customStyle="1" w:styleId="CommentText1">
    <w:name w:val="Comment Text_1"/>
    <w:basedOn w:val="a"/>
    <w:rPr>
      <w:rFonts w:ascii="Calibri" w:eastAsia="Calibri" w:hAnsi="Calibri" w:cs="Calibri"/>
      <w:sz w:val="20"/>
    </w:rPr>
  </w:style>
  <w:style w:type="paragraph" w:customStyle="1" w:styleId="FootnoteText2">
    <w:name w:val="Footnote Text2"/>
    <w:basedOn w:val="a"/>
    <w:rPr>
      <w:rFonts w:ascii="Calibri" w:eastAsia="Calibri" w:hAnsi="Calibri" w:cs="Calibri"/>
    </w:rPr>
  </w:style>
  <w:style w:type="paragraph" w:customStyle="1" w:styleId="Caption2">
    <w:name w:val="Caption2"/>
    <w:basedOn w:val="a"/>
    <w:pPr>
      <w:shd w:val="clear" w:color="auto" w:fill="FFF5ED"/>
      <w:spacing w:before="240" w:line="349" w:lineRule="auto"/>
      <w:jc w:val="both"/>
    </w:pPr>
    <w:rPr>
      <w:rFonts w:ascii="Calibri" w:eastAsia="Calibri" w:hAnsi="Calibri" w:cs="Calibri"/>
      <w:sz w:val="22"/>
    </w:rPr>
  </w:style>
  <w:style w:type="paragraph" w:customStyle="1" w:styleId="EndnoteText2">
    <w:name w:val="Endnote Text2"/>
    <w:basedOn w:val="a"/>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10</Pages>
  <Words>1416</Words>
  <Characters>9162</Characters>
  <Application>Microsoft Office Word</Application>
  <DocSecurity>0</DocSecurity>
  <Lines>220</Lines>
  <Paragraphs>143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MASAKI HATANO</dc:creator>
  <cp:lastModifiedBy>MASAKI HATANO</cp:lastModifiedBy>
  <cp:revision>15</cp:revision>
  <dcterms:created xsi:type="dcterms:W3CDTF">2026-02-24T23:27:00Z</dcterms:created>
  <dcterms:modified xsi:type="dcterms:W3CDTF">2026-03-31T12:41:00Z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ceptedDate">
    <vt:lpwstr/>
  </property>
  <property fmtid="{D5CDD505-2E9C-101B-9397-08002B2CF9AE}" pid="3" name="DOI">
    <vt:lpwstr/>
  </property>
  <property fmtid="{D5CDD505-2E9C-101B-9397-08002B2CF9AE}" pid="4" name="epub">
    <vt:lpwstr/>
  </property>
  <property fmtid="{D5CDD505-2E9C-101B-9397-08002B2CF9AE}" pid="5" name="JournalID">
    <vt:lpwstr/>
  </property>
  <property fmtid="{D5CDD505-2E9C-101B-9397-08002B2CF9AE}" pid="6" name="Merops -Original extension">
    <vt:lpwstr>docx</vt:lpwstr>
  </property>
  <property fmtid="{D5CDD505-2E9C-101B-9397-08002B2CF9AE}" pid="7" name="Merops change count">
    <vt:lpwstr>0</vt:lpwstr>
  </property>
  <property fmtid="{D5CDD505-2E9C-101B-9397-08002B2CF9AE}" pid="8" name="Merops client version">
    <vt:lpwstr/>
  </property>
  <property fmtid="{D5CDD505-2E9C-101B-9397-08002B2CF9AE}" pid="9" name="Merops comment count">
    <vt:lpwstr>0</vt:lpwstr>
  </property>
  <property fmtid="{D5CDD505-2E9C-101B-9397-08002B2CF9AE}" pid="10" name="Merops DOI links count">
    <vt:lpwstr>0</vt:lpwstr>
  </property>
  <property fmtid="{D5CDD505-2E9C-101B-9397-08002B2CF9AE}" pid="11" name="Merops email addresses count">
    <vt:lpwstr>0</vt:lpwstr>
  </property>
  <property fmtid="{D5CDD505-2E9C-101B-9397-08002B2CF9AE}" pid="12" name="Merops figures count">
    <vt:lpwstr>4</vt:lpwstr>
  </property>
  <property fmtid="{D5CDD505-2E9C-101B-9397-08002B2CF9AE}" pid="13" name="Merops footnotes/endnotes count">
    <vt:lpwstr>0</vt:lpwstr>
  </property>
  <property fmtid="{D5CDD505-2E9C-101B-9397-08002B2CF9AE}" pid="14" name="Merops graphics count">
    <vt:lpwstr>0</vt:lpwstr>
  </property>
  <property fmtid="{D5CDD505-2E9C-101B-9397-08002B2CF9AE}" pid="15" name="Merops input file path">
    <vt:lpwstr>crm_9022275d-1f76-4c0b-bff6-c2e8ec0a4cb2.docx</vt:lpwstr>
  </property>
  <property fmtid="{D5CDD505-2E9C-101B-9397-08002B2CF9AE}" pid="16" name="Merops intra-document links count">
    <vt:lpwstr>0</vt:lpwstr>
  </property>
  <property fmtid="{D5CDD505-2E9C-101B-9397-08002B2CF9AE}" pid="17" name="Merops item path">
    <vt:lpwstr>MG-Session/On-20260213/I:75661ee5-c9ef-4d8d-b66a-99e7b3b1ba79</vt:lpwstr>
  </property>
  <property fmtid="{D5CDD505-2E9C-101B-9397-08002B2CF9AE}" pid="18" name="Merops processed date">
    <vt:lpwstr>2026/02/13 01:58:28 PM</vt:lpwstr>
  </property>
  <property fmtid="{D5CDD505-2E9C-101B-9397-08002B2CF9AE}" pid="19" name="Merops PubMed links count">
    <vt:lpwstr>0</vt:lpwstr>
  </property>
  <property fmtid="{D5CDD505-2E9C-101B-9397-08002B2CF9AE}" pid="20" name="Merops references count">
    <vt:lpwstr>0</vt:lpwstr>
  </property>
  <property fmtid="{D5CDD505-2E9C-101B-9397-08002B2CF9AE}" pid="21" name="Merops Scopus links count">
    <vt:lpwstr>0</vt:lpwstr>
  </property>
  <property fmtid="{D5CDD505-2E9C-101B-9397-08002B2CF9AE}" pid="22" name="Merops server path">
    <vt:lpwstr/>
  </property>
  <property fmtid="{D5CDD505-2E9C-101B-9397-08002B2CF9AE}" pid="23" name="Merops Standard Set">
    <vt:lpwstr>merops/preset-v1/bmj</vt:lpwstr>
  </property>
  <property fmtid="{D5CDD505-2E9C-101B-9397-08002B2CF9AE}" pid="24" name="Merops Standard Set modified">
    <vt:lpwstr/>
  </property>
  <property fmtid="{D5CDD505-2E9C-101B-9397-08002B2CF9AE}" pid="25" name="Merops tables count">
    <vt:lpwstr>2</vt:lpwstr>
  </property>
  <property fmtid="{D5CDD505-2E9C-101B-9397-08002B2CF9AE}" pid="26" name="Merops word count">
    <vt:lpwstr>1445</vt:lpwstr>
  </property>
  <property fmtid="{D5CDD505-2E9C-101B-9397-08002B2CF9AE}" pid="27" name="Merops WorldCat links count">
    <vt:lpwstr>0</vt:lpwstr>
  </property>
  <property fmtid="{D5CDD505-2E9C-101B-9397-08002B2CF9AE}" pid="28" name="ppub">
    <vt:lpwstr/>
  </property>
  <property fmtid="{D5CDD505-2E9C-101B-9397-08002B2CF9AE}" pid="29" name="Publisher">
    <vt:lpwstr/>
  </property>
  <property fmtid="{D5CDD505-2E9C-101B-9397-08002B2CF9AE}" pid="30" name="Publisher-location">
    <vt:lpwstr/>
  </property>
  <property fmtid="{D5CDD505-2E9C-101B-9397-08002B2CF9AE}" pid="31" name="ReceivedDate">
    <vt:lpwstr/>
  </property>
  <property fmtid="{D5CDD505-2E9C-101B-9397-08002B2CF9AE}" pid="32" name="Reference citation style">
    <vt:lpwstr/>
  </property>
  <property fmtid="{D5CDD505-2E9C-101B-9397-08002B2CF9AE}" pid="33" name="Source">
    <vt:lpwstr/>
  </property>
  <property fmtid="{D5CDD505-2E9C-101B-9397-08002B2CF9AE}" pid="34" name="Source-abbreviated">
    <vt:lpwstr/>
  </property>
  <property fmtid="{D5CDD505-2E9C-101B-9397-08002B2CF9AE}" pid="35" name="Source-short">
    <vt:lpwstr/>
  </property>
  <property fmtid="{D5CDD505-2E9C-101B-9397-08002B2CF9AE}" pid="36" name="Subject">
    <vt:lpwstr/>
  </property>
</Properties>
</file>