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151" w:rsidRPr="001A65F8" w:rsidRDefault="00D74151" w:rsidP="00B5685D">
      <w:pPr>
        <w:rPr>
          <w:b/>
          <w:sz w:val="32"/>
        </w:rPr>
      </w:pPr>
      <w:r w:rsidRPr="001A65F8">
        <w:rPr>
          <w:b/>
          <w:sz w:val="32"/>
        </w:rPr>
        <w:t>Supplementary material</w:t>
      </w:r>
    </w:p>
    <w:p w:rsidR="00D74151" w:rsidRDefault="00D74151" w:rsidP="00B5685D">
      <w:pPr>
        <w:spacing w:after="0" w:line="240" w:lineRule="auto"/>
        <w:jc w:val="both"/>
        <w:rPr>
          <w:rFonts w:ascii="Verdana" w:eastAsia="Times New Roman" w:hAnsi="Verdana"/>
          <w:lang w:eastAsia="en-US"/>
        </w:rPr>
      </w:pPr>
    </w:p>
    <w:p w:rsidR="00D74151" w:rsidRDefault="00D74151" w:rsidP="00B5685D">
      <w:pPr>
        <w:spacing w:after="0" w:line="240" w:lineRule="auto"/>
        <w:jc w:val="both"/>
        <w:rPr>
          <w:rFonts w:ascii="Verdana" w:eastAsia="Times New Roman" w:hAnsi="Verdana"/>
          <w:lang w:eastAsia="en-US"/>
        </w:rPr>
      </w:pPr>
      <w:r>
        <w:rPr>
          <w:rFonts w:ascii="Verdana" w:eastAsia="Times New Roman" w:hAnsi="Verdana"/>
          <w:lang w:eastAsia="en-US"/>
        </w:rPr>
        <w:t xml:space="preserve">Table </w:t>
      </w:r>
      <w:proofErr w:type="spellStart"/>
      <w:r>
        <w:rPr>
          <w:rFonts w:ascii="Verdana" w:eastAsia="Times New Roman" w:hAnsi="Verdana"/>
          <w:lang w:eastAsia="en-US"/>
        </w:rPr>
        <w:t>S1</w:t>
      </w:r>
      <w:proofErr w:type="spellEnd"/>
      <w:r>
        <w:rPr>
          <w:rFonts w:ascii="Verdana" w:eastAsia="Times New Roman" w:hAnsi="Verdana"/>
          <w:lang w:eastAsia="en-US"/>
        </w:rPr>
        <w:t xml:space="preserve">. </w:t>
      </w:r>
      <w:proofErr w:type="gramStart"/>
      <w:r>
        <w:rPr>
          <w:rFonts w:ascii="Verdana" w:eastAsia="Times New Roman" w:hAnsi="Verdana"/>
          <w:lang w:eastAsia="en-US"/>
        </w:rPr>
        <w:t>Detailed c</w:t>
      </w:r>
      <w:r w:rsidRPr="001A65F8">
        <w:rPr>
          <w:rFonts w:ascii="Verdana" w:eastAsia="Times New Roman" w:hAnsi="Verdana"/>
          <w:lang w:eastAsia="en-US"/>
        </w:rPr>
        <w:t xml:space="preserve">omparison of </w:t>
      </w:r>
      <w:r>
        <w:rPr>
          <w:rFonts w:ascii="Verdana" w:eastAsia="Times New Roman" w:hAnsi="Verdana"/>
          <w:lang w:eastAsia="en-US"/>
        </w:rPr>
        <w:t>EU</w:t>
      </w:r>
      <w:r w:rsidRPr="001A65F8">
        <w:rPr>
          <w:rFonts w:ascii="Verdana" w:eastAsia="Times New Roman" w:hAnsi="Verdana"/>
          <w:lang w:eastAsia="en-US"/>
        </w:rPr>
        <w:t xml:space="preserve"> and </w:t>
      </w:r>
      <w:proofErr w:type="spellStart"/>
      <w:r w:rsidRPr="001A65F8">
        <w:rPr>
          <w:rFonts w:ascii="Verdana" w:eastAsia="Times New Roman" w:hAnsi="Verdana"/>
          <w:lang w:eastAsia="en-US"/>
        </w:rPr>
        <w:t>IAR</w:t>
      </w:r>
      <w:r w:rsidRPr="00F547D1">
        <w:rPr>
          <w:rFonts w:ascii="Verdana" w:eastAsia="Times New Roman" w:hAnsi="Verdana"/>
          <w:lang w:eastAsia="en-US"/>
        </w:rPr>
        <w:t>C</w:t>
      </w:r>
      <w:proofErr w:type="spellEnd"/>
      <w:r w:rsidRPr="00F547D1">
        <w:rPr>
          <w:rFonts w:ascii="Verdana" w:eastAsia="Times New Roman" w:hAnsi="Verdana"/>
          <w:lang w:eastAsia="en-US"/>
        </w:rPr>
        <w:t xml:space="preserve"> classifications for the pesticide active substances assessed by </w:t>
      </w:r>
      <w:proofErr w:type="spellStart"/>
      <w:r w:rsidRPr="00F547D1">
        <w:rPr>
          <w:rFonts w:ascii="Verdana" w:eastAsia="Times New Roman" w:hAnsi="Verdana"/>
          <w:lang w:eastAsia="en-US"/>
        </w:rPr>
        <w:t>EFSA</w:t>
      </w:r>
      <w:proofErr w:type="spellEnd"/>
      <w:r>
        <w:rPr>
          <w:rFonts w:ascii="Verdana" w:eastAsia="Times New Roman" w:hAnsi="Verdana"/>
          <w:lang w:eastAsia="en-US"/>
        </w:rPr>
        <w:t>.</w:t>
      </w:r>
      <w:proofErr w:type="gramEnd"/>
      <w:r>
        <w:rPr>
          <w:rFonts w:ascii="Verdana" w:eastAsia="Times New Roman" w:hAnsi="Verdana"/>
          <w:lang w:eastAsia="en-US"/>
        </w:rPr>
        <w:t xml:space="preserve"> </w:t>
      </w:r>
      <w:r w:rsidRPr="00F547D1">
        <w:rPr>
          <w:rFonts w:ascii="Verdana" w:eastAsia="Times New Roman" w:hAnsi="Verdana"/>
          <w:lang w:eastAsia="en-US"/>
        </w:rPr>
        <w:t xml:space="preserve">The EU information was extracted from </w:t>
      </w:r>
      <w:r>
        <w:rPr>
          <w:rFonts w:ascii="Verdana" w:eastAsia="Times New Roman" w:hAnsi="Verdana"/>
          <w:lang w:eastAsia="en-US"/>
        </w:rPr>
        <w:t>the</w:t>
      </w:r>
      <w:r w:rsidRPr="00F547D1">
        <w:rPr>
          <w:rFonts w:ascii="Verdana" w:eastAsia="Times New Roman" w:hAnsi="Verdana"/>
          <w:lang w:eastAsia="en-US"/>
        </w:rPr>
        <w:t xml:space="preserve"> </w:t>
      </w:r>
      <w:r>
        <w:rPr>
          <w:rFonts w:ascii="Verdana" w:eastAsia="Times New Roman" w:hAnsi="Verdana"/>
          <w:lang w:eastAsia="en-US"/>
        </w:rPr>
        <w:t xml:space="preserve">European Commission Pesticides Database: </w:t>
      </w:r>
      <w:r w:rsidR="005431FF">
        <w:fldChar w:fldCharType="begin"/>
      </w:r>
      <w:r w:rsidR="005431FF">
        <w:instrText>HYPERLINK "http://ec.europa.eu/food/plant/pesticides/eu-pesticides-database/public/?event=activesubstance.selection&amp;language=EN"</w:instrText>
      </w:r>
      <w:r w:rsidR="005431FF">
        <w:fldChar w:fldCharType="separate"/>
      </w:r>
      <w:r w:rsidRPr="00C14076">
        <w:rPr>
          <w:rStyle w:val="Hyperlink"/>
          <w:rFonts w:ascii="Verdana" w:eastAsia="Times New Roman" w:hAnsi="Verdana"/>
          <w:lang w:eastAsia="en-US"/>
        </w:rPr>
        <w:t>http://ec.europa.eu/food/plant/pesticides/eu-pesticides-database/public/?event=activesubstance.selection&amp;language=EN</w:t>
      </w:r>
      <w:r w:rsidR="005431FF">
        <w:fldChar w:fldCharType="end"/>
      </w:r>
      <w:r>
        <w:rPr>
          <w:rFonts w:ascii="Verdana" w:eastAsia="Times New Roman" w:hAnsi="Verdana"/>
          <w:lang w:eastAsia="en-US"/>
        </w:rPr>
        <w:t xml:space="preserve">, in January 2016; the </w:t>
      </w:r>
      <w:proofErr w:type="spellStart"/>
      <w:r>
        <w:rPr>
          <w:rFonts w:ascii="Verdana" w:eastAsia="Times New Roman" w:hAnsi="Verdana"/>
          <w:lang w:eastAsia="en-US"/>
        </w:rPr>
        <w:t>IARC</w:t>
      </w:r>
      <w:proofErr w:type="spellEnd"/>
      <w:r>
        <w:rPr>
          <w:rFonts w:ascii="Verdana" w:eastAsia="Times New Roman" w:hAnsi="Verdana"/>
          <w:lang w:eastAsia="en-US"/>
        </w:rPr>
        <w:t xml:space="preserve"> information was extracted from the </w:t>
      </w:r>
      <w:proofErr w:type="spellStart"/>
      <w:r>
        <w:rPr>
          <w:rFonts w:ascii="Verdana" w:eastAsia="Times New Roman" w:hAnsi="Verdana"/>
          <w:lang w:eastAsia="en-US"/>
        </w:rPr>
        <w:t>IARC</w:t>
      </w:r>
      <w:proofErr w:type="spellEnd"/>
      <w:r>
        <w:rPr>
          <w:rFonts w:ascii="Verdana" w:eastAsia="Times New Roman" w:hAnsi="Verdana"/>
          <w:lang w:eastAsia="en-US"/>
        </w:rPr>
        <w:t xml:space="preserve"> web site and kindly reviewed by </w:t>
      </w:r>
      <w:proofErr w:type="spellStart"/>
      <w:r>
        <w:rPr>
          <w:rFonts w:ascii="Verdana" w:eastAsia="Times New Roman" w:hAnsi="Verdana"/>
          <w:lang w:eastAsia="en-US"/>
        </w:rPr>
        <w:t>IARC</w:t>
      </w:r>
      <w:proofErr w:type="spellEnd"/>
      <w:r>
        <w:rPr>
          <w:rFonts w:ascii="Verdana" w:eastAsia="Times New Roman" w:hAnsi="Verdana"/>
          <w:lang w:eastAsia="en-US"/>
        </w:rPr>
        <w:t xml:space="preserve"> (the authors acknowledge the revision conducted by </w:t>
      </w:r>
      <w:proofErr w:type="spellStart"/>
      <w:r>
        <w:rPr>
          <w:rFonts w:ascii="Verdana" w:eastAsia="Times New Roman" w:hAnsi="Verdana"/>
          <w:lang w:eastAsia="en-US"/>
        </w:rPr>
        <w:t>IARC</w:t>
      </w:r>
      <w:proofErr w:type="spellEnd"/>
      <w:r>
        <w:rPr>
          <w:rFonts w:ascii="Verdana" w:eastAsia="Times New Roman" w:hAnsi="Verdana"/>
          <w:lang w:eastAsia="en-US"/>
        </w:rPr>
        <w:t xml:space="preserve"> staff). </w:t>
      </w:r>
    </w:p>
    <w:p w:rsidR="00D74151" w:rsidRDefault="00D74151" w:rsidP="00B5685D">
      <w:pPr>
        <w:spacing w:after="0" w:line="240" w:lineRule="auto"/>
        <w:jc w:val="both"/>
        <w:rPr>
          <w:rFonts w:ascii="Verdana" w:eastAsia="Times New Roman" w:hAnsi="Verdana"/>
          <w:lang w:eastAsia="en-US"/>
        </w:rPr>
      </w:pPr>
    </w:p>
    <w:tbl>
      <w:tblPr>
        <w:tblW w:w="9056" w:type="dxa"/>
        <w:tblInd w:w="93" w:type="dxa"/>
        <w:tblLook w:val="00A0"/>
      </w:tblPr>
      <w:tblGrid>
        <w:gridCol w:w="3931"/>
        <w:gridCol w:w="1993"/>
        <w:gridCol w:w="187"/>
        <w:gridCol w:w="2945"/>
      </w:tblGrid>
      <w:tr w:rsidR="00D74151" w:rsidRPr="006220A4" w:rsidTr="002A4425">
        <w:trPr>
          <w:trHeight w:val="300"/>
        </w:trPr>
        <w:tc>
          <w:tcPr>
            <w:tcW w:w="3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20A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Substance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D74151" w:rsidRPr="006220A4" w:rsidRDefault="00D74151" w:rsidP="002A442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220A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IARC</w:t>
            </w:r>
            <w:proofErr w:type="spellEnd"/>
            <w:r w:rsidRPr="006220A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available, year</w:t>
            </w:r>
          </w:p>
        </w:tc>
      </w:tr>
      <w:tr w:rsidR="00D74151" w:rsidRPr="006220A4" w:rsidTr="002A4425">
        <w:trPr>
          <w:trHeight w:val="300"/>
        </w:trPr>
        <w:tc>
          <w:tcPr>
            <w:tcW w:w="3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D74151" w:rsidRPr="006220A4" w:rsidRDefault="00D74151" w:rsidP="002A442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20A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EU</w:t>
            </w:r>
          </w:p>
        </w:tc>
        <w:tc>
          <w:tcPr>
            <w:tcW w:w="2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74151" w:rsidRPr="006220A4" w:rsidTr="002A4425">
        <w:trPr>
          <w:trHeight w:val="50"/>
        </w:trPr>
        <w:tc>
          <w:tcPr>
            <w:tcW w:w="3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6220A4" w:rsidRDefault="00D74151" w:rsidP="002A442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20A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(Reg. 1272/2008)</w:t>
            </w:r>
          </w:p>
        </w:tc>
        <w:tc>
          <w:tcPr>
            <w:tcW w:w="2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74151" w:rsidRPr="006220A4" w:rsidTr="002A4425">
        <w:trPr>
          <w:trHeight w:val="315"/>
        </w:trPr>
        <w:tc>
          <w:tcPr>
            <w:tcW w:w="90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622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Pesticide active substances with “stricter” </w:t>
            </w:r>
            <w:proofErr w:type="spellStart"/>
            <w:r w:rsidRPr="00622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IARC</w:t>
            </w:r>
            <w:proofErr w:type="spellEnd"/>
            <w:r w:rsidRPr="00622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classification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2,4, D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</w:t>
            </w:r>
            <w:proofErr w:type="spellStart"/>
            <w:r w:rsidRPr="0055700F">
              <w:rPr>
                <w:bCs/>
                <w:color w:val="000000"/>
              </w:rPr>
              <w:t>2B</w:t>
            </w:r>
            <w:proofErr w:type="spellEnd"/>
            <w:r w:rsidRPr="0055700F">
              <w:rPr>
                <w:bCs/>
                <w:color w:val="000000"/>
              </w:rPr>
              <w:t>, in prep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DDT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</w:t>
            </w:r>
            <w:proofErr w:type="spellStart"/>
            <w:r w:rsidRPr="0055700F">
              <w:rPr>
                <w:bCs/>
                <w:color w:val="000000"/>
              </w:rPr>
              <w:t>2A</w:t>
            </w:r>
            <w:proofErr w:type="spellEnd"/>
            <w:r w:rsidRPr="0055700F">
              <w:rPr>
                <w:bCs/>
                <w:color w:val="000000"/>
              </w:rPr>
              <w:t>, in prep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Diazinon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</w:t>
            </w:r>
            <w:proofErr w:type="spellStart"/>
            <w:r w:rsidRPr="0055700F">
              <w:rPr>
                <w:bCs/>
                <w:color w:val="000000"/>
              </w:rPr>
              <w:t>2A</w:t>
            </w:r>
            <w:proofErr w:type="spellEnd"/>
            <w:r w:rsidRPr="0055700F">
              <w:rPr>
                <w:bCs/>
                <w:color w:val="000000"/>
              </w:rPr>
              <w:t>, 2015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Ethylene oxide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 w:rsidRPr="0055700F">
              <w:rPr>
                <w:bCs/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1, 2012 (upgraded)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Formaldehyde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 w:rsidRPr="0055700F">
              <w:rPr>
                <w:bCs/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1, 2012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Glyphosate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</w:t>
            </w:r>
            <w:proofErr w:type="spellStart"/>
            <w:r w:rsidRPr="0055700F">
              <w:rPr>
                <w:bCs/>
                <w:color w:val="000000"/>
              </w:rPr>
              <w:t>2A</w:t>
            </w:r>
            <w:proofErr w:type="spellEnd"/>
            <w:r w:rsidRPr="0055700F">
              <w:rPr>
                <w:bCs/>
                <w:color w:val="000000"/>
              </w:rPr>
              <w:t>, 2015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Lindane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1, in prep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Malathion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</w:t>
            </w:r>
            <w:proofErr w:type="spellStart"/>
            <w:r w:rsidRPr="0055700F">
              <w:rPr>
                <w:bCs/>
                <w:color w:val="000000"/>
              </w:rPr>
              <w:t>2A</w:t>
            </w:r>
            <w:proofErr w:type="spellEnd"/>
            <w:r w:rsidRPr="0055700F">
              <w:rPr>
                <w:bCs/>
                <w:color w:val="000000"/>
              </w:rPr>
              <w:t>, 2015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  <w:u w:val="single"/>
              </w:rPr>
            </w:pPr>
            <w:r w:rsidRPr="0055700F">
              <w:rPr>
                <w:color w:val="000000"/>
                <w:u w:val="single"/>
              </w:rPr>
              <w:footnoteReference w:customMarkFollows="1" w:id="1"/>
              <w:t>MCPA[1]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</w:t>
            </w:r>
            <w:proofErr w:type="spellStart"/>
            <w:r w:rsidRPr="0055700F">
              <w:rPr>
                <w:bCs/>
                <w:color w:val="000000"/>
              </w:rPr>
              <w:t>2B</w:t>
            </w:r>
            <w:proofErr w:type="spellEnd"/>
            <w:r w:rsidRPr="0055700F">
              <w:rPr>
                <w:bCs/>
                <w:color w:val="000000"/>
              </w:rPr>
              <w:t>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Parathion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</w:t>
            </w:r>
            <w:proofErr w:type="spellStart"/>
            <w:r w:rsidRPr="0055700F">
              <w:rPr>
                <w:bCs/>
                <w:color w:val="000000"/>
              </w:rPr>
              <w:t>2B</w:t>
            </w:r>
            <w:proofErr w:type="spellEnd"/>
            <w:r w:rsidRPr="0055700F">
              <w:rPr>
                <w:bCs/>
                <w:color w:val="000000"/>
              </w:rPr>
              <w:t>, 2015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Tetrachlorvinphos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55700F">
              <w:rPr>
                <w:bCs/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Group</w:t>
            </w:r>
            <w:r w:rsidRPr="0055700F">
              <w:rPr>
                <w:bCs/>
                <w:color w:val="000000"/>
              </w:rPr>
              <w:t xml:space="preserve"> </w:t>
            </w:r>
            <w:proofErr w:type="spellStart"/>
            <w:r w:rsidRPr="0055700F">
              <w:rPr>
                <w:bCs/>
                <w:color w:val="000000"/>
              </w:rPr>
              <w:t>2B</w:t>
            </w:r>
            <w:proofErr w:type="spellEnd"/>
            <w:r w:rsidRPr="0055700F">
              <w:rPr>
                <w:bCs/>
                <w:color w:val="000000"/>
              </w:rPr>
              <w:t>, in prep</w:t>
            </w:r>
          </w:p>
        </w:tc>
      </w:tr>
      <w:tr w:rsidR="00D74151" w:rsidRPr="006220A4" w:rsidTr="002A4425">
        <w:trPr>
          <w:trHeight w:val="315"/>
        </w:trPr>
        <w:tc>
          <w:tcPr>
            <w:tcW w:w="90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7B04BA" w:rsidRDefault="00D74151" w:rsidP="002A442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7B04B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Pesticide active substances with “stricter” EU classification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Aldrin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Anthracene oil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3, 2010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Captan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Carbaryl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Chlorpropham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Di-</w:t>
            </w:r>
            <w:proofErr w:type="spellStart"/>
            <w:r w:rsidRPr="0055700F">
              <w:rPr>
                <w:color w:val="000000"/>
              </w:rPr>
              <w:t>allate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Dieldrin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Hexachlorobenzene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2001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Monuron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footnoteReference w:customMarkFollows="1" w:id="2"/>
              <w:t>Nitrofen[2]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lastRenderedPageBreak/>
              <w:footnoteReference w:customMarkFollows="1" w:id="3"/>
              <w:t>p-Chloronitrobenzene[3]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3, 1996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Simazine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3, 1999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Thiourea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3, 2001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Trifluralin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90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5700F">
              <w:rPr>
                <w:b/>
                <w:color w:val="000000"/>
              </w:rPr>
              <w:t xml:space="preserve">Pesticide active substances with “equivalent” classifications for </w:t>
            </w:r>
            <w:proofErr w:type="spellStart"/>
            <w:r w:rsidRPr="0055700F">
              <w:rPr>
                <w:b/>
                <w:color w:val="000000"/>
              </w:rPr>
              <w:t>IARC</w:t>
            </w:r>
            <w:proofErr w:type="spellEnd"/>
            <w:r w:rsidRPr="0055700F">
              <w:rPr>
                <w:b/>
                <w:color w:val="000000"/>
              </w:rPr>
              <w:t xml:space="preserve"> and EU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Aldicarb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Amitrole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3, 2001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Atrazine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3, 1999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Captafol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2A</w:t>
            </w:r>
            <w:proofErr w:type="spellEnd"/>
            <w:r w:rsidRPr="0055700F">
              <w:rPr>
                <w:color w:val="000000"/>
              </w:rPr>
              <w:t>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Chlordane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2001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Chlordecone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Chlorobenzilate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Chlorothalonil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1999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Deltamethrin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Dicofol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Endrin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Fenvalerate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Ferbam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Fluometuron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Heptachlor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2001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Maneb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Methoxychlor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Methylbromide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3, 1999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Napht</w:t>
            </w:r>
            <w:r>
              <w:rPr>
                <w:color w:val="000000"/>
              </w:rPr>
              <w:t>h</w:t>
            </w:r>
            <w:r w:rsidRPr="0055700F">
              <w:rPr>
                <w:color w:val="000000"/>
              </w:rPr>
              <w:t>alene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Del="001347F2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2B</w:t>
            </w:r>
            <w:proofErr w:type="spellEnd"/>
            <w:r>
              <w:rPr>
                <w:color w:val="000000"/>
              </w:rPr>
              <w:t>, 2002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Ortho-phenyl phenol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3, 1999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p-Dichlorobenzene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1999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Pentachlorophenol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1999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Permethrin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Picloram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Quintozene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 xml:space="preserve">Thiram 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Trichlorfon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Zineb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Ziram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none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90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5700F">
              <w:rPr>
                <w:b/>
                <w:color w:val="000000"/>
              </w:rPr>
              <w:t>Pesticide active substances for which only one assessment is available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1,2-</w:t>
            </w:r>
            <w:proofErr w:type="spellStart"/>
            <w:r w:rsidRPr="0055700F">
              <w:rPr>
                <w:color w:val="000000"/>
              </w:rPr>
              <w:t>Dibromoethane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Aclonifen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Alachlor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Aramite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 data available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lastRenderedPageBreak/>
              <w:t>Bifenthrin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Camphechlor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bookmarkStart w:id="0" w:name="RANGE!A63"/>
            <w:bookmarkEnd w:id="0"/>
            <w:r w:rsidRPr="0055700F">
              <w:rPr>
                <w:color w:val="000000"/>
              </w:rPr>
              <w:t>Carbon monoxide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Chlorotoluron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Chlozolinate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Cinidon</w:t>
            </w:r>
            <w:proofErr w:type="spellEnd"/>
            <w:r w:rsidRPr="0055700F">
              <w:rPr>
                <w:color w:val="000000"/>
              </w:rPr>
              <w:t xml:space="preserve"> ethyl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Dichlorvos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 data available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1991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Dimoxystrobin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Diuron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Epoxiconazole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Etridiazole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bookmarkStart w:id="1" w:name="RANGE!A72"/>
            <w:bookmarkEnd w:id="1"/>
            <w:proofErr w:type="spellStart"/>
            <w:r w:rsidRPr="0055700F">
              <w:rPr>
                <w:color w:val="000000"/>
              </w:rPr>
              <w:t>Fenoxycarb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Fentin</w:t>
            </w:r>
            <w:proofErr w:type="spellEnd"/>
            <w:r w:rsidRPr="0055700F">
              <w:rPr>
                <w:color w:val="000000"/>
              </w:rPr>
              <w:t xml:space="preserve"> acetate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Fentin</w:t>
            </w:r>
            <w:proofErr w:type="spellEnd"/>
            <w:r w:rsidRPr="0055700F">
              <w:rPr>
                <w:color w:val="000000"/>
              </w:rPr>
              <w:t xml:space="preserve"> hydroxide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Flusilazole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Folpet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Forchlorfenuron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Fuberidazole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Furmecyclox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Iprodione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bookmarkStart w:id="2" w:name="RANGE!A81"/>
            <w:bookmarkEnd w:id="2"/>
            <w:proofErr w:type="spellStart"/>
            <w:r w:rsidRPr="0055700F">
              <w:rPr>
                <w:color w:val="000000"/>
              </w:rPr>
              <w:t>Isoproturon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Kresoxim</w:t>
            </w:r>
            <w:proofErr w:type="spellEnd"/>
            <w:r w:rsidRPr="0055700F">
              <w:rPr>
                <w:color w:val="000000"/>
              </w:rPr>
              <w:t>-methyl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Linuron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Mepanipyrim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bookmarkStart w:id="3" w:name="RANGE!A85"/>
            <w:bookmarkEnd w:id="3"/>
            <w:proofErr w:type="spellStart"/>
            <w:r w:rsidRPr="0055700F">
              <w:rPr>
                <w:color w:val="000000"/>
              </w:rPr>
              <w:t>Metazachlor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bookmarkStart w:id="4" w:name="RANGE!A86"/>
            <w:bookmarkEnd w:id="4"/>
            <w:r w:rsidRPr="0055700F">
              <w:rPr>
                <w:color w:val="000000"/>
              </w:rPr>
              <w:t>Mirex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not assessed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Molinate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Paraffin oil/(CAS 64741-88-4)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Paraffin oil/(CAS 64741-89-5)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Paraffin oil/(CAS 64741-97-5)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Paraffin oil/(CAS 64742-54-7)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Paraffin oil/(CAS 64742-55-8)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Paraffin oil/(CAS 64742-65-0)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footnoteReference w:customMarkFollows="1" w:id="4"/>
              <w:t>Petroleum oils/(CAS 74869-22-0))[4]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footnoteReference w:customMarkFollows="1" w:id="5"/>
              <w:t>Phenols[5]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Profoxydim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lastRenderedPageBreak/>
              <w:t>Propargite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Propazine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Propham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 data available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3, 1987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Propyzamide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Proquinazid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Pymetrozine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Sodium ortho-</w:t>
            </w:r>
            <w:proofErr w:type="spellStart"/>
            <w:r w:rsidRPr="0055700F">
              <w:rPr>
                <w:color w:val="000000"/>
              </w:rPr>
              <w:t>phenylphenate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not assessed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1999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Sulfallate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not assessed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Group</w:t>
            </w:r>
            <w:r w:rsidRPr="0055700F">
              <w:rPr>
                <w:color w:val="000000"/>
              </w:rPr>
              <w:t xml:space="preserve"> </w:t>
            </w:r>
            <w:proofErr w:type="spellStart"/>
            <w:r w:rsidRPr="0055700F">
              <w:rPr>
                <w:color w:val="000000"/>
              </w:rPr>
              <w:t>2B</w:t>
            </w:r>
            <w:proofErr w:type="spellEnd"/>
            <w:r w:rsidRPr="0055700F">
              <w:rPr>
                <w:color w:val="000000"/>
              </w:rPr>
              <w:t>, 1987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Tar acids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1B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Tepraloxydim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Tralkoxydim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15"/>
        </w:trPr>
        <w:tc>
          <w:tcPr>
            <w:tcW w:w="3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55700F">
              <w:rPr>
                <w:color w:val="000000"/>
              </w:rPr>
              <w:t>Vinclozolin</w:t>
            </w:r>
            <w:proofErr w:type="spell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74151" w:rsidRPr="0055700F" w:rsidRDefault="00D74151" w:rsidP="002A4425">
            <w:pPr>
              <w:spacing w:after="0" w:line="240" w:lineRule="auto"/>
              <w:jc w:val="center"/>
              <w:rPr>
                <w:color w:val="000000"/>
              </w:rPr>
            </w:pPr>
            <w:r w:rsidRPr="0055700F">
              <w:rPr>
                <w:color w:val="000000"/>
              </w:rPr>
              <w:t>No</w:t>
            </w:r>
          </w:p>
        </w:tc>
      </w:tr>
      <w:tr w:rsidR="00D74151" w:rsidRPr="006220A4" w:rsidTr="002A4425">
        <w:trPr>
          <w:trHeight w:val="300"/>
        </w:trPr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74151" w:rsidRPr="006220A4" w:rsidTr="002A4425">
        <w:trPr>
          <w:trHeight w:val="300"/>
        </w:trPr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74151" w:rsidRPr="006220A4" w:rsidTr="002A4425">
        <w:trPr>
          <w:trHeight w:val="300"/>
        </w:trPr>
        <w:tc>
          <w:tcPr>
            <w:tcW w:w="9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  <w:u w:val="single"/>
              </w:rPr>
            </w:pPr>
            <w:r w:rsidRPr="006220A4">
              <w:rPr>
                <w:rFonts w:eastAsia="Times New Roman"/>
                <w:color w:val="000000"/>
                <w:u w:val="single"/>
              </w:rPr>
              <w:footnoteRef/>
            </w:r>
            <w:r w:rsidRPr="006220A4">
              <w:rPr>
                <w:rFonts w:eastAsia="Times New Roman"/>
                <w:color w:val="000000"/>
                <w:u w:val="single"/>
              </w:rPr>
              <w:footnoteReference w:customMarkFollows="1" w:id="6"/>
              <w:t xml:space="preserve">[1] Evaluated by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IARC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 xml:space="preserve"> only as part of the class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cholorophenoxy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 xml:space="preserve"> herbicides, also including 2</w:t>
            </w:r>
            <w:proofErr w:type="gramStart"/>
            <w:r w:rsidRPr="006220A4">
              <w:rPr>
                <w:rFonts w:eastAsia="Times New Roman"/>
                <w:color w:val="000000"/>
                <w:u w:val="single"/>
              </w:rPr>
              <w:t>,4</w:t>
            </w:r>
            <w:proofErr w:type="gramEnd"/>
            <w:r w:rsidRPr="006220A4">
              <w:rPr>
                <w:rFonts w:eastAsia="Times New Roman"/>
                <w:color w:val="000000"/>
                <w:u w:val="single"/>
              </w:rPr>
              <w:t xml:space="preserve">-D, 2,4,5-T,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dichlorprop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 xml:space="preserve">, and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mecoprop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>.</w:t>
            </w:r>
          </w:p>
        </w:tc>
      </w:tr>
      <w:tr w:rsidR="00D74151" w:rsidRPr="006220A4" w:rsidTr="002A4425">
        <w:trPr>
          <w:trHeight w:val="300"/>
        </w:trPr>
        <w:tc>
          <w:tcPr>
            <w:tcW w:w="5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  <w:u w:val="single"/>
              </w:rPr>
            </w:pPr>
            <w:r w:rsidRPr="006220A4">
              <w:rPr>
                <w:rFonts w:eastAsia="Times New Roman"/>
                <w:color w:val="000000"/>
                <w:szCs w:val="20"/>
                <w:u w:val="single"/>
              </w:rPr>
              <w:footnoteRef/>
            </w:r>
            <w:r w:rsidRPr="006220A4">
              <w:rPr>
                <w:rFonts w:eastAsia="Times New Roman"/>
                <w:color w:val="000000"/>
                <w:szCs w:val="20"/>
                <w:u w:val="single"/>
              </w:rPr>
              <w:footnoteReference w:customMarkFollows="1" w:id="7"/>
              <w:t xml:space="preserve">[2] </w:t>
            </w:r>
            <w:proofErr w:type="spellStart"/>
            <w:r w:rsidRPr="006220A4">
              <w:rPr>
                <w:rFonts w:eastAsia="Times New Roman"/>
                <w:color w:val="000000"/>
                <w:szCs w:val="20"/>
                <w:u w:val="single"/>
              </w:rPr>
              <w:t>IARC</w:t>
            </w:r>
            <w:proofErr w:type="spellEnd"/>
            <w:r w:rsidRPr="006220A4">
              <w:rPr>
                <w:rFonts w:eastAsia="Times New Roman"/>
                <w:color w:val="000000"/>
                <w:szCs w:val="20"/>
                <w:u w:val="single"/>
              </w:rPr>
              <w:t xml:space="preserve"> evaluated the technical-grade.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74151" w:rsidRPr="006220A4" w:rsidTr="002A4425">
        <w:trPr>
          <w:trHeight w:val="300"/>
        </w:trPr>
        <w:tc>
          <w:tcPr>
            <w:tcW w:w="9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  <w:u w:val="single"/>
              </w:rPr>
            </w:pPr>
            <w:r w:rsidRPr="006220A4">
              <w:rPr>
                <w:rFonts w:eastAsia="Times New Roman"/>
                <w:color w:val="000000"/>
                <w:u w:val="single"/>
              </w:rPr>
              <w:footnoteRef/>
            </w:r>
            <w:r w:rsidRPr="006220A4">
              <w:rPr>
                <w:rFonts w:eastAsia="Times New Roman"/>
                <w:color w:val="000000"/>
                <w:u w:val="single"/>
              </w:rPr>
              <w:footnoteReference w:customMarkFollows="1" w:id="8"/>
              <w:t xml:space="preserve">[3] Considered by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IARC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 xml:space="preserve"> as a chemical used in pesticide production, not as a pesticide itself.</w:t>
            </w:r>
          </w:p>
        </w:tc>
      </w:tr>
      <w:tr w:rsidR="00D74151" w:rsidRPr="006220A4" w:rsidTr="002A4425">
        <w:trPr>
          <w:trHeight w:val="300"/>
        </w:trPr>
        <w:tc>
          <w:tcPr>
            <w:tcW w:w="9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  <w:u w:val="single"/>
              </w:rPr>
            </w:pPr>
            <w:r w:rsidRPr="006220A4">
              <w:rPr>
                <w:rFonts w:eastAsia="Times New Roman"/>
                <w:color w:val="000000"/>
                <w:u w:val="single"/>
              </w:rPr>
              <w:footnoteRef/>
            </w:r>
            <w:r w:rsidRPr="006220A4">
              <w:rPr>
                <w:rFonts w:eastAsia="Times New Roman"/>
                <w:color w:val="000000"/>
                <w:u w:val="single"/>
              </w:rPr>
              <w:footnoteReference w:customMarkFollows="1" w:id="9"/>
              <w:t xml:space="preserve">[4]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IARC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 xml:space="preserve"> evaluated Petroleum refining (occupational exposures in) Group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2A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>, 1989.</w:t>
            </w:r>
          </w:p>
        </w:tc>
      </w:tr>
      <w:tr w:rsidR="00D74151" w:rsidRPr="006220A4" w:rsidTr="002A4425">
        <w:trPr>
          <w:trHeight w:val="300"/>
        </w:trPr>
        <w:tc>
          <w:tcPr>
            <w:tcW w:w="9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  <w:u w:val="single"/>
              </w:rPr>
            </w:pPr>
            <w:r w:rsidRPr="006220A4">
              <w:rPr>
                <w:rFonts w:eastAsia="Times New Roman"/>
                <w:color w:val="000000"/>
                <w:u w:val="single"/>
              </w:rPr>
              <w:footnoteRef/>
            </w:r>
            <w:r w:rsidRPr="006220A4">
              <w:rPr>
                <w:rFonts w:eastAsia="Times New Roman"/>
                <w:color w:val="000000"/>
                <w:u w:val="single"/>
              </w:rPr>
              <w:footnoteReference w:customMarkFollows="1" w:id="10"/>
              <w:t xml:space="preserve">[5] Phenols were evaluated by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IARC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 xml:space="preserve"> as: Pentachlorophenol/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Polychlorophenols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 xml:space="preserve"> and their sodium salts and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Chlorophenols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 xml:space="preserve">: Group </w:t>
            </w:r>
            <w:proofErr w:type="spellStart"/>
            <w:r w:rsidRPr="006220A4">
              <w:rPr>
                <w:rFonts w:eastAsia="Times New Roman"/>
                <w:color w:val="000000"/>
                <w:u w:val="single"/>
              </w:rPr>
              <w:t>2B</w:t>
            </w:r>
            <w:proofErr w:type="spellEnd"/>
            <w:r w:rsidRPr="006220A4">
              <w:rPr>
                <w:rFonts w:eastAsia="Times New Roman"/>
                <w:color w:val="000000"/>
                <w:u w:val="single"/>
              </w:rPr>
              <w:t>, 1999.</w:t>
            </w:r>
          </w:p>
        </w:tc>
      </w:tr>
      <w:tr w:rsidR="00D74151" w:rsidRPr="006220A4" w:rsidTr="002A4425">
        <w:trPr>
          <w:trHeight w:val="300"/>
        </w:trPr>
        <w:tc>
          <w:tcPr>
            <w:tcW w:w="9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D74151" w:rsidRPr="006220A4" w:rsidTr="002A4425">
        <w:trPr>
          <w:trHeight w:val="300"/>
        </w:trPr>
        <w:tc>
          <w:tcPr>
            <w:tcW w:w="5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74151" w:rsidRPr="006220A4" w:rsidTr="002A4425">
        <w:trPr>
          <w:trHeight w:val="300"/>
        </w:trPr>
        <w:tc>
          <w:tcPr>
            <w:tcW w:w="9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74151" w:rsidRPr="006220A4" w:rsidRDefault="00D74151" w:rsidP="002A442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D74151" w:rsidRDefault="00D74151" w:rsidP="00B5685D">
      <w:pPr>
        <w:spacing w:after="0" w:line="240" w:lineRule="auto"/>
        <w:jc w:val="both"/>
        <w:rPr>
          <w:rFonts w:ascii="Verdana" w:eastAsia="Times New Roman" w:hAnsi="Verdana"/>
          <w:lang w:eastAsia="en-US"/>
        </w:rPr>
      </w:pPr>
    </w:p>
    <w:p w:rsidR="00D74151" w:rsidRDefault="00D74151" w:rsidP="00B5685D"/>
    <w:p w:rsidR="00D74151" w:rsidRDefault="00D74151">
      <w:r>
        <w:lastRenderedPageBreak/>
        <w:t xml:space="preserve">Table </w:t>
      </w:r>
      <w:proofErr w:type="spellStart"/>
      <w:r>
        <w:t>S2</w:t>
      </w:r>
      <w:proofErr w:type="spellEnd"/>
      <w:r>
        <w:t xml:space="preserve">. Study reference used for this publication, study authors and year, reference used for citing the study in the EU assessment, reference used in the </w:t>
      </w:r>
      <w:proofErr w:type="spellStart"/>
      <w:r>
        <w:t>IARC</w:t>
      </w:r>
      <w:proofErr w:type="spellEnd"/>
      <w:r>
        <w:t xml:space="preserve"> assessment, and pages in the Glyphosate Summary Dossier (SD) available in the </w:t>
      </w:r>
      <w:proofErr w:type="spellStart"/>
      <w:r>
        <w:t>EFSA</w:t>
      </w:r>
      <w:proofErr w:type="spellEnd"/>
      <w:r>
        <w:t xml:space="preserve"> website and in the </w:t>
      </w:r>
      <w:proofErr w:type="spellStart"/>
      <w:r>
        <w:t>EFSA</w:t>
      </w:r>
      <w:proofErr w:type="spellEnd"/>
      <w:r>
        <w:t xml:space="preserve"> background document (Germany, 2015) were the description of the study by the notifier and by the </w:t>
      </w:r>
      <w:proofErr w:type="spellStart"/>
      <w:r>
        <w:t>Rapportuer</w:t>
      </w:r>
      <w:proofErr w:type="spellEnd"/>
      <w:r>
        <w:t xml:space="preserve"> Member State (</w:t>
      </w:r>
      <w:proofErr w:type="spellStart"/>
      <w:r>
        <w:t>RMS</w:t>
      </w:r>
      <w:proofErr w:type="spellEnd"/>
      <w:r>
        <w:t>) are available.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9"/>
        <w:gridCol w:w="2137"/>
        <w:gridCol w:w="2239"/>
        <w:gridCol w:w="2547"/>
      </w:tblGrid>
      <w:tr w:rsidR="00D74151" w:rsidRPr="002A4425" w:rsidTr="002A4425">
        <w:tc>
          <w:tcPr>
            <w:tcW w:w="231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b/>
                <w:bCs/>
                <w:sz w:val="20"/>
                <w:szCs w:val="20"/>
              </w:rPr>
              <w:t>Study Reference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- Authors (year)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Study reference in EU assessment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Study reference in </w:t>
            </w:r>
            <w:proofErr w:type="spellStart"/>
            <w:r w:rsidRPr="002A4425">
              <w:rPr>
                <w:rFonts w:ascii="Arial Narrow" w:hAnsi="Arial Narrow" w:cs="Arial"/>
                <w:b/>
                <w:bCs/>
                <w:sz w:val="20"/>
                <w:szCs w:val="20"/>
              </w:rPr>
              <w:t>IARC</w:t>
            </w:r>
            <w:proofErr w:type="spellEnd"/>
            <w:r w:rsidRPr="002A442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254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Study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detailed </w:t>
            </w:r>
            <w:r w:rsidRPr="0041341B">
              <w:rPr>
                <w:rFonts w:ascii="Arial Narrow" w:hAnsi="Arial Narrow" w:cs="Arial"/>
                <w:b/>
                <w:bCs/>
                <w:sz w:val="20"/>
                <w:szCs w:val="20"/>
              </w:rPr>
              <w:t>descriptions</w:t>
            </w:r>
            <w:r w:rsidRPr="002A4425">
              <w:rPr>
                <w:rFonts w:ascii="Arial Narrow" w:hAnsi="Arial Narrow" w:cs="Arial"/>
                <w:bCs/>
                <w:i/>
                <w:sz w:val="20"/>
                <w:szCs w:val="20"/>
              </w:rPr>
              <w:t xml:space="preserve"> by notifier (</w:t>
            </w:r>
            <w:r>
              <w:rPr>
                <w:rFonts w:ascii="Arial Narrow" w:hAnsi="Arial Narrow" w:cs="Arial"/>
                <w:bCs/>
                <w:i/>
                <w:sz w:val="20"/>
                <w:szCs w:val="20"/>
              </w:rPr>
              <w:t>pages in Summary Dossier (</w:t>
            </w:r>
            <w:r w:rsidRPr="002A4425">
              <w:rPr>
                <w:rFonts w:ascii="Arial Narrow" w:hAnsi="Arial Narrow" w:cs="Arial"/>
                <w:bCs/>
                <w:i/>
                <w:sz w:val="20"/>
                <w:szCs w:val="20"/>
              </w:rPr>
              <w:t>SD)</w:t>
            </w:r>
            <w:r>
              <w:rPr>
                <w:rFonts w:ascii="Arial Narrow" w:hAnsi="Arial Narrow" w:cs="Arial"/>
                <w:bCs/>
                <w:i/>
                <w:sz w:val="20"/>
                <w:szCs w:val="20"/>
              </w:rPr>
              <w:t>)</w:t>
            </w:r>
            <w:r w:rsidRPr="002A4425">
              <w:rPr>
                <w:rFonts w:ascii="Arial Narrow" w:hAnsi="Arial Narrow" w:cs="Arial"/>
                <w:bCs/>
                <w:i/>
                <w:sz w:val="20"/>
                <w:szCs w:val="20"/>
              </w:rPr>
              <w:t xml:space="preserve"> and </w:t>
            </w:r>
            <w:proofErr w:type="spellStart"/>
            <w:r w:rsidRPr="002A4425">
              <w:rPr>
                <w:rFonts w:ascii="Arial Narrow" w:hAnsi="Arial Narrow" w:cs="Arial"/>
                <w:bCs/>
                <w:i/>
                <w:sz w:val="20"/>
                <w:szCs w:val="20"/>
              </w:rPr>
              <w:t>RMS</w:t>
            </w:r>
            <w:proofErr w:type="spellEnd"/>
            <w:r>
              <w:rPr>
                <w:rFonts w:ascii="Arial Narrow" w:hAnsi="Arial Narrow" w:cs="Arial"/>
                <w:bCs/>
                <w:i/>
                <w:sz w:val="20"/>
                <w:szCs w:val="20"/>
              </w:rPr>
              <w:t xml:space="preserve"> (pages in Germany 2015</w:t>
            </w:r>
            <w:r w:rsidRPr="002A4425">
              <w:rPr>
                <w:rFonts w:ascii="Arial Narrow" w:hAnsi="Arial Narrow" w:cs="Arial"/>
                <w:bCs/>
                <w:i/>
                <w:sz w:val="20"/>
                <w:szCs w:val="20"/>
              </w:rPr>
              <w:t xml:space="preserve"> (</w:t>
            </w:r>
            <w:proofErr w:type="spellStart"/>
            <w:r w:rsidRPr="002A4425">
              <w:rPr>
                <w:rFonts w:ascii="Arial Narrow" w:hAnsi="Arial Narrow" w:cs="Arial"/>
                <w:bCs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bCs/>
                <w:i/>
                <w:sz w:val="20"/>
                <w:szCs w:val="20"/>
              </w:rPr>
              <w:t>)</w:t>
            </w:r>
            <w:r>
              <w:rPr>
                <w:rFonts w:ascii="Arial Narrow" w:hAnsi="Arial Narrow" w:cs="Arial"/>
                <w:bCs/>
                <w:i/>
                <w:sz w:val="20"/>
                <w:szCs w:val="20"/>
              </w:rPr>
              <w:t>)</w:t>
            </w:r>
            <w:r w:rsidRPr="002A4425">
              <w:rPr>
                <w:rFonts w:ascii="Arial Narrow" w:hAnsi="Arial Narrow" w:cs="Arial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D74151" w:rsidRPr="002A4425" w:rsidTr="00A8089B">
        <w:trPr>
          <w:trHeight w:val="391"/>
        </w:trPr>
        <w:tc>
          <w:tcPr>
            <w:tcW w:w="9242" w:type="dxa"/>
            <w:gridSpan w:val="4"/>
          </w:tcPr>
          <w:p w:rsidR="00D74151" w:rsidRPr="002A4425" w:rsidRDefault="00D74151" w:rsidP="002A442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b/>
                <w:bCs/>
                <w:sz w:val="20"/>
                <w:szCs w:val="20"/>
              </w:rPr>
              <w:t>Mice long-term chronic toxicity and carcinogenicity studies used in the EU evaluation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pt-BR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  <w:lang w:val="pt-BR"/>
              </w:rPr>
              <w:t>A</w:t>
            </w:r>
            <w:r>
              <w:rPr>
                <w:rFonts w:ascii="Arial Narrow" w:hAnsi="Arial Narrow" w:cs="Arial"/>
                <w:sz w:val="20"/>
                <w:szCs w:val="20"/>
                <w:lang w:val="pt-BR"/>
              </w:rPr>
              <w:t xml:space="preserve"> -</w:t>
            </w:r>
            <w:r w:rsidRPr="002A4425">
              <w:rPr>
                <w:rFonts w:ascii="Arial Narrow" w:hAnsi="Arial Narrow" w:cs="Arial"/>
                <w:sz w:val="20"/>
                <w:szCs w:val="20"/>
                <w:lang w:val="pt-BR"/>
              </w:rPr>
              <w:t xml:space="preserve"> Knezevich and Hogan (1983) </w:t>
            </w:r>
          </w:p>
        </w:tc>
        <w:tc>
          <w:tcPr>
            <w:tcW w:w="213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  <w:lang w:val="pt-BR"/>
              </w:rPr>
              <w:t xml:space="preserve">TOX9552381, 1983 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  <w:lang w:val="pt-BR"/>
              </w:rPr>
              <w:t>US-EPA 1985a,b, 1986, 1991a</w:t>
            </w:r>
          </w:p>
        </w:tc>
        <w:tc>
          <w:tcPr>
            <w:tcW w:w="254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Described in the previous EU evaluation US-EPA and </w:t>
            </w: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IARC</w:t>
            </w:r>
            <w:proofErr w:type="spellEnd"/>
          </w:p>
        </w:tc>
      </w:tr>
      <w:tr w:rsidR="00D74151" w:rsidRPr="002A4425" w:rsidTr="002A4425">
        <w:tc>
          <w:tcPr>
            <w:tcW w:w="231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B </w:t>
            </w:r>
            <w:r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- </w:t>
            </w:r>
            <w:r w:rsidRPr="002A4425">
              <w:rPr>
                <w:rFonts w:ascii="Arial Narrow" w:hAnsi="Arial Narrow" w:cs="Arial"/>
                <w:sz w:val="20"/>
                <w:szCs w:val="20"/>
                <w:lang w:val="fr-FR"/>
              </w:rPr>
              <w:t>Atkinson et al. (1993)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  <w:lang w:val="fr-FR"/>
              </w:rPr>
              <w:t>TOX9552382</w:t>
            </w:r>
            <w:proofErr w:type="spellEnd"/>
            <w:r w:rsidRPr="002A4425">
              <w:rPr>
                <w:rFonts w:ascii="Arial Narrow" w:hAnsi="Arial Narrow" w:cs="Arial"/>
                <w:sz w:val="20"/>
                <w:szCs w:val="20"/>
                <w:lang w:val="fr-FR"/>
              </w:rPr>
              <w:t>, 1993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  <w:lang w:val="fr-FR"/>
              </w:rPr>
              <w:t>JMPR</w:t>
            </w:r>
            <w:proofErr w:type="spellEnd"/>
            <w:r w:rsidRPr="002A442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 2006</w:t>
            </w:r>
          </w:p>
        </w:tc>
        <w:tc>
          <w:tcPr>
            <w:tcW w:w="254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Described in the previous EU evaluation </w:t>
            </w: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JMPR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IARC</w:t>
            </w:r>
            <w:proofErr w:type="spellEnd"/>
          </w:p>
        </w:tc>
      </w:tr>
      <w:tr w:rsidR="00D74151" w:rsidRPr="002A4425" w:rsidTr="002A4425">
        <w:tc>
          <w:tcPr>
            <w:tcW w:w="231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C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r w:rsidRPr="002A4425">
              <w:rPr>
                <w:rFonts w:ascii="Arial Narrow" w:hAnsi="Arial Narrow" w:cs="Arial"/>
                <w:sz w:val="20"/>
                <w:szCs w:val="20"/>
              </w:rPr>
              <w:t>Sugimoto (1997)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5.5.3/03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  <w:lang w:val="es-ES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ASB2012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-11493, 1997,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ES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not assessed by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IARC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 xml:space="preserve">SD </w:t>
            </w: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>pp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 xml:space="preserve"> 516-525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pp 1030-1040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D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r w:rsidRPr="002A4425">
              <w:rPr>
                <w:rFonts w:ascii="Arial Narrow" w:hAnsi="Arial Narrow" w:cs="Arial"/>
                <w:sz w:val="20"/>
                <w:szCs w:val="20"/>
              </w:rPr>
              <w:t>Wood et al. (2009)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5.5.3/02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ASB2012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-11492, 2009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not assessed by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IARC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SD pp 511-516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v-SE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RAR pp 1023-1030</w:t>
            </w:r>
          </w:p>
        </w:tc>
      </w:tr>
      <w:tr w:rsidR="00D74151" w:rsidRPr="002A4425" w:rsidTr="00517156">
        <w:trPr>
          <w:trHeight w:val="382"/>
        </w:trPr>
        <w:tc>
          <w:tcPr>
            <w:tcW w:w="9242" w:type="dxa"/>
            <w:gridSpan w:val="4"/>
          </w:tcPr>
          <w:p w:rsidR="00D74151" w:rsidRPr="002A4425" w:rsidRDefault="00D74151" w:rsidP="002A442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b/>
                <w:bCs/>
                <w:sz w:val="20"/>
                <w:szCs w:val="20"/>
              </w:rPr>
              <w:t>Rat long-term chronic toxicity and carcinogenicity studies used in the EU evaluation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  <w:lang w:val="es-ES"/>
              </w:rPr>
              <w:t xml:space="preserve">E </w:t>
            </w:r>
            <w:r>
              <w:rPr>
                <w:rFonts w:ascii="Arial Narrow" w:hAnsi="Arial Narrow" w:cs="Arial"/>
                <w:sz w:val="20"/>
                <w:szCs w:val="20"/>
                <w:lang w:val="es-ES"/>
              </w:rPr>
              <w:t xml:space="preserve">- </w:t>
            </w: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  <w:lang w:val="es-ES"/>
              </w:rPr>
              <w:t>Lankas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  <w:lang w:val="es-ES"/>
              </w:rPr>
              <w:t xml:space="preserve"> (1981)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  <w:lang w:val="es-ES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  <w:lang w:val="es-ES"/>
              </w:rPr>
              <w:t>, 5.5.2/05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  <w:lang w:val="it-IT"/>
              </w:rPr>
              <w:t>TOX2000-595, 1981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IARC</w:t>
            </w:r>
            <w:proofErr w:type="spellEnd"/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: US-EPA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1991a,b.c.d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 xml:space="preserve">SD </w:t>
            </w: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>pp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 xml:space="preserve"> 479-485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>pp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  <w:lang w:val="es-ES"/>
              </w:rPr>
              <w:t xml:space="preserve"> 987-993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F </w:t>
            </w:r>
            <w:r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- </w:t>
            </w:r>
            <w:r w:rsidRPr="0041341B">
              <w:rPr>
                <w:rFonts w:ascii="Arial Narrow" w:hAnsi="Arial Narrow" w:cs="Arial"/>
                <w:sz w:val="20"/>
                <w:szCs w:val="20"/>
                <w:lang w:val="it-IT"/>
              </w:rPr>
              <w:t>Stout and Ruecker  (1990)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  <w:lang w:val="it-IT"/>
              </w:rPr>
              <w:t>IIA, 5.5.2/06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  <w:lang w:val="pt-BR"/>
              </w:rPr>
              <w:t>TOX9300244, 1990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US-EPA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1991a,</w:t>
            </w:r>
            <w:bookmarkStart w:id="5" w:name="_GoBack"/>
            <w:bookmarkEnd w:id="5"/>
            <w:r w:rsidRPr="002A4425">
              <w:rPr>
                <w:rFonts w:ascii="Arial Narrow" w:hAnsi="Arial Narrow" w:cs="Arial"/>
                <w:sz w:val="20"/>
                <w:szCs w:val="20"/>
              </w:rPr>
              <w:t>b.c.d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SD pp 485-491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RAR pp 993-999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G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r w:rsidRPr="0041341B">
              <w:rPr>
                <w:rFonts w:ascii="Arial Narrow" w:hAnsi="Arial Narrow" w:cs="Arial"/>
                <w:sz w:val="20"/>
                <w:szCs w:val="20"/>
              </w:rPr>
              <w:t>Atkinson et al. (1993)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5.5.2/04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TOX9750499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1993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JMPR,2006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SD pp 471-478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RAR pp 999-1007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H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Suresh (1996) 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5.5.2/01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TOX9651587</w:t>
            </w:r>
            <w:proofErr w:type="spellEnd"/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not assessed by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IARC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SD pp 451-456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1007-1013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v-SE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  <w:lang w:val="sv-SE"/>
              </w:rPr>
              <w:t>I - Lankas 1997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v-SE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  <w:lang w:val="sv-SE"/>
              </w:rPr>
              <w:t>IIA, 5.5.1/01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v-SE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TOX2000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-1998, 1996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v-SE"/>
              </w:rPr>
            </w:pP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JMPR,2006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SD pp 447- 451;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v-SE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RAR pp 955-960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J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Enomoto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 (1997)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5.5.2/02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ASB2012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-11484, 1997,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not assessed by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IARC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SD</w:t>
            </w: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 xml:space="preserve"> pp 457-463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  <w:lang w:val="sv-SE"/>
              </w:rPr>
              <w:t>RAR pp 960-966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K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Brammer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 (2001)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5.5.2/03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ASB2012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-11488, 2001,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JMPR,2006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SD pp 463-471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pp 972-980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L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r w:rsidRPr="0041341B">
              <w:rPr>
                <w:rFonts w:ascii="Arial Narrow" w:hAnsi="Arial Narrow" w:cs="Arial"/>
                <w:sz w:val="20"/>
                <w:szCs w:val="20"/>
              </w:rPr>
              <w:t>Wood et al. (2009)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5.5.2/08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ASB2012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-11490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not assessed by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IARC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SD pp 496-502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pp 980-987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M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Chruzielska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41341B">
              <w:rPr>
                <w:rFonts w:ascii="Arial Narrow" w:hAnsi="Arial Narrow" w:cs="Arial"/>
                <w:i/>
                <w:sz w:val="20"/>
                <w:szCs w:val="20"/>
              </w:rPr>
              <w:t>et al</w:t>
            </w:r>
            <w:r w:rsidRPr="0041341B">
              <w:rPr>
                <w:rFonts w:ascii="Arial Narrow" w:hAnsi="Arial Narrow" w:cs="Arial"/>
                <w:sz w:val="20"/>
                <w:szCs w:val="20"/>
              </w:rPr>
              <w:t>., 2000,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1347F2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v-SE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sv-SE"/>
              </w:rPr>
              <w:t>IIA, 5.5.3</w:t>
            </w:r>
          </w:p>
          <w:p w:rsidR="00D74151" w:rsidRPr="001347F2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v-SE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sv-SE"/>
              </w:rPr>
              <w:t>ASB2013-9829</w:t>
            </w:r>
            <w:r w:rsidRPr="001347F2">
              <w:rPr>
                <w:lang w:val="sv-SE"/>
              </w:rPr>
              <w:t xml:space="preserve"> </w:t>
            </w:r>
            <w:r w:rsidRPr="001347F2">
              <w:rPr>
                <w:rFonts w:ascii="Arial Narrow" w:hAnsi="Arial Narrow" w:cs="Arial"/>
                <w:sz w:val="20"/>
                <w:szCs w:val="20"/>
                <w:lang w:val="sv-SE"/>
              </w:rPr>
              <w:t>Chruzielska et al., 2000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Chruzielska</w:t>
            </w:r>
            <w:proofErr w:type="spellEnd"/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 et al., 2000</w:t>
            </w:r>
          </w:p>
        </w:tc>
        <w:tc>
          <w:tcPr>
            <w:tcW w:w="254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pp 533, 550-551</w:t>
            </w:r>
          </w:p>
        </w:tc>
      </w:tr>
      <w:tr w:rsidR="00D74151" w:rsidRPr="002A4425" w:rsidTr="000378A6">
        <w:tc>
          <w:tcPr>
            <w:tcW w:w="9242" w:type="dxa"/>
            <w:gridSpan w:val="4"/>
          </w:tcPr>
          <w:p w:rsidR="00D74151" w:rsidRPr="002A4425" w:rsidRDefault="00D74151" w:rsidP="002A442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b/>
                <w:sz w:val="20"/>
                <w:szCs w:val="20"/>
              </w:rPr>
              <w:t xml:space="preserve">Industry sponsored </w:t>
            </w:r>
            <w:proofErr w:type="spellStart"/>
            <w:r w:rsidRPr="002A4425">
              <w:rPr>
                <w:rFonts w:ascii="Arial Narrow" w:hAnsi="Arial Narrow" w:cs="Arial"/>
                <w:b/>
                <w:sz w:val="20"/>
                <w:szCs w:val="20"/>
              </w:rPr>
              <w:t>GLP</w:t>
            </w:r>
            <w:proofErr w:type="spellEnd"/>
            <w:r w:rsidRPr="002A4425">
              <w:rPr>
                <w:rFonts w:ascii="Arial Narrow" w:hAnsi="Arial Narrow" w:cs="Arial"/>
                <w:b/>
                <w:sz w:val="20"/>
                <w:szCs w:val="20"/>
              </w:rPr>
              <w:t xml:space="preserve"> studies considered non-acceptable during the EU assessment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N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r w:rsidRPr="0041341B">
              <w:rPr>
                <w:rFonts w:ascii="Arial Narrow" w:hAnsi="Arial Narrow" w:cs="Arial"/>
                <w:sz w:val="20"/>
                <w:szCs w:val="20"/>
              </w:rPr>
              <w:t>Kumar (2001)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5.5.3/01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ASB2012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-114912001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not assessed by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IARC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S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>D pp 504-51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pp 1013-1023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O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Bhide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 (1997)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IIA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, 5.5.2/07</w:t>
            </w:r>
          </w:p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ASB2012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>-11489 1997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 xml:space="preserve">not assessed by </w:t>
            </w:r>
            <w:proofErr w:type="spellStart"/>
            <w:r w:rsidRPr="002A4425">
              <w:rPr>
                <w:rFonts w:ascii="Arial Narrow" w:hAnsi="Arial Narrow" w:cs="Arial"/>
                <w:sz w:val="20"/>
                <w:szCs w:val="20"/>
              </w:rPr>
              <w:t>IARC</w:t>
            </w:r>
            <w:proofErr w:type="spellEnd"/>
          </w:p>
        </w:tc>
        <w:tc>
          <w:tcPr>
            <w:tcW w:w="2547" w:type="dxa"/>
          </w:tcPr>
          <w:p w:rsidR="00D74151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SD pp 491-496</w:t>
            </w:r>
          </w:p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pp 967-972</w:t>
            </w:r>
          </w:p>
        </w:tc>
      </w:tr>
      <w:tr w:rsidR="00D74151" w:rsidRPr="002A4425" w:rsidTr="00864563">
        <w:tc>
          <w:tcPr>
            <w:tcW w:w="9242" w:type="dxa"/>
            <w:gridSpan w:val="4"/>
          </w:tcPr>
          <w:p w:rsidR="00D74151" w:rsidRPr="002A4425" w:rsidRDefault="00D74151" w:rsidP="002A442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b/>
                <w:sz w:val="20"/>
                <w:szCs w:val="20"/>
              </w:rPr>
              <w:t>Published studies conducted with glyphosate-based formulations and considered non-reliable for the assessment of glyphosate carcinogenicity during the EU assessment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41341B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P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r w:rsidRPr="0041341B">
              <w:rPr>
                <w:rFonts w:ascii="Arial Narrow" w:hAnsi="Arial Narrow" w:cs="Arial"/>
                <w:sz w:val="20"/>
                <w:szCs w:val="20"/>
              </w:rPr>
              <w:t>George et al., 2010</w:t>
            </w:r>
          </w:p>
          <w:p w:rsidR="00D74151" w:rsidRPr="0041341B" w:rsidRDefault="00D74151" w:rsidP="0041341B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137" w:type="dxa"/>
          </w:tcPr>
          <w:p w:rsidR="00D74151" w:rsidRPr="001347F2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nl-NL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nl-NL"/>
              </w:rPr>
              <w:t>IIA, 5.5.3</w:t>
            </w:r>
          </w:p>
          <w:p w:rsidR="00D74151" w:rsidRPr="001347F2" w:rsidRDefault="00D74151" w:rsidP="002A4425">
            <w:pPr>
              <w:spacing w:after="0" w:line="240" w:lineRule="auto"/>
              <w:rPr>
                <w:lang w:val="nl-NL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nl-NL"/>
              </w:rPr>
              <w:t>ASB2012-11829</w:t>
            </w:r>
            <w:r w:rsidRPr="001347F2">
              <w:rPr>
                <w:lang w:val="nl-NL"/>
              </w:rPr>
              <w:t xml:space="preserve"> </w:t>
            </w:r>
          </w:p>
          <w:p w:rsidR="00D74151" w:rsidRPr="001347F2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nl-NL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nl-NL"/>
              </w:rPr>
              <w:t>George et al., 2010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A4425">
              <w:rPr>
                <w:rFonts w:ascii="Arial Narrow" w:hAnsi="Arial Narrow" w:cs="Arial"/>
                <w:sz w:val="20"/>
                <w:szCs w:val="20"/>
              </w:rPr>
              <w:t>George et al., 2010</w:t>
            </w:r>
          </w:p>
        </w:tc>
        <w:tc>
          <w:tcPr>
            <w:tcW w:w="254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pp 533, 547-548</w:t>
            </w:r>
          </w:p>
        </w:tc>
      </w:tr>
      <w:tr w:rsidR="00D74151" w:rsidRPr="002A4425" w:rsidTr="002A4425">
        <w:tc>
          <w:tcPr>
            <w:tcW w:w="2319" w:type="dxa"/>
          </w:tcPr>
          <w:p w:rsidR="00D74151" w:rsidRPr="001347F2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Q - </w:t>
            </w:r>
            <w:proofErr w:type="spellStart"/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>Seralini</w:t>
            </w:r>
            <w:proofErr w:type="spellEnd"/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et </w:t>
            </w:r>
            <w:proofErr w:type="gramStart"/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>al.,</w:t>
            </w:r>
            <w:proofErr w:type="gramEnd"/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2012, </w:t>
            </w:r>
            <w:proofErr w:type="spellStart"/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>re</w:t>
            </w:r>
            <w:proofErr w:type="spellEnd"/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>-</w:t>
            </w:r>
            <w:proofErr w:type="spellStart"/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>published</w:t>
            </w:r>
            <w:proofErr w:type="spellEnd"/>
            <w:r w:rsidRPr="001347F2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2014</w:t>
            </w:r>
          </w:p>
          <w:p w:rsidR="00D74151" w:rsidRPr="001347F2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fr-FR"/>
              </w:rPr>
            </w:pPr>
          </w:p>
        </w:tc>
        <w:tc>
          <w:tcPr>
            <w:tcW w:w="2137" w:type="dxa"/>
          </w:tcPr>
          <w:p w:rsidR="00D74151" w:rsidRPr="001347F2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it-IT"/>
              </w:rPr>
              <w:t>IIA, 5.5.3</w:t>
            </w:r>
          </w:p>
          <w:p w:rsidR="00D74151" w:rsidRPr="001347F2" w:rsidRDefault="00D74151" w:rsidP="002A4425">
            <w:pPr>
              <w:spacing w:after="0" w:line="240" w:lineRule="auto"/>
              <w:rPr>
                <w:lang w:val="it-IT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it-IT"/>
              </w:rPr>
              <w:t>ASB2012-15514</w:t>
            </w:r>
            <w:r w:rsidRPr="001347F2">
              <w:rPr>
                <w:lang w:val="it-IT"/>
              </w:rPr>
              <w:t xml:space="preserve"> </w:t>
            </w:r>
          </w:p>
          <w:p w:rsidR="00D74151" w:rsidRPr="001347F2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347F2">
              <w:rPr>
                <w:rFonts w:ascii="Arial Narrow" w:hAnsi="Arial Narrow" w:cs="Arial"/>
                <w:sz w:val="20"/>
                <w:szCs w:val="20"/>
                <w:lang w:val="it-IT"/>
              </w:rPr>
              <w:t>Seralini et al., 2012</w:t>
            </w:r>
          </w:p>
        </w:tc>
        <w:tc>
          <w:tcPr>
            <w:tcW w:w="2239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1341B">
              <w:rPr>
                <w:rFonts w:ascii="Arial Narrow" w:hAnsi="Arial Narrow" w:cs="Arial"/>
                <w:sz w:val="20"/>
                <w:szCs w:val="20"/>
              </w:rPr>
              <w:t>Seralini</w:t>
            </w:r>
            <w:proofErr w:type="spellEnd"/>
            <w:r w:rsidRPr="0041341B">
              <w:rPr>
                <w:rFonts w:ascii="Arial Narrow" w:hAnsi="Arial Narrow" w:cs="Arial"/>
                <w:sz w:val="20"/>
                <w:szCs w:val="20"/>
              </w:rPr>
              <w:t xml:space="preserve"> et al., 2012</w:t>
            </w:r>
          </w:p>
        </w:tc>
        <w:tc>
          <w:tcPr>
            <w:tcW w:w="2547" w:type="dxa"/>
          </w:tcPr>
          <w:p w:rsidR="00D74151" w:rsidRPr="002A4425" w:rsidRDefault="00D74151" w:rsidP="002A4425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proofErr w:type="spellStart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>RAR</w:t>
            </w:r>
            <w:proofErr w:type="spellEnd"/>
            <w:r w:rsidRPr="002A4425">
              <w:rPr>
                <w:rFonts w:ascii="Arial Narrow" w:hAnsi="Arial Narrow" w:cs="Arial"/>
                <w:i/>
                <w:sz w:val="20"/>
                <w:szCs w:val="20"/>
              </w:rPr>
              <w:t xml:space="preserve"> pp 532, 548-549</w:t>
            </w:r>
          </w:p>
        </w:tc>
      </w:tr>
    </w:tbl>
    <w:p w:rsidR="00D74151" w:rsidRDefault="00D74151">
      <w:r>
        <w:br w:type="page"/>
      </w:r>
    </w:p>
    <w:p w:rsidR="00D74151" w:rsidRDefault="00D74151" w:rsidP="00B5685D">
      <w:pPr>
        <w:jc w:val="both"/>
      </w:pPr>
      <w:r>
        <w:t xml:space="preserve">Table </w:t>
      </w:r>
      <w:proofErr w:type="spellStart"/>
      <w:r>
        <w:t>S3</w:t>
      </w:r>
      <w:proofErr w:type="spellEnd"/>
      <w:r>
        <w:t xml:space="preserve">. </w:t>
      </w:r>
      <w:proofErr w:type="gramStart"/>
      <w:r>
        <w:t xml:space="preserve">Detailed output of the risk for European consumers according to the </w:t>
      </w:r>
      <w:proofErr w:type="spellStart"/>
      <w:r>
        <w:t>EFSA</w:t>
      </w:r>
      <w:proofErr w:type="spellEnd"/>
      <w:r>
        <w:t xml:space="preserve"> </w:t>
      </w:r>
      <w:proofErr w:type="spellStart"/>
      <w:r>
        <w:t>PRIMo</w:t>
      </w:r>
      <w:proofErr w:type="spellEnd"/>
      <w:r>
        <w:t xml:space="preserve"> calculations.</w:t>
      </w:r>
      <w:proofErr w:type="gramEnd"/>
      <w:r w:rsidRPr="007B04BA">
        <w:t xml:space="preserve"> Detailed input values for residue levels in food commodities used for the </w:t>
      </w:r>
      <w:proofErr w:type="spellStart"/>
      <w:r w:rsidRPr="007B04BA">
        <w:t>EFSA</w:t>
      </w:r>
      <w:proofErr w:type="spellEnd"/>
      <w:r w:rsidRPr="007B04BA">
        <w:t xml:space="preserve"> </w:t>
      </w:r>
      <w:proofErr w:type="spellStart"/>
      <w:r w:rsidRPr="007B04BA">
        <w:t>PRIMo</w:t>
      </w:r>
      <w:proofErr w:type="spellEnd"/>
      <w:r w:rsidRPr="007B04BA">
        <w:t xml:space="preserve"> version 2 calculations are available under request. </w:t>
      </w:r>
      <w:proofErr w:type="spellStart"/>
      <w:r w:rsidRPr="007B04BA">
        <w:t>EFSA</w:t>
      </w:r>
      <w:proofErr w:type="spellEnd"/>
      <w:r w:rsidRPr="007B04BA">
        <w:t xml:space="preserve"> </w:t>
      </w:r>
      <w:proofErr w:type="spellStart"/>
      <w:r w:rsidRPr="007B04BA">
        <w:t>PRIMo</w:t>
      </w:r>
      <w:proofErr w:type="spellEnd"/>
      <w:r w:rsidRPr="007B04BA">
        <w:t xml:space="preserve"> tool is available at http://www.efsa.europa.eu/en/applications/pesticides/tools.</w:t>
      </w:r>
    </w:p>
    <w:p w:rsidR="00D74151" w:rsidRPr="00B4470C" w:rsidRDefault="007E75D5" w:rsidP="00B5685D">
      <w:r w:rsidRPr="005431FF">
        <w:rPr>
          <w:noProof/>
          <w:lang w:val="es-ES" w:eastAsia="es-E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42.45pt;height:626.4pt;visibility:visible">
            <v:imagedata r:id="rId6" o:title=""/>
          </v:shape>
        </w:pict>
      </w:r>
    </w:p>
    <w:p w:rsidR="00D74151" w:rsidRDefault="00D74151"/>
    <w:sectPr w:rsidR="00D74151" w:rsidSect="007E75D5">
      <w:pgSz w:w="11906" w:h="16838"/>
      <w:pgMar w:top="1440" w:right="1440" w:bottom="1440" w:left="1440" w:header="709" w:footer="709" w:gutter="0"/>
      <w:lnNumType w:countBy="0" w:restart="continuous"/>
      <w:cols w:space="708"/>
      <w:docGrid w:linePitch="360"/>
      <w:sectPrChange w:id="6" w:author="Kasthuri" w:date="2017-03-25T15:07:00Z">
        <w:sectPr w:rsidR="00D74151" w:rsidSect="007E75D5">
          <w:lnNumType w:countBy="1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151" w:rsidRDefault="00D74151" w:rsidP="00B5685D">
      <w:pPr>
        <w:spacing w:after="0" w:line="240" w:lineRule="auto"/>
      </w:pPr>
      <w:r>
        <w:separator/>
      </w:r>
    </w:p>
  </w:endnote>
  <w:endnote w:type="continuationSeparator" w:id="0">
    <w:p w:rsidR="00D74151" w:rsidRDefault="00D74151" w:rsidP="00B5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151" w:rsidRDefault="00D74151" w:rsidP="00B5685D">
      <w:pPr>
        <w:spacing w:after="0" w:line="240" w:lineRule="auto"/>
      </w:pPr>
      <w:r>
        <w:separator/>
      </w:r>
    </w:p>
  </w:footnote>
  <w:footnote w:type="continuationSeparator" w:id="0">
    <w:p w:rsidR="00D74151" w:rsidRDefault="00D74151" w:rsidP="00B5685D">
      <w:pPr>
        <w:spacing w:after="0" w:line="240" w:lineRule="auto"/>
      </w:pPr>
      <w:r>
        <w:continuationSeparator/>
      </w:r>
    </w:p>
  </w:footnote>
  <w:footnote w:id="1">
    <w:p w:rsidR="00D74151" w:rsidRDefault="00D74151" w:rsidP="00B5685D"/>
  </w:footnote>
  <w:footnote w:id="2">
    <w:p w:rsidR="00D74151" w:rsidRDefault="00D74151" w:rsidP="00B5685D"/>
  </w:footnote>
  <w:footnote w:id="3">
    <w:p w:rsidR="00D74151" w:rsidRDefault="00D74151" w:rsidP="00B5685D"/>
  </w:footnote>
  <w:footnote w:id="4">
    <w:p w:rsidR="00D74151" w:rsidRDefault="00D74151" w:rsidP="00B5685D"/>
  </w:footnote>
  <w:footnote w:id="5">
    <w:p w:rsidR="00D74151" w:rsidRDefault="00D74151" w:rsidP="00B5685D"/>
  </w:footnote>
  <w:footnote w:id="6">
    <w:p w:rsidR="00D74151" w:rsidRDefault="00D74151" w:rsidP="00B5685D"/>
  </w:footnote>
  <w:footnote w:id="7">
    <w:p w:rsidR="00D74151" w:rsidRDefault="00D74151" w:rsidP="00B5685D"/>
  </w:footnote>
  <w:footnote w:id="8">
    <w:p w:rsidR="00D74151" w:rsidRDefault="00D74151" w:rsidP="00B5685D"/>
  </w:footnote>
  <w:footnote w:id="9">
    <w:p w:rsidR="00D74151" w:rsidRDefault="00D74151" w:rsidP="00B5685D"/>
  </w:footnote>
  <w:footnote w:id="10">
    <w:p w:rsidR="00D74151" w:rsidRDefault="00D74151" w:rsidP="00B5685D"/>
    <w:p w:rsidR="00D74151" w:rsidRDefault="00D74151" w:rsidP="00B5685D"/>
    <w:p w:rsidR="00D74151" w:rsidRDefault="00D74151" w:rsidP="00B5685D"/>
    <w:p w:rsidR="00D74151" w:rsidRDefault="00D74151" w:rsidP="00B5685D"/>
    <w:p w:rsidR="00D74151" w:rsidRDefault="00D74151" w:rsidP="00B5685D"/>
    <w:p w:rsidR="00D74151" w:rsidRDefault="00D74151" w:rsidP="00B5685D"/>
    <w:p w:rsidR="00D74151" w:rsidRDefault="00D74151" w:rsidP="00B5685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85D"/>
    <w:rsid w:val="000378A6"/>
    <w:rsid w:val="000D0F5E"/>
    <w:rsid w:val="00102F7C"/>
    <w:rsid w:val="001347F2"/>
    <w:rsid w:val="001A65F8"/>
    <w:rsid w:val="0022566B"/>
    <w:rsid w:val="002A4425"/>
    <w:rsid w:val="002C30B3"/>
    <w:rsid w:val="0041341B"/>
    <w:rsid w:val="004E697B"/>
    <w:rsid w:val="00517156"/>
    <w:rsid w:val="00520DCD"/>
    <w:rsid w:val="005431FF"/>
    <w:rsid w:val="0055700F"/>
    <w:rsid w:val="006220A4"/>
    <w:rsid w:val="007B04BA"/>
    <w:rsid w:val="007E75D5"/>
    <w:rsid w:val="00864563"/>
    <w:rsid w:val="00921A6C"/>
    <w:rsid w:val="00987962"/>
    <w:rsid w:val="00A8089B"/>
    <w:rsid w:val="00B269D8"/>
    <w:rsid w:val="00B4470C"/>
    <w:rsid w:val="00B5685D"/>
    <w:rsid w:val="00C14076"/>
    <w:rsid w:val="00D46ADF"/>
    <w:rsid w:val="00D74151"/>
    <w:rsid w:val="00E230A0"/>
    <w:rsid w:val="00F42B90"/>
    <w:rsid w:val="00F5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85D"/>
    <w:pPr>
      <w:spacing w:after="200" w:line="276" w:lineRule="auto"/>
    </w:pPr>
    <w:rPr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5685D"/>
    <w:rPr>
      <w:rFonts w:cs="Times New Roman"/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rsid w:val="00B5685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5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685D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1152</Words>
  <Characters>6456</Characters>
  <Application>Microsoft Office Word</Application>
  <DocSecurity>0</DocSecurity>
  <Lines>53</Lines>
  <Paragraphs>15</Paragraphs>
  <ScaleCrop>false</ScaleCrop>
  <Company>EFSA</Company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/>
  <dc:creator>TARAZONA Jose</dc:creator>
  <cp:keywords/>
  <dc:description/>
  <cp:lastModifiedBy>Kasthuri</cp:lastModifiedBy>
  <cp:revision>3</cp:revision>
  <dcterms:created xsi:type="dcterms:W3CDTF">2016-10-24T18:56:00Z</dcterms:created>
  <dcterms:modified xsi:type="dcterms:W3CDTF">2017-03-25T09:37:00Z</dcterms:modified>
</cp:coreProperties>
</file>