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67321" w14:textId="56069CE7" w:rsidR="007E3BA6" w:rsidRPr="00C109A1" w:rsidRDefault="00C109A1" w:rsidP="007E3BA6">
      <w:pPr>
        <w:rPr>
          <w:sz w:val="24"/>
          <w:szCs w:val="24"/>
          <w:lang w:val="ro-RO"/>
        </w:rPr>
      </w:pPr>
      <w:bookmarkStart w:id="0" w:name="_GoBack"/>
      <w:bookmarkEnd w:id="0"/>
      <w:r w:rsidRPr="00C109A1">
        <w:rPr>
          <w:sz w:val="24"/>
          <w:szCs w:val="24"/>
          <w:lang w:val="ro-RO"/>
        </w:rPr>
        <w:t>Supplementary Information</w:t>
      </w:r>
    </w:p>
    <w:p w14:paraId="56BE409A" w14:textId="6543598E" w:rsidR="00C109A1" w:rsidRPr="00C109A1" w:rsidRDefault="00C109A1" w:rsidP="007E3BA6">
      <w:pPr>
        <w:rPr>
          <w:sz w:val="24"/>
          <w:szCs w:val="24"/>
          <w:lang w:val="ro-RO"/>
        </w:rPr>
      </w:pPr>
      <w:r w:rsidRPr="00C109A1">
        <w:rPr>
          <w:sz w:val="24"/>
          <w:szCs w:val="24"/>
          <w:lang w:val="ro-RO"/>
        </w:rPr>
        <w:t>Archives of Toxicology</w:t>
      </w:r>
    </w:p>
    <w:p w14:paraId="5C804FEE" w14:textId="77777777" w:rsidR="00C109A1" w:rsidRPr="00C109A1" w:rsidRDefault="00C109A1" w:rsidP="00C109A1">
      <w:pPr>
        <w:rPr>
          <w:b/>
          <w:bCs/>
          <w:sz w:val="32"/>
          <w:szCs w:val="28"/>
        </w:rPr>
      </w:pPr>
      <w:r w:rsidRPr="00C109A1">
        <w:rPr>
          <w:b/>
          <w:bCs/>
          <w:sz w:val="32"/>
          <w:szCs w:val="28"/>
        </w:rPr>
        <w:t>Development and Analysis of an Adverse Outcome Pathway Network for Human Neurotoxicity</w:t>
      </w:r>
    </w:p>
    <w:p w14:paraId="0A4818AA" w14:textId="77777777" w:rsidR="00C109A1" w:rsidRPr="00C109A1" w:rsidRDefault="00C109A1" w:rsidP="00C109A1">
      <w:r w:rsidRPr="00C109A1">
        <w:t>Nicoleta Spinu</w:t>
      </w:r>
      <w:r w:rsidRPr="00C109A1">
        <w:rPr>
          <w:vertAlign w:val="superscript"/>
        </w:rPr>
        <w:t>1</w:t>
      </w:r>
      <w:r w:rsidRPr="00C109A1">
        <w:t>, Anna Bal-Price</w:t>
      </w:r>
      <w:r w:rsidRPr="00C109A1">
        <w:rPr>
          <w:vertAlign w:val="superscript"/>
        </w:rPr>
        <w:t>2</w:t>
      </w:r>
      <w:r w:rsidRPr="00C109A1">
        <w:t>, Mark T.D. Cronin</w:t>
      </w:r>
      <w:r w:rsidRPr="00C109A1">
        <w:rPr>
          <w:vertAlign w:val="superscript"/>
        </w:rPr>
        <w:t>1</w:t>
      </w:r>
      <w:r w:rsidRPr="00C109A1">
        <w:t>, Steven J. Enoch</w:t>
      </w:r>
      <w:r w:rsidRPr="00C109A1">
        <w:rPr>
          <w:vertAlign w:val="superscript"/>
        </w:rPr>
        <w:t>1</w:t>
      </w:r>
      <w:r w:rsidRPr="00C109A1">
        <w:t>, Judith C. Madden</w:t>
      </w:r>
      <w:r w:rsidRPr="00C109A1">
        <w:rPr>
          <w:vertAlign w:val="superscript"/>
        </w:rPr>
        <w:t>1</w:t>
      </w:r>
      <w:r w:rsidRPr="00C109A1">
        <w:t>, Andrew P. Worth</w:t>
      </w:r>
      <w:r w:rsidRPr="00C109A1">
        <w:rPr>
          <w:vertAlign w:val="superscript"/>
        </w:rPr>
        <w:t>2</w:t>
      </w:r>
      <w:r w:rsidRPr="00C109A1">
        <w:t xml:space="preserve"> </w:t>
      </w:r>
    </w:p>
    <w:p w14:paraId="0AE6D6C7" w14:textId="4035C87E" w:rsidR="00C109A1" w:rsidRDefault="00C109A1" w:rsidP="0052571F">
      <w:pPr>
        <w:spacing w:after="0"/>
      </w:pPr>
      <w:r w:rsidRPr="007A499E">
        <w:rPr>
          <w:vertAlign w:val="superscript"/>
        </w:rPr>
        <w:t>1</w:t>
      </w:r>
      <w:r>
        <w:t xml:space="preserve">School of Pharmacy and Biomolecular Sciences, Liverpool John Moores University, Byrom Street, Liverpool, </w:t>
      </w:r>
      <w:r w:rsidR="0052571F">
        <w:br/>
      </w:r>
      <w:r>
        <w:t xml:space="preserve">L3 3AF, UK </w:t>
      </w:r>
    </w:p>
    <w:p w14:paraId="54CA396D" w14:textId="03A0D2FD" w:rsidR="00C109A1" w:rsidRDefault="00C109A1" w:rsidP="0052571F">
      <w:pPr>
        <w:spacing w:after="0"/>
      </w:pPr>
      <w:r w:rsidRPr="007A499E">
        <w:rPr>
          <w:vertAlign w:val="superscript"/>
        </w:rPr>
        <w:t>2</w:t>
      </w:r>
      <w:r w:rsidRPr="007A499E">
        <w:t>European Commission,</w:t>
      </w:r>
      <w:r>
        <w:t xml:space="preserve"> </w:t>
      </w:r>
      <w:r w:rsidRPr="007A499E">
        <w:t>Joint Research Centre</w:t>
      </w:r>
      <w:r>
        <w:t xml:space="preserve"> (JRC),</w:t>
      </w:r>
      <w:r w:rsidRPr="007A499E">
        <w:t xml:space="preserve"> Ispra, Italy </w:t>
      </w:r>
    </w:p>
    <w:p w14:paraId="4BCADAB9" w14:textId="77777777" w:rsidR="0052571F" w:rsidRDefault="0052571F" w:rsidP="0052571F">
      <w:pPr>
        <w:spacing w:after="0"/>
      </w:pPr>
    </w:p>
    <w:p w14:paraId="626DB72F" w14:textId="6F26E931" w:rsidR="00C109A1" w:rsidRDefault="00C109A1" w:rsidP="00C109A1">
      <w:r>
        <w:t>Corresponding Author:</w:t>
      </w:r>
      <w:r w:rsidRPr="008C66D2">
        <w:t xml:space="preserve"> </w:t>
      </w:r>
      <w:r>
        <w:t>Andrew P. Worth; Tel: +39 0332 789566</w:t>
      </w:r>
      <w:r w:rsidR="00F64195">
        <w:t>;</w:t>
      </w:r>
      <w:r>
        <w:t xml:space="preserve"> E-mail: </w:t>
      </w:r>
      <w:hyperlink r:id="rId7" w:history="1">
        <w:r w:rsidRPr="005458BC">
          <w:rPr>
            <w:rStyle w:val="Hyperlink"/>
          </w:rPr>
          <w:t>andrew.worth@ec.europa.eu</w:t>
        </w:r>
      </w:hyperlink>
      <w:r>
        <w:t xml:space="preserve">; </w:t>
      </w:r>
      <w:r w:rsidRPr="007A499E">
        <w:t>European Commission,</w:t>
      </w:r>
      <w:r>
        <w:t xml:space="preserve"> </w:t>
      </w:r>
      <w:r w:rsidRPr="007A499E">
        <w:t>Joint Research Centre</w:t>
      </w:r>
      <w:r>
        <w:t xml:space="preserve"> (JRC),</w:t>
      </w:r>
      <w:r w:rsidRPr="007A499E">
        <w:t xml:space="preserve"> Ispra, Italy </w:t>
      </w:r>
    </w:p>
    <w:p w14:paraId="63CF9BBD" w14:textId="77777777" w:rsidR="00C109A1" w:rsidRDefault="00C109A1" w:rsidP="007E3BA6">
      <w:pPr>
        <w:rPr>
          <w:lang w:val="ro-RO"/>
        </w:rPr>
      </w:pPr>
    </w:p>
    <w:p w14:paraId="6A6B8D6E" w14:textId="74B700A2" w:rsidR="007E3BA6" w:rsidRDefault="00C109A1" w:rsidP="007E3BA6">
      <w:pPr>
        <w:rPr>
          <w:lang w:val="ro-RO"/>
        </w:rPr>
      </w:pPr>
      <w:r>
        <w:rPr>
          <w:lang w:val="ro-RO"/>
        </w:rPr>
        <w:t>Supplementary Figures</w:t>
      </w:r>
    </w:p>
    <w:p w14:paraId="155AB6AF" w14:textId="5B912748" w:rsidR="00701B30" w:rsidRDefault="00701B30">
      <w:pPr>
        <w:pStyle w:val="TableofFigures"/>
        <w:tabs>
          <w:tab w:val="right" w:leader="dot" w:pos="9962"/>
        </w:tabs>
        <w:rPr>
          <w:rFonts w:eastAsiaTheme="minorEastAsia"/>
          <w:lang w:eastAsia="en-GB"/>
        </w:rPr>
      </w:pPr>
      <w:r>
        <w:rPr>
          <w:lang w:val="ro-RO"/>
        </w:rPr>
        <w:fldChar w:fldCharType="begin"/>
      </w:r>
      <w:r>
        <w:rPr>
          <w:lang w:val="ro-RO"/>
        </w:rPr>
        <w:instrText xml:space="preserve"> TOC \h \z \c "Figure" </w:instrText>
      </w:r>
      <w:r>
        <w:rPr>
          <w:lang w:val="ro-RO"/>
        </w:rPr>
        <w:fldChar w:fldCharType="separate"/>
      </w:r>
      <w:hyperlink w:anchor="_Toc11434049" w:history="1">
        <w:r w:rsidRPr="00AA2669">
          <w:rPr>
            <w:rStyle w:val="Hyperlink"/>
            <w:b/>
            <w:bCs/>
          </w:rPr>
          <w:t>Figure S1. The eccentricity of KEs across the AOP neurotoxicity network.</w:t>
        </w:r>
        <w:r>
          <w:rPr>
            <w:webHidden/>
          </w:rPr>
          <w:tab/>
        </w:r>
        <w:r>
          <w:rPr>
            <w:webHidden/>
          </w:rPr>
          <w:fldChar w:fldCharType="begin"/>
        </w:r>
        <w:r>
          <w:rPr>
            <w:webHidden/>
          </w:rPr>
          <w:instrText xml:space="preserve"> PAGEREF _Toc11434049 \h </w:instrText>
        </w:r>
        <w:r>
          <w:rPr>
            <w:webHidden/>
          </w:rPr>
        </w:r>
        <w:r>
          <w:rPr>
            <w:webHidden/>
          </w:rPr>
          <w:fldChar w:fldCharType="separate"/>
        </w:r>
        <w:r>
          <w:rPr>
            <w:webHidden/>
          </w:rPr>
          <w:t>2</w:t>
        </w:r>
        <w:r>
          <w:rPr>
            <w:webHidden/>
          </w:rPr>
          <w:fldChar w:fldCharType="end"/>
        </w:r>
      </w:hyperlink>
    </w:p>
    <w:p w14:paraId="541F025B" w14:textId="2DF94C53" w:rsidR="00701B30" w:rsidRDefault="00A27988">
      <w:pPr>
        <w:pStyle w:val="TableofFigures"/>
        <w:tabs>
          <w:tab w:val="right" w:leader="dot" w:pos="9962"/>
        </w:tabs>
        <w:rPr>
          <w:rFonts w:eastAsiaTheme="minorEastAsia"/>
          <w:lang w:eastAsia="en-GB"/>
        </w:rPr>
      </w:pPr>
      <w:hyperlink w:anchor="_Toc11434050" w:history="1">
        <w:r w:rsidR="00701B30" w:rsidRPr="00AA2669">
          <w:rPr>
            <w:rStyle w:val="Hyperlink"/>
            <w:b/>
            <w:bCs/>
          </w:rPr>
          <w:t>Figure S2. The betweenness centrality of the KEs across the AOP neurotoxicity network.</w:t>
        </w:r>
        <w:r w:rsidR="00701B30">
          <w:rPr>
            <w:webHidden/>
          </w:rPr>
          <w:tab/>
        </w:r>
        <w:r w:rsidR="00701B30">
          <w:rPr>
            <w:webHidden/>
          </w:rPr>
          <w:fldChar w:fldCharType="begin"/>
        </w:r>
        <w:r w:rsidR="00701B30">
          <w:rPr>
            <w:webHidden/>
          </w:rPr>
          <w:instrText xml:space="preserve"> PAGEREF _Toc11434050 \h </w:instrText>
        </w:r>
        <w:r w:rsidR="00701B30">
          <w:rPr>
            <w:webHidden/>
          </w:rPr>
        </w:r>
        <w:r w:rsidR="00701B30">
          <w:rPr>
            <w:webHidden/>
          </w:rPr>
          <w:fldChar w:fldCharType="separate"/>
        </w:r>
        <w:r w:rsidR="00701B30">
          <w:rPr>
            <w:webHidden/>
          </w:rPr>
          <w:t>3</w:t>
        </w:r>
        <w:r w:rsidR="00701B30">
          <w:rPr>
            <w:webHidden/>
          </w:rPr>
          <w:fldChar w:fldCharType="end"/>
        </w:r>
      </w:hyperlink>
    </w:p>
    <w:p w14:paraId="44AA5265" w14:textId="4BF7EED4" w:rsidR="00701B30" w:rsidRDefault="00A27988">
      <w:pPr>
        <w:pStyle w:val="TableofFigures"/>
        <w:tabs>
          <w:tab w:val="right" w:leader="dot" w:pos="9962"/>
        </w:tabs>
        <w:rPr>
          <w:rFonts w:eastAsiaTheme="minorEastAsia"/>
          <w:lang w:eastAsia="en-GB"/>
        </w:rPr>
      </w:pPr>
      <w:hyperlink w:anchor="_Toc11434051" w:history="1">
        <w:r w:rsidR="00701B30" w:rsidRPr="00AA2669">
          <w:rPr>
            <w:rStyle w:val="Hyperlink"/>
            <w:b/>
            <w:bCs/>
          </w:rPr>
          <w:t>Figure S3. Statistical distribution of analytical parameters in relation to the number of KEs in the AOP neurotoxicity network.</w:t>
        </w:r>
        <w:r w:rsidR="00701B30">
          <w:rPr>
            <w:webHidden/>
          </w:rPr>
          <w:tab/>
        </w:r>
        <w:r w:rsidR="00701B30">
          <w:rPr>
            <w:webHidden/>
          </w:rPr>
          <w:fldChar w:fldCharType="begin"/>
        </w:r>
        <w:r w:rsidR="00701B30">
          <w:rPr>
            <w:webHidden/>
          </w:rPr>
          <w:instrText xml:space="preserve"> PAGEREF _Toc11434051 \h </w:instrText>
        </w:r>
        <w:r w:rsidR="00701B30">
          <w:rPr>
            <w:webHidden/>
          </w:rPr>
        </w:r>
        <w:r w:rsidR="00701B30">
          <w:rPr>
            <w:webHidden/>
          </w:rPr>
          <w:fldChar w:fldCharType="separate"/>
        </w:r>
        <w:r w:rsidR="00701B30">
          <w:rPr>
            <w:webHidden/>
          </w:rPr>
          <w:t>4</w:t>
        </w:r>
        <w:r w:rsidR="00701B30">
          <w:rPr>
            <w:webHidden/>
          </w:rPr>
          <w:fldChar w:fldCharType="end"/>
        </w:r>
      </w:hyperlink>
    </w:p>
    <w:p w14:paraId="5527D7C3" w14:textId="6C96BC17" w:rsidR="00701B30" w:rsidRDefault="00A27988">
      <w:pPr>
        <w:pStyle w:val="TableofFigures"/>
        <w:tabs>
          <w:tab w:val="right" w:leader="dot" w:pos="9962"/>
        </w:tabs>
        <w:rPr>
          <w:rFonts w:eastAsiaTheme="minorEastAsia"/>
          <w:lang w:eastAsia="en-GB"/>
        </w:rPr>
      </w:pPr>
      <w:hyperlink w:anchor="_Toc11434052" w:history="1">
        <w:r w:rsidR="00701B30" w:rsidRPr="00AA2669">
          <w:rPr>
            <w:rStyle w:val="Hyperlink"/>
            <w:b/>
            <w:bCs/>
          </w:rPr>
          <w:t xml:space="preserve">Figure S4. </w:t>
        </w:r>
        <w:r w:rsidR="00701B30" w:rsidRPr="00AA2669">
          <w:rPr>
            <w:rStyle w:val="Hyperlink"/>
            <w:b/>
            <w:bCs/>
            <w:lang w:val="en-US"/>
          </w:rPr>
          <w:t>Derived AOP network for neurotoxicity containing adjacent and non-adjacent relationships.</w:t>
        </w:r>
        <w:r w:rsidR="00701B30">
          <w:rPr>
            <w:webHidden/>
          </w:rPr>
          <w:tab/>
        </w:r>
        <w:r w:rsidR="00701B30">
          <w:rPr>
            <w:webHidden/>
          </w:rPr>
          <w:fldChar w:fldCharType="begin"/>
        </w:r>
        <w:r w:rsidR="00701B30">
          <w:rPr>
            <w:webHidden/>
          </w:rPr>
          <w:instrText xml:space="preserve"> PAGEREF _Toc11434052 \h </w:instrText>
        </w:r>
        <w:r w:rsidR="00701B30">
          <w:rPr>
            <w:webHidden/>
          </w:rPr>
        </w:r>
        <w:r w:rsidR="00701B30">
          <w:rPr>
            <w:webHidden/>
          </w:rPr>
          <w:fldChar w:fldCharType="separate"/>
        </w:r>
        <w:r w:rsidR="00701B30">
          <w:rPr>
            <w:webHidden/>
          </w:rPr>
          <w:t>5</w:t>
        </w:r>
        <w:r w:rsidR="00701B30">
          <w:rPr>
            <w:webHidden/>
          </w:rPr>
          <w:fldChar w:fldCharType="end"/>
        </w:r>
      </w:hyperlink>
    </w:p>
    <w:p w14:paraId="717DFC6D" w14:textId="091A07ED" w:rsidR="00701B30" w:rsidRDefault="00701B30" w:rsidP="007E3BA6">
      <w:pPr>
        <w:rPr>
          <w:lang w:val="ro-RO"/>
        </w:rPr>
      </w:pPr>
      <w:r>
        <w:rPr>
          <w:lang w:val="ro-RO"/>
        </w:rPr>
        <w:fldChar w:fldCharType="end"/>
      </w:r>
    </w:p>
    <w:p w14:paraId="36255538" w14:textId="4029054E" w:rsidR="00C109A1" w:rsidRDefault="00C109A1" w:rsidP="007E3BA6">
      <w:pPr>
        <w:rPr>
          <w:lang w:val="ro-RO"/>
        </w:rPr>
      </w:pPr>
      <w:r>
        <w:rPr>
          <w:lang w:val="ro-RO"/>
        </w:rPr>
        <w:t>Supplementary Tables</w:t>
      </w:r>
    </w:p>
    <w:p w14:paraId="44237AC5" w14:textId="6095FD5F" w:rsidR="00701B30" w:rsidRDefault="00701B30">
      <w:pPr>
        <w:pStyle w:val="TableofFigures"/>
        <w:tabs>
          <w:tab w:val="right" w:leader="dot" w:pos="9962"/>
        </w:tabs>
        <w:rPr>
          <w:rFonts w:eastAsiaTheme="minorEastAsia"/>
          <w:lang w:eastAsia="en-GB"/>
        </w:rPr>
      </w:pPr>
      <w:r>
        <w:rPr>
          <w:lang w:val="ro-RO"/>
        </w:rPr>
        <w:fldChar w:fldCharType="begin"/>
      </w:r>
      <w:r>
        <w:rPr>
          <w:lang w:val="ro-RO"/>
        </w:rPr>
        <w:instrText xml:space="preserve"> TOC \h \z \c "Table" </w:instrText>
      </w:r>
      <w:r>
        <w:rPr>
          <w:lang w:val="ro-RO"/>
        </w:rPr>
        <w:fldChar w:fldCharType="separate"/>
      </w:r>
      <w:hyperlink w:anchor="_Toc11434078" w:history="1">
        <w:r w:rsidRPr="00D3735E">
          <w:rPr>
            <w:rStyle w:val="Hyperlink"/>
            <w:b/>
            <w:bCs/>
          </w:rPr>
          <w:t>Table S1. Data available in the ToxCast</w:t>
        </w:r>
        <w:r w:rsidRPr="00D3735E">
          <w:rPr>
            <w:rStyle w:val="Hyperlink"/>
            <w:b/>
            <w:bCs/>
            <w:vertAlign w:val="superscript"/>
          </w:rPr>
          <w:t>TM</w:t>
        </w:r>
        <w:r w:rsidRPr="00D3735E">
          <w:rPr>
            <w:rStyle w:val="Hyperlink"/>
            <w:b/>
            <w:bCs/>
          </w:rPr>
          <w:t xml:space="preserve"> dashboard linking biological processes with available assays which can be anchored to KEs defined in neurotoxicity-relevant AOPs.</w:t>
        </w:r>
        <w:r>
          <w:rPr>
            <w:webHidden/>
          </w:rPr>
          <w:tab/>
        </w:r>
        <w:r>
          <w:rPr>
            <w:webHidden/>
          </w:rPr>
          <w:fldChar w:fldCharType="begin"/>
        </w:r>
        <w:r>
          <w:rPr>
            <w:webHidden/>
          </w:rPr>
          <w:instrText xml:space="preserve"> PAGEREF _Toc11434078 \h </w:instrText>
        </w:r>
        <w:r>
          <w:rPr>
            <w:webHidden/>
          </w:rPr>
        </w:r>
        <w:r>
          <w:rPr>
            <w:webHidden/>
          </w:rPr>
          <w:fldChar w:fldCharType="separate"/>
        </w:r>
        <w:r>
          <w:rPr>
            <w:webHidden/>
          </w:rPr>
          <w:t>6</w:t>
        </w:r>
        <w:r>
          <w:rPr>
            <w:webHidden/>
          </w:rPr>
          <w:fldChar w:fldCharType="end"/>
        </w:r>
      </w:hyperlink>
    </w:p>
    <w:p w14:paraId="00BD6299" w14:textId="05DAD910" w:rsidR="00701B30" w:rsidRDefault="00701B30" w:rsidP="007E3BA6">
      <w:pPr>
        <w:rPr>
          <w:lang w:val="ro-RO"/>
        </w:rPr>
      </w:pPr>
      <w:r>
        <w:rPr>
          <w:lang w:val="ro-RO"/>
        </w:rPr>
        <w:fldChar w:fldCharType="end"/>
      </w:r>
    </w:p>
    <w:p w14:paraId="3B1DAA00" w14:textId="51357F8A" w:rsidR="007E3BA6" w:rsidRDefault="007E3BA6" w:rsidP="00095C48">
      <w:pPr>
        <w:keepNext/>
        <w:jc w:val="center"/>
      </w:pPr>
      <w:r>
        <w:rPr>
          <w:lang w:eastAsia="en-GB"/>
        </w:rPr>
        <w:lastRenderedPageBreak/>
        <w:drawing>
          <wp:inline distT="0" distB="0" distL="0" distR="0" wp14:anchorId="1AF6FA42" wp14:editId="2D2E701C">
            <wp:extent cx="6042991" cy="5256717"/>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0448" cy="5289300"/>
                    </a:xfrm>
                    <a:prstGeom prst="rect">
                      <a:avLst/>
                    </a:prstGeom>
                    <a:noFill/>
                  </pic:spPr>
                </pic:pic>
              </a:graphicData>
            </a:graphic>
          </wp:inline>
        </w:drawing>
      </w:r>
    </w:p>
    <w:p w14:paraId="05CB31A5" w14:textId="6E6B6E62" w:rsidR="00F21C20" w:rsidRPr="00F21C20" w:rsidRDefault="007E3BA6" w:rsidP="00F21C20">
      <w:pPr>
        <w:pStyle w:val="Caption"/>
        <w:spacing w:after="0" w:line="276" w:lineRule="auto"/>
        <w:jc w:val="both"/>
        <w:rPr>
          <w:b/>
          <w:bCs/>
          <w:i w:val="0"/>
          <w:color w:val="auto"/>
          <w:sz w:val="22"/>
          <w:szCs w:val="22"/>
        </w:rPr>
      </w:pPr>
      <w:bookmarkStart w:id="1" w:name="_Toc10544805"/>
      <w:bookmarkStart w:id="2" w:name="_Toc11434049"/>
      <w:r w:rsidRPr="00F21C20">
        <w:rPr>
          <w:b/>
          <w:bCs/>
          <w:i w:val="0"/>
          <w:color w:val="auto"/>
          <w:sz w:val="22"/>
          <w:szCs w:val="22"/>
        </w:rPr>
        <w:t xml:space="preserve">Figure </w:t>
      </w:r>
      <w:r w:rsidR="00F21C20">
        <w:rPr>
          <w:b/>
          <w:bCs/>
          <w:i w:val="0"/>
          <w:color w:val="auto"/>
          <w:sz w:val="22"/>
          <w:szCs w:val="22"/>
        </w:rPr>
        <w:t>S</w:t>
      </w:r>
      <w:r w:rsidRPr="00F21C20">
        <w:rPr>
          <w:b/>
          <w:bCs/>
          <w:i w:val="0"/>
          <w:color w:val="auto"/>
          <w:sz w:val="22"/>
          <w:szCs w:val="22"/>
        </w:rPr>
        <w:fldChar w:fldCharType="begin"/>
      </w:r>
      <w:r w:rsidRPr="00F21C20">
        <w:rPr>
          <w:b/>
          <w:bCs/>
          <w:i w:val="0"/>
          <w:color w:val="auto"/>
          <w:sz w:val="22"/>
          <w:szCs w:val="22"/>
        </w:rPr>
        <w:instrText xml:space="preserve"> SEQ Figure \* ARABIC </w:instrText>
      </w:r>
      <w:r w:rsidRPr="00F21C20">
        <w:rPr>
          <w:b/>
          <w:bCs/>
          <w:i w:val="0"/>
          <w:color w:val="auto"/>
          <w:sz w:val="22"/>
          <w:szCs w:val="22"/>
        </w:rPr>
        <w:fldChar w:fldCharType="separate"/>
      </w:r>
      <w:r w:rsidR="00F21C20" w:rsidRPr="00F21C20">
        <w:rPr>
          <w:b/>
          <w:bCs/>
          <w:i w:val="0"/>
          <w:color w:val="auto"/>
          <w:sz w:val="22"/>
          <w:szCs w:val="22"/>
        </w:rPr>
        <w:t>1</w:t>
      </w:r>
      <w:r w:rsidRPr="00F21C20">
        <w:rPr>
          <w:b/>
          <w:bCs/>
          <w:i w:val="0"/>
          <w:color w:val="auto"/>
          <w:sz w:val="22"/>
          <w:szCs w:val="22"/>
        </w:rPr>
        <w:fldChar w:fldCharType="end"/>
      </w:r>
      <w:r w:rsidRPr="00F21C20">
        <w:rPr>
          <w:b/>
          <w:bCs/>
          <w:i w:val="0"/>
          <w:color w:val="auto"/>
          <w:sz w:val="22"/>
          <w:szCs w:val="22"/>
        </w:rPr>
        <w:t xml:space="preserve">. The eccentricity of KEs across the </w:t>
      </w:r>
      <w:r w:rsidR="00E35F8A" w:rsidRPr="00F21C20">
        <w:rPr>
          <w:b/>
          <w:bCs/>
          <w:i w:val="0"/>
          <w:color w:val="auto"/>
          <w:sz w:val="22"/>
        </w:rPr>
        <w:t xml:space="preserve">AOP neurotoxicity </w:t>
      </w:r>
      <w:r w:rsidRPr="00F21C20">
        <w:rPr>
          <w:b/>
          <w:bCs/>
          <w:i w:val="0"/>
          <w:color w:val="auto"/>
          <w:sz w:val="22"/>
          <w:szCs w:val="22"/>
        </w:rPr>
        <w:t>network.</w:t>
      </w:r>
      <w:bookmarkEnd w:id="1"/>
      <w:bookmarkEnd w:id="2"/>
      <w:r w:rsidRPr="00F21C20">
        <w:rPr>
          <w:b/>
          <w:bCs/>
          <w:i w:val="0"/>
          <w:color w:val="auto"/>
          <w:sz w:val="22"/>
          <w:szCs w:val="22"/>
        </w:rPr>
        <w:t xml:space="preserve"> </w:t>
      </w:r>
    </w:p>
    <w:p w14:paraId="7C0F9132" w14:textId="1C6E676E" w:rsidR="007E3BA6" w:rsidRPr="0052103E" w:rsidRDefault="007E3BA6" w:rsidP="007E3BA6">
      <w:pPr>
        <w:pStyle w:val="Caption"/>
        <w:spacing w:line="276" w:lineRule="auto"/>
        <w:jc w:val="both"/>
        <w:rPr>
          <w:i w:val="0"/>
          <w:color w:val="auto"/>
          <w:sz w:val="22"/>
          <w:szCs w:val="22"/>
        </w:rPr>
      </w:pPr>
      <w:r w:rsidRPr="0052103E">
        <w:rPr>
          <w:i w:val="0"/>
          <w:color w:val="auto"/>
          <w:sz w:val="22"/>
          <w:szCs w:val="22"/>
        </w:rPr>
        <w:t>The darker the colour</w:t>
      </w:r>
      <w:r>
        <w:rPr>
          <w:i w:val="0"/>
          <w:color w:val="auto"/>
          <w:sz w:val="22"/>
          <w:szCs w:val="22"/>
        </w:rPr>
        <w:t>,</w:t>
      </w:r>
      <w:r w:rsidRPr="0052103E">
        <w:rPr>
          <w:i w:val="0"/>
          <w:color w:val="auto"/>
          <w:sz w:val="22"/>
          <w:szCs w:val="22"/>
        </w:rPr>
        <w:t xml:space="preserve"> the </w:t>
      </w:r>
      <w:r>
        <w:rPr>
          <w:i w:val="0"/>
          <w:color w:val="auto"/>
          <w:sz w:val="22"/>
          <w:szCs w:val="22"/>
        </w:rPr>
        <w:t xml:space="preserve">more </w:t>
      </w:r>
      <w:r w:rsidRPr="0052103E">
        <w:rPr>
          <w:i w:val="0"/>
          <w:color w:val="auto"/>
          <w:sz w:val="22"/>
          <w:szCs w:val="22"/>
        </w:rPr>
        <w:t>upstream is the KE positioned across the network, being less influenced by other KEs and less involved in the network.</w:t>
      </w:r>
      <w:r>
        <w:rPr>
          <w:i w:val="0"/>
          <w:color w:val="auto"/>
          <w:sz w:val="22"/>
          <w:szCs w:val="22"/>
        </w:rPr>
        <w:t xml:space="preserve"> </w:t>
      </w:r>
      <w:r w:rsidRPr="0052103E">
        <w:rPr>
          <w:color w:val="auto"/>
          <w:sz w:val="22"/>
          <w:szCs w:val="22"/>
        </w:rPr>
        <w:t>Reduction of BNDF</w:t>
      </w:r>
      <w:r>
        <w:rPr>
          <w:i w:val="0"/>
          <w:color w:val="auto"/>
          <w:sz w:val="22"/>
          <w:szCs w:val="22"/>
        </w:rPr>
        <w:t xml:space="preserve"> is the lightest in colour, which means that it is the most connected KE. This parameter also confirms that </w:t>
      </w:r>
      <w:r w:rsidRPr="0052103E">
        <w:rPr>
          <w:color w:val="auto"/>
          <w:sz w:val="22"/>
          <w:szCs w:val="22"/>
        </w:rPr>
        <w:t>reduction of BDNF</w:t>
      </w:r>
      <w:r>
        <w:rPr>
          <w:i w:val="0"/>
          <w:color w:val="auto"/>
          <w:sz w:val="22"/>
          <w:szCs w:val="22"/>
        </w:rPr>
        <w:t xml:space="preserve"> can be listed as one of the most common/ highly connected KEs. The visual representation of the eccentricity was set from the score of 5 because this was the lowest score calculated by the NetworkAnalyzer</w:t>
      </w:r>
      <w:r w:rsidR="00095C48">
        <w:rPr>
          <w:i w:val="0"/>
          <w:color w:val="auto"/>
          <w:sz w:val="22"/>
          <w:szCs w:val="22"/>
        </w:rPr>
        <w:t xml:space="preserve"> </w:t>
      </w:r>
      <w:r>
        <w:rPr>
          <w:i w:val="0"/>
          <w:color w:val="auto"/>
          <w:sz w:val="22"/>
          <w:szCs w:val="22"/>
        </w:rPr>
        <w:t>App</w:t>
      </w:r>
      <w:r w:rsidR="00BE13EC">
        <w:rPr>
          <w:i w:val="0"/>
          <w:color w:val="auto"/>
          <w:sz w:val="22"/>
          <w:szCs w:val="22"/>
        </w:rPr>
        <w:t xml:space="preserve"> of Cytoscape software</w:t>
      </w:r>
      <w:r>
        <w:rPr>
          <w:i w:val="0"/>
          <w:color w:val="auto"/>
          <w:sz w:val="22"/>
          <w:szCs w:val="22"/>
        </w:rPr>
        <w:t xml:space="preserve"> and therefore, served as the comparator for differences in scoring metrics for the individual KEs.</w:t>
      </w:r>
    </w:p>
    <w:p w14:paraId="7C422B23" w14:textId="77777777" w:rsidR="007E3BA6" w:rsidRDefault="007E3BA6" w:rsidP="00095C48">
      <w:pPr>
        <w:keepNext/>
        <w:jc w:val="center"/>
      </w:pPr>
      <w:r>
        <w:rPr>
          <w:lang w:eastAsia="en-GB"/>
        </w:rPr>
        <w:lastRenderedPageBreak/>
        <w:drawing>
          <wp:inline distT="0" distB="0" distL="0" distR="0" wp14:anchorId="56ECD538" wp14:editId="56BCA763">
            <wp:extent cx="6402620" cy="54735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6383" cy="5476742"/>
                    </a:xfrm>
                    <a:prstGeom prst="rect">
                      <a:avLst/>
                    </a:prstGeom>
                    <a:noFill/>
                  </pic:spPr>
                </pic:pic>
              </a:graphicData>
            </a:graphic>
          </wp:inline>
        </w:drawing>
      </w:r>
    </w:p>
    <w:p w14:paraId="19F04453" w14:textId="648571CB" w:rsidR="00F21C20" w:rsidRPr="00F21C20" w:rsidRDefault="007E3BA6" w:rsidP="00F21C20">
      <w:pPr>
        <w:pStyle w:val="Caption"/>
        <w:spacing w:after="0" w:line="276" w:lineRule="auto"/>
        <w:jc w:val="both"/>
        <w:rPr>
          <w:b/>
          <w:bCs/>
          <w:i w:val="0"/>
          <w:color w:val="auto"/>
          <w:sz w:val="22"/>
        </w:rPr>
      </w:pPr>
      <w:bookmarkStart w:id="3" w:name="_Toc10544806"/>
      <w:bookmarkStart w:id="4" w:name="_Toc11434050"/>
      <w:r w:rsidRPr="00F21C20">
        <w:rPr>
          <w:b/>
          <w:bCs/>
          <w:i w:val="0"/>
          <w:color w:val="auto"/>
          <w:sz w:val="22"/>
        </w:rPr>
        <w:t xml:space="preserve">Figure </w:t>
      </w:r>
      <w:r w:rsidR="00F21C20" w:rsidRPr="00F21C20">
        <w:rPr>
          <w:b/>
          <w:bCs/>
          <w:i w:val="0"/>
          <w:color w:val="auto"/>
          <w:sz w:val="22"/>
        </w:rPr>
        <w:t>S</w:t>
      </w:r>
      <w:r w:rsidRPr="00F21C20">
        <w:rPr>
          <w:b/>
          <w:bCs/>
          <w:i w:val="0"/>
          <w:color w:val="auto"/>
          <w:sz w:val="22"/>
        </w:rPr>
        <w:fldChar w:fldCharType="begin"/>
      </w:r>
      <w:r w:rsidRPr="00F21C20">
        <w:rPr>
          <w:b/>
          <w:bCs/>
          <w:i w:val="0"/>
          <w:color w:val="auto"/>
          <w:sz w:val="22"/>
        </w:rPr>
        <w:instrText xml:space="preserve"> SEQ Figure \* ARABIC </w:instrText>
      </w:r>
      <w:r w:rsidRPr="00F21C20">
        <w:rPr>
          <w:b/>
          <w:bCs/>
          <w:i w:val="0"/>
          <w:color w:val="auto"/>
          <w:sz w:val="22"/>
        </w:rPr>
        <w:fldChar w:fldCharType="separate"/>
      </w:r>
      <w:r w:rsidR="00F21C20" w:rsidRPr="00F21C20">
        <w:rPr>
          <w:b/>
          <w:bCs/>
          <w:i w:val="0"/>
          <w:color w:val="auto"/>
          <w:sz w:val="22"/>
        </w:rPr>
        <w:t>2</w:t>
      </w:r>
      <w:r w:rsidRPr="00F21C20">
        <w:rPr>
          <w:b/>
          <w:bCs/>
          <w:i w:val="0"/>
          <w:color w:val="auto"/>
          <w:sz w:val="22"/>
        </w:rPr>
        <w:fldChar w:fldCharType="end"/>
      </w:r>
      <w:r w:rsidRPr="00F21C20">
        <w:rPr>
          <w:b/>
          <w:bCs/>
          <w:i w:val="0"/>
          <w:color w:val="auto"/>
          <w:sz w:val="22"/>
        </w:rPr>
        <w:t xml:space="preserve">. The betweenness centrality of the KEs across the </w:t>
      </w:r>
      <w:r w:rsidR="00E35F8A" w:rsidRPr="00F21C20">
        <w:rPr>
          <w:b/>
          <w:bCs/>
          <w:i w:val="0"/>
          <w:color w:val="auto"/>
          <w:sz w:val="22"/>
        </w:rPr>
        <w:t xml:space="preserve">AOP neurotoxicity </w:t>
      </w:r>
      <w:r w:rsidRPr="00F21C20">
        <w:rPr>
          <w:b/>
          <w:bCs/>
          <w:i w:val="0"/>
          <w:color w:val="auto"/>
          <w:sz w:val="22"/>
        </w:rPr>
        <w:t>network.</w:t>
      </w:r>
      <w:bookmarkEnd w:id="3"/>
      <w:bookmarkEnd w:id="4"/>
      <w:r w:rsidRPr="00F21C20">
        <w:rPr>
          <w:b/>
          <w:bCs/>
          <w:i w:val="0"/>
          <w:color w:val="auto"/>
          <w:sz w:val="22"/>
        </w:rPr>
        <w:t xml:space="preserve"> </w:t>
      </w:r>
    </w:p>
    <w:p w14:paraId="117DE736" w14:textId="3C6215EF" w:rsidR="007E3BA6" w:rsidRPr="003609D2" w:rsidRDefault="007E3BA6" w:rsidP="00F21C20">
      <w:pPr>
        <w:pStyle w:val="Caption"/>
        <w:spacing w:after="0" w:line="276" w:lineRule="auto"/>
        <w:jc w:val="both"/>
        <w:rPr>
          <w:i w:val="0"/>
          <w:color w:val="auto"/>
          <w:sz w:val="22"/>
          <w:lang w:val="ro-RO"/>
        </w:rPr>
      </w:pPr>
      <w:r>
        <w:rPr>
          <w:i w:val="0"/>
          <w:color w:val="auto"/>
          <w:sz w:val="22"/>
        </w:rPr>
        <w:t xml:space="preserve">The darker the colour, the more centrally located is the KE in comparison with the other KEs. This parameter confirms that </w:t>
      </w:r>
      <w:r w:rsidRPr="00594573">
        <w:rPr>
          <w:color w:val="auto"/>
          <w:sz w:val="22"/>
        </w:rPr>
        <w:t>c</w:t>
      </w:r>
      <w:r w:rsidRPr="0052103E">
        <w:rPr>
          <w:color w:val="auto"/>
          <w:sz w:val="22"/>
        </w:rPr>
        <w:t>ell injury/death</w:t>
      </w:r>
      <w:r>
        <w:rPr>
          <w:i w:val="0"/>
          <w:color w:val="auto"/>
          <w:sz w:val="22"/>
        </w:rPr>
        <w:t xml:space="preserve"> can be considered as the most comon/highly connected KE, having the highest score of 0.65.</w:t>
      </w:r>
    </w:p>
    <w:p w14:paraId="261BC215" w14:textId="77777777" w:rsidR="007E3BA6" w:rsidRDefault="007E3BA6" w:rsidP="007E3BA6">
      <w:pPr>
        <w:pStyle w:val="Caption"/>
        <w:jc w:val="both"/>
        <w:rPr>
          <w:lang w:val="ro-RO"/>
        </w:rPr>
      </w:pPr>
    </w:p>
    <w:p w14:paraId="76F06C38" w14:textId="78A35729" w:rsidR="007E3BA6" w:rsidRDefault="007E3BA6" w:rsidP="00095C48">
      <w:pPr>
        <w:keepNext/>
        <w:jc w:val="center"/>
      </w:pPr>
      <w:r>
        <w:rPr>
          <w:lang w:eastAsia="en-GB"/>
        </w:rPr>
        <w:lastRenderedPageBreak/>
        <w:drawing>
          <wp:inline distT="0" distB="0" distL="0" distR="0" wp14:anchorId="1E6E61A0" wp14:editId="66CCAB97">
            <wp:extent cx="6533087" cy="3987457"/>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2969" cy="4017902"/>
                    </a:xfrm>
                    <a:prstGeom prst="rect">
                      <a:avLst/>
                    </a:prstGeom>
                    <a:noFill/>
                  </pic:spPr>
                </pic:pic>
              </a:graphicData>
            </a:graphic>
          </wp:inline>
        </w:drawing>
      </w:r>
    </w:p>
    <w:p w14:paraId="0E8BD228" w14:textId="57C3352C" w:rsidR="00F21C20" w:rsidRPr="00F21C20" w:rsidRDefault="007E3BA6" w:rsidP="00F21C20">
      <w:pPr>
        <w:pStyle w:val="Caption"/>
        <w:spacing w:after="0" w:line="276" w:lineRule="auto"/>
        <w:jc w:val="both"/>
        <w:rPr>
          <w:b/>
          <w:bCs/>
          <w:i w:val="0"/>
          <w:color w:val="auto"/>
          <w:sz w:val="22"/>
        </w:rPr>
      </w:pPr>
      <w:bookmarkStart w:id="5" w:name="_Toc10544807"/>
      <w:bookmarkStart w:id="6" w:name="_Toc11434051"/>
      <w:r w:rsidRPr="00F21C20">
        <w:rPr>
          <w:b/>
          <w:bCs/>
          <w:i w:val="0"/>
          <w:color w:val="auto"/>
          <w:sz w:val="22"/>
        </w:rPr>
        <w:t xml:space="preserve">Figure </w:t>
      </w:r>
      <w:r w:rsidR="00F21C20">
        <w:rPr>
          <w:b/>
          <w:bCs/>
          <w:i w:val="0"/>
          <w:color w:val="auto"/>
          <w:sz w:val="22"/>
        </w:rPr>
        <w:t>S</w:t>
      </w:r>
      <w:r w:rsidRPr="00F21C20">
        <w:rPr>
          <w:b/>
          <w:bCs/>
          <w:i w:val="0"/>
          <w:color w:val="auto"/>
          <w:sz w:val="22"/>
        </w:rPr>
        <w:fldChar w:fldCharType="begin"/>
      </w:r>
      <w:r w:rsidRPr="00F21C20">
        <w:rPr>
          <w:b/>
          <w:bCs/>
          <w:i w:val="0"/>
          <w:color w:val="auto"/>
          <w:sz w:val="22"/>
        </w:rPr>
        <w:instrText xml:space="preserve"> SEQ Figure \* ARABIC </w:instrText>
      </w:r>
      <w:r w:rsidRPr="00F21C20">
        <w:rPr>
          <w:b/>
          <w:bCs/>
          <w:i w:val="0"/>
          <w:color w:val="auto"/>
          <w:sz w:val="22"/>
        </w:rPr>
        <w:fldChar w:fldCharType="separate"/>
      </w:r>
      <w:r w:rsidR="00F21C20" w:rsidRPr="00F21C20">
        <w:rPr>
          <w:b/>
          <w:bCs/>
          <w:i w:val="0"/>
          <w:color w:val="auto"/>
          <w:sz w:val="22"/>
        </w:rPr>
        <w:t>3</w:t>
      </w:r>
      <w:r w:rsidRPr="00F21C20">
        <w:rPr>
          <w:b/>
          <w:bCs/>
          <w:i w:val="0"/>
          <w:color w:val="auto"/>
          <w:sz w:val="22"/>
        </w:rPr>
        <w:fldChar w:fldCharType="end"/>
      </w:r>
      <w:r w:rsidRPr="00F21C20">
        <w:rPr>
          <w:b/>
          <w:bCs/>
          <w:i w:val="0"/>
          <w:color w:val="auto"/>
          <w:sz w:val="22"/>
        </w:rPr>
        <w:t xml:space="preserve">. Statistical distribution of analytical parameters </w:t>
      </w:r>
      <w:r w:rsidR="00656BD3">
        <w:rPr>
          <w:b/>
          <w:bCs/>
          <w:i w:val="0"/>
          <w:color w:val="auto"/>
          <w:sz w:val="22"/>
        </w:rPr>
        <w:t>in relation to</w:t>
      </w:r>
      <w:r w:rsidR="00656BD3" w:rsidRPr="00F21C20">
        <w:rPr>
          <w:b/>
          <w:bCs/>
          <w:i w:val="0"/>
          <w:color w:val="auto"/>
          <w:sz w:val="22"/>
        </w:rPr>
        <w:t xml:space="preserve"> </w:t>
      </w:r>
      <w:r w:rsidRPr="00F21C20">
        <w:rPr>
          <w:b/>
          <w:bCs/>
          <w:i w:val="0"/>
          <w:color w:val="auto"/>
          <w:sz w:val="22"/>
        </w:rPr>
        <w:t xml:space="preserve">the </w:t>
      </w:r>
      <w:r w:rsidR="00656BD3">
        <w:rPr>
          <w:b/>
          <w:bCs/>
          <w:i w:val="0"/>
          <w:color w:val="auto"/>
          <w:sz w:val="22"/>
        </w:rPr>
        <w:t xml:space="preserve">number of </w:t>
      </w:r>
      <w:r w:rsidRPr="00F21C20">
        <w:rPr>
          <w:b/>
          <w:bCs/>
          <w:i w:val="0"/>
          <w:color w:val="auto"/>
          <w:sz w:val="22"/>
        </w:rPr>
        <w:t xml:space="preserve">KEs </w:t>
      </w:r>
      <w:r w:rsidR="00656BD3">
        <w:rPr>
          <w:b/>
          <w:bCs/>
          <w:i w:val="0"/>
          <w:color w:val="auto"/>
          <w:sz w:val="22"/>
        </w:rPr>
        <w:t>in the</w:t>
      </w:r>
      <w:r w:rsidRPr="00F21C20">
        <w:rPr>
          <w:b/>
          <w:bCs/>
          <w:i w:val="0"/>
          <w:color w:val="auto"/>
          <w:sz w:val="22"/>
        </w:rPr>
        <w:t xml:space="preserve"> AOP </w:t>
      </w:r>
      <w:r w:rsidR="00656BD3" w:rsidRPr="00F21C20">
        <w:rPr>
          <w:b/>
          <w:bCs/>
          <w:i w:val="0"/>
          <w:color w:val="auto"/>
          <w:sz w:val="22"/>
        </w:rPr>
        <w:t xml:space="preserve">neurotoxicity </w:t>
      </w:r>
      <w:r w:rsidRPr="00F21C20">
        <w:rPr>
          <w:b/>
          <w:bCs/>
          <w:i w:val="0"/>
          <w:color w:val="auto"/>
          <w:sz w:val="22"/>
        </w:rPr>
        <w:t>network.</w:t>
      </w:r>
      <w:bookmarkEnd w:id="5"/>
      <w:bookmarkEnd w:id="6"/>
      <w:r w:rsidRPr="00F21C20">
        <w:rPr>
          <w:b/>
          <w:bCs/>
          <w:i w:val="0"/>
          <w:color w:val="auto"/>
          <w:sz w:val="22"/>
        </w:rPr>
        <w:t xml:space="preserve"> </w:t>
      </w:r>
    </w:p>
    <w:p w14:paraId="0074AA84" w14:textId="2E38EDB8" w:rsidR="007E3BA6" w:rsidRDefault="007E3BA6" w:rsidP="00F21C20">
      <w:pPr>
        <w:pStyle w:val="Caption"/>
        <w:spacing w:after="0" w:line="276" w:lineRule="auto"/>
        <w:jc w:val="both"/>
        <w:rPr>
          <w:rFonts w:asciiTheme="majorHAnsi" w:eastAsiaTheme="majorEastAsia" w:hAnsiTheme="majorHAnsi" w:cstheme="majorBidi"/>
          <w:b/>
          <w:sz w:val="24"/>
          <w:szCs w:val="26"/>
          <w:lang w:val="ro-RO"/>
        </w:rPr>
      </w:pPr>
      <w:r>
        <w:rPr>
          <w:i w:val="0"/>
          <w:color w:val="auto"/>
          <w:sz w:val="22"/>
        </w:rPr>
        <w:t>(A) represents the number of KEs and associated number of incoming KEs. (B) shows the number of KEs and associated number of outgoing KEs. (C) indicates the distribution of KEs in shared AOPs. (D) shows the distribution of KEs according to the eccentric</w:t>
      </w:r>
      <w:r w:rsidR="00656BD3">
        <w:rPr>
          <w:i w:val="0"/>
          <w:color w:val="auto"/>
          <w:sz w:val="22"/>
        </w:rPr>
        <w:t>it</w:t>
      </w:r>
      <w:r>
        <w:rPr>
          <w:i w:val="0"/>
          <w:color w:val="auto"/>
          <w:sz w:val="22"/>
        </w:rPr>
        <w:t>y score (a measure of how upstream or downstream a KE is).</w:t>
      </w:r>
      <w:r>
        <w:rPr>
          <w:lang w:val="ro-RO"/>
        </w:rPr>
        <w:br w:type="page"/>
      </w:r>
    </w:p>
    <w:p w14:paraId="16BE3B55" w14:textId="77777777" w:rsidR="007E3BA6" w:rsidRDefault="007E3BA6" w:rsidP="007E3BA6">
      <w:pPr>
        <w:pStyle w:val="Heading2"/>
        <w:rPr>
          <w:lang w:val="ro-RO"/>
        </w:rPr>
        <w:sectPr w:rsidR="007E3BA6" w:rsidSect="000A336B">
          <w:footerReference w:type="even" r:id="rId11"/>
          <w:footerReference w:type="default" r:id="rId12"/>
          <w:footerReference w:type="first" r:id="rId13"/>
          <w:pgSz w:w="12240" w:h="15840" w:code="1"/>
          <w:pgMar w:top="1134" w:right="1134" w:bottom="1134" w:left="1134" w:header="720" w:footer="720" w:gutter="0"/>
          <w:cols w:space="720"/>
          <w:titlePg/>
          <w:docGrid w:linePitch="360"/>
        </w:sectPr>
      </w:pPr>
    </w:p>
    <w:p w14:paraId="7A95AA4E" w14:textId="77777777" w:rsidR="007E3BA6" w:rsidRDefault="007E3BA6" w:rsidP="00095C48">
      <w:pPr>
        <w:jc w:val="center"/>
      </w:pPr>
      <w:r w:rsidRPr="001002CA">
        <w:rPr>
          <w:lang w:eastAsia="en-GB"/>
        </w:rPr>
        <w:lastRenderedPageBreak/>
        <w:drawing>
          <wp:inline distT="0" distB="0" distL="0" distR="0" wp14:anchorId="2E66AAAD" wp14:editId="025A2580">
            <wp:extent cx="6379171" cy="380068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4967" cy="3816049"/>
                    </a:xfrm>
                    <a:prstGeom prst="rect">
                      <a:avLst/>
                    </a:prstGeom>
                    <a:noFill/>
                  </pic:spPr>
                </pic:pic>
              </a:graphicData>
            </a:graphic>
          </wp:inline>
        </w:drawing>
      </w:r>
    </w:p>
    <w:p w14:paraId="77501DC6" w14:textId="1DBCA3DA" w:rsidR="00F21C20" w:rsidRPr="00E7650B" w:rsidRDefault="007E3BA6" w:rsidP="00F21C20">
      <w:pPr>
        <w:pStyle w:val="Caption"/>
        <w:spacing w:after="0" w:line="276" w:lineRule="auto"/>
        <w:jc w:val="both"/>
        <w:rPr>
          <w:b/>
          <w:bCs/>
          <w:i w:val="0"/>
          <w:color w:val="auto"/>
          <w:sz w:val="22"/>
          <w:szCs w:val="22"/>
          <w:lang w:val="en-US"/>
        </w:rPr>
      </w:pPr>
      <w:bookmarkStart w:id="7" w:name="_Toc10544808"/>
      <w:bookmarkStart w:id="8" w:name="_Toc11434052"/>
      <w:r w:rsidRPr="00E7650B">
        <w:rPr>
          <w:b/>
          <w:bCs/>
          <w:i w:val="0"/>
          <w:color w:val="auto"/>
          <w:sz w:val="22"/>
          <w:szCs w:val="22"/>
        </w:rPr>
        <w:t xml:space="preserve">Figure </w:t>
      </w:r>
      <w:r w:rsidR="00F21C20" w:rsidRPr="00E7650B">
        <w:rPr>
          <w:b/>
          <w:bCs/>
          <w:i w:val="0"/>
          <w:color w:val="auto"/>
          <w:sz w:val="22"/>
          <w:szCs w:val="22"/>
        </w:rPr>
        <w:t>S</w:t>
      </w:r>
      <w:r w:rsidRPr="00E7650B">
        <w:rPr>
          <w:b/>
          <w:bCs/>
          <w:i w:val="0"/>
          <w:color w:val="auto"/>
          <w:sz w:val="22"/>
          <w:szCs w:val="22"/>
        </w:rPr>
        <w:fldChar w:fldCharType="begin"/>
      </w:r>
      <w:r w:rsidRPr="00E7650B">
        <w:rPr>
          <w:b/>
          <w:bCs/>
          <w:i w:val="0"/>
          <w:color w:val="auto"/>
          <w:sz w:val="22"/>
          <w:szCs w:val="22"/>
        </w:rPr>
        <w:instrText xml:space="preserve"> SEQ Figure \* ARABIC </w:instrText>
      </w:r>
      <w:r w:rsidRPr="00E7650B">
        <w:rPr>
          <w:b/>
          <w:bCs/>
          <w:i w:val="0"/>
          <w:color w:val="auto"/>
          <w:sz w:val="22"/>
          <w:szCs w:val="22"/>
        </w:rPr>
        <w:fldChar w:fldCharType="separate"/>
      </w:r>
      <w:r w:rsidR="00F21C20" w:rsidRPr="00E7650B">
        <w:rPr>
          <w:b/>
          <w:bCs/>
          <w:i w:val="0"/>
          <w:color w:val="auto"/>
          <w:sz w:val="22"/>
          <w:szCs w:val="22"/>
        </w:rPr>
        <w:t>4</w:t>
      </w:r>
      <w:r w:rsidRPr="00E7650B">
        <w:rPr>
          <w:b/>
          <w:bCs/>
          <w:i w:val="0"/>
          <w:color w:val="auto"/>
          <w:sz w:val="22"/>
          <w:szCs w:val="22"/>
        </w:rPr>
        <w:fldChar w:fldCharType="end"/>
      </w:r>
      <w:r w:rsidRPr="00E7650B">
        <w:rPr>
          <w:b/>
          <w:bCs/>
          <w:i w:val="0"/>
          <w:color w:val="auto"/>
          <w:sz w:val="22"/>
          <w:szCs w:val="22"/>
        </w:rPr>
        <w:t xml:space="preserve">. </w:t>
      </w:r>
      <w:r w:rsidRPr="00E7650B">
        <w:rPr>
          <w:b/>
          <w:bCs/>
          <w:i w:val="0"/>
          <w:color w:val="auto"/>
          <w:sz w:val="22"/>
          <w:szCs w:val="22"/>
          <w:lang w:val="en-US"/>
        </w:rPr>
        <w:t>Derived AOP network for neurotoxicity containing adjacent and non-adjacent relationships.</w:t>
      </w:r>
      <w:bookmarkEnd w:id="7"/>
      <w:bookmarkEnd w:id="8"/>
      <w:r w:rsidRPr="00E7650B">
        <w:rPr>
          <w:b/>
          <w:bCs/>
          <w:i w:val="0"/>
          <w:color w:val="auto"/>
          <w:sz w:val="22"/>
          <w:szCs w:val="22"/>
          <w:lang w:val="en-US"/>
        </w:rPr>
        <w:t xml:space="preserve"> </w:t>
      </w:r>
    </w:p>
    <w:p w14:paraId="5AB35F95" w14:textId="0D2E2AFA" w:rsidR="007E3BA6" w:rsidRPr="00E7650B" w:rsidRDefault="007E3BA6" w:rsidP="00F21C20">
      <w:pPr>
        <w:pStyle w:val="Caption"/>
        <w:spacing w:after="0" w:line="276" w:lineRule="auto"/>
        <w:jc w:val="both"/>
        <w:rPr>
          <w:i w:val="0"/>
          <w:color w:val="auto"/>
          <w:sz w:val="22"/>
          <w:szCs w:val="22"/>
          <w:lang w:val="en-US"/>
        </w:rPr>
      </w:pPr>
      <w:r w:rsidRPr="00E7650B">
        <w:rPr>
          <w:i w:val="0"/>
          <w:color w:val="auto"/>
          <w:sz w:val="22"/>
          <w:szCs w:val="22"/>
          <w:lang w:val="en-US"/>
        </w:rPr>
        <w:t>Green squares indicate MIE</w:t>
      </w:r>
      <w:r w:rsidR="00BF6996" w:rsidRPr="00E7650B">
        <w:rPr>
          <w:i w:val="0"/>
          <w:color w:val="auto"/>
          <w:sz w:val="22"/>
          <w:szCs w:val="22"/>
          <w:lang w:val="en-US"/>
        </w:rPr>
        <w:t>s</w:t>
      </w:r>
      <w:r w:rsidRPr="00E7650B">
        <w:rPr>
          <w:i w:val="0"/>
          <w:color w:val="auto"/>
          <w:sz w:val="22"/>
          <w:szCs w:val="22"/>
          <w:lang w:val="en-US"/>
        </w:rPr>
        <w:t>, red squares indicate AO</w:t>
      </w:r>
      <w:r w:rsidR="00BF6996" w:rsidRPr="00E7650B">
        <w:rPr>
          <w:i w:val="0"/>
          <w:color w:val="auto"/>
          <w:sz w:val="22"/>
          <w:szCs w:val="22"/>
          <w:lang w:val="en-US"/>
        </w:rPr>
        <w:t>s</w:t>
      </w:r>
      <w:r w:rsidRPr="00E7650B">
        <w:rPr>
          <w:i w:val="0"/>
          <w:color w:val="auto"/>
          <w:sz w:val="22"/>
          <w:szCs w:val="22"/>
          <w:lang w:val="en-US"/>
        </w:rPr>
        <w:t xml:space="preserve">, blue squares indicate the most </w:t>
      </w:r>
      <w:r w:rsidRPr="00E7650B">
        <w:rPr>
          <w:i w:val="0"/>
          <w:color w:val="auto"/>
          <w:sz w:val="22"/>
          <w:szCs w:val="22"/>
          <w:lang w:val="ro-RO"/>
        </w:rPr>
        <w:t>common/highly connected</w:t>
      </w:r>
      <w:r w:rsidRPr="00E7650B">
        <w:rPr>
          <w:i w:val="0"/>
          <w:color w:val="auto"/>
          <w:sz w:val="22"/>
          <w:szCs w:val="22"/>
          <w:lang w:val="en-US"/>
        </w:rPr>
        <w:t xml:space="preserve"> KEs. Solid arrows indicate adjacent </w:t>
      </w:r>
      <w:r w:rsidRPr="00E7650B">
        <w:rPr>
          <w:i w:val="0"/>
          <w:color w:val="auto"/>
          <w:sz w:val="22"/>
          <w:szCs w:val="22"/>
          <w:lang w:val="ro-RO"/>
        </w:rPr>
        <w:t>relationships between KEs</w:t>
      </w:r>
      <w:r w:rsidRPr="00E7650B">
        <w:rPr>
          <w:i w:val="0"/>
          <w:color w:val="auto"/>
          <w:sz w:val="22"/>
          <w:szCs w:val="22"/>
          <w:lang w:val="en-US"/>
        </w:rPr>
        <w:t xml:space="preserve">. Dashed arrows indicate non-adjacent relationships between KEs. The qualitative weight of evidence between two </w:t>
      </w:r>
      <w:r w:rsidRPr="00E7650B">
        <w:rPr>
          <w:i w:val="0"/>
          <w:color w:val="auto"/>
          <w:sz w:val="22"/>
          <w:szCs w:val="22"/>
          <w:lang w:val="ro-RO"/>
        </w:rPr>
        <w:t>KEs</w:t>
      </w:r>
      <w:r w:rsidRPr="00E7650B">
        <w:rPr>
          <w:i w:val="0"/>
          <w:color w:val="auto"/>
          <w:sz w:val="22"/>
          <w:szCs w:val="22"/>
          <w:lang w:val="en-US"/>
        </w:rPr>
        <w:t xml:space="preserve"> is annotated as H for high, M for medium and L for low level of evidence. </w:t>
      </w:r>
    </w:p>
    <w:p w14:paraId="3344E6FC" w14:textId="77777777" w:rsidR="00B80434" w:rsidRPr="00E7650B" w:rsidRDefault="00B80434">
      <w:pPr>
        <w:rPr>
          <w:iCs/>
        </w:rPr>
      </w:pPr>
      <w:r w:rsidRPr="00E7650B">
        <w:rPr>
          <w:b/>
          <w:bCs/>
          <w:i/>
        </w:rPr>
        <w:br w:type="page"/>
      </w:r>
    </w:p>
    <w:p w14:paraId="43125F35" w14:textId="76DBAB54" w:rsidR="007E3BA6" w:rsidRPr="00F21C20" w:rsidRDefault="007E3BA6" w:rsidP="00F21C20">
      <w:pPr>
        <w:pStyle w:val="Caption"/>
        <w:keepNext/>
        <w:spacing w:after="0" w:line="360" w:lineRule="auto"/>
        <w:rPr>
          <w:b/>
          <w:bCs/>
          <w:i w:val="0"/>
          <w:color w:val="auto"/>
          <w:sz w:val="22"/>
        </w:rPr>
      </w:pPr>
      <w:bookmarkStart w:id="9" w:name="_Toc10544812"/>
      <w:bookmarkStart w:id="10" w:name="_Toc11434078"/>
      <w:r w:rsidRPr="00F21C20">
        <w:rPr>
          <w:b/>
          <w:bCs/>
          <w:i w:val="0"/>
          <w:color w:val="auto"/>
          <w:sz w:val="22"/>
        </w:rPr>
        <w:lastRenderedPageBreak/>
        <w:t xml:space="preserve">Table </w:t>
      </w:r>
      <w:r w:rsidR="00F21C20">
        <w:rPr>
          <w:b/>
          <w:bCs/>
          <w:i w:val="0"/>
          <w:color w:val="auto"/>
          <w:sz w:val="22"/>
        </w:rPr>
        <w:t>S</w:t>
      </w:r>
      <w:r w:rsidRPr="00F21C20">
        <w:rPr>
          <w:b/>
          <w:bCs/>
          <w:i w:val="0"/>
          <w:color w:val="auto"/>
          <w:sz w:val="22"/>
        </w:rPr>
        <w:fldChar w:fldCharType="begin"/>
      </w:r>
      <w:r w:rsidRPr="00F21C20">
        <w:rPr>
          <w:b/>
          <w:bCs/>
          <w:i w:val="0"/>
          <w:color w:val="auto"/>
          <w:sz w:val="22"/>
        </w:rPr>
        <w:instrText xml:space="preserve"> SEQ Table \* ARABIC </w:instrText>
      </w:r>
      <w:r w:rsidRPr="00F21C20">
        <w:rPr>
          <w:b/>
          <w:bCs/>
          <w:i w:val="0"/>
          <w:color w:val="auto"/>
          <w:sz w:val="22"/>
        </w:rPr>
        <w:fldChar w:fldCharType="separate"/>
      </w:r>
      <w:r w:rsidR="00F21C20" w:rsidRPr="00F21C20">
        <w:rPr>
          <w:b/>
          <w:bCs/>
          <w:i w:val="0"/>
          <w:color w:val="auto"/>
          <w:sz w:val="22"/>
        </w:rPr>
        <w:t>1</w:t>
      </w:r>
      <w:r w:rsidRPr="00F21C20">
        <w:rPr>
          <w:b/>
          <w:bCs/>
          <w:i w:val="0"/>
          <w:color w:val="auto"/>
          <w:sz w:val="22"/>
        </w:rPr>
        <w:fldChar w:fldCharType="end"/>
      </w:r>
      <w:r w:rsidRPr="00F21C20">
        <w:rPr>
          <w:b/>
          <w:bCs/>
          <w:i w:val="0"/>
          <w:color w:val="auto"/>
          <w:sz w:val="22"/>
        </w:rPr>
        <w:t>. Data available in the ToxCast</w:t>
      </w:r>
      <w:r w:rsidRPr="00F21C20">
        <w:rPr>
          <w:b/>
          <w:bCs/>
          <w:i w:val="0"/>
          <w:color w:val="auto"/>
          <w:sz w:val="22"/>
          <w:vertAlign w:val="superscript"/>
        </w:rPr>
        <w:t>TM</w:t>
      </w:r>
      <w:r w:rsidRPr="00F21C20">
        <w:rPr>
          <w:b/>
          <w:bCs/>
          <w:i w:val="0"/>
          <w:color w:val="auto"/>
          <w:sz w:val="22"/>
        </w:rPr>
        <w:t xml:space="preserve"> dashboard linking biological processes with available assays which can be anchored to KEs defined in neurotoxicity</w:t>
      </w:r>
      <w:r w:rsidR="009F4420">
        <w:rPr>
          <w:b/>
          <w:bCs/>
          <w:i w:val="0"/>
          <w:color w:val="auto"/>
          <w:sz w:val="22"/>
        </w:rPr>
        <w:t>-relevant AOPs</w:t>
      </w:r>
      <w:r w:rsidRPr="00F21C20">
        <w:rPr>
          <w:b/>
          <w:bCs/>
          <w:i w:val="0"/>
          <w:color w:val="auto"/>
          <w:sz w:val="22"/>
        </w:rPr>
        <w:t>.</w:t>
      </w:r>
      <w:bookmarkEnd w:id="9"/>
      <w:bookmarkEnd w:id="10"/>
    </w:p>
    <w:tbl>
      <w:tblPr>
        <w:tblStyle w:val="GridTable1Light-Accent11"/>
        <w:tblW w:w="5000" w:type="pct"/>
        <w:tblLook w:val="04A0" w:firstRow="1" w:lastRow="0" w:firstColumn="1" w:lastColumn="0" w:noHBand="0" w:noVBand="1"/>
      </w:tblPr>
      <w:tblGrid>
        <w:gridCol w:w="2709"/>
        <w:gridCol w:w="1076"/>
        <w:gridCol w:w="959"/>
        <w:gridCol w:w="1678"/>
        <w:gridCol w:w="1368"/>
        <w:gridCol w:w="935"/>
        <w:gridCol w:w="1237"/>
      </w:tblGrid>
      <w:tr w:rsidR="00B80434" w:rsidRPr="0098053E" w14:paraId="0B69E00F" w14:textId="77777777" w:rsidTr="00E507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pct"/>
            <w:shd w:val="clear" w:color="auto" w:fill="5B9BD5" w:themeFill="accent5"/>
            <w:vAlign w:val="center"/>
          </w:tcPr>
          <w:p w14:paraId="32DB4B2C" w14:textId="77777777" w:rsidR="007E3BA6" w:rsidRPr="0098053E" w:rsidRDefault="007E3BA6" w:rsidP="00E507B6">
            <w:pPr>
              <w:jc w:val="center"/>
              <w:rPr>
                <w:rFonts w:cstheme="minorHAnsi"/>
                <w:color w:val="FFFFFF" w:themeColor="background1"/>
                <w:sz w:val="18"/>
                <w:szCs w:val="18"/>
              </w:rPr>
            </w:pPr>
            <w:r w:rsidRPr="0098053E">
              <w:rPr>
                <w:rFonts w:cstheme="minorHAnsi"/>
                <w:color w:val="FFFFFF" w:themeColor="background1"/>
                <w:sz w:val="18"/>
                <w:szCs w:val="18"/>
              </w:rPr>
              <w:t>Assay Component Endpoint Name</w:t>
            </w:r>
          </w:p>
        </w:tc>
        <w:tc>
          <w:tcPr>
            <w:tcW w:w="640" w:type="pct"/>
            <w:shd w:val="clear" w:color="auto" w:fill="5B9BD5" w:themeFill="accent5"/>
            <w:vAlign w:val="center"/>
          </w:tcPr>
          <w:p w14:paraId="21DFA570"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Biological Process Target</w:t>
            </w:r>
          </w:p>
        </w:tc>
        <w:tc>
          <w:tcPr>
            <w:tcW w:w="570" w:type="pct"/>
            <w:shd w:val="clear" w:color="auto" w:fill="5B9BD5" w:themeFill="accent5"/>
            <w:vAlign w:val="center"/>
          </w:tcPr>
          <w:p w14:paraId="1BDA73FC"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Assay</w:t>
            </w:r>
          </w:p>
          <w:p w14:paraId="26A04A2A"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Function Type</w:t>
            </w:r>
          </w:p>
        </w:tc>
        <w:tc>
          <w:tcPr>
            <w:tcW w:w="952" w:type="pct"/>
            <w:shd w:val="clear" w:color="auto" w:fill="5B9BD5" w:themeFill="accent5"/>
            <w:vAlign w:val="center"/>
          </w:tcPr>
          <w:p w14:paraId="6E49E8E6"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Gene Name</w:t>
            </w:r>
          </w:p>
        </w:tc>
        <w:tc>
          <w:tcPr>
            <w:tcW w:w="687" w:type="pct"/>
            <w:shd w:val="clear" w:color="auto" w:fill="5B9BD5" w:themeFill="accent5"/>
            <w:vAlign w:val="center"/>
          </w:tcPr>
          <w:p w14:paraId="2478AFE0"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Intended Target</w:t>
            </w:r>
          </w:p>
          <w:p w14:paraId="44FFE2A4"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Family</w:t>
            </w:r>
          </w:p>
        </w:tc>
        <w:tc>
          <w:tcPr>
            <w:tcW w:w="538" w:type="pct"/>
            <w:shd w:val="clear" w:color="auto" w:fill="5B9BD5" w:themeFill="accent5"/>
            <w:vAlign w:val="center"/>
          </w:tcPr>
          <w:p w14:paraId="27A6853F"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Organism</w:t>
            </w:r>
          </w:p>
        </w:tc>
        <w:tc>
          <w:tcPr>
            <w:tcW w:w="619" w:type="pct"/>
            <w:shd w:val="clear" w:color="auto" w:fill="5B9BD5" w:themeFill="accent5"/>
            <w:vAlign w:val="center"/>
          </w:tcPr>
          <w:p w14:paraId="3A52894B" w14:textId="77777777" w:rsidR="007E3BA6" w:rsidRPr="0098053E" w:rsidRDefault="007E3BA6" w:rsidP="00E507B6">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98053E">
              <w:rPr>
                <w:rFonts w:cstheme="minorHAnsi"/>
                <w:color w:val="FFFFFF" w:themeColor="background1"/>
                <w:sz w:val="18"/>
                <w:szCs w:val="18"/>
              </w:rPr>
              <w:t>AOP KE</w:t>
            </w:r>
          </w:p>
        </w:tc>
      </w:tr>
      <w:tr w:rsidR="00B80434" w:rsidRPr="0098053E" w14:paraId="36FED75C"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77C562CF" w14:textId="77777777" w:rsidR="007E3BA6" w:rsidRPr="0098053E" w:rsidRDefault="007E3BA6" w:rsidP="00E507B6">
            <w:pPr>
              <w:rPr>
                <w:rFonts w:cstheme="minorHAnsi"/>
                <w:sz w:val="18"/>
                <w:szCs w:val="18"/>
              </w:rPr>
            </w:pPr>
            <w:r w:rsidRPr="0098053E">
              <w:rPr>
                <w:rFonts w:cstheme="minorHAnsi"/>
                <w:sz w:val="18"/>
                <w:szCs w:val="18"/>
              </w:rPr>
              <w:t>NVS_ENZ_rCNOS</w:t>
            </w:r>
          </w:p>
        </w:tc>
        <w:tc>
          <w:tcPr>
            <w:tcW w:w="640" w:type="pct"/>
            <w:vAlign w:val="center"/>
          </w:tcPr>
          <w:p w14:paraId="6A6C845A"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601E52E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Enzymatic activity</w:t>
            </w:r>
          </w:p>
        </w:tc>
        <w:tc>
          <w:tcPr>
            <w:tcW w:w="952" w:type="pct"/>
            <w:vAlign w:val="center"/>
          </w:tcPr>
          <w:p w14:paraId="06602CF6"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Nitric oxide synthase 1</w:t>
            </w:r>
          </w:p>
        </w:tc>
        <w:tc>
          <w:tcPr>
            <w:tcW w:w="687" w:type="pct"/>
            <w:vAlign w:val="center"/>
          </w:tcPr>
          <w:p w14:paraId="32A98B3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Oxidoreductase</w:t>
            </w:r>
          </w:p>
        </w:tc>
        <w:tc>
          <w:tcPr>
            <w:tcW w:w="538" w:type="pct"/>
            <w:vAlign w:val="center"/>
          </w:tcPr>
          <w:p w14:paraId="2D4DCEF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1D0A80E0"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Oxidative Stress</w:t>
            </w:r>
          </w:p>
        </w:tc>
      </w:tr>
      <w:tr w:rsidR="00B80434" w:rsidRPr="0098053E" w14:paraId="51C83997"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6998B0EC" w14:textId="77777777" w:rsidR="007E3BA6" w:rsidRPr="0098053E" w:rsidRDefault="007E3BA6" w:rsidP="00E507B6">
            <w:pPr>
              <w:rPr>
                <w:rFonts w:cstheme="minorHAnsi"/>
                <w:sz w:val="18"/>
                <w:szCs w:val="18"/>
              </w:rPr>
            </w:pPr>
            <w:r w:rsidRPr="0098053E">
              <w:rPr>
                <w:rFonts w:cstheme="minorHAnsi"/>
                <w:sz w:val="18"/>
                <w:szCs w:val="18"/>
              </w:rPr>
              <w:t>NVS_LGIC_rAMPA</w:t>
            </w:r>
          </w:p>
        </w:tc>
        <w:tc>
          <w:tcPr>
            <w:tcW w:w="640" w:type="pct"/>
            <w:vAlign w:val="center"/>
          </w:tcPr>
          <w:p w14:paraId="21C83909"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1940C5F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64F686D0"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Glutamate receptor, ionotropic, AMPA 1</w:t>
            </w:r>
          </w:p>
        </w:tc>
        <w:tc>
          <w:tcPr>
            <w:tcW w:w="687" w:type="pct"/>
            <w:vAlign w:val="center"/>
          </w:tcPr>
          <w:p w14:paraId="609ED8B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48ECC7A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3EB5714C"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 of agonist, Ionotropic glutamate receptors</w:t>
            </w:r>
          </w:p>
        </w:tc>
      </w:tr>
      <w:tr w:rsidR="00B80434" w:rsidRPr="0098053E" w14:paraId="2F6E1021"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09562C8D" w14:textId="77777777" w:rsidR="007E3BA6" w:rsidRPr="0098053E" w:rsidRDefault="007E3BA6" w:rsidP="00E507B6">
            <w:pPr>
              <w:rPr>
                <w:rFonts w:cstheme="minorHAnsi"/>
                <w:sz w:val="18"/>
                <w:szCs w:val="18"/>
              </w:rPr>
            </w:pPr>
            <w:r w:rsidRPr="0098053E">
              <w:rPr>
                <w:rFonts w:cstheme="minorHAnsi"/>
                <w:sz w:val="18"/>
                <w:szCs w:val="18"/>
              </w:rPr>
              <w:t>NVS_IC_rKAR</w:t>
            </w:r>
          </w:p>
        </w:tc>
        <w:tc>
          <w:tcPr>
            <w:tcW w:w="640" w:type="pct"/>
            <w:vAlign w:val="center"/>
          </w:tcPr>
          <w:p w14:paraId="49F7D6C4"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43F70A39"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7750118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Glutamate receptor, ionotropic, kainate 1</w:t>
            </w:r>
          </w:p>
        </w:tc>
        <w:tc>
          <w:tcPr>
            <w:tcW w:w="687" w:type="pct"/>
            <w:vAlign w:val="center"/>
          </w:tcPr>
          <w:p w14:paraId="55BE878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0961DAC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0A13AA04"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 of agonist, Ionotropic glutamate receptors</w:t>
            </w:r>
          </w:p>
        </w:tc>
      </w:tr>
      <w:tr w:rsidR="00B80434" w:rsidRPr="0098053E" w14:paraId="1BEB831F"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2C6D9011" w14:textId="77777777" w:rsidR="007E3BA6" w:rsidRPr="0098053E" w:rsidRDefault="007E3BA6" w:rsidP="00E507B6">
            <w:pPr>
              <w:rPr>
                <w:rFonts w:cstheme="minorHAnsi"/>
                <w:sz w:val="18"/>
                <w:szCs w:val="18"/>
              </w:rPr>
            </w:pPr>
            <w:r w:rsidRPr="0098053E">
              <w:rPr>
                <w:rFonts w:cstheme="minorHAnsi"/>
                <w:sz w:val="18"/>
                <w:szCs w:val="18"/>
              </w:rPr>
              <w:t>NVS_GPCR_bDR_NonSelective</w:t>
            </w:r>
          </w:p>
        </w:tc>
        <w:tc>
          <w:tcPr>
            <w:tcW w:w="640" w:type="pct"/>
            <w:vAlign w:val="center"/>
          </w:tcPr>
          <w:p w14:paraId="023C99F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69EC797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2FFDB6E9"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Dopamine receptor D1</w:t>
            </w:r>
          </w:p>
        </w:tc>
        <w:tc>
          <w:tcPr>
            <w:tcW w:w="687" w:type="pct"/>
            <w:vAlign w:val="center"/>
          </w:tcPr>
          <w:p w14:paraId="335ED4D9"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 protein-coupled receptor</w:t>
            </w:r>
          </w:p>
        </w:tc>
        <w:tc>
          <w:tcPr>
            <w:tcW w:w="538" w:type="pct"/>
            <w:vAlign w:val="center"/>
          </w:tcPr>
          <w:p w14:paraId="58185841"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Bovine</w:t>
            </w:r>
          </w:p>
        </w:tc>
        <w:tc>
          <w:tcPr>
            <w:tcW w:w="619" w:type="pct"/>
            <w:vAlign w:val="center"/>
          </w:tcPr>
          <w:p w14:paraId="38FEA42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Dopaminergic neurons</w:t>
            </w:r>
          </w:p>
        </w:tc>
      </w:tr>
      <w:tr w:rsidR="00B80434" w:rsidRPr="0098053E" w14:paraId="658BB387"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3511FCC7" w14:textId="77777777" w:rsidR="007E3BA6" w:rsidRPr="0098053E" w:rsidRDefault="007E3BA6" w:rsidP="00E507B6">
            <w:pPr>
              <w:rPr>
                <w:rFonts w:cstheme="minorHAnsi"/>
                <w:sz w:val="18"/>
                <w:szCs w:val="18"/>
              </w:rPr>
            </w:pPr>
            <w:r w:rsidRPr="0098053E">
              <w:rPr>
                <w:rFonts w:cstheme="minorHAnsi"/>
                <w:sz w:val="18"/>
                <w:szCs w:val="18"/>
              </w:rPr>
              <w:t>NVS_TR_gDAT</w:t>
            </w:r>
          </w:p>
        </w:tc>
        <w:tc>
          <w:tcPr>
            <w:tcW w:w="640" w:type="pct"/>
            <w:vAlign w:val="center"/>
          </w:tcPr>
          <w:p w14:paraId="0E1B20D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41C74A3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15781593"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Solute carrier family 6 (neurotransmitter transporter, dopamine), member 3</w:t>
            </w:r>
          </w:p>
        </w:tc>
        <w:tc>
          <w:tcPr>
            <w:tcW w:w="687" w:type="pct"/>
            <w:vAlign w:val="center"/>
          </w:tcPr>
          <w:p w14:paraId="3AE07534"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Transporter</w:t>
            </w:r>
          </w:p>
        </w:tc>
        <w:tc>
          <w:tcPr>
            <w:tcW w:w="538" w:type="pct"/>
            <w:vAlign w:val="center"/>
          </w:tcPr>
          <w:p w14:paraId="4FFD2CB3"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Guinea pig</w:t>
            </w:r>
          </w:p>
        </w:tc>
        <w:tc>
          <w:tcPr>
            <w:tcW w:w="619" w:type="pct"/>
            <w:vAlign w:val="center"/>
          </w:tcPr>
          <w:p w14:paraId="3EA89C94"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Dopaminergic neurons</w:t>
            </w:r>
          </w:p>
        </w:tc>
      </w:tr>
      <w:tr w:rsidR="00B80434" w:rsidRPr="0098053E" w14:paraId="363E0500"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3B73331C" w14:textId="77777777" w:rsidR="007E3BA6" w:rsidRPr="0098053E" w:rsidRDefault="007E3BA6" w:rsidP="00E507B6">
            <w:pPr>
              <w:rPr>
                <w:rFonts w:cstheme="minorHAnsi"/>
                <w:sz w:val="18"/>
                <w:szCs w:val="18"/>
              </w:rPr>
            </w:pPr>
            <w:r w:rsidRPr="0098053E">
              <w:rPr>
                <w:rFonts w:cstheme="minorHAnsi"/>
                <w:sz w:val="18"/>
                <w:szCs w:val="18"/>
              </w:rPr>
              <w:t>NVS_GPCR_bNPY_NonSelective</w:t>
            </w:r>
          </w:p>
        </w:tc>
        <w:tc>
          <w:tcPr>
            <w:tcW w:w="640" w:type="pct"/>
            <w:vAlign w:val="center"/>
          </w:tcPr>
          <w:p w14:paraId="4D7C96A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3FAD856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7EE475D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Neuropeptide Y</w:t>
            </w:r>
          </w:p>
        </w:tc>
        <w:tc>
          <w:tcPr>
            <w:tcW w:w="687" w:type="pct"/>
            <w:vAlign w:val="center"/>
          </w:tcPr>
          <w:p w14:paraId="1D8ACC99"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 protein-coupled receptor</w:t>
            </w:r>
          </w:p>
        </w:tc>
        <w:tc>
          <w:tcPr>
            <w:tcW w:w="538" w:type="pct"/>
            <w:vAlign w:val="center"/>
          </w:tcPr>
          <w:p w14:paraId="70D7C24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Bovine</w:t>
            </w:r>
          </w:p>
        </w:tc>
        <w:tc>
          <w:tcPr>
            <w:tcW w:w="619" w:type="pct"/>
            <w:vAlign w:val="center"/>
          </w:tcPr>
          <w:p w14:paraId="2045F11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1F87696C"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04529317" w14:textId="77777777" w:rsidR="007E3BA6" w:rsidRPr="0098053E" w:rsidRDefault="007E3BA6" w:rsidP="00E507B6">
            <w:pPr>
              <w:rPr>
                <w:rFonts w:cstheme="minorHAnsi"/>
                <w:sz w:val="18"/>
                <w:szCs w:val="18"/>
              </w:rPr>
            </w:pPr>
            <w:r w:rsidRPr="0098053E">
              <w:rPr>
                <w:rFonts w:cstheme="minorHAnsi"/>
                <w:sz w:val="18"/>
                <w:szCs w:val="18"/>
              </w:rPr>
              <w:t>NVS_GPCR_rGABBR</w:t>
            </w:r>
          </w:p>
        </w:tc>
        <w:tc>
          <w:tcPr>
            <w:tcW w:w="640" w:type="pct"/>
            <w:vAlign w:val="center"/>
          </w:tcPr>
          <w:p w14:paraId="6EE194C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5F154B5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4EF83986"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Gamma-aminobutyric acid (GABA) B receptor 1</w:t>
            </w:r>
          </w:p>
        </w:tc>
        <w:tc>
          <w:tcPr>
            <w:tcW w:w="687" w:type="pct"/>
            <w:vAlign w:val="center"/>
          </w:tcPr>
          <w:p w14:paraId="23C39941"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 protein-coupled receptor</w:t>
            </w:r>
          </w:p>
        </w:tc>
        <w:tc>
          <w:tcPr>
            <w:tcW w:w="538" w:type="pct"/>
            <w:vAlign w:val="center"/>
          </w:tcPr>
          <w:p w14:paraId="21DB28B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6FB5764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3EA8ACC6"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28E40FCE" w14:textId="77777777" w:rsidR="007E3BA6" w:rsidRPr="0098053E" w:rsidRDefault="007E3BA6" w:rsidP="00E507B6">
            <w:pPr>
              <w:rPr>
                <w:rFonts w:cstheme="minorHAnsi"/>
                <w:sz w:val="18"/>
                <w:szCs w:val="18"/>
              </w:rPr>
            </w:pPr>
            <w:r w:rsidRPr="0098053E">
              <w:rPr>
                <w:rFonts w:cstheme="minorHAnsi"/>
                <w:sz w:val="18"/>
                <w:szCs w:val="18"/>
              </w:rPr>
              <w:t>NVS_LGIC_bGABAR_Agonist</w:t>
            </w:r>
          </w:p>
        </w:tc>
        <w:tc>
          <w:tcPr>
            <w:tcW w:w="640" w:type="pct"/>
            <w:vAlign w:val="center"/>
          </w:tcPr>
          <w:p w14:paraId="503F14D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1F0EA4F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0FDB680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Gamma-aminobutyric acid (GABA) A receptor, alpha 1</w:t>
            </w:r>
          </w:p>
        </w:tc>
        <w:tc>
          <w:tcPr>
            <w:tcW w:w="687" w:type="pct"/>
            <w:vAlign w:val="center"/>
          </w:tcPr>
          <w:p w14:paraId="6F33B02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2CF8FA6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Bovine</w:t>
            </w:r>
          </w:p>
        </w:tc>
        <w:tc>
          <w:tcPr>
            <w:tcW w:w="619" w:type="pct"/>
            <w:vAlign w:val="center"/>
          </w:tcPr>
          <w:p w14:paraId="66AAB9D9"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1F0579DF"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67F8F3D4" w14:textId="77777777" w:rsidR="007E3BA6" w:rsidRPr="0098053E" w:rsidRDefault="007E3BA6" w:rsidP="00E507B6">
            <w:pPr>
              <w:rPr>
                <w:rFonts w:cstheme="minorHAnsi"/>
                <w:sz w:val="18"/>
                <w:szCs w:val="18"/>
              </w:rPr>
            </w:pPr>
            <w:r w:rsidRPr="0098053E">
              <w:rPr>
                <w:rFonts w:cstheme="minorHAnsi"/>
                <w:sz w:val="18"/>
                <w:szCs w:val="18"/>
              </w:rPr>
              <w:t>NVS_LGIC_bGABARa1</w:t>
            </w:r>
          </w:p>
        </w:tc>
        <w:tc>
          <w:tcPr>
            <w:tcW w:w="640" w:type="pct"/>
            <w:vAlign w:val="center"/>
          </w:tcPr>
          <w:p w14:paraId="54AF0C4B"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5A7771E3"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3358E6BC"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Gamma-aminobutyric acid (GABA) A receptor, alpha 1</w:t>
            </w:r>
          </w:p>
        </w:tc>
        <w:tc>
          <w:tcPr>
            <w:tcW w:w="687" w:type="pct"/>
            <w:vAlign w:val="center"/>
          </w:tcPr>
          <w:p w14:paraId="749888E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1AC8A7CA"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Bovine</w:t>
            </w:r>
          </w:p>
        </w:tc>
        <w:tc>
          <w:tcPr>
            <w:tcW w:w="619" w:type="pct"/>
            <w:vAlign w:val="center"/>
          </w:tcPr>
          <w:p w14:paraId="1ED9A7C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204E8E04"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302122ED" w14:textId="77777777" w:rsidR="007E3BA6" w:rsidRPr="0098053E" w:rsidRDefault="007E3BA6" w:rsidP="00E507B6">
            <w:pPr>
              <w:rPr>
                <w:rFonts w:cstheme="minorHAnsi"/>
                <w:sz w:val="18"/>
                <w:szCs w:val="18"/>
              </w:rPr>
            </w:pPr>
            <w:r w:rsidRPr="0098053E">
              <w:rPr>
                <w:rFonts w:cstheme="minorHAnsi"/>
                <w:sz w:val="18"/>
                <w:szCs w:val="18"/>
              </w:rPr>
              <w:t>NVS_LGIC_bGABARa5</w:t>
            </w:r>
          </w:p>
        </w:tc>
        <w:tc>
          <w:tcPr>
            <w:tcW w:w="640" w:type="pct"/>
            <w:vAlign w:val="center"/>
          </w:tcPr>
          <w:p w14:paraId="0245997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431C587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317BCED1"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Gamma-aminobutyric acid (GABA) A receptor, alpha 5</w:t>
            </w:r>
          </w:p>
        </w:tc>
        <w:tc>
          <w:tcPr>
            <w:tcW w:w="687" w:type="pct"/>
            <w:vAlign w:val="center"/>
          </w:tcPr>
          <w:p w14:paraId="75B9E7C3"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77FD1AB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Bovine</w:t>
            </w:r>
          </w:p>
        </w:tc>
        <w:tc>
          <w:tcPr>
            <w:tcW w:w="619" w:type="pct"/>
            <w:vAlign w:val="center"/>
          </w:tcPr>
          <w:p w14:paraId="43F81BC8"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55AFE851"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00AAF870" w14:textId="77777777" w:rsidR="007E3BA6" w:rsidRPr="0098053E" w:rsidRDefault="007E3BA6" w:rsidP="00E507B6">
            <w:pPr>
              <w:rPr>
                <w:rFonts w:cstheme="minorHAnsi"/>
                <w:sz w:val="18"/>
                <w:szCs w:val="18"/>
              </w:rPr>
            </w:pPr>
            <w:r w:rsidRPr="0098053E">
              <w:rPr>
                <w:rFonts w:cstheme="minorHAnsi"/>
                <w:sz w:val="18"/>
                <w:szCs w:val="18"/>
              </w:rPr>
              <w:t>NVS_LGIC_rGABAR_NonSelective</w:t>
            </w:r>
          </w:p>
        </w:tc>
        <w:tc>
          <w:tcPr>
            <w:tcW w:w="640" w:type="pct"/>
            <w:vAlign w:val="center"/>
          </w:tcPr>
          <w:p w14:paraId="3A099104"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1C0D265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3F858FE8"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Gamma-aminobutyric acid (GABA) A receptor, alpha 1</w:t>
            </w:r>
          </w:p>
        </w:tc>
        <w:tc>
          <w:tcPr>
            <w:tcW w:w="687" w:type="pct"/>
            <w:vAlign w:val="center"/>
          </w:tcPr>
          <w:p w14:paraId="01EE941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38B51EC3"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1769ECD8"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1189C2BC"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58706110" w14:textId="77777777" w:rsidR="007E3BA6" w:rsidRPr="0098053E" w:rsidRDefault="007E3BA6" w:rsidP="00E507B6">
            <w:pPr>
              <w:rPr>
                <w:rFonts w:cstheme="minorHAnsi"/>
                <w:sz w:val="18"/>
                <w:szCs w:val="18"/>
              </w:rPr>
            </w:pPr>
            <w:r w:rsidRPr="0098053E">
              <w:rPr>
                <w:rFonts w:cstheme="minorHAnsi"/>
                <w:sz w:val="18"/>
                <w:szCs w:val="18"/>
              </w:rPr>
              <w:t>NVS_LGIC_rGABARa6</w:t>
            </w:r>
          </w:p>
        </w:tc>
        <w:tc>
          <w:tcPr>
            <w:tcW w:w="640" w:type="pct"/>
            <w:vAlign w:val="center"/>
          </w:tcPr>
          <w:p w14:paraId="6A48836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7AE598B2"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551FF12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Gamma-aminobutyric acid (GABA) A receptor, alpha 6</w:t>
            </w:r>
          </w:p>
        </w:tc>
        <w:tc>
          <w:tcPr>
            <w:tcW w:w="687" w:type="pct"/>
            <w:vAlign w:val="center"/>
          </w:tcPr>
          <w:p w14:paraId="45735530"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7497DB1D"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00BDEF16"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GABAergic neurons</w:t>
            </w:r>
          </w:p>
        </w:tc>
      </w:tr>
      <w:tr w:rsidR="00B80434" w:rsidRPr="0098053E" w14:paraId="305B7C6B"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6D00726C" w14:textId="77777777" w:rsidR="007E3BA6" w:rsidRPr="0098053E" w:rsidRDefault="007E3BA6" w:rsidP="00E507B6">
            <w:pPr>
              <w:rPr>
                <w:rFonts w:cstheme="minorHAnsi"/>
                <w:sz w:val="18"/>
                <w:szCs w:val="18"/>
              </w:rPr>
            </w:pPr>
            <w:r w:rsidRPr="0098053E">
              <w:rPr>
                <w:rFonts w:cstheme="minorHAnsi"/>
                <w:sz w:val="18"/>
                <w:szCs w:val="18"/>
              </w:rPr>
              <w:t>NVS_IC_rCaBTZCHL</w:t>
            </w:r>
          </w:p>
        </w:tc>
        <w:tc>
          <w:tcPr>
            <w:tcW w:w="640" w:type="pct"/>
            <w:vAlign w:val="center"/>
          </w:tcPr>
          <w:p w14:paraId="4532938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405389A0"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5FD38D33"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Calcium channel, voltage-dependent, P/Q type, alpha 1A subunit</w:t>
            </w:r>
          </w:p>
        </w:tc>
        <w:tc>
          <w:tcPr>
            <w:tcW w:w="687" w:type="pct"/>
            <w:vAlign w:val="center"/>
          </w:tcPr>
          <w:p w14:paraId="51DCC1B5"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1D0010FA"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26980098"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Calcium channels</w:t>
            </w:r>
          </w:p>
        </w:tc>
      </w:tr>
      <w:tr w:rsidR="00B80434" w:rsidRPr="0098053E" w14:paraId="6D53C3B8"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40C0ED5D" w14:textId="77777777" w:rsidR="007E3BA6" w:rsidRPr="0098053E" w:rsidRDefault="007E3BA6" w:rsidP="00E507B6">
            <w:pPr>
              <w:rPr>
                <w:rFonts w:cstheme="minorHAnsi"/>
                <w:sz w:val="18"/>
                <w:szCs w:val="18"/>
              </w:rPr>
            </w:pPr>
            <w:r w:rsidRPr="0098053E">
              <w:rPr>
                <w:rFonts w:cstheme="minorHAnsi"/>
                <w:sz w:val="18"/>
                <w:szCs w:val="18"/>
              </w:rPr>
              <w:lastRenderedPageBreak/>
              <w:t>NVS_IC_rCaChN</w:t>
            </w:r>
          </w:p>
        </w:tc>
        <w:tc>
          <w:tcPr>
            <w:tcW w:w="640" w:type="pct"/>
            <w:vAlign w:val="center"/>
          </w:tcPr>
          <w:p w14:paraId="445ED01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0462E5B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61147181"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Calcium channel, voltage-dependent, N type, alpha 1B subunit</w:t>
            </w:r>
          </w:p>
        </w:tc>
        <w:tc>
          <w:tcPr>
            <w:tcW w:w="687" w:type="pct"/>
            <w:vAlign w:val="center"/>
          </w:tcPr>
          <w:p w14:paraId="685346A4"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5DC9E72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25B6B53E"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Calcium channels</w:t>
            </w:r>
          </w:p>
        </w:tc>
      </w:tr>
      <w:tr w:rsidR="00B80434" w:rsidRPr="0098053E" w14:paraId="39CF30D8" w14:textId="77777777" w:rsidTr="00E507B6">
        <w:tc>
          <w:tcPr>
            <w:cnfStyle w:val="001000000000" w:firstRow="0" w:lastRow="0" w:firstColumn="1" w:lastColumn="0" w:oddVBand="0" w:evenVBand="0" w:oddHBand="0" w:evenHBand="0" w:firstRowFirstColumn="0" w:firstRowLastColumn="0" w:lastRowFirstColumn="0" w:lastRowLastColumn="0"/>
            <w:tcW w:w="994" w:type="pct"/>
            <w:vAlign w:val="center"/>
          </w:tcPr>
          <w:p w14:paraId="41884C86" w14:textId="77777777" w:rsidR="007E3BA6" w:rsidRPr="0098053E" w:rsidRDefault="007E3BA6" w:rsidP="00E507B6">
            <w:pPr>
              <w:rPr>
                <w:rFonts w:cstheme="minorHAnsi"/>
                <w:sz w:val="18"/>
                <w:szCs w:val="18"/>
              </w:rPr>
            </w:pPr>
            <w:r w:rsidRPr="0098053E">
              <w:rPr>
                <w:rFonts w:cstheme="minorHAnsi"/>
                <w:sz w:val="18"/>
                <w:szCs w:val="18"/>
              </w:rPr>
              <w:t>NVS_IC_rCaDHPRCh_L</w:t>
            </w:r>
          </w:p>
        </w:tc>
        <w:tc>
          <w:tcPr>
            <w:tcW w:w="640" w:type="pct"/>
            <w:vAlign w:val="center"/>
          </w:tcPr>
          <w:p w14:paraId="24EC9310"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Receptor binding</w:t>
            </w:r>
          </w:p>
        </w:tc>
        <w:tc>
          <w:tcPr>
            <w:tcW w:w="570" w:type="pct"/>
            <w:vAlign w:val="center"/>
          </w:tcPr>
          <w:p w14:paraId="22D2933F"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Binding</w:t>
            </w:r>
          </w:p>
        </w:tc>
        <w:tc>
          <w:tcPr>
            <w:tcW w:w="952" w:type="pct"/>
            <w:vAlign w:val="center"/>
          </w:tcPr>
          <w:p w14:paraId="0367A7D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Calcium channel, voltage-dependent, P/Q type, alpha 1A subunit</w:t>
            </w:r>
          </w:p>
        </w:tc>
        <w:tc>
          <w:tcPr>
            <w:tcW w:w="687" w:type="pct"/>
            <w:vAlign w:val="center"/>
          </w:tcPr>
          <w:p w14:paraId="3A9E8F50"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Ion channel</w:t>
            </w:r>
          </w:p>
        </w:tc>
        <w:tc>
          <w:tcPr>
            <w:tcW w:w="538" w:type="pct"/>
            <w:vAlign w:val="center"/>
          </w:tcPr>
          <w:p w14:paraId="6FECD058"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Rat</w:t>
            </w:r>
          </w:p>
        </w:tc>
        <w:tc>
          <w:tcPr>
            <w:tcW w:w="619" w:type="pct"/>
            <w:vAlign w:val="center"/>
          </w:tcPr>
          <w:p w14:paraId="6B01A977" w14:textId="77777777" w:rsidR="007E3BA6" w:rsidRPr="0098053E" w:rsidRDefault="007E3BA6" w:rsidP="00E507B6">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8053E">
              <w:rPr>
                <w:rFonts w:cstheme="minorHAnsi"/>
                <w:sz w:val="18"/>
                <w:szCs w:val="18"/>
              </w:rPr>
              <w:t>Calcium channels</w:t>
            </w:r>
          </w:p>
        </w:tc>
      </w:tr>
    </w:tbl>
    <w:p w14:paraId="206A3E3B" w14:textId="77777777" w:rsidR="00253438" w:rsidRDefault="00253438" w:rsidP="00F21C20"/>
    <w:sectPr w:rsidR="00253438" w:rsidSect="00B80434">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77F9D" w14:textId="77777777" w:rsidR="00A27988" w:rsidRDefault="00A27988" w:rsidP="004D1AA9">
      <w:pPr>
        <w:spacing w:after="0" w:line="240" w:lineRule="auto"/>
      </w:pPr>
      <w:r>
        <w:separator/>
      </w:r>
    </w:p>
  </w:endnote>
  <w:endnote w:type="continuationSeparator" w:id="0">
    <w:p w14:paraId="0D01B6E0" w14:textId="77777777" w:rsidR="00A27988" w:rsidRDefault="00A27988" w:rsidP="004D1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6BF61" w14:textId="32582CBA" w:rsidR="00B96CF7" w:rsidRDefault="00B96CF7" w:rsidP="00B96CF7">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13724950"/>
      <w:docPartObj>
        <w:docPartGallery w:val="Page Numbers (Bottom of Page)"/>
        <w:docPartUnique/>
      </w:docPartObj>
    </w:sdtPr>
    <w:sdtEndPr>
      <w:rPr>
        <w:noProof/>
      </w:rPr>
    </w:sdtEndPr>
    <w:sdtContent>
      <w:p w14:paraId="2CE20F32" w14:textId="527A8984" w:rsidR="000A336B" w:rsidRDefault="000A336B">
        <w:pPr>
          <w:pStyle w:val="Footer"/>
          <w:jc w:val="center"/>
        </w:pPr>
        <w:r>
          <w:rPr>
            <w:noProof w:val="0"/>
          </w:rPr>
          <w:fldChar w:fldCharType="begin"/>
        </w:r>
        <w:r>
          <w:instrText xml:space="preserve"> PAGE   \* MERGEFORMAT </w:instrText>
        </w:r>
        <w:r>
          <w:rPr>
            <w:noProof w:val="0"/>
          </w:rPr>
          <w:fldChar w:fldCharType="separate"/>
        </w:r>
        <w:r w:rsidR="00336669">
          <w:t>7</w:t>
        </w:r>
        <w:r>
          <w:fldChar w:fldCharType="end"/>
        </w:r>
      </w:p>
    </w:sdtContent>
  </w:sdt>
  <w:p w14:paraId="68CA6BBB" w14:textId="77777777" w:rsidR="004D1AA9" w:rsidRDefault="004D1A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7F856" w14:textId="1D18513D" w:rsidR="00B80434" w:rsidRDefault="00B80434">
    <w:pPr>
      <w:pStyle w:val="Footer"/>
      <w:jc w:val="center"/>
    </w:pPr>
  </w:p>
  <w:p w14:paraId="0AD6B805" w14:textId="3C75E532" w:rsidR="0052571F" w:rsidRDefault="0052571F" w:rsidP="0052571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97816" w14:textId="77777777" w:rsidR="00A27988" w:rsidRDefault="00A27988" w:rsidP="004D1AA9">
      <w:pPr>
        <w:spacing w:after="0" w:line="240" w:lineRule="auto"/>
      </w:pPr>
      <w:r>
        <w:separator/>
      </w:r>
    </w:p>
  </w:footnote>
  <w:footnote w:type="continuationSeparator" w:id="0">
    <w:p w14:paraId="5E6AF616" w14:textId="77777777" w:rsidR="00A27988" w:rsidRDefault="00A27988" w:rsidP="004D1A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BA6"/>
    <w:rsid w:val="00095C48"/>
    <w:rsid w:val="000A065D"/>
    <w:rsid w:val="000A336B"/>
    <w:rsid w:val="0010165A"/>
    <w:rsid w:val="001413A8"/>
    <w:rsid w:val="00246631"/>
    <w:rsid w:val="00253438"/>
    <w:rsid w:val="00260A70"/>
    <w:rsid w:val="00330DBC"/>
    <w:rsid w:val="00336669"/>
    <w:rsid w:val="004D1AA9"/>
    <w:rsid w:val="00503348"/>
    <w:rsid w:val="0052571F"/>
    <w:rsid w:val="00656BD3"/>
    <w:rsid w:val="00675F3E"/>
    <w:rsid w:val="00701B30"/>
    <w:rsid w:val="007E3BA6"/>
    <w:rsid w:val="0098053E"/>
    <w:rsid w:val="009B5F35"/>
    <w:rsid w:val="009F4420"/>
    <w:rsid w:val="00A27988"/>
    <w:rsid w:val="00AF73E5"/>
    <w:rsid w:val="00B80434"/>
    <w:rsid w:val="00B96CF7"/>
    <w:rsid w:val="00BE13EC"/>
    <w:rsid w:val="00BF6996"/>
    <w:rsid w:val="00C109A1"/>
    <w:rsid w:val="00C14D9C"/>
    <w:rsid w:val="00C42EC2"/>
    <w:rsid w:val="00D2545B"/>
    <w:rsid w:val="00E35F8A"/>
    <w:rsid w:val="00E7650B"/>
    <w:rsid w:val="00F21C20"/>
    <w:rsid w:val="00F64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09C9"/>
  <w15:chartTrackingRefBased/>
  <w15:docId w15:val="{C59EA7EC-2FAE-43FD-85C5-A87C195C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BA6"/>
    <w:rPr>
      <w:noProof/>
    </w:rPr>
  </w:style>
  <w:style w:type="paragraph" w:styleId="Heading1">
    <w:name w:val="heading 1"/>
    <w:basedOn w:val="Normal"/>
    <w:next w:val="Normal"/>
    <w:link w:val="Heading1Char"/>
    <w:uiPriority w:val="9"/>
    <w:qFormat/>
    <w:rsid w:val="00F21C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3BA6"/>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3BA6"/>
    <w:rPr>
      <w:rFonts w:asciiTheme="majorHAnsi" w:eastAsiaTheme="majorEastAsia" w:hAnsiTheme="majorHAnsi" w:cstheme="majorBidi"/>
      <w:b/>
      <w:noProof/>
      <w:sz w:val="26"/>
      <w:szCs w:val="26"/>
    </w:rPr>
  </w:style>
  <w:style w:type="paragraph" w:styleId="Caption">
    <w:name w:val="caption"/>
    <w:basedOn w:val="Normal"/>
    <w:next w:val="Normal"/>
    <w:uiPriority w:val="35"/>
    <w:unhideWhenUsed/>
    <w:qFormat/>
    <w:rsid w:val="007E3BA6"/>
    <w:pPr>
      <w:spacing w:after="200" w:line="240" w:lineRule="auto"/>
    </w:pPr>
    <w:rPr>
      <w:i/>
      <w:iCs/>
      <w:color w:val="44546A" w:themeColor="text2"/>
      <w:sz w:val="18"/>
      <w:szCs w:val="18"/>
    </w:rPr>
  </w:style>
  <w:style w:type="table" w:customStyle="1" w:styleId="GridTable1Light-Accent11">
    <w:name w:val="Grid Table 1 Light - Accent 11"/>
    <w:basedOn w:val="TableNormal"/>
    <w:uiPriority w:val="46"/>
    <w:rsid w:val="007E3BA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109A1"/>
    <w:rPr>
      <w:color w:val="0563C1" w:themeColor="hyperlink"/>
      <w:u w:val="single"/>
    </w:rPr>
  </w:style>
  <w:style w:type="character" w:customStyle="1" w:styleId="Heading1Char">
    <w:name w:val="Heading 1 Char"/>
    <w:basedOn w:val="DefaultParagraphFont"/>
    <w:link w:val="Heading1"/>
    <w:uiPriority w:val="9"/>
    <w:rsid w:val="00F21C20"/>
    <w:rPr>
      <w:rFonts w:asciiTheme="majorHAnsi" w:eastAsiaTheme="majorEastAsia" w:hAnsiTheme="majorHAnsi" w:cstheme="majorBidi"/>
      <w:noProof/>
      <w:color w:val="2F5496" w:themeColor="accent1" w:themeShade="BF"/>
      <w:sz w:val="32"/>
      <w:szCs w:val="32"/>
    </w:rPr>
  </w:style>
  <w:style w:type="paragraph" w:styleId="TOCHeading">
    <w:name w:val="TOC Heading"/>
    <w:basedOn w:val="Heading1"/>
    <w:next w:val="Normal"/>
    <w:uiPriority w:val="39"/>
    <w:unhideWhenUsed/>
    <w:qFormat/>
    <w:rsid w:val="00F21C20"/>
    <w:pPr>
      <w:outlineLvl w:val="9"/>
    </w:pPr>
    <w:rPr>
      <w:noProof w:val="0"/>
      <w:lang w:val="en-US"/>
    </w:rPr>
  </w:style>
  <w:style w:type="paragraph" w:styleId="Header">
    <w:name w:val="header"/>
    <w:basedOn w:val="Normal"/>
    <w:link w:val="HeaderChar"/>
    <w:uiPriority w:val="99"/>
    <w:unhideWhenUsed/>
    <w:rsid w:val="004D1A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AA9"/>
    <w:rPr>
      <w:noProof/>
    </w:rPr>
  </w:style>
  <w:style w:type="paragraph" w:styleId="Footer">
    <w:name w:val="footer"/>
    <w:basedOn w:val="Normal"/>
    <w:link w:val="FooterChar"/>
    <w:uiPriority w:val="99"/>
    <w:unhideWhenUsed/>
    <w:rsid w:val="004D1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AA9"/>
    <w:rPr>
      <w:noProof/>
    </w:rPr>
  </w:style>
  <w:style w:type="paragraph" w:styleId="TableofFigures">
    <w:name w:val="table of figures"/>
    <w:basedOn w:val="Normal"/>
    <w:next w:val="Normal"/>
    <w:uiPriority w:val="99"/>
    <w:unhideWhenUsed/>
    <w:rsid w:val="00D2545B"/>
    <w:pPr>
      <w:spacing w:after="0"/>
    </w:pPr>
  </w:style>
  <w:style w:type="paragraph" w:styleId="BalloonText">
    <w:name w:val="Balloon Text"/>
    <w:basedOn w:val="Normal"/>
    <w:link w:val="BalloonTextChar"/>
    <w:uiPriority w:val="99"/>
    <w:semiHidden/>
    <w:unhideWhenUsed/>
    <w:rsid w:val="00656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BD3"/>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drew.worth@ec.europa.e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01E8A-1017-4E79-B98D-947C6E52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Spinu</dc:creator>
  <cp:keywords/>
  <dc:description/>
  <cp:lastModifiedBy>Spinu, Nicoleta</cp:lastModifiedBy>
  <cp:revision>2</cp:revision>
  <dcterms:created xsi:type="dcterms:W3CDTF">2019-07-24T07:36:00Z</dcterms:created>
  <dcterms:modified xsi:type="dcterms:W3CDTF">2019-07-24T07:36:00Z</dcterms:modified>
</cp:coreProperties>
</file>