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123" w:rsidRPr="00194D90" w:rsidRDefault="00793123" w:rsidP="00793123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194D90">
        <w:rPr>
          <w:rFonts w:ascii="Times New Roman" w:hAnsi="Times New Roman" w:cs="Times New Roman"/>
          <w:b/>
          <w:sz w:val="28"/>
          <w:szCs w:val="28"/>
          <w:lang w:val="en-US"/>
        </w:rPr>
        <w:t>Monocrotaline</w:t>
      </w:r>
      <w:proofErr w:type="spellEnd"/>
      <w:r w:rsidRPr="00194D90">
        <w:rPr>
          <w:rFonts w:ascii="Times New Roman" w:hAnsi="Times New Roman" w:cs="Times New Roman"/>
          <w:b/>
          <w:sz w:val="28"/>
          <w:szCs w:val="28"/>
          <w:lang w:val="en-US"/>
        </w:rPr>
        <w:t>-induced liver toxicity in rat predicted by a combined in vitro-physiologically based kinetic modeling approach</w:t>
      </w:r>
    </w:p>
    <w:p w:rsidR="00793123" w:rsidRPr="00C57525" w:rsidRDefault="00793123" w:rsidP="0079312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123" w:rsidRPr="00C57525" w:rsidRDefault="00793123" w:rsidP="0079312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C57525">
        <w:rPr>
          <w:rFonts w:ascii="Times New Roman" w:hAnsi="Times New Roman" w:cs="Times New Roman"/>
          <w:sz w:val="24"/>
          <w:szCs w:val="24"/>
        </w:rPr>
        <w:t>Suparmi Suparmi</w:t>
      </w:r>
      <w:r w:rsidRPr="00C57525">
        <w:rPr>
          <w:rFonts w:ascii="Times New Roman" w:hAnsi="Times New Roman" w:cs="Times New Roman"/>
          <w:sz w:val="24"/>
          <w:szCs w:val="24"/>
          <w:vertAlign w:val="superscript"/>
        </w:rPr>
        <w:t>1,2*</w:t>
      </w:r>
      <w:r w:rsidRPr="00C575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7525">
        <w:rPr>
          <w:rFonts w:ascii="Times New Roman" w:hAnsi="Times New Roman" w:cs="Times New Roman"/>
          <w:sz w:val="24"/>
          <w:szCs w:val="24"/>
          <w:lang w:val="en-US"/>
        </w:rPr>
        <w:t>Sebastiaan</w:t>
      </w:r>
      <w:proofErr w:type="spellEnd"/>
      <w:r w:rsidRPr="00C57525">
        <w:rPr>
          <w:rFonts w:ascii="Times New Roman" w:hAnsi="Times New Roman" w:cs="Times New Roman"/>
          <w:sz w:val="24"/>
          <w:szCs w:val="24"/>
          <w:lang w:val="en-US"/>
        </w:rPr>
        <w:t xml:space="preserve"> Wesseling</w:t>
      </w:r>
      <w:r w:rsidRPr="00C5752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C57525">
        <w:rPr>
          <w:rFonts w:ascii="Times New Roman" w:hAnsi="Times New Roman" w:cs="Times New Roman"/>
          <w:sz w:val="24"/>
          <w:szCs w:val="24"/>
          <w:lang w:val="en-US"/>
        </w:rPr>
        <w:t>, Ivonne M.C.M. Rietjens</w:t>
      </w:r>
      <w:r w:rsidRPr="00C5752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793123" w:rsidRPr="00C57525" w:rsidRDefault="00793123" w:rsidP="0079312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57525">
        <w:rPr>
          <w:rFonts w:ascii="Times New Roman" w:hAnsi="Times New Roman" w:cs="Times New Roman"/>
          <w:sz w:val="24"/>
          <w:szCs w:val="24"/>
        </w:rPr>
        <w:t xml:space="preserve">Division of Toxicology, Wageningen University and Research, </w:t>
      </w:r>
      <w:proofErr w:type="spellStart"/>
      <w:r w:rsidRPr="00C57525">
        <w:rPr>
          <w:rFonts w:ascii="Times New Roman" w:hAnsi="Times New Roman" w:cs="Times New Roman"/>
          <w:sz w:val="24"/>
          <w:szCs w:val="24"/>
        </w:rPr>
        <w:t>Stippeneng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4, 6708 WE Wageningen, The Netherlands </w:t>
      </w:r>
    </w:p>
    <w:p w:rsidR="00793123" w:rsidRPr="00C57525" w:rsidRDefault="00793123" w:rsidP="0079312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57525">
        <w:rPr>
          <w:rFonts w:ascii="Times New Roman" w:hAnsi="Times New Roman" w:cs="Times New Roman"/>
          <w:sz w:val="24"/>
          <w:szCs w:val="24"/>
        </w:rPr>
        <w:t xml:space="preserve">Department of Biology, Faculty of Medicine, </w:t>
      </w:r>
      <w:proofErr w:type="spellStart"/>
      <w:r w:rsidRPr="00C57525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Islam Sultan Agung, Jl. Raya </w:t>
      </w:r>
      <w:proofErr w:type="spellStart"/>
      <w:r w:rsidRPr="00C57525">
        <w:rPr>
          <w:rFonts w:ascii="Times New Roman" w:hAnsi="Times New Roman" w:cs="Times New Roman"/>
          <w:sz w:val="24"/>
          <w:szCs w:val="24"/>
        </w:rPr>
        <w:t>Kaligawe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KM 4, 50112 Semarang, Indonesia </w:t>
      </w:r>
    </w:p>
    <w:p w:rsidR="00793123" w:rsidRPr="00C57525" w:rsidRDefault="00793123" w:rsidP="0079312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3123" w:rsidRDefault="00793123" w:rsidP="00793123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*Corresponding author:</w:t>
      </w:r>
    </w:p>
    <w:p w:rsidR="00793123" w:rsidRDefault="00793123" w:rsidP="00793123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</w:rPr>
        <w:t>Suparmi. Division of Toxicology, Wageningen University and R</w:t>
      </w:r>
      <w:r>
        <w:rPr>
          <w:rFonts w:ascii="Times New Roman" w:hAnsi="Times New Roman" w:cs="Times New Roman"/>
          <w:sz w:val="24"/>
          <w:szCs w:val="24"/>
        </w:rPr>
        <w:t>esearch</w:t>
      </w:r>
    </w:p>
    <w:p w:rsidR="00793123" w:rsidRDefault="00793123" w:rsidP="00793123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525">
        <w:rPr>
          <w:rFonts w:ascii="Times New Roman" w:hAnsi="Times New Roman" w:cs="Times New Roman"/>
          <w:sz w:val="24"/>
          <w:szCs w:val="24"/>
        </w:rPr>
        <w:t>Stippeneng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4, 6708</w:t>
      </w:r>
      <w:r>
        <w:rPr>
          <w:rFonts w:ascii="Times New Roman" w:hAnsi="Times New Roman" w:cs="Times New Roman"/>
          <w:sz w:val="24"/>
          <w:szCs w:val="24"/>
        </w:rPr>
        <w:t xml:space="preserve"> WE Wageningen, The Netherlands</w:t>
      </w:r>
    </w:p>
    <w:p w:rsidR="00793123" w:rsidRDefault="00793123" w:rsidP="00793123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+31 317 84357</w:t>
      </w:r>
    </w:p>
    <w:p w:rsidR="00793123" w:rsidRDefault="00793123" w:rsidP="00793123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Fax: +31 317 484931</w:t>
      </w:r>
    </w:p>
    <w:p w:rsidR="00793123" w:rsidRDefault="00793123" w:rsidP="00793123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</w:rPr>
        <w:t xml:space="preserve"> E-mail addresses: </w:t>
      </w:r>
      <w:hyperlink r:id="rId4" w:history="1">
        <w:r w:rsidRPr="00C57525">
          <w:rPr>
            <w:rFonts w:ascii="Times New Roman" w:hAnsi="Times New Roman" w:cs="Times New Roman"/>
            <w:sz w:val="24"/>
            <w:szCs w:val="24"/>
          </w:rPr>
          <w:t>s.suparmi@wur.nl</w:t>
        </w:r>
      </w:hyperlink>
      <w:r w:rsidRPr="00C57525">
        <w:rPr>
          <w:rFonts w:ascii="Times New Roman" w:hAnsi="Times New Roman" w:cs="Times New Roman"/>
          <w:sz w:val="24"/>
          <w:szCs w:val="24"/>
        </w:rPr>
        <w:t xml:space="preserve">, </w:t>
      </w:r>
      <w:r w:rsidRPr="00D17119">
        <w:rPr>
          <w:rFonts w:ascii="Times New Roman" w:hAnsi="Times New Roman" w:cs="Times New Roman"/>
          <w:sz w:val="24"/>
          <w:szCs w:val="24"/>
        </w:rPr>
        <w:t>suparmi@unissula.ac.id</w:t>
      </w:r>
    </w:p>
    <w:p w:rsidR="00793123" w:rsidRPr="00C57525" w:rsidRDefault="00793123" w:rsidP="00793123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525">
        <w:rPr>
          <w:rFonts w:ascii="Times New Roman" w:hAnsi="Times New Roman" w:cs="Times New Roman"/>
          <w:sz w:val="24"/>
          <w:szCs w:val="24"/>
        </w:rPr>
        <w:t>Orcid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ID: 0000-0001-7914-870X</w:t>
      </w:r>
    </w:p>
    <w:p w:rsidR="00793123" w:rsidRPr="00C57525" w:rsidRDefault="00793123" w:rsidP="00793123">
      <w:pPr>
        <w:pStyle w:val="Footer"/>
        <w:spacing w:line="480" w:lineRule="auto"/>
        <w:jc w:val="both"/>
        <w:rPr>
          <w:rFonts w:cs="Times New Roman"/>
          <w:szCs w:val="24"/>
        </w:rPr>
      </w:pPr>
    </w:p>
    <w:p w:rsidR="00793123" w:rsidRPr="00C57525" w:rsidRDefault="00793123" w:rsidP="0079312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525"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:rsidR="00365AE7" w:rsidRPr="00793123" w:rsidRDefault="00793123" w:rsidP="00793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3123">
        <w:rPr>
          <w:rFonts w:ascii="Times New Roman" w:hAnsi="Times New Roman" w:cs="Times New Roman"/>
          <w:b/>
          <w:sz w:val="24"/>
          <w:szCs w:val="24"/>
        </w:rPr>
        <w:lastRenderedPageBreak/>
        <w:t>Supplementary materials</w:t>
      </w:r>
      <w:r w:rsidR="00365AE7" w:rsidRPr="00793123">
        <w:rPr>
          <w:rFonts w:ascii="Times New Roman" w:hAnsi="Times New Roman" w:cs="Times New Roman"/>
          <w:b/>
          <w:sz w:val="24"/>
          <w:szCs w:val="24"/>
        </w:rPr>
        <w:t xml:space="preserve"> 2. Data pharmacokinetic data of </w:t>
      </w:r>
      <w:proofErr w:type="spellStart"/>
      <w:r w:rsidR="00365AE7" w:rsidRPr="00793123">
        <w:rPr>
          <w:rFonts w:ascii="Times New Roman" w:hAnsi="Times New Roman" w:cs="Times New Roman"/>
          <w:b/>
          <w:sz w:val="24"/>
          <w:szCs w:val="24"/>
        </w:rPr>
        <w:t>monocrotaline</w:t>
      </w:r>
      <w:proofErr w:type="spellEnd"/>
      <w:r w:rsidR="00365AE7" w:rsidRPr="00793123">
        <w:rPr>
          <w:rFonts w:ascii="Times New Roman" w:hAnsi="Times New Roman" w:cs="Times New Roman"/>
          <w:b/>
          <w:sz w:val="24"/>
          <w:szCs w:val="24"/>
        </w:rPr>
        <w:t xml:space="preserve"> upon the IV administration of 60 mg/kg </w:t>
      </w:r>
      <w:proofErr w:type="spellStart"/>
      <w:r w:rsidR="00365AE7" w:rsidRPr="00793123">
        <w:rPr>
          <w:rFonts w:ascii="Times New Roman" w:hAnsi="Times New Roman" w:cs="Times New Roman"/>
          <w:b/>
          <w:sz w:val="24"/>
          <w:szCs w:val="24"/>
        </w:rPr>
        <w:t>bw</w:t>
      </w:r>
      <w:proofErr w:type="spellEnd"/>
      <w:r w:rsidR="00365AE7" w:rsidRPr="00793123">
        <w:rPr>
          <w:rFonts w:ascii="Times New Roman" w:hAnsi="Times New Roman" w:cs="Times New Roman"/>
          <w:b/>
          <w:sz w:val="24"/>
          <w:szCs w:val="24"/>
        </w:rPr>
        <w:t xml:space="preserve"> (10 µCi/kg) </w:t>
      </w:r>
      <w:proofErr w:type="gramStart"/>
      <w:r w:rsidR="00365AE7" w:rsidRPr="00793123">
        <w:rPr>
          <w:rFonts w:ascii="Times New Roman" w:hAnsi="Times New Roman" w:cs="Times New Roman"/>
          <w:b/>
          <w:sz w:val="24"/>
          <w:szCs w:val="24"/>
        </w:rPr>
        <w:t>of  [</w:t>
      </w:r>
      <w:proofErr w:type="gramEnd"/>
      <w:r w:rsidR="00365AE7" w:rsidRPr="00793123">
        <w:rPr>
          <w:rFonts w:ascii="Times New Roman" w:hAnsi="Times New Roman" w:cs="Times New Roman"/>
          <w:b/>
          <w:sz w:val="24"/>
          <w:szCs w:val="24"/>
          <w:vertAlign w:val="superscript"/>
        </w:rPr>
        <w:t>14</w:t>
      </w:r>
      <w:r w:rsidR="00365AE7" w:rsidRPr="00793123">
        <w:rPr>
          <w:rFonts w:ascii="Times New Roman" w:hAnsi="Times New Roman" w:cs="Times New Roman"/>
          <w:b/>
          <w:sz w:val="24"/>
          <w:szCs w:val="24"/>
        </w:rPr>
        <w:t xml:space="preserve">C] </w:t>
      </w:r>
      <w:proofErr w:type="spellStart"/>
      <w:r w:rsidR="00365AE7" w:rsidRPr="00793123">
        <w:rPr>
          <w:rFonts w:ascii="Times New Roman" w:hAnsi="Times New Roman" w:cs="Times New Roman"/>
          <w:b/>
          <w:sz w:val="24"/>
          <w:szCs w:val="24"/>
        </w:rPr>
        <w:t>monocrotaline</w:t>
      </w:r>
      <w:proofErr w:type="spellEnd"/>
      <w:r w:rsidR="00365AE7" w:rsidRPr="007931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5AE7" w:rsidRPr="00793123">
        <w:rPr>
          <w:rFonts w:ascii="Times New Roman" w:hAnsi="Times New Roman" w:cs="Times New Roman"/>
          <w:b/>
          <w:sz w:val="24"/>
          <w:szCs w:val="24"/>
        </w:rPr>
        <w:fldChar w:fldCharType="begin">
          <w:fldData xml:space="preserve">PEVuZE5vdGU+PENpdGU+PEF1dGhvcj5Fc3RlcDwvQXV0aG9yPjxZZWFyPjE5OTE8L1llYXI+PFJl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</w:fldData>
        </w:fldChar>
      </w:r>
      <w:r w:rsidR="00AC7703">
        <w:rPr>
          <w:rFonts w:ascii="Times New Roman" w:hAnsi="Times New Roman" w:cs="Times New Roman"/>
          <w:b/>
          <w:sz w:val="24"/>
          <w:szCs w:val="24"/>
        </w:rPr>
        <w:instrText xml:space="preserve"> ADDIN EN.CITE </w:instrText>
      </w:r>
      <w:r w:rsidR="00AC7703">
        <w:rPr>
          <w:rFonts w:ascii="Times New Roman" w:hAnsi="Times New Roman" w:cs="Times New Roman"/>
          <w:b/>
          <w:sz w:val="24"/>
          <w:szCs w:val="24"/>
        </w:rPr>
        <w:fldChar w:fldCharType="begin">
          <w:fldData xml:space="preserve">PEVuZE5vdGU+PENpdGU+PEF1dGhvcj5Fc3RlcDwvQXV0aG9yPjxZZWFyPjE5OTE8L1llYXI+PFJl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</w:fldData>
        </w:fldChar>
      </w:r>
      <w:r w:rsidR="00AC7703">
        <w:rPr>
          <w:rFonts w:ascii="Times New Roman" w:hAnsi="Times New Roman" w:cs="Times New Roman"/>
          <w:b/>
          <w:sz w:val="24"/>
          <w:szCs w:val="24"/>
        </w:rPr>
        <w:instrText xml:space="preserve"> ADDIN EN.CITE.DATA </w:instrText>
      </w:r>
      <w:r w:rsidR="00AC7703">
        <w:rPr>
          <w:rFonts w:ascii="Times New Roman" w:hAnsi="Times New Roman" w:cs="Times New Roman"/>
          <w:b/>
          <w:sz w:val="24"/>
          <w:szCs w:val="24"/>
        </w:rPr>
      </w:r>
      <w:r w:rsidR="00AC7703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365AE7" w:rsidRPr="00793123">
        <w:rPr>
          <w:rFonts w:ascii="Times New Roman" w:hAnsi="Times New Roman" w:cs="Times New Roman"/>
          <w:b/>
          <w:sz w:val="24"/>
          <w:szCs w:val="24"/>
        </w:rPr>
      </w:r>
      <w:r w:rsidR="00365AE7" w:rsidRPr="00793123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365AE7" w:rsidRPr="00793123">
        <w:rPr>
          <w:rFonts w:ascii="Times New Roman" w:hAnsi="Times New Roman" w:cs="Times New Roman"/>
          <w:b/>
          <w:noProof/>
          <w:sz w:val="24"/>
          <w:szCs w:val="24"/>
        </w:rPr>
        <w:t>(Estep et al. 1991)</w:t>
      </w:r>
      <w:r w:rsidR="00365AE7" w:rsidRPr="00793123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365AE7" w:rsidRPr="00793123" w:rsidRDefault="00365AE7" w:rsidP="0079312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ZA"/>
        </w:rPr>
      </w:pPr>
      <w:r w:rsidRPr="00793123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9E1DD9D" wp14:editId="48FFA54E">
            <wp:extent cx="2810015" cy="2265102"/>
            <wp:effectExtent l="0" t="0" r="952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1191" t="4986" b="66469"/>
                    <a:stretch/>
                  </pic:blipFill>
                  <pic:spPr bwMode="auto">
                    <a:xfrm>
                      <a:off x="0" y="0"/>
                      <a:ext cx="2811730" cy="2266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5AE7" w:rsidRPr="00793123" w:rsidRDefault="00365AE7" w:rsidP="00793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123">
        <w:rPr>
          <w:rFonts w:ascii="Times New Roman" w:hAnsi="Times New Roman" w:cs="Times New Roman"/>
          <w:b/>
          <w:sz w:val="24"/>
          <w:szCs w:val="24"/>
        </w:rPr>
        <w:t>Figure S</w:t>
      </w:r>
      <w:r w:rsidRPr="00793123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793123">
        <w:rPr>
          <w:rFonts w:ascii="Times New Roman" w:hAnsi="Times New Roman" w:cs="Times New Roman"/>
          <w:b/>
          <w:sz w:val="24"/>
          <w:szCs w:val="24"/>
        </w:rPr>
        <w:instrText xml:space="preserve"> SEQ Figure \* ARABIC </w:instrText>
      </w:r>
      <w:r w:rsidRPr="00793123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793123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793123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793123">
        <w:rPr>
          <w:rFonts w:ascii="Times New Roman" w:hAnsi="Times New Roman" w:cs="Times New Roman"/>
          <w:sz w:val="24"/>
          <w:szCs w:val="24"/>
        </w:rPr>
        <w:t xml:space="preserve">. The screenshotted figure of </w:t>
      </w:r>
      <w:proofErr w:type="spellStart"/>
      <w:r w:rsidRPr="00793123">
        <w:rPr>
          <w:rFonts w:ascii="Times New Roman" w:hAnsi="Times New Roman" w:cs="Times New Roman"/>
          <w:sz w:val="24"/>
          <w:szCs w:val="24"/>
        </w:rPr>
        <w:t>monocrotaline</w:t>
      </w:r>
      <w:proofErr w:type="spellEnd"/>
      <w:r w:rsidRPr="00793123">
        <w:rPr>
          <w:rFonts w:ascii="Times New Roman" w:hAnsi="Times New Roman" w:cs="Times New Roman"/>
          <w:sz w:val="24"/>
          <w:szCs w:val="24"/>
        </w:rPr>
        <w:t xml:space="preserve"> equivalents (in nmol/g) against time (in h) reported by </w:t>
      </w:r>
      <w:r w:rsidRPr="0079312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PEVuZE5vdGU+PENpdGU+PEF1dGhvcj5Fc3RlcDwvQXV0aG9yPjxZZWFyPjE5OTE8L1llYXI+PFJl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</w:fldData>
        </w:fldChar>
      </w:r>
      <w:r w:rsidR="00AC7703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AC770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PEVuZE5vdGU+PENpdGU+PEF1dGhvcj5Fc3RlcDwvQXV0aG9yPjxZZWFyPjE5OTE8L1llYXI+PFJl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</w:fldData>
        </w:fldChar>
      </w:r>
      <w:r w:rsidR="00AC7703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AC7703">
        <w:rPr>
          <w:rFonts w:ascii="Times New Roman" w:hAnsi="Times New Roman" w:cs="Times New Roman"/>
          <w:sz w:val="24"/>
          <w:szCs w:val="24"/>
        </w:rPr>
      </w:r>
      <w:r w:rsidR="00AC7703">
        <w:rPr>
          <w:rFonts w:ascii="Times New Roman" w:hAnsi="Times New Roman" w:cs="Times New Roman"/>
          <w:sz w:val="24"/>
          <w:szCs w:val="24"/>
        </w:rPr>
        <w:fldChar w:fldCharType="end"/>
      </w:r>
      <w:r w:rsidRPr="00793123">
        <w:rPr>
          <w:rFonts w:ascii="Times New Roman" w:hAnsi="Times New Roman" w:cs="Times New Roman"/>
          <w:sz w:val="24"/>
          <w:szCs w:val="24"/>
        </w:rPr>
      </w:r>
      <w:r w:rsidRPr="00793123">
        <w:rPr>
          <w:rFonts w:ascii="Times New Roman" w:hAnsi="Times New Roman" w:cs="Times New Roman"/>
          <w:sz w:val="24"/>
          <w:szCs w:val="24"/>
        </w:rPr>
        <w:fldChar w:fldCharType="separate"/>
      </w:r>
      <w:r w:rsidRPr="00793123">
        <w:rPr>
          <w:rFonts w:ascii="Times New Roman" w:hAnsi="Times New Roman" w:cs="Times New Roman"/>
          <w:noProof/>
          <w:sz w:val="24"/>
          <w:szCs w:val="24"/>
        </w:rPr>
        <w:t>(Estep et al. 1991)</w:t>
      </w:r>
      <w:r w:rsidRPr="00793123">
        <w:rPr>
          <w:rFonts w:ascii="Times New Roman" w:hAnsi="Times New Roman" w:cs="Times New Roman"/>
          <w:sz w:val="24"/>
          <w:szCs w:val="24"/>
        </w:rPr>
        <w:fldChar w:fldCharType="end"/>
      </w:r>
      <w:r w:rsidRPr="00793123">
        <w:rPr>
          <w:rFonts w:ascii="Times New Roman" w:hAnsi="Times New Roman" w:cs="Times New Roman"/>
          <w:sz w:val="24"/>
          <w:szCs w:val="24"/>
        </w:rPr>
        <w:t xml:space="preserve">. The data symbolized as open circle (blood plasma) and triangle (red blood cells/RBCs) were added up to evaluate the concentration of </w:t>
      </w:r>
      <w:proofErr w:type="spellStart"/>
      <w:r w:rsidRPr="00793123">
        <w:rPr>
          <w:rFonts w:ascii="Times New Roman" w:hAnsi="Times New Roman" w:cs="Times New Roman"/>
          <w:sz w:val="24"/>
          <w:szCs w:val="24"/>
        </w:rPr>
        <w:t>monocrotaline</w:t>
      </w:r>
      <w:proofErr w:type="spellEnd"/>
      <w:r w:rsidRPr="00793123">
        <w:rPr>
          <w:rFonts w:ascii="Times New Roman" w:hAnsi="Times New Roman" w:cs="Times New Roman"/>
          <w:sz w:val="24"/>
          <w:szCs w:val="24"/>
        </w:rPr>
        <w:t xml:space="preserve"> in the whole blood for comparison to the PBK model predictions.</w:t>
      </w:r>
    </w:p>
    <w:p w:rsidR="00365AE7" w:rsidRPr="00793123" w:rsidRDefault="00365AE7" w:rsidP="00793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AE7" w:rsidRPr="00793123" w:rsidRDefault="00365AE7" w:rsidP="007931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65AE7" w:rsidRPr="00793123" w:rsidRDefault="00365AE7" w:rsidP="007931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7931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Table S1. The results of re-extrapolated data from reported figure.</w:t>
      </w:r>
    </w:p>
    <w:p w:rsidR="00365AE7" w:rsidRPr="00793123" w:rsidRDefault="00365AE7" w:rsidP="007931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931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 the PBK model, the volume of blood assumes to be equal to the weight of blood using this model</w:t>
      </w:r>
    </w:p>
    <w:p w:rsidR="00365AE7" w:rsidRPr="00793123" w:rsidRDefault="00365AE7" w:rsidP="007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93123">
        <w:rPr>
          <w:rFonts w:ascii="Times New Roman" w:hAnsi="Times New Roman" w:cs="Times New Roman"/>
          <w:sz w:val="24"/>
          <w:szCs w:val="24"/>
        </w:rPr>
        <w:t>Monocrotaline</w:t>
      </w:r>
      <w:proofErr w:type="spellEnd"/>
      <w:r w:rsidRPr="00793123">
        <w:rPr>
          <w:rFonts w:ascii="Times New Roman" w:hAnsi="Times New Roman" w:cs="Times New Roman"/>
          <w:sz w:val="24"/>
          <w:szCs w:val="24"/>
        </w:rPr>
        <w:t xml:space="preserve"> equivalent</w:t>
      </w:r>
      <w:r w:rsidR="00194D90">
        <w:rPr>
          <w:rFonts w:ascii="Times New Roman" w:hAnsi="Times New Roman" w:cs="Times New Roman"/>
          <w:sz w:val="24"/>
          <w:szCs w:val="24"/>
        </w:rPr>
        <w:t>s</w:t>
      </w:r>
      <w:r w:rsidRPr="00793123">
        <w:rPr>
          <w:rFonts w:ascii="Times New Roman" w:hAnsi="Times New Roman" w:cs="Times New Roman"/>
          <w:sz w:val="24"/>
          <w:szCs w:val="24"/>
        </w:rPr>
        <w:t xml:space="preserve"> </w:t>
      </w:r>
      <w:r w:rsidRPr="007931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(nmol/g) vs Time (min) data were created from the Figure S1 by </w:t>
      </w:r>
      <w:proofErr w:type="spellStart"/>
      <w:r w:rsidRPr="007931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WebPlotDigitizer</w:t>
      </w:r>
      <w:proofErr w:type="spellEnd"/>
      <w:r w:rsidRPr="007931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Tutorial 3.6+ (https://automeris.io/WebPlotDigitizer/)</w:t>
      </w:r>
    </w:p>
    <w:p w:rsidR="00365AE7" w:rsidRPr="00793123" w:rsidRDefault="00365AE7" w:rsidP="007931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931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reported concentration nmol/g is assumed to be equal to nmol/ml or µM. The reported blood concentration is calculated as the sum of the plasma and RBC concentration. </w:t>
      </w:r>
    </w:p>
    <w:p w:rsidR="00365AE7" w:rsidRPr="00793123" w:rsidRDefault="00365AE7" w:rsidP="00793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68" w:type="dxa"/>
        <w:tblLook w:val="04A0" w:firstRow="1" w:lastRow="0" w:firstColumn="1" w:lastColumn="0" w:noHBand="0" w:noVBand="1"/>
      </w:tblPr>
      <w:tblGrid>
        <w:gridCol w:w="851"/>
        <w:gridCol w:w="689"/>
        <w:gridCol w:w="191"/>
        <w:gridCol w:w="1102"/>
        <w:gridCol w:w="191"/>
        <w:gridCol w:w="1008"/>
        <w:gridCol w:w="191"/>
        <w:gridCol w:w="901"/>
        <w:gridCol w:w="191"/>
        <w:gridCol w:w="2086"/>
        <w:gridCol w:w="191"/>
        <w:gridCol w:w="1785"/>
        <w:gridCol w:w="191"/>
      </w:tblGrid>
      <w:tr w:rsidR="00365AE7" w:rsidRPr="00793123" w:rsidTr="00793123">
        <w:trPr>
          <w:trHeight w:val="315"/>
        </w:trPr>
        <w:tc>
          <w:tcPr>
            <w:tcW w:w="17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Time for Blood sampling </w:t>
            </w:r>
          </w:p>
        </w:tc>
        <w:tc>
          <w:tcPr>
            <w:tcW w:w="358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Reported concentration of </w:t>
            </w:r>
            <w:proofErr w:type="spellStart"/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monocrotaline</w:t>
            </w:r>
            <w:proofErr w:type="spellEnd"/>
            <w:r w:rsidRPr="00793123">
              <w:rPr>
                <w:rFonts w:ascii="Times New Roman" w:hAnsi="Times New Roman" w:cs="Times New Roman"/>
                <w:sz w:val="24"/>
                <w:szCs w:val="24"/>
              </w:rPr>
              <w:t xml:space="preserve"> equivalent</w:t>
            </w:r>
            <w:r w:rsidR="0079312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 xml:space="preserve"> (µM)</w:t>
            </w:r>
          </w:p>
        </w:tc>
        <w:tc>
          <w:tcPr>
            <w:tcW w:w="2277" w:type="dxa"/>
            <w:gridSpan w:val="2"/>
            <w:vMerge w:val="restart"/>
            <w:tcBorders>
              <w:top w:val="single" w:sz="4" w:space="0" w:color="auto"/>
            </w:tcBorders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Predicted concentration of </w:t>
            </w:r>
            <w:proofErr w:type="spellStart"/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monocrotaline</w:t>
            </w:r>
            <w:proofErr w:type="spellEnd"/>
            <w:r w:rsidRPr="00793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31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in blood (µM)</w:t>
            </w:r>
          </w:p>
        </w:tc>
        <w:tc>
          <w:tcPr>
            <w:tcW w:w="1976" w:type="dxa"/>
            <w:gridSpan w:val="2"/>
            <w:vMerge w:val="restart"/>
            <w:tcBorders>
              <w:top w:val="single" w:sz="4" w:space="0" w:color="auto"/>
            </w:tcBorders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Ratio of predicted/reported</w:t>
            </w:r>
          </w:p>
        </w:tc>
      </w:tr>
      <w:tr w:rsidR="00365AE7" w:rsidRPr="00793123" w:rsidTr="00793123">
        <w:trPr>
          <w:trHeight w:val="31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min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Plasma 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RBCs 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Blood </w:t>
            </w:r>
          </w:p>
        </w:tc>
        <w:tc>
          <w:tcPr>
            <w:tcW w:w="227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7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0.08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113.00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144.00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257.00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</w:tcBorders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416.50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0.25</w:t>
            </w:r>
          </w:p>
        </w:tc>
        <w:tc>
          <w:tcPr>
            <w:tcW w:w="1293" w:type="dxa"/>
            <w:gridSpan w:val="2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81.88</w:t>
            </w:r>
          </w:p>
        </w:tc>
        <w:tc>
          <w:tcPr>
            <w:tcW w:w="1199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113.46</w:t>
            </w:r>
          </w:p>
        </w:tc>
        <w:tc>
          <w:tcPr>
            <w:tcW w:w="1092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195.34</w:t>
            </w:r>
          </w:p>
        </w:tc>
        <w:tc>
          <w:tcPr>
            <w:tcW w:w="2277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373.53</w:t>
            </w:r>
          </w:p>
        </w:tc>
        <w:tc>
          <w:tcPr>
            <w:tcW w:w="1976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</w:t>
            </w:r>
          </w:p>
        </w:tc>
        <w:tc>
          <w:tcPr>
            <w:tcW w:w="1293" w:type="dxa"/>
            <w:gridSpan w:val="2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67.35</w:t>
            </w:r>
          </w:p>
        </w:tc>
        <w:tc>
          <w:tcPr>
            <w:tcW w:w="1199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100.06</w:t>
            </w:r>
          </w:p>
        </w:tc>
        <w:tc>
          <w:tcPr>
            <w:tcW w:w="1092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167.41</w:t>
            </w:r>
          </w:p>
        </w:tc>
        <w:tc>
          <w:tcPr>
            <w:tcW w:w="2277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370.88</w:t>
            </w:r>
          </w:p>
        </w:tc>
        <w:tc>
          <w:tcPr>
            <w:tcW w:w="1976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293" w:type="dxa"/>
            <w:gridSpan w:val="2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49.84</w:t>
            </w:r>
          </w:p>
        </w:tc>
        <w:tc>
          <w:tcPr>
            <w:tcW w:w="1199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100.13</w:t>
            </w:r>
          </w:p>
        </w:tc>
        <w:tc>
          <w:tcPr>
            <w:tcW w:w="1092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149.97</w:t>
            </w:r>
          </w:p>
        </w:tc>
        <w:tc>
          <w:tcPr>
            <w:tcW w:w="2277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366.27</w:t>
            </w:r>
          </w:p>
        </w:tc>
        <w:tc>
          <w:tcPr>
            <w:tcW w:w="1976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120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3" w:type="dxa"/>
            <w:gridSpan w:val="2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29.65</w:t>
            </w:r>
          </w:p>
        </w:tc>
        <w:tc>
          <w:tcPr>
            <w:tcW w:w="1199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104.89</w:t>
            </w:r>
          </w:p>
        </w:tc>
        <w:tc>
          <w:tcPr>
            <w:tcW w:w="1092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134.54</w:t>
            </w:r>
          </w:p>
        </w:tc>
        <w:tc>
          <w:tcPr>
            <w:tcW w:w="2277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357.08</w:t>
            </w:r>
          </w:p>
        </w:tc>
        <w:tc>
          <w:tcPr>
            <w:tcW w:w="1976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180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93" w:type="dxa"/>
            <w:gridSpan w:val="2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21.82</w:t>
            </w:r>
          </w:p>
        </w:tc>
        <w:tc>
          <w:tcPr>
            <w:tcW w:w="1199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99.93</w:t>
            </w:r>
          </w:p>
        </w:tc>
        <w:tc>
          <w:tcPr>
            <w:tcW w:w="1092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121.75</w:t>
            </w:r>
          </w:p>
        </w:tc>
        <w:tc>
          <w:tcPr>
            <w:tcW w:w="2277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347.89</w:t>
            </w:r>
          </w:p>
        </w:tc>
        <w:tc>
          <w:tcPr>
            <w:tcW w:w="1976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240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93" w:type="dxa"/>
            <w:gridSpan w:val="2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17.11</w:t>
            </w:r>
          </w:p>
        </w:tc>
        <w:tc>
          <w:tcPr>
            <w:tcW w:w="1199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99.60</w:t>
            </w:r>
          </w:p>
        </w:tc>
        <w:tc>
          <w:tcPr>
            <w:tcW w:w="1092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116.71</w:t>
            </w:r>
          </w:p>
        </w:tc>
        <w:tc>
          <w:tcPr>
            <w:tcW w:w="2277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338.70</w:t>
            </w:r>
          </w:p>
        </w:tc>
        <w:tc>
          <w:tcPr>
            <w:tcW w:w="1976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2.90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93" w:type="dxa"/>
            <w:gridSpan w:val="2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13.07</w:t>
            </w:r>
          </w:p>
        </w:tc>
        <w:tc>
          <w:tcPr>
            <w:tcW w:w="1199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79.81</w:t>
            </w:r>
          </w:p>
        </w:tc>
        <w:tc>
          <w:tcPr>
            <w:tcW w:w="1092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92.88</w:t>
            </w:r>
          </w:p>
        </w:tc>
        <w:tc>
          <w:tcPr>
            <w:tcW w:w="2277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329.53</w:t>
            </w:r>
          </w:p>
        </w:tc>
        <w:tc>
          <w:tcPr>
            <w:tcW w:w="1976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360</w:t>
            </w:r>
          </w:p>
        </w:tc>
        <w:tc>
          <w:tcPr>
            <w:tcW w:w="689" w:type="dxa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93" w:type="dxa"/>
            <w:gridSpan w:val="2"/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12.16</w:t>
            </w:r>
          </w:p>
        </w:tc>
        <w:tc>
          <w:tcPr>
            <w:tcW w:w="1199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85.50</w:t>
            </w:r>
          </w:p>
        </w:tc>
        <w:tc>
          <w:tcPr>
            <w:tcW w:w="1092" w:type="dxa"/>
            <w:gridSpan w:val="2"/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97.66</w:t>
            </w:r>
          </w:p>
        </w:tc>
        <w:tc>
          <w:tcPr>
            <w:tcW w:w="2277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320.36</w:t>
            </w:r>
          </w:p>
        </w:tc>
        <w:tc>
          <w:tcPr>
            <w:tcW w:w="1976" w:type="dxa"/>
            <w:gridSpan w:val="2"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</w:tr>
      <w:tr w:rsidR="00365AE7" w:rsidRPr="00793123" w:rsidTr="00793123">
        <w:trPr>
          <w:gridAfter w:val="1"/>
          <w:wAfter w:w="191" w:type="dxa"/>
          <w:trHeight w:val="31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420</w:t>
            </w:r>
          </w:p>
        </w:tc>
        <w:tc>
          <w:tcPr>
            <w:tcW w:w="6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29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11.00</w:t>
            </w:r>
          </w:p>
        </w:tc>
        <w:tc>
          <w:tcPr>
            <w:tcW w:w="119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81.00</w:t>
            </w:r>
          </w:p>
        </w:tc>
        <w:tc>
          <w:tcPr>
            <w:tcW w:w="109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92.00</w:t>
            </w:r>
          </w:p>
        </w:tc>
        <w:tc>
          <w:tcPr>
            <w:tcW w:w="2277" w:type="dxa"/>
            <w:gridSpan w:val="2"/>
            <w:tcBorders>
              <w:bottom w:val="single" w:sz="4" w:space="0" w:color="auto"/>
            </w:tcBorders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311.19</w:t>
            </w:r>
          </w:p>
        </w:tc>
        <w:tc>
          <w:tcPr>
            <w:tcW w:w="1976" w:type="dxa"/>
            <w:gridSpan w:val="2"/>
            <w:tcBorders>
              <w:bottom w:val="single" w:sz="4" w:space="0" w:color="auto"/>
            </w:tcBorders>
          </w:tcPr>
          <w:p w:rsidR="00365AE7" w:rsidRPr="00793123" w:rsidRDefault="00365AE7" w:rsidP="00793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123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</w:tr>
    </w:tbl>
    <w:p w:rsidR="00365AE7" w:rsidRPr="00793123" w:rsidRDefault="00365AE7" w:rsidP="0079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5AE7" w:rsidRPr="00793123" w:rsidRDefault="00365AE7" w:rsidP="007931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5AE7" w:rsidRPr="00793123" w:rsidRDefault="00365AE7" w:rsidP="00793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5AE7" w:rsidRPr="00793123" w:rsidRDefault="00365AE7" w:rsidP="007931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3123">
        <w:rPr>
          <w:rFonts w:ascii="Times New Roman" w:hAnsi="Times New Roman" w:cs="Times New Roman"/>
          <w:b/>
          <w:sz w:val="24"/>
          <w:szCs w:val="24"/>
        </w:rPr>
        <w:t>Referenc</w:t>
      </w:r>
      <w:r w:rsidR="00AC7703">
        <w:rPr>
          <w:rFonts w:ascii="Times New Roman" w:hAnsi="Times New Roman" w:cs="Times New Roman"/>
          <w:b/>
          <w:sz w:val="24"/>
          <w:szCs w:val="24"/>
        </w:rPr>
        <w:t>e</w:t>
      </w:r>
    </w:p>
    <w:p w:rsidR="00AC7703" w:rsidRPr="00AC7703" w:rsidRDefault="00365AE7" w:rsidP="00AC7703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C7703">
        <w:rPr>
          <w:rFonts w:ascii="Times New Roman" w:hAnsi="Times New Roman" w:cs="Times New Roman"/>
          <w:sz w:val="24"/>
          <w:szCs w:val="24"/>
        </w:rPr>
        <w:fldChar w:fldCharType="begin"/>
      </w:r>
      <w:r w:rsidRPr="00AC7703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C7703">
        <w:rPr>
          <w:rFonts w:ascii="Times New Roman" w:hAnsi="Times New Roman" w:cs="Times New Roman"/>
          <w:sz w:val="24"/>
          <w:szCs w:val="24"/>
        </w:rPr>
        <w:fldChar w:fldCharType="separate"/>
      </w:r>
      <w:r w:rsidR="00AC7703" w:rsidRPr="00AC7703">
        <w:rPr>
          <w:rFonts w:ascii="Times New Roman" w:hAnsi="Times New Roman" w:cs="Times New Roman"/>
          <w:sz w:val="24"/>
          <w:szCs w:val="24"/>
        </w:rPr>
        <w:t>Estep JE, Lame MW, Morin D, Jones AD, Wilson DW, Segall HJ (1991) [</w:t>
      </w:r>
      <w:r w:rsidR="00AC7703" w:rsidRPr="00AC7703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AC7703" w:rsidRPr="00AC7703">
        <w:rPr>
          <w:rFonts w:ascii="Times New Roman" w:hAnsi="Times New Roman" w:cs="Times New Roman"/>
          <w:sz w:val="24"/>
          <w:szCs w:val="24"/>
        </w:rPr>
        <w:t xml:space="preserve">C]monocrotaline kinetics and metabolism in the rat. Drug Metab Dispos 19(1):135-9. </w:t>
      </w:r>
      <w:hyperlink r:id="rId6" w:history="1">
        <w:r w:rsidR="00AC7703" w:rsidRPr="00AC7703">
          <w:rPr>
            <w:rStyle w:val="Hyperlink"/>
            <w:rFonts w:ascii="Times New Roman" w:hAnsi="Times New Roman" w:cs="Times New Roman"/>
            <w:sz w:val="24"/>
            <w:szCs w:val="24"/>
          </w:rPr>
          <w:t>http://dmd.aspetjournals.org/content/19/1/135.long</w:t>
        </w:r>
      </w:hyperlink>
    </w:p>
    <w:p w:rsidR="002369DA" w:rsidRPr="00793123" w:rsidRDefault="00365AE7" w:rsidP="00194D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703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2369DA" w:rsidRPr="00793123" w:rsidSect="00793123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rchives Toxicology Copy&lt;/Style&gt;&lt;LeftDelim&gt;{&lt;/LeftDelim&gt;&lt;RightDelim&gt;}&lt;/RightDelim&gt;&lt;FontName&gt;Verdana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fwew0zroza9z7e05fbpvd0perwp2ts22as2&quot;&gt;Monocrotaline_PBK Modelling&lt;record-ids&gt;&lt;item&gt;21&lt;/item&gt;&lt;/record-ids&gt;&lt;/item&gt;&lt;/Libraries&gt;"/>
  </w:docVars>
  <w:rsids>
    <w:rsidRoot w:val="00365AE7"/>
    <w:rsid w:val="00194D90"/>
    <w:rsid w:val="001F1BE8"/>
    <w:rsid w:val="002369DA"/>
    <w:rsid w:val="00365AE7"/>
    <w:rsid w:val="005C782D"/>
    <w:rsid w:val="00793123"/>
    <w:rsid w:val="007D5DDB"/>
    <w:rsid w:val="00AC7703"/>
    <w:rsid w:val="00D17119"/>
    <w:rsid w:val="00E4230A"/>
    <w:rsid w:val="00F6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4602FA-0BC5-42F0-B3B3-A42ED127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5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65AE7"/>
    <w:pPr>
      <w:spacing w:after="0" w:line="240" w:lineRule="auto"/>
    </w:pPr>
    <w:rPr>
      <w:rFonts w:ascii="Arial" w:hAnsi="Arial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365AE7"/>
    <w:rPr>
      <w:rFonts w:ascii="Arial" w:hAnsi="Arial"/>
      <w:sz w:val="22"/>
    </w:rPr>
  </w:style>
  <w:style w:type="paragraph" w:customStyle="1" w:styleId="EndNoteBibliography">
    <w:name w:val="EndNote Bibliography"/>
    <w:basedOn w:val="Normal"/>
    <w:link w:val="EndNoteBibliographyChar"/>
    <w:rsid w:val="00365AE7"/>
    <w:pPr>
      <w:spacing w:line="240" w:lineRule="auto"/>
    </w:pPr>
    <w:rPr>
      <w:noProof/>
      <w:sz w:val="16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65AE7"/>
    <w:rPr>
      <w:noProof/>
      <w:sz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3123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noProof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793123"/>
    <w:rPr>
      <w:rFonts w:ascii="Times New Roman" w:hAnsi="Times New Roman"/>
      <w:noProof/>
      <w:sz w:val="24"/>
    </w:rPr>
  </w:style>
  <w:style w:type="character" w:styleId="Hyperlink">
    <w:name w:val="Hyperlink"/>
    <w:uiPriority w:val="99"/>
    <w:rsid w:val="007931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23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AC7703"/>
    <w:pPr>
      <w:spacing w:after="0"/>
      <w:jc w:val="center"/>
    </w:pPr>
    <w:rPr>
      <w:noProof/>
      <w:sz w:val="16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7703"/>
    <w:rPr>
      <w:noProof/>
      <w:sz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C77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md.aspetjournals.org/content/19/1/135.long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s.suparmi@wur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9852231D.dotm</Template>
  <TotalTime>3</TotalTime>
  <Pages>2</Pages>
  <Words>468</Words>
  <Characters>2289</Characters>
  <Application>Microsoft Office Word</Application>
  <DocSecurity>0</DocSecurity>
  <Lines>327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Suparmi, S</dc:creator>
  <cp:keywords/>
  <dc:description/>
  <cp:lastModifiedBy>Suparmi, S</cp:lastModifiedBy>
  <cp:revision>3</cp:revision>
  <dcterms:created xsi:type="dcterms:W3CDTF">2020-05-21T04:52:00Z</dcterms:created>
  <dcterms:modified xsi:type="dcterms:W3CDTF">2020-05-21T05:56:00Z</dcterms:modified>
</cp:coreProperties>
</file>