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049" w:rsidRDefault="00BC651F">
      <w:pPr>
        <w:pStyle w:val="NormalWeb"/>
        <w:spacing w:after="0" w:line="480" w:lineRule="auto"/>
        <w:rPr>
          <w:rFonts w:ascii="Calibri" w:hAnsi="Calibri"/>
          <w:b/>
          <w:sz w:val="36"/>
          <w:szCs w:val="36"/>
          <w:lang w:val="en-US"/>
        </w:rPr>
      </w:pPr>
      <w:r>
        <w:rPr>
          <w:rFonts w:ascii="Calibri" w:hAnsi="Calibri"/>
          <w:b/>
          <w:sz w:val="36"/>
          <w:szCs w:val="36"/>
          <w:lang w:val="en-US"/>
        </w:rPr>
        <w:t xml:space="preserve">Supplementary </w:t>
      </w:r>
      <w:r w:rsidR="00125B43">
        <w:rPr>
          <w:rFonts w:ascii="Calibri" w:hAnsi="Calibri"/>
          <w:b/>
          <w:sz w:val="36"/>
          <w:szCs w:val="36"/>
          <w:lang w:val="en-US"/>
        </w:rPr>
        <w:t>Material</w:t>
      </w:r>
    </w:p>
    <w:p w:rsidR="00595049" w:rsidRDefault="00BC651F">
      <w:pPr>
        <w:spacing w:after="120" w:line="480" w:lineRule="auto"/>
        <w:jc w:val="both"/>
        <w:rPr>
          <w:rFonts w:ascii="Calibri" w:eastAsia="Calibri" w:hAnsi="Calibri" w:cs="Times New Roman"/>
          <w:b/>
          <w:sz w:val="24"/>
          <w:szCs w:val="24"/>
          <w:lang w:val="en-GB"/>
        </w:rPr>
      </w:pPr>
      <w:r>
        <w:rPr>
          <w:rFonts w:ascii="Calibri" w:eastAsia="Calibri" w:hAnsi="Calibri" w:cs="Times New Roman"/>
          <w:b/>
          <w:sz w:val="24"/>
          <w:szCs w:val="24"/>
          <w:lang w:val="en-GB"/>
        </w:rPr>
        <w:t>Method S1</w:t>
      </w:r>
    </w:p>
    <w:p w:rsidR="00595049" w:rsidRDefault="00BC651F">
      <w:pPr>
        <w:spacing w:after="240" w:line="480" w:lineRule="auto"/>
        <w:jc w:val="both"/>
        <w:rPr>
          <w:rFonts w:ascii="Calibri" w:eastAsia="Calibri" w:hAnsi="Calibri" w:cs="Times New Roman"/>
          <w:sz w:val="24"/>
          <w:szCs w:val="24"/>
          <w:lang w:val="en-GB"/>
        </w:rPr>
      </w:pPr>
      <w:r>
        <w:rPr>
          <w:rFonts w:ascii="Calibri" w:eastAsia="Calibri" w:hAnsi="Calibri" w:cs="Times New Roman"/>
          <w:i/>
          <w:sz w:val="24"/>
          <w:szCs w:val="24"/>
          <w:lang w:val="en-GB"/>
        </w:rPr>
        <w:t>Bacterial quantification</w:t>
      </w:r>
      <w:r>
        <w:rPr>
          <w:rFonts w:ascii="Calibri" w:eastAsia="Calibri" w:hAnsi="Calibri" w:cs="Times New Roman"/>
          <w:sz w:val="24"/>
          <w:szCs w:val="24"/>
          <w:lang w:val="en-GB"/>
        </w:rPr>
        <w:t xml:space="preserve"> </w:t>
      </w:r>
    </w:p>
    <w:p w:rsidR="00595049" w:rsidRDefault="00BC651F">
      <w:pPr>
        <w:spacing w:after="240" w:line="480"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 xml:space="preserve">For </w:t>
      </w:r>
      <w:r w:rsidRPr="00975E64">
        <w:rPr>
          <w:rFonts w:ascii="Calibri" w:eastAsia="Calibri" w:hAnsi="Calibri" w:cs="Times New Roman"/>
          <w:color w:val="FF0000"/>
          <w:sz w:val="24"/>
          <w:szCs w:val="24"/>
          <w:lang w:val="en-GB"/>
        </w:rPr>
        <w:t>strain specific quantitative PCR (</w:t>
      </w:r>
      <w:proofErr w:type="spellStart"/>
      <w:r w:rsidRPr="00975E64">
        <w:rPr>
          <w:rFonts w:ascii="Calibri" w:eastAsia="Calibri" w:hAnsi="Calibri" w:cs="Times New Roman"/>
          <w:color w:val="FF0000"/>
          <w:sz w:val="24"/>
          <w:szCs w:val="24"/>
          <w:lang w:val="en-GB"/>
        </w:rPr>
        <w:t>ss-qPCR</w:t>
      </w:r>
      <w:proofErr w:type="spellEnd"/>
      <w:r w:rsidRPr="00975E64">
        <w:rPr>
          <w:rFonts w:ascii="Calibri" w:eastAsia="Calibri" w:hAnsi="Calibri" w:cs="Times New Roman"/>
          <w:color w:val="FF0000"/>
          <w:sz w:val="24"/>
          <w:szCs w:val="24"/>
          <w:lang w:val="en-GB"/>
        </w:rPr>
        <w:t xml:space="preserve">) </w:t>
      </w:r>
      <w:r>
        <w:rPr>
          <w:rFonts w:ascii="Calibri" w:eastAsia="Calibri" w:hAnsi="Calibri" w:cs="Times New Roman"/>
          <w:sz w:val="24"/>
          <w:szCs w:val="24"/>
          <w:lang w:val="en-GB"/>
        </w:rPr>
        <w:t>total genomic DNA was isolated from the remaining solution using the RTP® Bacteria DNA Mini Kit (</w:t>
      </w:r>
      <w:proofErr w:type="spellStart"/>
      <w:r>
        <w:rPr>
          <w:rFonts w:ascii="Calibri" w:eastAsia="Calibri" w:hAnsi="Calibri" w:cs="Times New Roman"/>
          <w:sz w:val="24"/>
          <w:szCs w:val="24"/>
          <w:lang w:val="en-GB"/>
        </w:rPr>
        <w:t>Invitek</w:t>
      </w:r>
      <w:proofErr w:type="spellEnd"/>
      <w:r>
        <w:rPr>
          <w:rFonts w:ascii="Calibri" w:eastAsia="Calibri" w:hAnsi="Calibri" w:cs="Times New Roman"/>
          <w:sz w:val="24"/>
          <w:szCs w:val="24"/>
          <w:lang w:val="en-GB"/>
        </w:rPr>
        <w:t xml:space="preserve">, </w:t>
      </w:r>
      <w:proofErr w:type="spellStart"/>
      <w:r>
        <w:rPr>
          <w:rFonts w:ascii="Calibri" w:eastAsia="Calibri" w:hAnsi="Calibri" w:cs="Times New Roman"/>
          <w:sz w:val="24"/>
          <w:szCs w:val="24"/>
          <w:lang w:val="en-GB"/>
        </w:rPr>
        <w:t>STRATEC</w:t>
      </w:r>
      <w:proofErr w:type="spellEnd"/>
      <w:r>
        <w:rPr>
          <w:rFonts w:ascii="Calibri" w:eastAsia="Calibri" w:hAnsi="Calibri" w:cs="Times New Roman"/>
          <w:sz w:val="24"/>
          <w:szCs w:val="24"/>
          <w:lang w:val="en-GB"/>
        </w:rPr>
        <w:t xml:space="preserve"> Molecular GmbH, Berlin, Germany). Prior to </w:t>
      </w:r>
      <w:r w:rsidRPr="00975E64">
        <w:rPr>
          <w:rFonts w:ascii="Calibri" w:eastAsia="Calibri" w:hAnsi="Calibri" w:cs="Times New Roman"/>
          <w:color w:val="FF0000"/>
          <w:sz w:val="24"/>
          <w:szCs w:val="24"/>
          <w:lang w:val="en-GB"/>
        </w:rPr>
        <w:t>ss-qPCR</w:t>
      </w:r>
      <w:r>
        <w:rPr>
          <w:rFonts w:ascii="Calibri" w:eastAsia="Calibri" w:hAnsi="Calibri" w:cs="Times New Roman"/>
          <w:sz w:val="24"/>
          <w:szCs w:val="24"/>
          <w:lang w:val="en-GB"/>
        </w:rPr>
        <w:t xml:space="preserve">, </w:t>
      </w:r>
      <w:r>
        <w:rPr>
          <w:rFonts w:ascii="Calibri" w:eastAsia="Calibri" w:hAnsi="Calibri" w:cs="Times New Roman"/>
          <w:sz w:val="24"/>
          <w:szCs w:val="24"/>
          <w:lang w:val="en-US"/>
        </w:rPr>
        <w:t xml:space="preserve">purity of DNA was estimated using a Nanodrop-1000 Spectrophotometer </w:t>
      </w:r>
      <w:r>
        <w:rPr>
          <w:rFonts w:ascii="Calibri" w:eastAsia="Calibri" w:hAnsi="Calibri" w:cs="Times New Roman"/>
          <w:sz w:val="24"/>
          <w:szCs w:val="24"/>
          <w:lang w:val="en-GB"/>
        </w:rPr>
        <w:t xml:space="preserve">(Thermo Fisher Scientific, Darmstadt, Germany) and the amount </w:t>
      </w:r>
      <w:r>
        <w:rPr>
          <w:rFonts w:ascii="Calibri" w:eastAsia="Calibri" w:hAnsi="Calibri" w:cs="Times New Roman"/>
          <w:sz w:val="24"/>
          <w:szCs w:val="24"/>
          <w:lang w:val="en-US"/>
        </w:rPr>
        <w:t>obtained quantified by fluorometry (</w:t>
      </w:r>
      <w:proofErr w:type="spellStart"/>
      <w:r>
        <w:rPr>
          <w:rFonts w:ascii="Calibri" w:eastAsia="Calibri" w:hAnsi="Calibri" w:cs="Times New Roman"/>
          <w:sz w:val="24"/>
          <w:szCs w:val="24"/>
          <w:lang w:val="en-US"/>
        </w:rPr>
        <w:t>QuBit</w:t>
      </w:r>
      <w:proofErr w:type="spellEnd"/>
      <w:r>
        <w:rPr>
          <w:rFonts w:ascii="Calibri" w:eastAsia="Calibri" w:hAnsi="Calibri" w:cs="Times New Roman"/>
          <w:sz w:val="24"/>
          <w:szCs w:val="24"/>
          <w:lang w:val="en-US"/>
        </w:rPr>
        <w:t xml:space="preserve"> 4 Fluorometer, </w:t>
      </w:r>
      <w:r>
        <w:rPr>
          <w:rFonts w:ascii="Calibri" w:eastAsia="Calibri" w:hAnsi="Calibri" w:cs="Times New Roman"/>
          <w:sz w:val="24"/>
          <w:szCs w:val="24"/>
          <w:lang w:val="en-GB"/>
        </w:rPr>
        <w:t>Thermo Fisher Scientific, Darmstadt, Germany).</w:t>
      </w:r>
    </w:p>
    <w:p w:rsidR="00595049" w:rsidRDefault="00BC651F">
      <w:pPr>
        <w:spacing w:line="480" w:lineRule="auto"/>
        <w:jc w:val="both"/>
        <w:rPr>
          <w:rFonts w:ascii="Calibri" w:eastAsia="Calibri" w:hAnsi="Calibri" w:cs="Times New Roman"/>
          <w:sz w:val="24"/>
          <w:szCs w:val="24"/>
          <w:lang w:val="en-US"/>
        </w:rPr>
      </w:pPr>
      <w:r>
        <w:rPr>
          <w:rFonts w:ascii="Calibri" w:eastAsia="Calibri" w:hAnsi="Calibri" w:cs="Times New Roman"/>
          <w:sz w:val="24"/>
          <w:szCs w:val="24"/>
          <w:lang w:val="en-US"/>
        </w:rPr>
        <w:t>Primer design</w:t>
      </w:r>
    </w:p>
    <w:p w:rsidR="00595049" w:rsidRDefault="00BC651F">
      <w:pPr>
        <w:spacing w:line="480" w:lineRule="auto"/>
        <w:jc w:val="both"/>
        <w:rPr>
          <w:rFonts w:ascii="Calibri" w:eastAsia="Calibri" w:hAnsi="Calibri" w:cs="Times New Roman"/>
          <w:sz w:val="24"/>
          <w:szCs w:val="24"/>
          <w:lang w:val="en-US"/>
        </w:rPr>
      </w:pPr>
      <w:r>
        <w:rPr>
          <w:rFonts w:ascii="Calibri" w:eastAsia="Calibri" w:hAnsi="Calibri" w:cs="Times New Roman"/>
          <w:sz w:val="24"/>
          <w:szCs w:val="24"/>
          <w:lang w:val="en-US"/>
        </w:rPr>
        <w:t xml:space="preserve">Strain-specific primers were designed for both strains using the WGS data. Sequence alignments and primer design were carried out using the Primer Express (version 3.0.1; Applied Biosystems, Foster City, CA, USA) and </w:t>
      </w:r>
      <w:r>
        <w:rPr>
          <w:rFonts w:ascii="Calibri" w:eastAsia="Calibri" w:hAnsi="Calibri" w:cs="Times New Roman"/>
          <w:i/>
          <w:sz w:val="24"/>
          <w:szCs w:val="24"/>
          <w:lang w:val="en-US"/>
        </w:rPr>
        <w:t>in silico</w:t>
      </w:r>
      <w:r>
        <w:rPr>
          <w:rFonts w:ascii="Calibri" w:eastAsia="Calibri" w:hAnsi="Calibri" w:cs="Times New Roman"/>
          <w:sz w:val="24"/>
          <w:szCs w:val="24"/>
          <w:lang w:val="en-US"/>
        </w:rPr>
        <w:t xml:space="preserve"> primer specificity by BLAST in </w:t>
      </w:r>
      <w:proofErr w:type="spellStart"/>
      <w:r>
        <w:rPr>
          <w:rFonts w:ascii="Calibri" w:eastAsia="Calibri" w:hAnsi="Calibri" w:cs="Times New Roman"/>
          <w:sz w:val="24"/>
          <w:szCs w:val="24"/>
          <w:lang w:val="en-US"/>
        </w:rPr>
        <w:t>conjunctin</w:t>
      </w:r>
      <w:proofErr w:type="spellEnd"/>
      <w:r>
        <w:rPr>
          <w:rFonts w:ascii="Calibri" w:eastAsia="Calibri" w:hAnsi="Calibri" w:cs="Times New Roman"/>
          <w:sz w:val="24"/>
          <w:szCs w:val="24"/>
          <w:lang w:val="en-US"/>
        </w:rPr>
        <w:t xml:space="preserve"> with the </w:t>
      </w:r>
      <w:proofErr w:type="spellStart"/>
      <w:r>
        <w:rPr>
          <w:rFonts w:ascii="Calibri" w:eastAsia="Calibri" w:hAnsi="Calibri" w:cs="Times New Roman"/>
          <w:sz w:val="24"/>
          <w:szCs w:val="24"/>
          <w:lang w:val="en-US"/>
        </w:rPr>
        <w:t>Accelrys</w:t>
      </w:r>
      <w:proofErr w:type="spellEnd"/>
      <w:r>
        <w:rPr>
          <w:rFonts w:ascii="Calibri" w:eastAsia="Calibri" w:hAnsi="Calibri" w:cs="Times New Roman"/>
          <w:sz w:val="24"/>
          <w:szCs w:val="24"/>
          <w:lang w:val="en-US"/>
        </w:rPr>
        <w:t xml:space="preserve"> (version 2.5; San Diego, California). The primers selected for further use were 5’- CAT GGC ACC AGC GAA ACC -3’ (forward) and 5’- CTG CTA </w:t>
      </w:r>
      <w:proofErr w:type="spellStart"/>
      <w:r>
        <w:rPr>
          <w:rFonts w:ascii="Calibri" w:eastAsia="Calibri" w:hAnsi="Calibri" w:cs="Times New Roman"/>
          <w:sz w:val="24"/>
          <w:szCs w:val="24"/>
          <w:lang w:val="en-US"/>
        </w:rPr>
        <w:t>CTA</w:t>
      </w:r>
      <w:proofErr w:type="spellEnd"/>
      <w:r>
        <w:rPr>
          <w:rFonts w:ascii="Calibri" w:eastAsia="Calibri" w:hAnsi="Calibri" w:cs="Times New Roman"/>
          <w:sz w:val="24"/>
          <w:szCs w:val="24"/>
          <w:lang w:val="en-US"/>
        </w:rPr>
        <w:t xml:space="preserve"> </w:t>
      </w:r>
      <w:proofErr w:type="spellStart"/>
      <w:r>
        <w:rPr>
          <w:rFonts w:ascii="Calibri" w:eastAsia="Calibri" w:hAnsi="Calibri" w:cs="Times New Roman"/>
          <w:sz w:val="24"/>
          <w:szCs w:val="24"/>
          <w:lang w:val="en-US"/>
        </w:rPr>
        <w:t>CCC</w:t>
      </w:r>
      <w:proofErr w:type="spellEnd"/>
      <w:r>
        <w:rPr>
          <w:rFonts w:ascii="Calibri" w:eastAsia="Calibri" w:hAnsi="Calibri" w:cs="Times New Roman"/>
          <w:sz w:val="24"/>
          <w:szCs w:val="24"/>
          <w:lang w:val="en-US"/>
        </w:rPr>
        <w:t xml:space="preserve"> CTA CTG ATA TTT TCT CT -3’ (reverse) for </w:t>
      </w:r>
      <w:r>
        <w:rPr>
          <w:rFonts w:ascii="Calibri" w:eastAsia="Calibri" w:hAnsi="Calibri" w:cs="Times New Roman"/>
          <w:i/>
          <w:sz w:val="24"/>
          <w:szCs w:val="24"/>
          <w:lang w:val="en-US"/>
        </w:rPr>
        <w:t>M. luteus</w:t>
      </w:r>
      <w:r>
        <w:rPr>
          <w:rFonts w:ascii="Calibri" w:eastAsia="Calibri" w:hAnsi="Calibri" w:cs="Times New Roman"/>
          <w:sz w:val="24"/>
          <w:szCs w:val="24"/>
          <w:lang w:val="en-US"/>
        </w:rPr>
        <w:t xml:space="preserve"> and 5’- GTA TCC GCA CCG TCT ACA CC -3’ (forward) and 5’- CAA TGC CTC CAG ATC CAC CA -3’ (reverse) for </w:t>
      </w:r>
      <w:r>
        <w:rPr>
          <w:rFonts w:ascii="Calibri" w:eastAsia="Calibri" w:hAnsi="Calibri" w:cs="Times New Roman"/>
          <w:i/>
          <w:sz w:val="24"/>
          <w:szCs w:val="24"/>
          <w:lang w:val="en-US"/>
        </w:rPr>
        <w:t xml:space="preserve">P. </w:t>
      </w:r>
      <w:proofErr w:type="spellStart"/>
      <w:r>
        <w:rPr>
          <w:rFonts w:ascii="Calibri" w:eastAsia="Calibri" w:hAnsi="Calibri" w:cs="Times New Roman"/>
          <w:i/>
          <w:sz w:val="24"/>
          <w:szCs w:val="24"/>
          <w:lang w:val="en-US"/>
        </w:rPr>
        <w:t>oleovorans</w:t>
      </w:r>
      <w:proofErr w:type="spellEnd"/>
      <w:r>
        <w:rPr>
          <w:rFonts w:ascii="Calibri" w:eastAsia="Calibri" w:hAnsi="Calibri" w:cs="Times New Roman"/>
          <w:sz w:val="24"/>
          <w:szCs w:val="24"/>
          <w:lang w:val="en-US"/>
        </w:rPr>
        <w:t>, targeting a 90 bp intergenic region and a 110 bp region of a 2</w:t>
      </w:r>
      <w:r>
        <w:rPr>
          <w:rFonts w:ascii="Calibri" w:eastAsia="Calibri" w:hAnsi="Calibri" w:cs="Times New Roman"/>
          <w:sz w:val="24"/>
          <w:szCs w:val="24"/>
          <w:lang w:val="en-US"/>
        </w:rPr>
        <w:noBreakHyphen/>
        <w:t>acylglycerophosphoethanolamine acyltransferase, respectively.</w:t>
      </w:r>
    </w:p>
    <w:p w:rsidR="00595049" w:rsidRDefault="00BC651F">
      <w:pPr>
        <w:spacing w:line="480" w:lineRule="auto"/>
        <w:jc w:val="both"/>
        <w:rPr>
          <w:rFonts w:ascii="Calibri" w:eastAsia="Calibri" w:hAnsi="Calibri" w:cs="Times New Roman"/>
          <w:sz w:val="24"/>
          <w:szCs w:val="24"/>
          <w:lang w:val="en-US"/>
        </w:rPr>
      </w:pPr>
      <w:r>
        <w:rPr>
          <w:rFonts w:ascii="Calibri" w:eastAsia="Calibri" w:hAnsi="Calibri" w:cs="Times New Roman"/>
          <w:sz w:val="24"/>
          <w:szCs w:val="24"/>
          <w:lang w:val="en-US"/>
        </w:rPr>
        <w:t>Assessment of assay specificity and efficiency</w:t>
      </w:r>
    </w:p>
    <w:p w:rsidR="00595049" w:rsidRDefault="00BC651F">
      <w:pPr>
        <w:spacing w:line="480" w:lineRule="auto"/>
        <w:jc w:val="both"/>
        <w:rPr>
          <w:rFonts w:ascii="Calibri" w:eastAsia="Calibri" w:hAnsi="Calibri" w:cs="Times New Roman"/>
          <w:bCs/>
          <w:sz w:val="24"/>
          <w:szCs w:val="24"/>
          <w:lang w:val="en-US"/>
        </w:rPr>
      </w:pPr>
      <w:r>
        <w:rPr>
          <w:rFonts w:ascii="Calibri" w:eastAsia="Calibri" w:hAnsi="Calibri" w:cs="Times New Roman"/>
          <w:sz w:val="24"/>
          <w:szCs w:val="24"/>
          <w:lang w:val="en-US"/>
        </w:rPr>
        <w:t xml:space="preserve">Specificity of both primer pairs was assessed by performing end point PCR with DNA obtained from pure cultures of </w:t>
      </w:r>
      <w:r>
        <w:rPr>
          <w:rFonts w:ascii="Calibri" w:eastAsia="Calibri" w:hAnsi="Calibri" w:cs="Times New Roman"/>
          <w:i/>
          <w:sz w:val="24"/>
          <w:szCs w:val="24"/>
          <w:lang w:val="en-US"/>
        </w:rPr>
        <w:t>M. luteus</w:t>
      </w:r>
      <w:r>
        <w:rPr>
          <w:rFonts w:ascii="Calibri" w:eastAsia="Calibri" w:hAnsi="Calibri" w:cs="Times New Roman"/>
          <w:sz w:val="24"/>
          <w:szCs w:val="24"/>
          <w:lang w:val="en-US"/>
        </w:rPr>
        <w:t xml:space="preserve"> and </w:t>
      </w:r>
      <w:r>
        <w:rPr>
          <w:rFonts w:ascii="Calibri" w:eastAsia="Calibri" w:hAnsi="Calibri" w:cs="Times New Roman"/>
          <w:i/>
          <w:sz w:val="24"/>
          <w:szCs w:val="24"/>
          <w:lang w:val="en-US"/>
        </w:rPr>
        <w:t xml:space="preserve">P. </w:t>
      </w:r>
      <w:proofErr w:type="spellStart"/>
      <w:r>
        <w:rPr>
          <w:rFonts w:ascii="Calibri" w:eastAsia="Calibri" w:hAnsi="Calibri" w:cs="Times New Roman"/>
          <w:i/>
          <w:sz w:val="24"/>
          <w:szCs w:val="24"/>
          <w:lang w:val="en-US"/>
        </w:rPr>
        <w:t>oleovorans</w:t>
      </w:r>
      <w:proofErr w:type="spellEnd"/>
      <w:r>
        <w:rPr>
          <w:rFonts w:ascii="Calibri" w:eastAsia="Calibri" w:hAnsi="Calibri" w:cs="Times New Roman"/>
          <w:i/>
          <w:sz w:val="24"/>
          <w:szCs w:val="24"/>
          <w:lang w:val="en-US"/>
        </w:rPr>
        <w:t xml:space="preserve"> </w:t>
      </w:r>
      <w:r>
        <w:rPr>
          <w:rFonts w:ascii="Calibri" w:eastAsia="Calibri" w:hAnsi="Calibri" w:cs="Times New Roman"/>
          <w:sz w:val="24"/>
          <w:szCs w:val="24"/>
          <w:lang w:val="en-US"/>
        </w:rPr>
        <w:t xml:space="preserve">as well as by analysis of the </w:t>
      </w:r>
      <w:r>
        <w:rPr>
          <w:rFonts w:ascii="Calibri" w:eastAsia="Calibri" w:hAnsi="Calibri" w:cs="Times New Roman"/>
          <w:sz w:val="24"/>
          <w:szCs w:val="24"/>
          <w:lang w:val="en-US"/>
        </w:rPr>
        <w:lastRenderedPageBreak/>
        <w:t>melting curve. Standard curves were generated for both bacterial species using serial dilutions of genomic DNA containing 2 x 10</w:t>
      </w:r>
      <w:r>
        <w:rPr>
          <w:rFonts w:ascii="Calibri" w:eastAsia="Calibri" w:hAnsi="Calibri" w:cs="Times New Roman"/>
          <w:sz w:val="24"/>
          <w:szCs w:val="24"/>
          <w:vertAlign w:val="superscript"/>
          <w:lang w:val="en-US"/>
        </w:rPr>
        <w:t>1</w:t>
      </w:r>
      <w:r>
        <w:rPr>
          <w:rFonts w:ascii="Calibri" w:eastAsia="Calibri" w:hAnsi="Calibri" w:cs="Times New Roman"/>
          <w:sz w:val="24"/>
          <w:szCs w:val="24"/>
          <w:lang w:val="en-US"/>
        </w:rPr>
        <w:t xml:space="preserve"> - 2 x 10</w:t>
      </w:r>
      <w:r>
        <w:rPr>
          <w:rFonts w:ascii="Calibri" w:eastAsia="Calibri" w:hAnsi="Calibri" w:cs="Times New Roman"/>
          <w:sz w:val="24"/>
          <w:szCs w:val="24"/>
          <w:vertAlign w:val="superscript"/>
          <w:lang w:val="en-US"/>
        </w:rPr>
        <w:t>6</w:t>
      </w:r>
      <w:r>
        <w:rPr>
          <w:rFonts w:ascii="Calibri" w:eastAsia="Calibri" w:hAnsi="Calibri" w:cs="Times New Roman"/>
          <w:sz w:val="24"/>
          <w:szCs w:val="24"/>
          <w:lang w:val="en-US"/>
        </w:rPr>
        <w:t xml:space="preserve"> copies of the target gene per reaction. Quantitative (q)PCR was performed on a CFX96 Touch™ Real-Time PCR Detection System (Bio-Rad Laboratories, Hercules, CA, USA) using the </w:t>
      </w:r>
      <w:proofErr w:type="spellStart"/>
      <w:r>
        <w:rPr>
          <w:rFonts w:ascii="Calibri" w:eastAsia="Calibri" w:hAnsi="Calibri" w:cs="Times New Roman"/>
          <w:sz w:val="24"/>
          <w:szCs w:val="24"/>
          <w:lang w:val="en-US"/>
        </w:rPr>
        <w:t>SsoAdvanced</w:t>
      </w:r>
      <w:proofErr w:type="spellEnd"/>
      <w:r>
        <w:rPr>
          <w:rFonts w:ascii="Calibri" w:eastAsia="Calibri" w:hAnsi="Calibri" w:cs="Times New Roman"/>
          <w:sz w:val="24"/>
          <w:szCs w:val="24"/>
          <w:lang w:val="en-US"/>
        </w:rPr>
        <w:t xml:space="preserve">™ Universal </w:t>
      </w:r>
      <w:proofErr w:type="spellStart"/>
      <w:r>
        <w:rPr>
          <w:rFonts w:ascii="Calibri" w:eastAsia="Calibri" w:hAnsi="Calibri" w:cs="Times New Roman"/>
          <w:sz w:val="24"/>
          <w:szCs w:val="24"/>
          <w:lang w:val="en-US"/>
        </w:rPr>
        <w:t>SYBR</w:t>
      </w:r>
      <w:proofErr w:type="spellEnd"/>
      <w:r>
        <w:rPr>
          <w:rFonts w:ascii="Calibri" w:eastAsia="Calibri" w:hAnsi="Calibri" w:cs="Times New Roman"/>
          <w:sz w:val="24"/>
          <w:szCs w:val="24"/>
          <w:lang w:val="en-US"/>
        </w:rPr>
        <w:t>® Green mix (Bio-Rad Laboratories, Munich, Germany). Amplification reactions were performed in technical triplicates using 5 µl of template DNA in 25 </w:t>
      </w:r>
      <w:proofErr w:type="spellStart"/>
      <w:r>
        <w:rPr>
          <w:rFonts w:ascii="Calibri" w:eastAsia="Calibri" w:hAnsi="Calibri" w:cs="Times New Roman"/>
          <w:sz w:val="24"/>
          <w:szCs w:val="24"/>
          <w:lang w:val="en-US"/>
        </w:rPr>
        <w:t>μL</w:t>
      </w:r>
      <w:proofErr w:type="spellEnd"/>
      <w:r>
        <w:rPr>
          <w:rFonts w:ascii="Calibri" w:eastAsia="Calibri" w:hAnsi="Calibri" w:cs="Times New Roman"/>
          <w:sz w:val="24"/>
          <w:szCs w:val="24"/>
          <w:lang w:val="en-US"/>
        </w:rPr>
        <w:t xml:space="preserve"> of reaction volume with </w:t>
      </w:r>
      <w:proofErr w:type="spellStart"/>
      <w:r>
        <w:rPr>
          <w:rFonts w:ascii="Calibri" w:eastAsia="Calibri" w:hAnsi="Calibri" w:cs="Times New Roman"/>
          <w:sz w:val="24"/>
          <w:szCs w:val="24"/>
          <w:lang w:val="en-US"/>
        </w:rPr>
        <w:t>Biorad</w:t>
      </w:r>
      <w:proofErr w:type="spellEnd"/>
      <w:r>
        <w:rPr>
          <w:rFonts w:ascii="Calibri" w:eastAsia="Calibri" w:hAnsi="Calibri" w:cs="Times New Roman"/>
          <w:sz w:val="24"/>
          <w:szCs w:val="24"/>
          <w:lang w:val="en-US"/>
        </w:rPr>
        <w:t xml:space="preserve"> </w:t>
      </w:r>
      <w:r>
        <w:rPr>
          <w:rFonts w:ascii="Calibri" w:eastAsia="Calibri" w:hAnsi="Calibri" w:cs="Times New Roman"/>
          <w:bCs/>
          <w:sz w:val="24"/>
          <w:szCs w:val="24"/>
          <w:lang w:val="en-US"/>
        </w:rPr>
        <w:t>Hard-Shell</w:t>
      </w:r>
      <w:r>
        <w:rPr>
          <w:rFonts w:ascii="Calibri" w:eastAsia="Calibri" w:hAnsi="Calibri" w:cs="Times New Roman"/>
          <w:bCs/>
          <w:sz w:val="24"/>
          <w:szCs w:val="24"/>
          <w:vertAlign w:val="superscript"/>
          <w:lang w:val="en-US"/>
        </w:rPr>
        <w:t>®</w:t>
      </w:r>
      <w:r>
        <w:rPr>
          <w:rFonts w:ascii="Calibri" w:eastAsia="Calibri" w:hAnsi="Calibri" w:cs="Times New Roman"/>
          <w:bCs/>
          <w:sz w:val="24"/>
          <w:szCs w:val="24"/>
          <w:lang w:val="en-US"/>
        </w:rPr>
        <w:t xml:space="preserve"> 96-Well PCR plates and 80</w:t>
      </w:r>
      <w:r>
        <w:rPr>
          <w:rFonts w:ascii="Calibri" w:eastAsia="Calibri" w:hAnsi="Calibri" w:cs="Times New Roman"/>
          <w:sz w:val="24"/>
          <w:szCs w:val="24"/>
          <w:lang w:val="en-US"/>
        </w:rPr>
        <w:t> </w:t>
      </w:r>
      <w:r>
        <w:rPr>
          <w:rFonts w:ascii="Calibri" w:eastAsia="Calibri" w:hAnsi="Calibri" w:cs="Times New Roman"/>
          <w:bCs/>
          <w:sz w:val="24"/>
          <w:szCs w:val="24"/>
          <w:lang w:val="en-US"/>
        </w:rPr>
        <w:t>nM of forward and reverse primers, respectively (</w:t>
      </w:r>
      <w:r>
        <w:rPr>
          <w:rFonts w:ascii="Calibri" w:eastAsia="Calibri" w:hAnsi="Calibri" w:cs="Times New Roman"/>
          <w:sz w:val="24"/>
          <w:szCs w:val="24"/>
          <w:lang w:val="en-US"/>
        </w:rPr>
        <w:t xml:space="preserve">initial denaturation at 95 °C for 5 min, followed by 40 cycles of 95 °C for 15 s and 61 °C for 30 s </w:t>
      </w:r>
      <w:r>
        <w:rPr>
          <w:rFonts w:ascii="Calibri" w:eastAsia="Calibri" w:hAnsi="Calibri" w:cs="Times New Roman"/>
          <w:bCs/>
          <w:sz w:val="24"/>
          <w:szCs w:val="24"/>
          <w:lang w:val="en-US"/>
        </w:rPr>
        <w:t>and an incremental melting curve from 50</w:t>
      </w:r>
      <w:r>
        <w:rPr>
          <w:rFonts w:ascii="Calibri" w:eastAsia="Calibri" w:hAnsi="Calibri" w:cs="Times New Roman"/>
          <w:sz w:val="24"/>
          <w:szCs w:val="24"/>
          <w:lang w:val="en-US"/>
        </w:rPr>
        <w:t> </w:t>
      </w:r>
      <w:r>
        <w:rPr>
          <w:rFonts w:ascii="Calibri" w:eastAsia="Calibri" w:hAnsi="Calibri" w:cs="Times New Roman"/>
          <w:bCs/>
          <w:sz w:val="24"/>
          <w:szCs w:val="24"/>
          <w:lang w:val="en-US"/>
        </w:rPr>
        <w:t>°C to 95</w:t>
      </w:r>
      <w:r>
        <w:rPr>
          <w:rFonts w:ascii="Calibri" w:eastAsia="Calibri" w:hAnsi="Calibri" w:cs="Times New Roman"/>
          <w:sz w:val="24"/>
          <w:szCs w:val="24"/>
          <w:lang w:val="en-US"/>
        </w:rPr>
        <w:t> </w:t>
      </w:r>
      <w:r>
        <w:rPr>
          <w:rFonts w:ascii="Calibri" w:eastAsia="Calibri" w:hAnsi="Calibri" w:cs="Times New Roman"/>
          <w:bCs/>
          <w:sz w:val="24"/>
          <w:szCs w:val="24"/>
          <w:lang w:val="en-US"/>
        </w:rPr>
        <w:t>°C at 0.5</w:t>
      </w:r>
      <w:r>
        <w:rPr>
          <w:rFonts w:ascii="Calibri" w:eastAsia="Calibri" w:hAnsi="Calibri" w:cs="Times New Roman"/>
          <w:sz w:val="24"/>
          <w:szCs w:val="24"/>
          <w:lang w:val="en-US"/>
        </w:rPr>
        <w:t> </w:t>
      </w:r>
      <w:r>
        <w:rPr>
          <w:rFonts w:ascii="Calibri" w:eastAsia="Calibri" w:hAnsi="Calibri" w:cs="Times New Roman"/>
          <w:bCs/>
          <w:sz w:val="24"/>
          <w:szCs w:val="24"/>
          <w:lang w:val="en-US"/>
        </w:rPr>
        <w:t>°C/5</w:t>
      </w:r>
      <w:r>
        <w:rPr>
          <w:rFonts w:ascii="Calibri" w:eastAsia="Calibri" w:hAnsi="Calibri" w:cs="Times New Roman"/>
          <w:sz w:val="24"/>
          <w:szCs w:val="24"/>
          <w:lang w:val="en-US"/>
        </w:rPr>
        <w:t> </w:t>
      </w:r>
      <w:r>
        <w:rPr>
          <w:rFonts w:ascii="Calibri" w:eastAsia="Calibri" w:hAnsi="Calibri" w:cs="Times New Roman"/>
          <w:bCs/>
          <w:sz w:val="24"/>
          <w:szCs w:val="24"/>
          <w:lang w:val="en-US"/>
        </w:rPr>
        <w:t>s).</w:t>
      </w:r>
    </w:p>
    <w:p w:rsidR="00595049" w:rsidRDefault="00BC651F">
      <w:pPr>
        <w:spacing w:line="480" w:lineRule="auto"/>
        <w:jc w:val="both"/>
        <w:rPr>
          <w:rFonts w:ascii="Calibri" w:eastAsia="Calibri" w:hAnsi="Calibri" w:cs="Times New Roman"/>
          <w:sz w:val="24"/>
          <w:szCs w:val="24"/>
          <w:lang w:val="en-US"/>
        </w:rPr>
      </w:pPr>
      <w:r>
        <w:rPr>
          <w:rFonts w:ascii="Calibri" w:eastAsia="Calibri" w:hAnsi="Calibri" w:cs="Times New Roman"/>
          <w:sz w:val="24"/>
          <w:szCs w:val="24"/>
          <w:lang w:val="en-US"/>
        </w:rPr>
        <w:t>Linear relationship between quantification cycle (</w:t>
      </w:r>
      <w:proofErr w:type="spellStart"/>
      <w:r>
        <w:rPr>
          <w:rFonts w:ascii="Calibri" w:eastAsia="Calibri" w:hAnsi="Calibri" w:cs="Times New Roman"/>
          <w:sz w:val="24"/>
          <w:szCs w:val="24"/>
          <w:lang w:val="en-US"/>
        </w:rPr>
        <w:t>C</w:t>
      </w:r>
      <w:r>
        <w:rPr>
          <w:rFonts w:ascii="Calibri" w:eastAsia="Calibri" w:hAnsi="Calibri" w:cs="Times New Roman"/>
          <w:sz w:val="24"/>
          <w:szCs w:val="24"/>
          <w:vertAlign w:val="subscript"/>
          <w:lang w:val="en-US"/>
        </w:rPr>
        <w:t>q</w:t>
      </w:r>
      <w:proofErr w:type="spellEnd"/>
      <w:r>
        <w:rPr>
          <w:rFonts w:ascii="Calibri" w:eastAsia="Calibri" w:hAnsi="Calibri" w:cs="Times New Roman"/>
          <w:sz w:val="24"/>
          <w:szCs w:val="24"/>
          <w:lang w:val="en-US"/>
        </w:rPr>
        <w:t>) and log input DNA copy number was evaluated based on three biological replicates and amplification efficiencies (E) calculated based on the slope of standard curve (E=10</w:t>
      </w:r>
      <w:r>
        <w:rPr>
          <w:rFonts w:ascii="Calibri" w:eastAsia="Calibri" w:hAnsi="Calibri" w:cs="Times New Roman"/>
          <w:sz w:val="24"/>
          <w:szCs w:val="24"/>
          <w:vertAlign w:val="superscript"/>
          <w:lang w:val="en-US"/>
        </w:rPr>
        <w:t>−1/slope</w:t>
      </w:r>
      <w:r>
        <w:rPr>
          <w:rFonts w:ascii="Calibri" w:eastAsia="Calibri" w:hAnsi="Calibri" w:cs="Times New Roman"/>
          <w:sz w:val="24"/>
          <w:szCs w:val="24"/>
          <w:lang w:val="en-US"/>
        </w:rPr>
        <w:t>−1).</w:t>
      </w:r>
    </w:p>
    <w:p w:rsidR="00595049" w:rsidRPr="00DF19F1" w:rsidRDefault="00975E64">
      <w:pPr>
        <w:spacing w:line="480" w:lineRule="auto"/>
        <w:jc w:val="both"/>
        <w:rPr>
          <w:rFonts w:ascii="Calibri" w:eastAsia="Calibri" w:hAnsi="Calibri" w:cs="Times New Roman"/>
          <w:color w:val="FF0000"/>
          <w:sz w:val="24"/>
          <w:szCs w:val="24"/>
          <w:lang w:val="en-US"/>
        </w:rPr>
      </w:pPr>
      <w:r w:rsidRPr="00DF19F1">
        <w:rPr>
          <w:rFonts w:ascii="Calibri" w:eastAsia="Calibri" w:hAnsi="Calibri" w:cs="Times New Roman"/>
          <w:color w:val="FF0000"/>
          <w:sz w:val="24"/>
          <w:szCs w:val="24"/>
          <w:lang w:val="en-US"/>
        </w:rPr>
        <w:t>S</w:t>
      </w:r>
      <w:r w:rsidR="00D5692D" w:rsidRPr="00DF19F1">
        <w:rPr>
          <w:rFonts w:ascii="Calibri" w:eastAsia="Calibri" w:hAnsi="Calibri" w:cs="Times New Roman"/>
          <w:color w:val="FF0000"/>
          <w:sz w:val="24"/>
          <w:szCs w:val="24"/>
          <w:lang w:val="en-US"/>
        </w:rPr>
        <w:t>s-q</w:t>
      </w:r>
      <w:r w:rsidR="00BC651F" w:rsidRPr="00DF19F1">
        <w:rPr>
          <w:rFonts w:ascii="Calibri" w:eastAsia="Calibri" w:hAnsi="Calibri" w:cs="Times New Roman"/>
          <w:color w:val="FF0000"/>
          <w:sz w:val="24"/>
          <w:szCs w:val="24"/>
          <w:lang w:val="en-US"/>
        </w:rPr>
        <w:t>PCR</w:t>
      </w:r>
    </w:p>
    <w:p w:rsidR="00595049" w:rsidRDefault="00BC651F">
      <w:pPr>
        <w:spacing w:line="480" w:lineRule="auto"/>
        <w:jc w:val="both"/>
        <w:rPr>
          <w:rFonts w:ascii="Calibri" w:eastAsia="Calibri" w:hAnsi="Calibri" w:cs="Times New Roman"/>
          <w:sz w:val="24"/>
          <w:szCs w:val="24"/>
          <w:lang w:val="en-US"/>
        </w:rPr>
      </w:pPr>
      <w:r>
        <w:rPr>
          <w:rFonts w:ascii="Calibri" w:eastAsia="Calibri" w:hAnsi="Calibri" w:cs="Times New Roman"/>
          <w:sz w:val="24"/>
          <w:szCs w:val="24"/>
          <w:lang w:val="en-US"/>
        </w:rPr>
        <w:t xml:space="preserve">The corresponding amount of </w:t>
      </w:r>
      <w:r>
        <w:rPr>
          <w:rFonts w:ascii="Calibri" w:eastAsia="Calibri" w:hAnsi="Calibri" w:cs="Times New Roman"/>
          <w:i/>
          <w:sz w:val="24"/>
          <w:szCs w:val="24"/>
          <w:lang w:val="en-US"/>
        </w:rPr>
        <w:t>M. luteus</w:t>
      </w:r>
      <w:r>
        <w:rPr>
          <w:rFonts w:ascii="Calibri" w:eastAsia="Calibri" w:hAnsi="Calibri" w:cs="Times New Roman"/>
          <w:sz w:val="24"/>
          <w:szCs w:val="24"/>
          <w:lang w:val="en-US"/>
        </w:rPr>
        <w:t xml:space="preserve"> and </w:t>
      </w:r>
      <w:r>
        <w:rPr>
          <w:rFonts w:ascii="Calibri" w:eastAsia="Calibri" w:hAnsi="Calibri" w:cs="Times New Roman"/>
          <w:i/>
          <w:sz w:val="24"/>
          <w:szCs w:val="24"/>
          <w:lang w:val="en-US"/>
        </w:rPr>
        <w:t xml:space="preserve">P. </w:t>
      </w:r>
      <w:proofErr w:type="spellStart"/>
      <w:r>
        <w:rPr>
          <w:rFonts w:ascii="Calibri" w:eastAsia="Calibri" w:hAnsi="Calibri" w:cs="Times New Roman"/>
          <w:i/>
          <w:sz w:val="24"/>
          <w:szCs w:val="24"/>
          <w:lang w:val="en-US"/>
        </w:rPr>
        <w:t>oleovorans</w:t>
      </w:r>
      <w:proofErr w:type="spellEnd"/>
      <w:r>
        <w:rPr>
          <w:rFonts w:ascii="Calibri" w:eastAsia="Calibri" w:hAnsi="Calibri" w:cs="Times New Roman"/>
          <w:sz w:val="24"/>
          <w:szCs w:val="24"/>
          <w:lang w:val="en-US"/>
        </w:rPr>
        <w:t xml:space="preserve"> was subsequently tested for each sample in technical replicates on a 96 well plate. Genomic DNA containing 2 x 10</w:t>
      </w:r>
      <w:r>
        <w:rPr>
          <w:rFonts w:ascii="Calibri" w:eastAsia="Calibri" w:hAnsi="Calibri" w:cs="Times New Roman"/>
          <w:sz w:val="24"/>
          <w:szCs w:val="24"/>
          <w:vertAlign w:val="superscript"/>
          <w:lang w:val="en-US"/>
        </w:rPr>
        <w:t>6</w:t>
      </w:r>
      <w:r>
        <w:rPr>
          <w:rFonts w:ascii="Calibri" w:eastAsia="Calibri" w:hAnsi="Calibri" w:cs="Times New Roman"/>
          <w:sz w:val="24"/>
          <w:szCs w:val="24"/>
          <w:lang w:val="en-US"/>
        </w:rPr>
        <w:t xml:space="preserve"> copies of the target gene served as internal quantification control. Negative controls containing water instead of template were included in each run. Running conditions resembled those used for the generation of standard curves. A reaction was considered positive if the exponential amplification curve exceeded the threshold within 40 cycles. The quantification cycle (</w:t>
      </w:r>
      <w:proofErr w:type="spellStart"/>
      <w:r>
        <w:rPr>
          <w:rFonts w:ascii="Calibri" w:eastAsia="Calibri" w:hAnsi="Calibri" w:cs="Times New Roman"/>
          <w:sz w:val="24"/>
          <w:szCs w:val="24"/>
          <w:lang w:val="en-US"/>
        </w:rPr>
        <w:t>C</w:t>
      </w:r>
      <w:r>
        <w:rPr>
          <w:rFonts w:ascii="Calibri" w:eastAsia="Calibri" w:hAnsi="Calibri" w:cs="Times New Roman"/>
          <w:sz w:val="24"/>
          <w:szCs w:val="24"/>
          <w:vertAlign w:val="subscript"/>
          <w:lang w:val="en-US"/>
        </w:rPr>
        <w:t>q</w:t>
      </w:r>
      <w:proofErr w:type="spellEnd"/>
      <w:r>
        <w:rPr>
          <w:rFonts w:ascii="Calibri" w:eastAsia="Calibri" w:hAnsi="Calibri" w:cs="Times New Roman"/>
          <w:sz w:val="24"/>
          <w:szCs w:val="24"/>
          <w:lang w:val="en-US"/>
        </w:rPr>
        <w:t xml:space="preserve">) was then defined as the cycle number at which the sample fluorescence crossed the threshold. Genome copy numbers were calculated based on representative standard curves for each sample. </w:t>
      </w:r>
    </w:p>
    <w:p w:rsidR="00595049" w:rsidRDefault="00595049">
      <w:pPr>
        <w:pStyle w:val="NormalWeb"/>
        <w:spacing w:after="0" w:line="480" w:lineRule="auto"/>
        <w:rPr>
          <w:rFonts w:eastAsia="Times New Roman"/>
          <w:b/>
          <w:snapToGrid w:val="0"/>
          <w:color w:val="000000"/>
          <w:w w:val="0"/>
          <w:sz w:val="36"/>
          <w:szCs w:val="28"/>
          <w:u w:color="000000"/>
          <w:bdr w:val="none" w:sz="0" w:space="0" w:color="000000"/>
          <w:shd w:val="clear" w:color="000000" w:fill="000000"/>
          <w:lang w:val="en-US"/>
        </w:rPr>
      </w:pPr>
    </w:p>
    <w:tbl>
      <w:tblPr>
        <w:tblpPr w:leftFromText="141" w:rightFromText="141" w:vertAnchor="page" w:horzAnchor="margin" w:tblpY="2251"/>
        <w:tblW w:w="10060" w:type="dxa"/>
        <w:tblCellMar>
          <w:left w:w="0" w:type="dxa"/>
          <w:right w:w="0" w:type="dxa"/>
        </w:tblCellMar>
        <w:tblLook w:val="04A0"/>
      </w:tblPr>
      <w:tblGrid>
        <w:gridCol w:w="1022"/>
        <w:gridCol w:w="4649"/>
        <w:gridCol w:w="4389"/>
      </w:tblGrid>
      <w:tr w:rsidR="00595049">
        <w:trPr>
          <w:trHeight w:val="455"/>
        </w:trPr>
        <w:tc>
          <w:tcPr>
            <w:tcW w:w="1022" w:type="dxa"/>
            <w:tcBorders>
              <w:top w:val="nil"/>
              <w:left w:val="nil"/>
              <w:bottom w:val="single" w:sz="12" w:space="0" w:color="000000"/>
              <w:right w:val="nil"/>
            </w:tcBorders>
            <w:shd w:val="clear" w:color="auto" w:fill="auto"/>
            <w:tcMar>
              <w:top w:w="15" w:type="dxa"/>
              <w:left w:w="108" w:type="dxa"/>
              <w:bottom w:w="0" w:type="dxa"/>
              <w:right w:w="108" w:type="dxa"/>
            </w:tcMar>
            <w:vAlign w:val="center"/>
          </w:tcPr>
          <w:p w:rsidR="00595049" w:rsidRDefault="00BC651F">
            <w:pPr>
              <w:spacing w:after="0" w:line="276" w:lineRule="auto"/>
              <w:jc w:val="center"/>
              <w:rPr>
                <w:rFonts w:ascii="Arial" w:eastAsia="Times New Roman" w:hAnsi="Arial" w:cs="Arial"/>
                <w:sz w:val="36"/>
                <w:szCs w:val="36"/>
                <w:lang w:eastAsia="de-DE"/>
              </w:rPr>
            </w:pPr>
            <w:r>
              <w:rPr>
                <w:rFonts w:ascii="Calibri" w:eastAsia="Calibri" w:hAnsi="Calibri" w:cs="Times New Roman"/>
                <w:b/>
                <w:bCs/>
                <w:color w:val="000000" w:themeColor="text1"/>
                <w:kern w:val="24"/>
                <w:sz w:val="24"/>
                <w:szCs w:val="24"/>
                <w:lang w:eastAsia="de-DE"/>
              </w:rPr>
              <w:lastRenderedPageBreak/>
              <w:t>Primer</w:t>
            </w:r>
          </w:p>
        </w:tc>
        <w:tc>
          <w:tcPr>
            <w:tcW w:w="4649" w:type="dxa"/>
            <w:tcBorders>
              <w:top w:val="nil"/>
              <w:left w:val="nil"/>
              <w:bottom w:val="single" w:sz="12" w:space="0" w:color="000000"/>
              <w:right w:val="nil"/>
            </w:tcBorders>
            <w:shd w:val="clear" w:color="auto" w:fill="auto"/>
            <w:tcMar>
              <w:top w:w="15" w:type="dxa"/>
              <w:left w:w="108" w:type="dxa"/>
              <w:bottom w:w="0" w:type="dxa"/>
              <w:right w:w="108" w:type="dxa"/>
            </w:tcMar>
            <w:vAlign w:val="center"/>
          </w:tcPr>
          <w:p w:rsidR="00595049" w:rsidRDefault="00BC651F">
            <w:pPr>
              <w:spacing w:after="0" w:line="276" w:lineRule="auto"/>
              <w:jc w:val="center"/>
              <w:rPr>
                <w:rFonts w:ascii="Arial" w:eastAsia="Times New Roman" w:hAnsi="Arial" w:cs="Arial"/>
                <w:sz w:val="36"/>
                <w:szCs w:val="36"/>
                <w:lang w:eastAsia="de-DE"/>
              </w:rPr>
            </w:pPr>
            <w:r>
              <w:rPr>
                <w:rFonts w:ascii="Calibri" w:eastAsia="Calibri" w:hAnsi="Calibri" w:cs="Times New Roman"/>
                <w:b/>
                <w:bCs/>
                <w:color w:val="000000" w:themeColor="text1"/>
                <w:kern w:val="24"/>
                <w:sz w:val="24"/>
                <w:szCs w:val="24"/>
                <w:lang w:eastAsia="de-DE"/>
              </w:rPr>
              <w:t>Sequence forward</w:t>
            </w:r>
          </w:p>
        </w:tc>
        <w:tc>
          <w:tcPr>
            <w:tcW w:w="4389" w:type="dxa"/>
            <w:tcBorders>
              <w:top w:val="nil"/>
              <w:left w:val="nil"/>
              <w:bottom w:val="single" w:sz="12" w:space="0" w:color="000000"/>
              <w:right w:val="nil"/>
            </w:tcBorders>
            <w:shd w:val="clear" w:color="auto" w:fill="auto"/>
            <w:tcMar>
              <w:top w:w="15" w:type="dxa"/>
              <w:left w:w="108" w:type="dxa"/>
              <w:bottom w:w="0" w:type="dxa"/>
              <w:right w:w="108" w:type="dxa"/>
            </w:tcMar>
            <w:vAlign w:val="center"/>
          </w:tcPr>
          <w:p w:rsidR="00595049" w:rsidRDefault="00BC651F">
            <w:pPr>
              <w:spacing w:after="0" w:line="276" w:lineRule="auto"/>
              <w:jc w:val="center"/>
              <w:rPr>
                <w:rFonts w:ascii="Arial" w:eastAsia="Times New Roman" w:hAnsi="Arial" w:cs="Arial"/>
                <w:sz w:val="36"/>
                <w:szCs w:val="36"/>
                <w:lang w:eastAsia="de-DE"/>
              </w:rPr>
            </w:pPr>
            <w:r>
              <w:rPr>
                <w:rFonts w:ascii="Calibri" w:eastAsia="Calibri" w:hAnsi="Calibri" w:cs="Times New Roman"/>
                <w:b/>
                <w:bCs/>
                <w:color w:val="000000" w:themeColor="text1"/>
                <w:kern w:val="24"/>
                <w:sz w:val="24"/>
                <w:szCs w:val="24"/>
                <w:lang w:eastAsia="de-DE"/>
              </w:rPr>
              <w:t>Sequence reverse</w:t>
            </w:r>
          </w:p>
        </w:tc>
      </w:tr>
      <w:tr w:rsidR="00595049">
        <w:trPr>
          <w:trHeight w:val="455"/>
        </w:trPr>
        <w:tc>
          <w:tcPr>
            <w:tcW w:w="1022" w:type="dxa"/>
            <w:tcBorders>
              <w:top w:val="single" w:sz="12" w:space="0" w:color="000000"/>
              <w:left w:val="nil"/>
              <w:bottom w:val="nil"/>
              <w:right w:val="nil"/>
            </w:tcBorders>
            <w:shd w:val="clear" w:color="auto" w:fill="auto"/>
            <w:tcMar>
              <w:top w:w="15" w:type="dxa"/>
              <w:left w:w="108" w:type="dxa"/>
              <w:bottom w:w="0" w:type="dxa"/>
              <w:right w:w="108" w:type="dxa"/>
            </w:tcMar>
            <w:vAlign w:val="center"/>
          </w:tcPr>
          <w:p w:rsidR="00595049" w:rsidRDefault="00BC651F">
            <w:pPr>
              <w:spacing w:after="0" w:line="276" w:lineRule="auto"/>
              <w:jc w:val="center"/>
              <w:rPr>
                <w:rFonts w:ascii="Arial" w:eastAsia="Times New Roman" w:hAnsi="Arial" w:cs="Arial"/>
                <w:sz w:val="36"/>
                <w:szCs w:val="36"/>
                <w:lang w:eastAsia="de-DE"/>
              </w:rPr>
            </w:pPr>
            <w:r>
              <w:rPr>
                <w:rFonts w:ascii="Calibri" w:eastAsia="Calibri" w:hAnsi="Calibri" w:cs="Times New Roman"/>
                <w:b/>
                <w:bCs/>
                <w:color w:val="000000" w:themeColor="text1"/>
                <w:kern w:val="24"/>
                <w:sz w:val="24"/>
                <w:szCs w:val="24"/>
                <w:lang w:eastAsia="de-DE"/>
              </w:rPr>
              <w:t>CYP1A1</w:t>
            </w:r>
          </w:p>
        </w:tc>
        <w:tc>
          <w:tcPr>
            <w:tcW w:w="4649" w:type="dxa"/>
            <w:tcBorders>
              <w:top w:val="single" w:sz="12" w:space="0" w:color="000000"/>
              <w:left w:val="nil"/>
              <w:bottom w:val="nil"/>
              <w:right w:val="nil"/>
            </w:tcBorders>
            <w:shd w:val="clear" w:color="auto" w:fill="auto"/>
            <w:tcMar>
              <w:top w:w="15" w:type="dxa"/>
              <w:left w:w="108" w:type="dxa"/>
              <w:bottom w:w="0" w:type="dxa"/>
              <w:right w:w="108" w:type="dxa"/>
            </w:tcMar>
            <w:vAlign w:val="center"/>
          </w:tcPr>
          <w:p w:rsidR="00595049" w:rsidRDefault="00BC651F">
            <w:pPr>
              <w:spacing w:after="0" w:line="276" w:lineRule="auto"/>
              <w:jc w:val="center"/>
              <w:rPr>
                <w:rFonts w:ascii="Arial" w:eastAsia="Times New Roman" w:hAnsi="Arial" w:cs="Arial"/>
                <w:sz w:val="36"/>
                <w:szCs w:val="36"/>
                <w:lang w:val="en-US" w:eastAsia="de-DE"/>
              </w:rPr>
            </w:pPr>
            <w:r>
              <w:rPr>
                <w:rFonts w:ascii="Calibri" w:eastAsia="Calibri" w:hAnsi="Calibri" w:cs="Times New Roman"/>
                <w:color w:val="000000" w:themeColor="text1"/>
                <w:kern w:val="24"/>
                <w:sz w:val="24"/>
                <w:szCs w:val="24"/>
                <w:lang w:val="en-US" w:eastAsia="de-DE"/>
              </w:rPr>
              <w:t>5’-TCC AAG AGT CCA CCC TTC C-3’</w:t>
            </w:r>
          </w:p>
        </w:tc>
        <w:tc>
          <w:tcPr>
            <w:tcW w:w="4389" w:type="dxa"/>
            <w:tcBorders>
              <w:top w:val="single" w:sz="12" w:space="0" w:color="000000"/>
              <w:left w:val="nil"/>
              <w:bottom w:val="nil"/>
              <w:right w:val="nil"/>
            </w:tcBorders>
            <w:shd w:val="clear" w:color="auto" w:fill="auto"/>
            <w:tcMar>
              <w:top w:w="15" w:type="dxa"/>
              <w:left w:w="108" w:type="dxa"/>
              <w:bottom w:w="0" w:type="dxa"/>
              <w:right w:w="108" w:type="dxa"/>
            </w:tcMar>
            <w:vAlign w:val="center"/>
          </w:tcPr>
          <w:p w:rsidR="00595049" w:rsidRDefault="00BC651F">
            <w:pPr>
              <w:spacing w:after="0" w:line="276" w:lineRule="auto"/>
              <w:jc w:val="center"/>
              <w:rPr>
                <w:rFonts w:ascii="Arial" w:eastAsia="Times New Roman" w:hAnsi="Arial" w:cs="Arial"/>
                <w:sz w:val="36"/>
                <w:szCs w:val="36"/>
                <w:lang w:val="en-US" w:eastAsia="de-DE"/>
              </w:rPr>
            </w:pPr>
            <w:r>
              <w:rPr>
                <w:rFonts w:ascii="Calibri" w:eastAsia="Calibri" w:hAnsi="Calibri" w:cs="Times New Roman"/>
                <w:color w:val="000000" w:themeColor="text1"/>
                <w:kern w:val="24"/>
                <w:sz w:val="24"/>
                <w:szCs w:val="24"/>
                <w:lang w:val="en-US" w:eastAsia="de-DE"/>
              </w:rPr>
              <w:t>5’-AAG CAT GAT CAG TGT AGG GAT CT-3’</w:t>
            </w:r>
          </w:p>
        </w:tc>
      </w:tr>
      <w:tr w:rsidR="00595049">
        <w:trPr>
          <w:trHeight w:val="535"/>
        </w:trPr>
        <w:tc>
          <w:tcPr>
            <w:tcW w:w="1022" w:type="dxa"/>
            <w:tcBorders>
              <w:top w:val="nil"/>
              <w:left w:val="nil"/>
              <w:bottom w:val="nil"/>
              <w:right w:val="nil"/>
            </w:tcBorders>
            <w:shd w:val="clear" w:color="auto" w:fill="auto"/>
            <w:tcMar>
              <w:top w:w="15" w:type="dxa"/>
              <w:left w:w="108" w:type="dxa"/>
              <w:bottom w:w="0" w:type="dxa"/>
              <w:right w:w="108" w:type="dxa"/>
            </w:tcMar>
            <w:vAlign w:val="center"/>
          </w:tcPr>
          <w:p w:rsidR="00595049" w:rsidRDefault="00BC651F">
            <w:pPr>
              <w:spacing w:after="0" w:line="276" w:lineRule="auto"/>
              <w:jc w:val="center"/>
              <w:rPr>
                <w:rFonts w:ascii="Arial" w:eastAsia="Times New Roman" w:hAnsi="Arial" w:cs="Arial"/>
                <w:sz w:val="36"/>
                <w:szCs w:val="36"/>
                <w:lang w:eastAsia="de-DE"/>
              </w:rPr>
            </w:pPr>
            <w:r>
              <w:rPr>
                <w:rFonts w:ascii="Calibri" w:eastAsia="Calibri" w:hAnsi="Calibri" w:cs="Times New Roman"/>
                <w:b/>
                <w:bCs/>
                <w:color w:val="000000" w:themeColor="text1"/>
                <w:kern w:val="24"/>
                <w:sz w:val="24"/>
                <w:szCs w:val="24"/>
                <w:lang w:eastAsia="de-DE"/>
              </w:rPr>
              <w:t>CYP2D6</w:t>
            </w:r>
          </w:p>
        </w:tc>
        <w:tc>
          <w:tcPr>
            <w:tcW w:w="4649" w:type="dxa"/>
            <w:tcBorders>
              <w:top w:val="nil"/>
              <w:left w:val="nil"/>
              <w:bottom w:val="nil"/>
              <w:right w:val="nil"/>
            </w:tcBorders>
            <w:shd w:val="clear" w:color="auto" w:fill="auto"/>
            <w:tcMar>
              <w:top w:w="15" w:type="dxa"/>
              <w:left w:w="108" w:type="dxa"/>
              <w:bottom w:w="0" w:type="dxa"/>
              <w:right w:w="108" w:type="dxa"/>
            </w:tcMar>
            <w:vAlign w:val="center"/>
          </w:tcPr>
          <w:p w:rsidR="00595049" w:rsidRDefault="00BC651F">
            <w:pPr>
              <w:spacing w:after="0" w:line="276" w:lineRule="auto"/>
              <w:jc w:val="center"/>
              <w:rPr>
                <w:rFonts w:ascii="Arial" w:eastAsia="Times New Roman" w:hAnsi="Arial" w:cs="Arial"/>
                <w:sz w:val="36"/>
                <w:szCs w:val="36"/>
                <w:lang w:eastAsia="de-DE"/>
              </w:rPr>
            </w:pPr>
            <w:r>
              <w:rPr>
                <w:rFonts w:ascii="Calibri" w:eastAsia="Calibri" w:hAnsi="Calibri" w:cs="Times New Roman"/>
                <w:color w:val="000000" w:themeColor="text1"/>
                <w:kern w:val="24"/>
                <w:sz w:val="24"/>
                <w:szCs w:val="24"/>
                <w:lang w:eastAsia="de-DE"/>
              </w:rPr>
              <w:t>5`-AAG AAG TCG CTG GAG CAG TG-3’</w:t>
            </w:r>
          </w:p>
        </w:tc>
        <w:tc>
          <w:tcPr>
            <w:tcW w:w="4389" w:type="dxa"/>
            <w:tcBorders>
              <w:top w:val="nil"/>
              <w:left w:val="nil"/>
              <w:bottom w:val="nil"/>
              <w:right w:val="nil"/>
            </w:tcBorders>
            <w:shd w:val="clear" w:color="auto" w:fill="auto"/>
            <w:tcMar>
              <w:top w:w="15" w:type="dxa"/>
              <w:left w:w="108" w:type="dxa"/>
              <w:bottom w:w="0" w:type="dxa"/>
              <w:right w:w="108" w:type="dxa"/>
            </w:tcMar>
            <w:vAlign w:val="center"/>
          </w:tcPr>
          <w:p w:rsidR="00595049" w:rsidRDefault="00BC651F">
            <w:pPr>
              <w:spacing w:after="0" w:line="276" w:lineRule="auto"/>
              <w:jc w:val="center"/>
              <w:rPr>
                <w:rFonts w:ascii="Arial" w:eastAsia="Times New Roman" w:hAnsi="Arial" w:cs="Arial"/>
                <w:sz w:val="36"/>
                <w:szCs w:val="36"/>
                <w:lang w:eastAsia="de-DE"/>
              </w:rPr>
            </w:pPr>
            <w:r>
              <w:rPr>
                <w:rFonts w:ascii="Calibri" w:eastAsia="Calibri" w:hAnsi="Calibri" w:cs="Times New Roman"/>
                <w:color w:val="000000" w:themeColor="text1"/>
                <w:kern w:val="24"/>
                <w:sz w:val="24"/>
                <w:szCs w:val="24"/>
                <w:lang w:eastAsia="de-DE"/>
              </w:rPr>
              <w:t>5`-TTG TCC AAG AGA CCG TTG GG-3’</w:t>
            </w:r>
          </w:p>
        </w:tc>
      </w:tr>
      <w:tr w:rsidR="00595049">
        <w:trPr>
          <w:trHeight w:val="455"/>
        </w:trPr>
        <w:tc>
          <w:tcPr>
            <w:tcW w:w="1022" w:type="dxa"/>
            <w:tcBorders>
              <w:top w:val="nil"/>
              <w:left w:val="nil"/>
              <w:bottom w:val="nil"/>
              <w:right w:val="nil"/>
            </w:tcBorders>
            <w:shd w:val="clear" w:color="auto" w:fill="auto"/>
            <w:tcMar>
              <w:top w:w="15" w:type="dxa"/>
              <w:left w:w="108" w:type="dxa"/>
              <w:bottom w:w="0" w:type="dxa"/>
              <w:right w:w="108" w:type="dxa"/>
            </w:tcMar>
          </w:tcPr>
          <w:p w:rsidR="00595049" w:rsidRDefault="00BC651F">
            <w:pPr>
              <w:spacing w:after="0" w:line="276" w:lineRule="auto"/>
              <w:jc w:val="both"/>
              <w:rPr>
                <w:rFonts w:ascii="Arial" w:eastAsia="Times New Roman" w:hAnsi="Arial" w:cs="Arial"/>
                <w:sz w:val="36"/>
                <w:szCs w:val="36"/>
                <w:lang w:eastAsia="de-DE"/>
              </w:rPr>
            </w:pPr>
            <w:r>
              <w:rPr>
                <w:rFonts w:ascii="Calibri" w:eastAsia="Calibri" w:hAnsi="Calibri" w:cs="Times New Roman"/>
                <w:b/>
                <w:bCs/>
                <w:color w:val="000000" w:themeColor="text1"/>
                <w:kern w:val="24"/>
                <w:sz w:val="24"/>
                <w:szCs w:val="24"/>
                <w:lang w:val="en-US" w:eastAsia="de-DE"/>
              </w:rPr>
              <w:t>CYP1B1</w:t>
            </w:r>
          </w:p>
        </w:tc>
        <w:tc>
          <w:tcPr>
            <w:tcW w:w="4649" w:type="dxa"/>
            <w:tcBorders>
              <w:top w:val="nil"/>
              <w:left w:val="nil"/>
              <w:bottom w:val="nil"/>
              <w:right w:val="nil"/>
            </w:tcBorders>
            <w:shd w:val="clear" w:color="auto" w:fill="auto"/>
            <w:tcMar>
              <w:top w:w="15" w:type="dxa"/>
              <w:left w:w="108" w:type="dxa"/>
              <w:bottom w:w="0" w:type="dxa"/>
              <w:right w:w="108" w:type="dxa"/>
            </w:tcMar>
          </w:tcPr>
          <w:p w:rsidR="00595049" w:rsidRDefault="00BC651F">
            <w:pPr>
              <w:spacing w:after="0" w:line="276" w:lineRule="auto"/>
              <w:jc w:val="center"/>
              <w:rPr>
                <w:rFonts w:ascii="Arial" w:eastAsia="Times New Roman" w:hAnsi="Arial" w:cs="Arial"/>
                <w:sz w:val="36"/>
                <w:szCs w:val="36"/>
                <w:lang w:val="en-US" w:eastAsia="de-DE"/>
              </w:rPr>
            </w:pPr>
            <w:r>
              <w:rPr>
                <w:rFonts w:ascii="Calibri" w:eastAsia="Calibri" w:hAnsi="Calibri" w:cs="Times New Roman"/>
                <w:color w:val="000000" w:themeColor="text1"/>
                <w:kern w:val="24"/>
                <w:sz w:val="24"/>
                <w:szCs w:val="24"/>
                <w:lang w:val="en-US" w:eastAsia="de-DE"/>
              </w:rPr>
              <w:t>5`-TGG ATT TGG AGA ACG TAC CG</w:t>
            </w:r>
            <w:r>
              <w:rPr>
                <w:rFonts w:eastAsia="Calibri" w:hAnsi="Calibri" w:cs="Times New Roman"/>
                <w:color w:val="000000" w:themeColor="text1"/>
                <w:kern w:val="24"/>
                <w:sz w:val="24"/>
                <w:szCs w:val="24"/>
                <w:lang w:val="en-US" w:eastAsia="de-DE"/>
              </w:rPr>
              <w:t>-3’</w:t>
            </w:r>
          </w:p>
        </w:tc>
        <w:tc>
          <w:tcPr>
            <w:tcW w:w="4389" w:type="dxa"/>
            <w:tcBorders>
              <w:top w:val="nil"/>
              <w:left w:val="nil"/>
              <w:bottom w:val="nil"/>
              <w:right w:val="nil"/>
            </w:tcBorders>
            <w:shd w:val="clear" w:color="auto" w:fill="auto"/>
            <w:tcMar>
              <w:top w:w="15" w:type="dxa"/>
              <w:left w:w="108" w:type="dxa"/>
              <w:bottom w:w="0" w:type="dxa"/>
              <w:right w:w="108" w:type="dxa"/>
            </w:tcMar>
          </w:tcPr>
          <w:p w:rsidR="00595049" w:rsidRDefault="00BC651F">
            <w:pPr>
              <w:spacing w:after="0" w:line="276" w:lineRule="auto"/>
              <w:jc w:val="center"/>
              <w:rPr>
                <w:rFonts w:ascii="Arial" w:eastAsia="Times New Roman" w:hAnsi="Arial" w:cs="Arial"/>
                <w:sz w:val="36"/>
                <w:szCs w:val="36"/>
                <w:lang w:val="en-US" w:eastAsia="de-DE"/>
              </w:rPr>
            </w:pPr>
            <w:r>
              <w:rPr>
                <w:rFonts w:eastAsia="Calibri" w:hAnsi="Calibri" w:cs="Times New Roman"/>
                <w:color w:val="000000" w:themeColor="text1"/>
                <w:kern w:val="24"/>
                <w:sz w:val="24"/>
                <w:szCs w:val="24"/>
                <w:lang w:val="en-US" w:eastAsia="de-DE"/>
              </w:rPr>
              <w:t>5`-</w:t>
            </w:r>
            <w:r>
              <w:rPr>
                <w:rFonts w:ascii="Calibri" w:eastAsia="Calibri" w:hAnsi="Calibri" w:cs="Times New Roman"/>
                <w:color w:val="000000" w:themeColor="text1"/>
                <w:kern w:val="24"/>
                <w:sz w:val="24"/>
                <w:szCs w:val="24"/>
                <w:lang w:val="en-US" w:eastAsia="de-DE"/>
              </w:rPr>
              <w:t>CCA CGA CCT GAT CCA ATT CT</w:t>
            </w:r>
            <w:r>
              <w:rPr>
                <w:rFonts w:eastAsia="Calibri" w:hAnsi="Calibri" w:cs="Times New Roman"/>
                <w:color w:val="000000" w:themeColor="text1"/>
                <w:kern w:val="24"/>
                <w:sz w:val="24"/>
                <w:szCs w:val="24"/>
                <w:lang w:val="en-US" w:eastAsia="de-DE"/>
              </w:rPr>
              <w:t>-3’</w:t>
            </w:r>
          </w:p>
        </w:tc>
      </w:tr>
      <w:tr w:rsidR="00595049">
        <w:trPr>
          <w:trHeight w:val="370"/>
        </w:trPr>
        <w:tc>
          <w:tcPr>
            <w:tcW w:w="1022" w:type="dxa"/>
            <w:tcBorders>
              <w:top w:val="nil"/>
              <w:left w:val="nil"/>
              <w:bottom w:val="nil"/>
              <w:right w:val="nil"/>
            </w:tcBorders>
            <w:shd w:val="clear" w:color="auto" w:fill="auto"/>
            <w:tcMar>
              <w:bottom w:w="0" w:type="dxa"/>
            </w:tcMar>
            <w:vAlign w:val="center"/>
          </w:tcPr>
          <w:p w:rsidR="00595049" w:rsidRDefault="00BC651F">
            <w:pPr>
              <w:spacing w:after="0" w:line="276" w:lineRule="auto"/>
              <w:jc w:val="center"/>
              <w:rPr>
                <w:rFonts w:ascii="Arial" w:eastAsia="Times New Roman" w:hAnsi="Arial" w:cs="Arial"/>
                <w:sz w:val="36"/>
                <w:szCs w:val="36"/>
                <w:lang w:eastAsia="de-DE"/>
              </w:rPr>
            </w:pPr>
            <w:r>
              <w:rPr>
                <w:rFonts w:ascii="Calibri" w:eastAsia="Calibri" w:hAnsi="Calibri" w:cs="Times New Roman"/>
                <w:b/>
                <w:bCs/>
                <w:color w:val="000000" w:themeColor="text1"/>
                <w:kern w:val="24"/>
                <w:sz w:val="24"/>
                <w:szCs w:val="24"/>
                <w:lang w:eastAsia="de-DE"/>
              </w:rPr>
              <w:t>GAPDH</w:t>
            </w:r>
          </w:p>
        </w:tc>
        <w:tc>
          <w:tcPr>
            <w:tcW w:w="4649" w:type="dxa"/>
            <w:tcBorders>
              <w:top w:val="nil"/>
              <w:left w:val="nil"/>
              <w:bottom w:val="nil"/>
              <w:right w:val="nil"/>
            </w:tcBorders>
            <w:shd w:val="clear" w:color="auto" w:fill="auto"/>
            <w:tcMar>
              <w:top w:w="15" w:type="dxa"/>
              <w:left w:w="15" w:type="dxa"/>
              <w:bottom w:w="0" w:type="dxa"/>
              <w:right w:w="15" w:type="dxa"/>
            </w:tcMar>
            <w:vAlign w:val="bottom"/>
          </w:tcPr>
          <w:p w:rsidR="00595049" w:rsidRDefault="00BC651F">
            <w:pPr>
              <w:spacing w:after="0" w:line="240" w:lineRule="auto"/>
              <w:jc w:val="center"/>
              <w:textAlignment w:val="bottom"/>
              <w:rPr>
                <w:rFonts w:ascii="Arial" w:eastAsia="Times New Roman" w:hAnsi="Arial" w:cs="Arial"/>
                <w:sz w:val="36"/>
                <w:szCs w:val="36"/>
                <w:lang w:val="en-US" w:eastAsia="de-DE"/>
              </w:rPr>
            </w:pPr>
            <w:r>
              <w:rPr>
                <w:rFonts w:eastAsia="Calibri" w:hAnsi="Calibri" w:cs="Times New Roman"/>
                <w:color w:val="000000" w:themeColor="text1"/>
                <w:kern w:val="24"/>
                <w:sz w:val="24"/>
                <w:szCs w:val="24"/>
                <w:lang w:val="en-US" w:eastAsia="de-DE"/>
              </w:rPr>
              <w:t>5`-</w:t>
            </w:r>
            <w:r>
              <w:rPr>
                <w:rFonts w:eastAsia="Times New Roman" w:hAnsi="Calibri" w:cs="Arial"/>
                <w:color w:val="000000" w:themeColor="text1"/>
                <w:kern w:val="24"/>
                <w:sz w:val="24"/>
                <w:szCs w:val="24"/>
                <w:lang w:val="en-US" w:eastAsia="de-DE"/>
              </w:rPr>
              <w:t xml:space="preserve">CTC TGC TCC </w:t>
            </w:r>
            <w:proofErr w:type="spellStart"/>
            <w:r>
              <w:rPr>
                <w:rFonts w:eastAsia="Times New Roman" w:hAnsi="Calibri" w:cs="Arial"/>
                <w:color w:val="000000" w:themeColor="text1"/>
                <w:kern w:val="24"/>
                <w:sz w:val="24"/>
                <w:szCs w:val="24"/>
                <w:lang w:val="en-US" w:eastAsia="de-DE"/>
              </w:rPr>
              <w:t>TCC</w:t>
            </w:r>
            <w:proofErr w:type="spellEnd"/>
            <w:r>
              <w:rPr>
                <w:rFonts w:eastAsia="Times New Roman" w:hAnsi="Calibri" w:cs="Arial"/>
                <w:color w:val="000000" w:themeColor="text1"/>
                <w:kern w:val="24"/>
                <w:sz w:val="24"/>
                <w:szCs w:val="24"/>
                <w:lang w:val="en-US" w:eastAsia="de-DE"/>
              </w:rPr>
              <w:t xml:space="preserve"> </w:t>
            </w:r>
            <w:proofErr w:type="spellStart"/>
            <w:r>
              <w:rPr>
                <w:rFonts w:eastAsia="Times New Roman" w:hAnsi="Calibri" w:cs="Arial"/>
                <w:color w:val="000000" w:themeColor="text1"/>
                <w:kern w:val="24"/>
                <w:sz w:val="24"/>
                <w:szCs w:val="24"/>
                <w:lang w:val="en-US" w:eastAsia="de-DE"/>
              </w:rPr>
              <w:t>TGT</w:t>
            </w:r>
            <w:proofErr w:type="spellEnd"/>
            <w:r>
              <w:rPr>
                <w:rFonts w:eastAsia="Times New Roman" w:hAnsi="Calibri" w:cs="Arial"/>
                <w:color w:val="000000" w:themeColor="text1"/>
                <w:kern w:val="24"/>
                <w:sz w:val="24"/>
                <w:szCs w:val="24"/>
                <w:lang w:val="en-US" w:eastAsia="de-DE"/>
              </w:rPr>
              <w:t xml:space="preserve"> </w:t>
            </w:r>
            <w:proofErr w:type="spellStart"/>
            <w:r>
              <w:rPr>
                <w:rFonts w:eastAsia="Times New Roman" w:hAnsi="Calibri" w:cs="Arial"/>
                <w:color w:val="000000" w:themeColor="text1"/>
                <w:kern w:val="24"/>
                <w:sz w:val="24"/>
                <w:szCs w:val="24"/>
                <w:lang w:val="en-US" w:eastAsia="de-DE"/>
              </w:rPr>
              <w:t>TCG</w:t>
            </w:r>
            <w:proofErr w:type="spellEnd"/>
            <w:r>
              <w:rPr>
                <w:rFonts w:eastAsia="Times New Roman" w:hAnsi="Calibri" w:cs="Arial"/>
                <w:color w:val="000000" w:themeColor="text1"/>
                <w:kern w:val="24"/>
                <w:sz w:val="24"/>
                <w:szCs w:val="24"/>
                <w:lang w:val="en-US" w:eastAsia="de-DE"/>
              </w:rPr>
              <w:t xml:space="preserve"> AC</w:t>
            </w:r>
            <w:r>
              <w:rPr>
                <w:rFonts w:eastAsia="Calibri" w:hAnsi="Calibri" w:cs="Times New Roman"/>
                <w:color w:val="000000" w:themeColor="text1"/>
                <w:kern w:val="24"/>
                <w:sz w:val="24"/>
                <w:szCs w:val="24"/>
                <w:lang w:val="en-US" w:eastAsia="de-DE"/>
              </w:rPr>
              <w:t>-3’</w:t>
            </w:r>
          </w:p>
        </w:tc>
        <w:tc>
          <w:tcPr>
            <w:tcW w:w="4389" w:type="dxa"/>
            <w:tcBorders>
              <w:top w:val="nil"/>
              <w:left w:val="nil"/>
              <w:bottom w:val="nil"/>
              <w:right w:val="nil"/>
            </w:tcBorders>
            <w:shd w:val="clear" w:color="auto" w:fill="auto"/>
            <w:tcMar>
              <w:top w:w="15" w:type="dxa"/>
              <w:left w:w="108" w:type="dxa"/>
              <w:right w:w="108" w:type="dxa"/>
            </w:tcMar>
            <w:vAlign w:val="bottom"/>
          </w:tcPr>
          <w:p w:rsidR="00595049" w:rsidRDefault="00BC651F">
            <w:pPr>
              <w:spacing w:after="0" w:line="240" w:lineRule="auto"/>
              <w:jc w:val="center"/>
              <w:textAlignment w:val="bottom"/>
              <w:rPr>
                <w:rFonts w:ascii="Arial" w:eastAsia="Times New Roman" w:hAnsi="Arial" w:cs="Arial"/>
                <w:sz w:val="36"/>
                <w:szCs w:val="36"/>
                <w:lang w:val="en-US" w:eastAsia="de-DE"/>
              </w:rPr>
            </w:pPr>
            <w:r>
              <w:rPr>
                <w:rFonts w:eastAsia="Calibri" w:hAnsi="Calibri" w:cs="Times New Roman"/>
                <w:color w:val="000000" w:themeColor="text1"/>
                <w:kern w:val="24"/>
                <w:sz w:val="24"/>
                <w:szCs w:val="24"/>
                <w:lang w:val="en-US" w:eastAsia="de-DE"/>
              </w:rPr>
              <w:t>5`-</w:t>
            </w:r>
            <w:r>
              <w:rPr>
                <w:rFonts w:eastAsia="Times New Roman" w:hAnsi="Calibri" w:cs="Arial"/>
                <w:color w:val="000000" w:themeColor="text1"/>
                <w:kern w:val="24"/>
                <w:sz w:val="24"/>
                <w:szCs w:val="24"/>
                <w:lang w:val="en-US" w:eastAsia="de-DE"/>
              </w:rPr>
              <w:t>ACG ACC AAA TCC GTT GAC TC</w:t>
            </w:r>
            <w:r>
              <w:rPr>
                <w:rFonts w:eastAsia="Calibri" w:hAnsi="Calibri" w:cs="Times New Roman"/>
                <w:color w:val="000000" w:themeColor="text1"/>
                <w:kern w:val="24"/>
                <w:sz w:val="24"/>
                <w:szCs w:val="24"/>
                <w:lang w:val="en-US" w:eastAsia="de-DE"/>
              </w:rPr>
              <w:t>-3’</w:t>
            </w:r>
          </w:p>
        </w:tc>
      </w:tr>
    </w:tbl>
    <w:p w:rsidR="00595049" w:rsidRDefault="00BC651F">
      <w:pPr>
        <w:spacing w:after="240" w:line="480" w:lineRule="auto"/>
        <w:jc w:val="both"/>
        <w:rPr>
          <w:rFonts w:ascii="Calibri" w:hAnsi="Calibri"/>
          <w:sz w:val="24"/>
          <w:szCs w:val="24"/>
          <w:lang w:val="en-GB"/>
        </w:rPr>
      </w:pPr>
      <w:r>
        <w:rPr>
          <w:rFonts w:ascii="Calibri" w:hAnsi="Calibri"/>
          <w:b/>
          <w:sz w:val="24"/>
          <w:szCs w:val="24"/>
          <w:lang w:val="en-US"/>
        </w:rPr>
        <w:t>Supplementary Table</w:t>
      </w:r>
      <w:r>
        <w:rPr>
          <w:rFonts w:ascii="Calibri" w:hAnsi="Calibri"/>
          <w:b/>
          <w:sz w:val="24"/>
          <w:szCs w:val="24"/>
          <w:lang w:val="en-GB"/>
        </w:rPr>
        <w:t xml:space="preserve"> S2.</w:t>
      </w:r>
      <w:r>
        <w:rPr>
          <w:rFonts w:ascii="Calibri" w:hAnsi="Calibri"/>
          <w:sz w:val="24"/>
          <w:szCs w:val="24"/>
          <w:lang w:val="en-GB"/>
        </w:rPr>
        <w:t xml:space="preserve"> Primers used for quantitative RT-PCR.</w:t>
      </w:r>
    </w:p>
    <w:p w:rsidR="00595049" w:rsidRDefault="00595049">
      <w:pPr>
        <w:rPr>
          <w:lang w:val="en-GB"/>
        </w:rPr>
      </w:pPr>
    </w:p>
    <w:p w:rsidR="00595049" w:rsidRDefault="00595049">
      <w:pPr>
        <w:spacing w:after="200" w:line="276" w:lineRule="auto"/>
        <w:rPr>
          <w:rFonts w:ascii="Calibri" w:hAnsi="Calibri"/>
          <w:b/>
          <w:sz w:val="24"/>
          <w:szCs w:val="24"/>
          <w:lang w:val="en-US"/>
        </w:rPr>
      </w:pPr>
    </w:p>
    <w:p w:rsidR="00595049" w:rsidRDefault="00595049">
      <w:pPr>
        <w:spacing w:after="200" w:line="276" w:lineRule="auto"/>
        <w:rPr>
          <w:rFonts w:ascii="Calibri" w:hAnsi="Calibri"/>
          <w:b/>
          <w:sz w:val="24"/>
          <w:szCs w:val="24"/>
          <w:lang w:val="en-US"/>
        </w:rPr>
      </w:pPr>
    </w:p>
    <w:p w:rsidR="00595049" w:rsidRDefault="00595049">
      <w:pPr>
        <w:spacing w:after="200" w:line="276" w:lineRule="auto"/>
        <w:rPr>
          <w:rFonts w:ascii="Calibri" w:hAnsi="Calibri"/>
          <w:b/>
          <w:sz w:val="24"/>
          <w:szCs w:val="24"/>
          <w:lang w:val="en-US"/>
        </w:rPr>
      </w:pPr>
    </w:p>
    <w:p w:rsidR="00595049" w:rsidRDefault="00BC651F">
      <w:pPr>
        <w:spacing w:after="200" w:line="276" w:lineRule="auto"/>
        <w:rPr>
          <w:rFonts w:ascii="Calibri" w:hAnsi="Calibri"/>
          <w:sz w:val="24"/>
          <w:szCs w:val="24"/>
          <w:lang w:val="en-GB"/>
        </w:rPr>
      </w:pPr>
      <w:r>
        <w:rPr>
          <w:rFonts w:ascii="Calibri" w:hAnsi="Calibri"/>
          <w:sz w:val="24"/>
          <w:szCs w:val="24"/>
          <w:lang w:val="en-GB"/>
        </w:rPr>
        <w:br w:type="page"/>
      </w:r>
    </w:p>
    <w:p w:rsidR="00595049" w:rsidRDefault="00595049">
      <w:pPr>
        <w:pStyle w:val="NormalWeb"/>
        <w:spacing w:after="0" w:line="480" w:lineRule="auto"/>
        <w:rPr>
          <w:rFonts w:eastAsia="Times New Roman"/>
          <w:snapToGrid w:val="0"/>
          <w:color w:val="000000"/>
          <w:w w:val="0"/>
          <w:sz w:val="0"/>
          <w:szCs w:val="0"/>
          <w:u w:color="000000"/>
          <w:bdr w:val="none" w:sz="0" w:space="0" w:color="000000"/>
          <w:shd w:val="clear" w:color="000000" w:fill="000000"/>
          <w:lang w:val="en-GB"/>
        </w:rPr>
      </w:pPr>
    </w:p>
    <w:p w:rsidR="00595049" w:rsidRDefault="00BC651F">
      <w:pPr>
        <w:pStyle w:val="NormalWeb"/>
        <w:spacing w:after="0" w:line="480" w:lineRule="auto"/>
        <w:rPr>
          <w:rFonts w:asciiTheme="minorHAnsi" w:hAnsi="Calibri" w:cstheme="minorBidi"/>
          <w:b/>
          <w:bCs/>
          <w:color w:val="000000" w:themeColor="text1"/>
          <w:kern w:val="24"/>
          <w:lang w:val="en-US"/>
        </w:rPr>
      </w:pPr>
      <w:r>
        <w:rPr>
          <w:rFonts w:asciiTheme="minorHAnsi" w:hAnsi="Calibri" w:cstheme="minorBidi"/>
          <w:b/>
          <w:bCs/>
          <w:noProof/>
          <w:color w:val="000000" w:themeColor="text1"/>
          <w:kern w:val="24"/>
          <w:lang w:val="en-US" w:eastAsia="en-US"/>
        </w:rPr>
        <w:drawing>
          <wp:inline distT="0" distB="0" distL="0" distR="0">
            <wp:extent cx="5810250" cy="3268267"/>
            <wp:effectExtent l="0" t="0" r="0" b="8890"/>
            <wp:docPr id="2" name="Grafik 2" descr="G:\Abteilung-7\Labor-7\01 - Benutzer\Lemoine - Lisa\Paper Lemoine 1\Abbildungen Paper_ erster Entwurf_LL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bteilung-7\Labor-7\01 - Benutzer\Lemoine - Lisa\Paper Lemoine 1\Abbildungen Paper_ erster Entwurf_LL12.t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16903" cy="3272009"/>
                    </a:xfrm>
                    <a:prstGeom prst="rect">
                      <a:avLst/>
                    </a:prstGeom>
                    <a:noFill/>
                    <a:ln>
                      <a:noFill/>
                    </a:ln>
                  </pic:spPr>
                </pic:pic>
              </a:graphicData>
            </a:graphic>
          </wp:inline>
        </w:drawing>
      </w:r>
    </w:p>
    <w:p w:rsidR="00595049" w:rsidRDefault="00BC651F">
      <w:pPr>
        <w:pStyle w:val="NormalWeb"/>
        <w:spacing w:after="0" w:line="480" w:lineRule="auto"/>
        <w:jc w:val="both"/>
        <w:rPr>
          <w:rFonts w:asciiTheme="minorHAnsi" w:hAnsi="Calibri" w:cstheme="minorBidi"/>
          <w:i/>
          <w:iCs/>
          <w:color w:val="000000" w:themeColor="text1"/>
          <w:kern w:val="24"/>
          <w:lang w:val="en-US"/>
        </w:rPr>
      </w:pPr>
      <w:r>
        <w:rPr>
          <w:rFonts w:ascii="Calibri" w:hAnsi="Calibri" w:cstheme="minorBidi"/>
          <w:b/>
          <w:bCs/>
          <w:color w:val="000000" w:themeColor="text1"/>
          <w:kern w:val="24"/>
          <w:lang w:val="en-US"/>
        </w:rPr>
        <w:t xml:space="preserve">Supplementary Figure S3. </w:t>
      </w:r>
      <w:r>
        <w:rPr>
          <w:rFonts w:ascii="Calibri" w:hAnsi="Calibri" w:cstheme="minorBidi"/>
          <w:color w:val="000000" w:themeColor="text1"/>
          <w:kern w:val="24"/>
          <w:lang w:val="en-US"/>
        </w:rPr>
        <w:t>Gram</w:t>
      </w:r>
      <w:r>
        <w:rPr>
          <w:rFonts w:asciiTheme="minorHAnsi" w:hAnsi="Calibri" w:cstheme="minorBidi"/>
          <w:color w:val="000000" w:themeColor="text1"/>
          <w:kern w:val="24"/>
          <w:lang w:val="en-US"/>
        </w:rPr>
        <w:t xml:space="preserve"> staining of tissue sections of models colonised (A) with </w:t>
      </w:r>
      <w:r>
        <w:rPr>
          <w:rFonts w:asciiTheme="minorHAnsi" w:hAnsi="Calibri" w:cstheme="minorBidi"/>
          <w:i/>
          <w:iCs/>
          <w:color w:val="000000" w:themeColor="text1"/>
          <w:kern w:val="24"/>
          <w:lang w:val="en-US"/>
        </w:rPr>
        <w:t>M. luteus</w:t>
      </w:r>
      <w:r>
        <w:rPr>
          <w:rFonts w:asciiTheme="minorHAnsi" w:hAnsi="Calibri" w:cstheme="minorBidi"/>
          <w:color w:val="000000" w:themeColor="text1"/>
          <w:kern w:val="24"/>
          <w:lang w:val="en-US"/>
        </w:rPr>
        <w:t xml:space="preserve">, (B) </w:t>
      </w:r>
      <w:r>
        <w:rPr>
          <w:rFonts w:asciiTheme="minorHAnsi" w:hAnsi="Calibri" w:cstheme="minorBidi"/>
          <w:i/>
          <w:iCs/>
          <w:color w:val="000000" w:themeColor="text1"/>
          <w:kern w:val="24"/>
          <w:lang w:val="en-US"/>
        </w:rPr>
        <w:t xml:space="preserve">P. </w:t>
      </w:r>
      <w:proofErr w:type="spellStart"/>
      <w:r>
        <w:rPr>
          <w:rFonts w:asciiTheme="minorHAnsi" w:hAnsi="Calibri" w:cstheme="minorBidi"/>
          <w:i/>
          <w:iCs/>
          <w:color w:val="000000" w:themeColor="text1"/>
          <w:kern w:val="24"/>
          <w:lang w:val="en-US"/>
        </w:rPr>
        <w:t>oleovorans</w:t>
      </w:r>
      <w:proofErr w:type="spellEnd"/>
      <w:r>
        <w:rPr>
          <w:rFonts w:asciiTheme="minorHAnsi" w:hAnsi="Calibri" w:cstheme="minorBidi"/>
          <w:color w:val="000000" w:themeColor="text1"/>
          <w:kern w:val="24"/>
          <w:lang w:val="en-US"/>
        </w:rPr>
        <w:t>, (C) a mixture thereof and an untreated control (D).</w:t>
      </w:r>
      <w:r w:rsidR="00DF19F1">
        <w:rPr>
          <w:rFonts w:asciiTheme="minorHAnsi" w:hAnsi="Calibri" w:cstheme="minorBidi"/>
          <w:color w:val="000000" w:themeColor="text1"/>
          <w:kern w:val="24"/>
          <w:lang w:val="en-US"/>
        </w:rPr>
        <w:t xml:space="preserve"> </w:t>
      </w:r>
      <w:r>
        <w:rPr>
          <w:rFonts w:asciiTheme="minorHAnsi" w:hAnsi="Calibri" w:cstheme="minorBidi"/>
          <w:color w:val="000000" w:themeColor="text1"/>
          <w:kern w:val="24"/>
          <w:lang w:val="en-US"/>
        </w:rPr>
        <w:t>All samples were collected at day 8.</w:t>
      </w:r>
    </w:p>
    <w:p w:rsidR="00595049" w:rsidRDefault="00BC651F">
      <w:pPr>
        <w:spacing w:after="200" w:line="276" w:lineRule="auto"/>
        <w:rPr>
          <w:rFonts w:eastAsiaTheme="minorEastAsia" w:hAnsi="Calibri"/>
          <w:i/>
          <w:iCs/>
          <w:color w:val="000000" w:themeColor="text1"/>
          <w:kern w:val="24"/>
          <w:sz w:val="20"/>
          <w:szCs w:val="20"/>
          <w:lang w:val="en-US" w:eastAsia="de-DE"/>
        </w:rPr>
      </w:pPr>
      <w:r>
        <w:rPr>
          <w:rFonts w:hAnsi="Calibri"/>
          <w:i/>
          <w:iCs/>
          <w:color w:val="000000" w:themeColor="text1"/>
          <w:kern w:val="24"/>
          <w:sz w:val="20"/>
          <w:szCs w:val="20"/>
          <w:lang w:val="en-US"/>
        </w:rPr>
        <w:br w:type="page"/>
      </w:r>
    </w:p>
    <w:p w:rsidR="00595049" w:rsidRDefault="00BC651F">
      <w:pPr>
        <w:spacing w:line="480" w:lineRule="auto"/>
        <w:jc w:val="both"/>
        <w:rPr>
          <w:rFonts w:ascii="Calibri" w:hAnsi="Calibri"/>
          <w:color w:val="FF0000"/>
          <w:lang w:val="en-US"/>
        </w:rPr>
      </w:pPr>
      <w:r>
        <w:rPr>
          <w:rFonts w:ascii="Calibri" w:hAnsi="Calibri"/>
          <w:noProof/>
          <w:color w:val="FF0000"/>
          <w:lang w:val="en-US"/>
        </w:rPr>
        <w:lastRenderedPageBreak/>
        <w:drawing>
          <wp:inline distT="0" distB="0" distL="0" distR="0">
            <wp:extent cx="5760720" cy="3240405"/>
            <wp:effectExtent l="0" t="0" r="0" b="0"/>
            <wp:docPr id="3" name="Grafik 3" descr="G:\Abteilung-7\Labor-7\01 - Benutzer\Lemoine - Lisa\Paper Lemoine 1\Abbildungen Paper_ erster Entwurf_LL13\Folie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bteilung-7\Labor-7\01 - Benutzer\Lemoine - Lisa\Paper Lemoine 1\Abbildungen Paper_ erster Entwurf_LL13\Folie10.T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240405"/>
                    </a:xfrm>
                    <a:prstGeom prst="rect">
                      <a:avLst/>
                    </a:prstGeom>
                    <a:noFill/>
                    <a:ln>
                      <a:noFill/>
                    </a:ln>
                  </pic:spPr>
                </pic:pic>
              </a:graphicData>
            </a:graphic>
          </wp:inline>
        </w:drawing>
      </w:r>
    </w:p>
    <w:p w:rsidR="00595049" w:rsidRDefault="00BC651F">
      <w:pPr>
        <w:spacing w:line="480" w:lineRule="auto"/>
        <w:jc w:val="both"/>
        <w:rPr>
          <w:rFonts w:ascii="Calibri" w:hAnsi="Calibri"/>
          <w:lang w:val="en-US"/>
        </w:rPr>
      </w:pPr>
      <w:r>
        <w:rPr>
          <w:rFonts w:ascii="Calibri" w:hAnsi="Calibri"/>
          <w:b/>
          <w:bCs/>
          <w:sz w:val="24"/>
          <w:szCs w:val="24"/>
          <w:lang w:val="en-US"/>
        </w:rPr>
        <w:t xml:space="preserve">Supplementary Figure S4. </w:t>
      </w:r>
      <w:r>
        <w:rPr>
          <w:rFonts w:ascii="Calibri" w:hAnsi="Calibri"/>
          <w:sz w:val="24"/>
          <w:szCs w:val="24"/>
          <w:lang w:val="en-US"/>
        </w:rPr>
        <w:t xml:space="preserve">Functional IPA-analysis of skin models colonised with (A) </w:t>
      </w:r>
      <w:r>
        <w:rPr>
          <w:rFonts w:ascii="Calibri" w:hAnsi="Calibri"/>
          <w:i/>
          <w:sz w:val="24"/>
          <w:szCs w:val="24"/>
          <w:lang w:val="en-US"/>
        </w:rPr>
        <w:t>M. luteus</w:t>
      </w:r>
      <w:r>
        <w:rPr>
          <w:rFonts w:ascii="Calibri" w:hAnsi="Calibri"/>
          <w:sz w:val="24"/>
          <w:szCs w:val="24"/>
          <w:lang w:val="en-US"/>
        </w:rPr>
        <w:t xml:space="preserve"> and (B) </w:t>
      </w:r>
      <w:r>
        <w:rPr>
          <w:rFonts w:ascii="Calibri" w:hAnsi="Calibri"/>
          <w:i/>
          <w:sz w:val="24"/>
          <w:szCs w:val="24"/>
          <w:lang w:val="en-US"/>
        </w:rPr>
        <w:t xml:space="preserve">P. </w:t>
      </w:r>
      <w:proofErr w:type="spellStart"/>
      <w:r>
        <w:rPr>
          <w:rFonts w:ascii="Calibri" w:hAnsi="Calibri"/>
          <w:i/>
          <w:sz w:val="24"/>
          <w:szCs w:val="24"/>
          <w:lang w:val="en-US"/>
        </w:rPr>
        <w:t>oleovorans</w:t>
      </w:r>
      <w:proofErr w:type="spellEnd"/>
      <w:r>
        <w:rPr>
          <w:rFonts w:ascii="Calibri" w:hAnsi="Calibri"/>
          <w:sz w:val="24"/>
          <w:szCs w:val="24"/>
          <w:lang w:val="en-US"/>
        </w:rPr>
        <w:t>. The</w:t>
      </w:r>
      <w:r>
        <w:rPr>
          <w:sz w:val="24"/>
          <w:szCs w:val="24"/>
          <w:lang w:val="en-US"/>
        </w:rPr>
        <w:t xml:space="preserve"> </w:t>
      </w:r>
      <w:r>
        <w:rPr>
          <w:rFonts w:ascii="Calibri" w:hAnsi="Calibri"/>
          <w:sz w:val="24"/>
          <w:szCs w:val="24"/>
          <w:lang w:val="en-US"/>
        </w:rPr>
        <w:t>activation Z-score indicates an increase or decrease of the corresponding transcriptional pools, with the number of affected transcripts quoted next to each bar.</w:t>
      </w:r>
    </w:p>
    <w:p w:rsidR="00595049" w:rsidRDefault="00BC651F">
      <w:pPr>
        <w:pStyle w:val="NormalWeb"/>
        <w:spacing w:after="0"/>
        <w:jc w:val="both"/>
        <w:rPr>
          <w:rFonts w:asciiTheme="minorHAnsi" w:hAnsi="Calibri" w:cstheme="minorBidi"/>
          <w:i/>
          <w:iCs/>
          <w:color w:val="000000" w:themeColor="text1"/>
          <w:kern w:val="24"/>
          <w:sz w:val="20"/>
          <w:szCs w:val="20"/>
          <w:lang w:val="en-US"/>
        </w:rPr>
      </w:pPr>
      <w:r>
        <w:rPr>
          <w:noProof/>
          <w:lang w:val="en-US" w:eastAsia="en-US"/>
        </w:rPr>
        <w:lastRenderedPageBreak/>
        <w:drawing>
          <wp:inline distT="0" distB="0" distL="0" distR="0">
            <wp:extent cx="5760720" cy="4072327"/>
            <wp:effectExtent l="0" t="0" r="0" b="4445"/>
            <wp:docPr id="1" name="Grafik 1" descr="Y:\Abteilung-7\Labor-7\01 - Benutzer\Lemoine - Lisa\Paper Lemoine 1\Abbildungen Paper Neu\Abbildung Anh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bteilung-7\Labor-7\01 - Benutzer\Lemoine - Lisa\Paper Lemoine 1\Abbildungen Paper Neu\Abbildung Anhang.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4072327"/>
                    </a:xfrm>
                    <a:prstGeom prst="rect">
                      <a:avLst/>
                    </a:prstGeom>
                    <a:noFill/>
                    <a:ln>
                      <a:noFill/>
                    </a:ln>
                  </pic:spPr>
                </pic:pic>
              </a:graphicData>
            </a:graphic>
          </wp:inline>
        </w:drawing>
      </w:r>
    </w:p>
    <w:p w:rsidR="00595049" w:rsidRDefault="00BC651F">
      <w:pPr>
        <w:spacing w:line="480" w:lineRule="auto"/>
        <w:jc w:val="both"/>
        <w:rPr>
          <w:rFonts w:ascii="Calibri" w:hAnsi="Calibri"/>
          <w:color w:val="FF0000"/>
          <w:sz w:val="20"/>
          <w:szCs w:val="20"/>
          <w:lang w:val="en-US"/>
        </w:rPr>
      </w:pPr>
      <w:r>
        <w:rPr>
          <w:rFonts w:ascii="Calibri" w:hAnsi="Calibri"/>
          <w:b/>
          <w:bCs/>
          <w:sz w:val="24"/>
          <w:szCs w:val="24"/>
          <w:lang w:val="en-US"/>
        </w:rPr>
        <w:t xml:space="preserve">Supplementary Figure S5. </w:t>
      </w:r>
      <w:r>
        <w:rPr>
          <w:rFonts w:ascii="Calibri" w:hAnsi="Calibri"/>
          <w:sz w:val="24"/>
          <w:szCs w:val="24"/>
          <w:lang w:val="en-US"/>
        </w:rPr>
        <w:t>Transcriptional cluster maps of the NF</w:t>
      </w:r>
      <w:r>
        <w:rPr>
          <w:rFonts w:ascii="Calibri" w:hAnsi="Calibri"/>
          <w:sz w:val="24"/>
          <w:szCs w:val="24"/>
          <w:lang w:val="el-GR"/>
        </w:rPr>
        <w:t>κ</w:t>
      </w:r>
      <w:r>
        <w:rPr>
          <w:rFonts w:ascii="Calibri" w:hAnsi="Calibri"/>
          <w:sz w:val="24"/>
          <w:szCs w:val="24"/>
          <w:lang w:val="en-US"/>
        </w:rPr>
        <w:t xml:space="preserve">B pathway (A) and </w:t>
      </w:r>
      <w:proofErr w:type="spellStart"/>
      <w:r>
        <w:rPr>
          <w:rFonts w:ascii="Calibri" w:hAnsi="Calibri"/>
          <w:sz w:val="24"/>
          <w:szCs w:val="24"/>
          <w:lang w:val="en-US"/>
        </w:rPr>
        <w:t>TREM</w:t>
      </w:r>
      <w:proofErr w:type="spellEnd"/>
      <w:r>
        <w:rPr>
          <w:rFonts w:ascii="Calibri" w:hAnsi="Calibri"/>
          <w:sz w:val="24"/>
          <w:szCs w:val="24"/>
          <w:lang w:val="en-US"/>
        </w:rPr>
        <w:t>-signalling related genes (B) in microbially competent skin models at day 8 of microbial colonisation. Shown are the gene symbols and Z-scores of significantly differentially expressed genes with an F-value &lt; 0.05 across three independent experiments. (C) Exemplary shown is an immunoblot of total protein of microbially competent skin models, colonised as indicated.</w:t>
      </w:r>
    </w:p>
    <w:p w:rsidR="00595049" w:rsidRDefault="00BC651F">
      <w:pPr>
        <w:spacing w:after="200" w:line="276" w:lineRule="auto"/>
        <w:rPr>
          <w:lang w:val="en-US"/>
        </w:rPr>
      </w:pPr>
      <w:r>
        <w:rPr>
          <w:rFonts w:ascii="Calibri" w:hAnsi="Calibri"/>
          <w:color w:val="FF0000"/>
          <w:sz w:val="20"/>
          <w:szCs w:val="20"/>
          <w:lang w:val="en-US"/>
        </w:rPr>
        <w:br w:type="page"/>
      </w:r>
    </w:p>
    <w:tbl>
      <w:tblPr>
        <w:tblW w:w="0" w:type="auto"/>
        <w:tblLayout w:type="fixed"/>
        <w:tblCellMar>
          <w:left w:w="30" w:type="dxa"/>
          <w:right w:w="30" w:type="dxa"/>
        </w:tblCellMar>
        <w:tblLook w:val="0000"/>
      </w:tblPr>
      <w:tblGrid>
        <w:gridCol w:w="2287"/>
        <w:gridCol w:w="1870"/>
        <w:gridCol w:w="1289"/>
        <w:gridCol w:w="1708"/>
        <w:gridCol w:w="1289"/>
      </w:tblGrid>
      <w:tr w:rsidR="00595049">
        <w:trPr>
          <w:trHeight w:val="362"/>
        </w:trPr>
        <w:tc>
          <w:tcPr>
            <w:tcW w:w="2287" w:type="dxa"/>
            <w:tcBorders>
              <w:top w:val="nil"/>
              <w:left w:val="nil"/>
              <w:bottom w:val="nil"/>
              <w:right w:val="single" w:sz="6" w:space="0" w:color="auto"/>
            </w:tcBorders>
          </w:tcPr>
          <w:p w:rsidR="00595049" w:rsidRDefault="00595049">
            <w:pPr>
              <w:autoSpaceDE w:val="0"/>
              <w:autoSpaceDN w:val="0"/>
              <w:adjustRightInd w:val="0"/>
              <w:spacing w:after="0" w:line="240" w:lineRule="auto"/>
              <w:jc w:val="right"/>
              <w:rPr>
                <w:rFonts w:ascii="Calibri" w:hAnsi="Calibri" w:cs="Calibri"/>
                <w:color w:val="000000"/>
                <w:lang w:val="en-US"/>
              </w:rPr>
            </w:pPr>
          </w:p>
        </w:tc>
        <w:tc>
          <w:tcPr>
            <w:tcW w:w="3159" w:type="dxa"/>
            <w:gridSpan w:val="2"/>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b/>
                <w:bCs/>
                <w:i/>
                <w:iCs/>
                <w:color w:val="000000"/>
                <w:sz w:val="28"/>
                <w:szCs w:val="28"/>
              </w:rPr>
              <w:t>P. oleovorans</w:t>
            </w:r>
          </w:p>
        </w:tc>
        <w:tc>
          <w:tcPr>
            <w:tcW w:w="2997" w:type="dxa"/>
            <w:gridSpan w:val="2"/>
            <w:tcBorders>
              <w:top w:val="nil"/>
              <w:left w:val="single" w:sz="6" w:space="0" w:color="auto"/>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lang w:val="en-US"/>
              </w:rPr>
            </w:pPr>
            <w:r>
              <w:rPr>
                <w:rFonts w:ascii="Calibri" w:hAnsi="Calibri" w:cs="Calibri"/>
                <w:b/>
                <w:bCs/>
                <w:i/>
                <w:iCs/>
                <w:color w:val="000000"/>
                <w:sz w:val="28"/>
                <w:szCs w:val="28"/>
                <w:lang w:val="en-US"/>
              </w:rPr>
              <w:t>M. luteus</w:t>
            </w:r>
          </w:p>
        </w:tc>
      </w:tr>
      <w:tr w:rsidR="00595049">
        <w:trPr>
          <w:trHeight w:val="319"/>
        </w:trPr>
        <w:tc>
          <w:tcPr>
            <w:tcW w:w="2287" w:type="dxa"/>
            <w:tcBorders>
              <w:top w:val="nil"/>
              <w:left w:val="nil"/>
              <w:bottom w:val="double" w:sz="6" w:space="0" w:color="auto"/>
              <w:right w:val="single" w:sz="6" w:space="0" w:color="auto"/>
            </w:tcBorders>
          </w:tcPr>
          <w:p w:rsidR="00595049" w:rsidRDefault="00BC651F">
            <w:pPr>
              <w:autoSpaceDE w:val="0"/>
              <w:autoSpaceDN w:val="0"/>
              <w:adjustRightInd w:val="0"/>
              <w:spacing w:after="0" w:line="240" w:lineRule="auto"/>
              <w:rPr>
                <w:rFonts w:ascii="Calibri" w:hAnsi="Calibri" w:cs="Calibri"/>
                <w:b/>
                <w:bCs/>
                <w:color w:val="000000"/>
                <w:sz w:val="24"/>
                <w:szCs w:val="24"/>
                <w:lang w:val="en-US"/>
              </w:rPr>
            </w:pPr>
            <w:r>
              <w:rPr>
                <w:rFonts w:ascii="Calibri" w:hAnsi="Calibri" w:cs="Calibri"/>
                <w:b/>
                <w:bCs/>
                <w:color w:val="000000"/>
                <w:sz w:val="24"/>
                <w:szCs w:val="24"/>
                <w:lang w:val="en-US"/>
              </w:rPr>
              <w:t>Gene Symbol</w:t>
            </w:r>
          </w:p>
        </w:tc>
        <w:tc>
          <w:tcPr>
            <w:tcW w:w="1870" w:type="dxa"/>
            <w:tcBorders>
              <w:top w:val="nil"/>
              <w:left w:val="nil"/>
              <w:bottom w:val="double" w:sz="6" w:space="0" w:color="auto"/>
              <w:right w:val="nil"/>
            </w:tcBorders>
          </w:tcPr>
          <w:p w:rsidR="00595049" w:rsidRDefault="00BC651F">
            <w:pPr>
              <w:autoSpaceDE w:val="0"/>
              <w:autoSpaceDN w:val="0"/>
              <w:adjustRightInd w:val="0"/>
              <w:spacing w:after="0" w:line="240" w:lineRule="auto"/>
              <w:jc w:val="center"/>
              <w:rPr>
                <w:rFonts w:ascii="Calibri" w:hAnsi="Calibri" w:cs="Calibri"/>
                <w:b/>
                <w:bCs/>
                <w:color w:val="000000"/>
                <w:sz w:val="24"/>
                <w:szCs w:val="24"/>
                <w:lang w:val="en-US"/>
              </w:rPr>
            </w:pPr>
            <w:r>
              <w:rPr>
                <w:rFonts w:ascii="Calibri" w:hAnsi="Calibri" w:cs="Calibri"/>
                <w:b/>
                <w:bCs/>
                <w:color w:val="000000"/>
                <w:sz w:val="24"/>
                <w:szCs w:val="24"/>
                <w:lang w:val="en-US"/>
              </w:rPr>
              <w:t>Fold Change</w:t>
            </w:r>
          </w:p>
        </w:tc>
        <w:tc>
          <w:tcPr>
            <w:tcW w:w="1289" w:type="dxa"/>
            <w:tcBorders>
              <w:top w:val="nil"/>
              <w:left w:val="nil"/>
              <w:bottom w:val="double" w:sz="6" w:space="0" w:color="auto"/>
              <w:right w:val="single" w:sz="6" w:space="0" w:color="auto"/>
            </w:tcBorders>
          </w:tcPr>
          <w:p w:rsidR="00595049" w:rsidRDefault="00BC651F">
            <w:pPr>
              <w:autoSpaceDE w:val="0"/>
              <w:autoSpaceDN w:val="0"/>
              <w:adjustRightInd w:val="0"/>
              <w:spacing w:after="0" w:line="240" w:lineRule="auto"/>
              <w:jc w:val="center"/>
              <w:rPr>
                <w:rFonts w:ascii="Calibri" w:hAnsi="Calibri" w:cs="Calibri"/>
                <w:b/>
                <w:bCs/>
                <w:color w:val="000000"/>
                <w:sz w:val="24"/>
                <w:szCs w:val="24"/>
                <w:lang w:val="en-US"/>
              </w:rPr>
            </w:pPr>
            <w:r>
              <w:rPr>
                <w:rFonts w:ascii="Calibri" w:hAnsi="Calibri" w:cs="Calibri"/>
                <w:b/>
                <w:bCs/>
                <w:color w:val="000000"/>
                <w:sz w:val="24"/>
                <w:szCs w:val="24"/>
                <w:lang w:val="en-US"/>
              </w:rPr>
              <w:t>P-value</w:t>
            </w:r>
          </w:p>
        </w:tc>
        <w:tc>
          <w:tcPr>
            <w:tcW w:w="1708" w:type="dxa"/>
            <w:tcBorders>
              <w:top w:val="nil"/>
              <w:left w:val="nil"/>
              <w:bottom w:val="double" w:sz="6" w:space="0" w:color="auto"/>
              <w:right w:val="nil"/>
            </w:tcBorders>
          </w:tcPr>
          <w:p w:rsidR="00595049" w:rsidRDefault="00BC651F">
            <w:pPr>
              <w:autoSpaceDE w:val="0"/>
              <w:autoSpaceDN w:val="0"/>
              <w:adjustRightInd w:val="0"/>
              <w:spacing w:after="0" w:line="240" w:lineRule="auto"/>
              <w:jc w:val="center"/>
              <w:rPr>
                <w:rFonts w:ascii="Calibri" w:hAnsi="Calibri" w:cs="Calibri"/>
                <w:b/>
                <w:bCs/>
                <w:color w:val="000000"/>
                <w:sz w:val="24"/>
                <w:szCs w:val="24"/>
                <w:lang w:val="en-US"/>
              </w:rPr>
            </w:pPr>
            <w:r>
              <w:rPr>
                <w:rFonts w:ascii="Calibri" w:hAnsi="Calibri" w:cs="Calibri"/>
                <w:b/>
                <w:bCs/>
                <w:color w:val="000000"/>
                <w:sz w:val="24"/>
                <w:szCs w:val="24"/>
                <w:lang w:val="en-US"/>
              </w:rPr>
              <w:t>Fold Change</w:t>
            </w:r>
          </w:p>
        </w:tc>
        <w:tc>
          <w:tcPr>
            <w:tcW w:w="1289" w:type="dxa"/>
            <w:tcBorders>
              <w:top w:val="nil"/>
              <w:left w:val="nil"/>
              <w:bottom w:val="double" w:sz="6" w:space="0" w:color="auto"/>
              <w:right w:val="nil"/>
            </w:tcBorders>
          </w:tcPr>
          <w:p w:rsidR="00595049" w:rsidRDefault="00BC651F">
            <w:pPr>
              <w:autoSpaceDE w:val="0"/>
              <w:autoSpaceDN w:val="0"/>
              <w:adjustRightInd w:val="0"/>
              <w:spacing w:after="0" w:line="240" w:lineRule="auto"/>
              <w:jc w:val="center"/>
              <w:rPr>
                <w:rFonts w:ascii="Calibri" w:hAnsi="Calibri" w:cs="Calibri"/>
                <w:b/>
                <w:bCs/>
                <w:color w:val="000000"/>
                <w:sz w:val="24"/>
                <w:szCs w:val="24"/>
                <w:lang w:val="en-US"/>
              </w:rPr>
            </w:pPr>
            <w:r>
              <w:rPr>
                <w:rFonts w:ascii="Calibri" w:hAnsi="Calibri" w:cs="Calibri"/>
                <w:b/>
                <w:bCs/>
                <w:color w:val="000000"/>
                <w:sz w:val="24"/>
                <w:szCs w:val="24"/>
                <w:lang w:val="en-US"/>
              </w:rPr>
              <w:t>P-value</w:t>
            </w:r>
          </w:p>
        </w:tc>
      </w:tr>
      <w:tr w:rsidR="00595049">
        <w:trPr>
          <w:trHeight w:val="305"/>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lang w:val="en-US"/>
              </w:rPr>
            </w:pPr>
            <w:r>
              <w:rPr>
                <w:rFonts w:ascii="Calibri" w:hAnsi="Calibri" w:cs="Calibri"/>
                <w:color w:val="000000"/>
                <w:lang w:val="en-US"/>
              </w:rPr>
              <w:t>AC171558.1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lang w:val="en-US"/>
              </w:rPr>
            </w:pPr>
            <w:r>
              <w:rPr>
                <w:rFonts w:ascii="Calibri" w:hAnsi="Calibri" w:cs="Calibri"/>
                <w:color w:val="000000"/>
                <w:lang w:val="en-US"/>
              </w:rPr>
              <w:t>1.79</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lang w:val="en-US"/>
              </w:rPr>
            </w:pPr>
            <w:r>
              <w:rPr>
                <w:rFonts w:ascii="Calibri" w:hAnsi="Calibri" w:cs="Calibri"/>
                <w:color w:val="000000"/>
                <w:lang w:val="en-US"/>
              </w:rPr>
              <w:t>0.0069</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lang w:val="en-US"/>
              </w:rPr>
            </w:pPr>
            <w:r>
              <w:rPr>
                <w:rFonts w:ascii="Calibri" w:hAnsi="Calibri" w:cs="Calibri"/>
                <w:color w:val="000000"/>
                <w:lang w:val="en-US"/>
              </w:rPr>
              <w:t>1.28</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lang w:val="en-US"/>
              </w:rPr>
            </w:pPr>
            <w:r>
              <w:rPr>
                <w:rFonts w:ascii="Calibri" w:hAnsi="Calibri" w:cs="Calibri"/>
                <w:color w:val="000000"/>
                <w:lang w:val="en-US"/>
              </w:rPr>
              <w:t>0.2808</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lang w:val="en-US"/>
              </w:rPr>
            </w:pPr>
            <w:r>
              <w:rPr>
                <w:rFonts w:ascii="Calibri" w:hAnsi="Calibri" w:cs="Calibri"/>
                <w:color w:val="000000"/>
                <w:lang w:val="en-US"/>
              </w:rPr>
              <w:t>OMP</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lang w:val="en-US"/>
              </w:rPr>
            </w:pPr>
            <w:r>
              <w:rPr>
                <w:rFonts w:ascii="Calibri" w:hAnsi="Calibri" w:cs="Calibri"/>
                <w:color w:val="000000"/>
                <w:lang w:val="en-US"/>
              </w:rPr>
              <w:t>2.01</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lang w:val="en-US"/>
              </w:rPr>
            </w:pPr>
            <w:r>
              <w:rPr>
                <w:rFonts w:ascii="Calibri" w:hAnsi="Calibri" w:cs="Calibri"/>
                <w:color w:val="000000"/>
                <w:lang w:val="en-US"/>
              </w:rPr>
              <w:t>0.0064</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lang w:val="en-US"/>
              </w:rPr>
            </w:pPr>
            <w:r>
              <w:rPr>
                <w:rFonts w:ascii="Calibri" w:hAnsi="Calibri" w:cs="Calibri"/>
                <w:color w:val="000000"/>
                <w:lang w:val="en-US"/>
              </w:rPr>
              <w:t>1.01</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lang w:val="en-US"/>
              </w:rPr>
            </w:pPr>
            <w:r>
              <w:rPr>
                <w:rFonts w:ascii="Calibri" w:hAnsi="Calibri" w:cs="Calibri"/>
                <w:color w:val="000000"/>
                <w:lang w:val="en-US"/>
              </w:rPr>
              <w:t>0.9862</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lang w:val="en-US"/>
              </w:rPr>
            </w:pPr>
            <w:r>
              <w:rPr>
                <w:rFonts w:ascii="Calibri" w:hAnsi="Calibri" w:cs="Calibri"/>
                <w:color w:val="000000"/>
                <w:lang w:val="en-US"/>
              </w:rPr>
              <w:t>OR1A1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lang w:val="en-US"/>
              </w:rPr>
              <w:t>2.</w:t>
            </w:r>
            <w:r>
              <w:rPr>
                <w:rFonts w:ascii="Calibri" w:hAnsi="Calibri" w:cs="Calibri"/>
                <w:color w:val="000000"/>
              </w:rPr>
              <w:t>01</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0.0430</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1.27</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0.1219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OR1E1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1.45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0.0324</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1.07</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0.9323</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OR1F1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2.16</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0.0269</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1.36</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0.3600</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OR1J4</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2.79</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0.0011</w:t>
            </w:r>
          </w:p>
        </w:tc>
        <w:tc>
          <w:tcPr>
            <w:tcW w:w="1708"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0.0428</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OR1N1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0.0040</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1.32</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0.0523</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OR1N2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1.76</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0.0036</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1.35</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0.1463</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OR1S1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2.02</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0.0423</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1.25</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0.6662</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OR2A7; ARHGEF34P</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0.0209</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-1.37</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0.1797</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OR2A25</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0.0312</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1.09</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0.7259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OR2AP1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1.79</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0.0141</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1.4</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0.1018</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OR2J2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2.42</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0.0048</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1.02</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0.8699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OR2M3</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1.73</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0.0376</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0.7766</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OR2M4</w:t>
            </w:r>
          </w:p>
        </w:tc>
        <w:tc>
          <w:tcPr>
            <w:tcW w:w="1870"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0.0422</w:t>
            </w:r>
          </w:p>
        </w:tc>
        <w:tc>
          <w:tcPr>
            <w:tcW w:w="1708"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-2.22</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0.0178</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OR2T2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1.84</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0.0086</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1.23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0.8239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OR2T4</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1.87</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0.0076</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-1.11</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0.7499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OR2T27</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2.19</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0.0046</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1.18</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0.6003</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OR2T35</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1.71</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0.0227</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-1.07</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0.7544</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OR2V2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2.2</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0.0093</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0.2170</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OR2Y1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2.04</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0.0089</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1.93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0.0898</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OR3A4P; OR3A5P</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1.85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0.0042</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1.46</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0.0552</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OR4A16</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1.71</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0.0483</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1.06</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0.9652</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OR4C3</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2.68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0.0010</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1.45</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0.2553</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OR4C45</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1.73</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0.0433</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1.11</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0.6251</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OR4D2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2.23</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0.0102</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1.37</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0.2484</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OR4E2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0.0488</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1.19</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0.7440</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OR4F3</w:t>
            </w:r>
          </w:p>
        </w:tc>
        <w:tc>
          <w:tcPr>
            <w:tcW w:w="1870"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1.12</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0.2879</w:t>
            </w:r>
          </w:p>
        </w:tc>
        <w:tc>
          <w:tcPr>
            <w:tcW w:w="1708"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-1.75</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0.0158</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OR4F5</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1.69</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0.0190</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0.9798</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OR4F15</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1.85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0.0356</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2.23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0.0979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OR4K15</w:t>
            </w:r>
          </w:p>
        </w:tc>
        <w:tc>
          <w:tcPr>
            <w:tcW w:w="1870"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1.16</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0.6018</w:t>
            </w:r>
          </w:p>
        </w:tc>
        <w:tc>
          <w:tcPr>
            <w:tcW w:w="1708"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-1.31</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0.0398</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OR4M2</w:t>
            </w:r>
          </w:p>
        </w:tc>
        <w:tc>
          <w:tcPr>
            <w:tcW w:w="1870"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0.4247</w:t>
            </w:r>
          </w:p>
        </w:tc>
        <w:tc>
          <w:tcPr>
            <w:tcW w:w="1708"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1.21</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0.0474</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OR4M2; AC171558.2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1.69</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0.0340</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1.29</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0.2340</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OR4P4</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2.39</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0.0039</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1.07</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0.8226</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OR4Q3</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1.88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0.0016</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1.09</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0.5529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OR4X1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1.42</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0.0404</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-1.05</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0.9860</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OR5AK2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1.82</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0.0408</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-1.19</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0.6512</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OR5AP2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0.0258</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0.2311</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OR5AS1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1.46</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0.0164</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1.04</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0.6689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OR5H1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1.56</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0.0268</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1.17</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0.3041</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OR5H6</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1.72</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0.0280</w:t>
            </w:r>
          </w:p>
        </w:tc>
        <w:tc>
          <w:tcPr>
            <w:tcW w:w="1708"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2.06</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0.0264</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OR5M1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0.0037</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-1.02</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0.9225</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OR5M8</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2.04</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0.0266</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0.1823</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OR5M9</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0.0064</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0.5617</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OR5P2</w:t>
            </w:r>
          </w:p>
        </w:tc>
        <w:tc>
          <w:tcPr>
            <w:tcW w:w="1870"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3.74E-05</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-2.41</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0.0324</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OR5P2</w:t>
            </w:r>
          </w:p>
        </w:tc>
        <w:tc>
          <w:tcPr>
            <w:tcW w:w="1870"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-5.84</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0.0005</w:t>
            </w:r>
          </w:p>
        </w:tc>
        <w:tc>
          <w:tcPr>
            <w:tcW w:w="1708"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-3.27</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0.0114</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OR5P3</w:t>
            </w:r>
          </w:p>
        </w:tc>
        <w:tc>
          <w:tcPr>
            <w:tcW w:w="1870"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0.0061</w:t>
            </w:r>
          </w:p>
        </w:tc>
        <w:tc>
          <w:tcPr>
            <w:tcW w:w="1708"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-2.02</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0.0203</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OR5P3</w:t>
            </w:r>
          </w:p>
        </w:tc>
        <w:tc>
          <w:tcPr>
            <w:tcW w:w="1870"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-4.15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0.0012</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-1.68</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0.1121</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OR5R1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0.1591</w:t>
            </w:r>
          </w:p>
        </w:tc>
        <w:tc>
          <w:tcPr>
            <w:tcW w:w="1708"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-1.39</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0.0376</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OR6C3</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0.0207</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0.2329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OR6C70</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1.37</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0.0417</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0.1876</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OR6K2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3.28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0.0098</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1.08</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0.5145</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OR6K6</w:t>
            </w:r>
          </w:p>
        </w:tc>
        <w:tc>
          <w:tcPr>
            <w:tcW w:w="1870"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-1.25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0.3533</w:t>
            </w:r>
          </w:p>
        </w:tc>
        <w:tc>
          <w:tcPr>
            <w:tcW w:w="1708"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-1.38</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0.0405</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OR6M1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1.56</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0.0226</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0.7031</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OR6Q1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3.35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0.0008</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1.18</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0.4992</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OR6X1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2.31</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0.0008</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0.9155</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OR7A5</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1.95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0.0044</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1.04</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0.7636</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OR7E24</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2.97</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0.0018</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1.56</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0.3432</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OR7G1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1.98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0.0011</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1.32</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0.1336</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OR8B3</w:t>
            </w:r>
          </w:p>
        </w:tc>
        <w:tc>
          <w:tcPr>
            <w:tcW w:w="1870"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-1.51</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0.3317</w:t>
            </w:r>
          </w:p>
        </w:tc>
        <w:tc>
          <w:tcPr>
            <w:tcW w:w="1708"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-2.07</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0.0181</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OR8B12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0.0098</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1.72</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0.1877</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OR8S1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0.0098</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1.18</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0.2960</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OR9A2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2.04</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0.0204</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1.19</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0.3365</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OR9G4</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1.56</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0.0263</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-1.01</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0.3899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OR9I1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1.99</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0.0101</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1.14</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0.5733</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OR9Q1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4.89</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0.0002</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-1.2</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0.7552</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OR9Q2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5.09</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1.37E-05</w:t>
            </w:r>
          </w:p>
        </w:tc>
        <w:tc>
          <w:tcPr>
            <w:tcW w:w="1708"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-1.58</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0.0379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OR10AC1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1.76</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0.0034</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-1.09</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0.7708</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OR10C1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1.9</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0.0087</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1.14</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0.5509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OR10J4</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1.84</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0.0145</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1.23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0.1774</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OR10S1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1.61</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0.0212</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0.4626</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OR12D1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1.85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0.0085</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1.19</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0.6590</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OR13A1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1.69</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0.0344</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-1.02</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0.7281</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OR14C36</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0.0111</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-1.58</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0.3706</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OR51E2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1.52</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0.0332</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0.9894</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OR51F1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1.51</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0.0221</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0.6906</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OR51H1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2.28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0.0081</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1.15</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0.4326</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OR51L1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1.61</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0.0348</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1.9</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0.1414</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OR52E1</w:t>
            </w:r>
          </w:p>
        </w:tc>
        <w:tc>
          <w:tcPr>
            <w:tcW w:w="1870"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-2.08</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0.0386</w:t>
            </w:r>
          </w:p>
        </w:tc>
        <w:tc>
          <w:tcPr>
            <w:tcW w:w="1708" w:type="dxa"/>
            <w:tcBorders>
              <w:top w:val="nil"/>
              <w:left w:val="nil"/>
              <w:bottom w:val="nil"/>
              <w:right w:val="nil"/>
            </w:tcBorders>
            <w:shd w:val="solid" w:color="008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0.0463</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OR52E2</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1.94</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0.0044</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1.08</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0.7729</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OR52H1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1.65</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0.0644</w:t>
            </w:r>
          </w:p>
        </w:tc>
        <w:tc>
          <w:tcPr>
            <w:tcW w:w="1708"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0.0200</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OR52N5</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1.66</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0.0223</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1.23</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0.2946</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OR52R1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1.61</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0.0265</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1.25</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0.1126</w:t>
            </w:r>
          </w:p>
        </w:tc>
      </w:tr>
      <w:tr w:rsidR="00595049">
        <w:trPr>
          <w:trHeight w:val="290"/>
        </w:trPr>
        <w:tc>
          <w:tcPr>
            <w:tcW w:w="2287" w:type="dxa"/>
            <w:tcBorders>
              <w:top w:val="nil"/>
              <w:left w:val="nil"/>
              <w:bottom w:val="nil"/>
              <w:right w:val="single" w:sz="6" w:space="0" w:color="auto"/>
            </w:tcBorders>
          </w:tcPr>
          <w:p w:rsidR="00595049" w:rsidRDefault="00BC651F">
            <w:pPr>
              <w:autoSpaceDE w:val="0"/>
              <w:autoSpaceDN w:val="0"/>
              <w:adjustRightInd w:val="0"/>
              <w:spacing w:after="0" w:line="240" w:lineRule="auto"/>
              <w:rPr>
                <w:rFonts w:ascii="Calibri" w:hAnsi="Calibri" w:cs="Calibri"/>
                <w:color w:val="000000"/>
              </w:rPr>
            </w:pPr>
            <w:r>
              <w:rPr>
                <w:rFonts w:ascii="Calibri" w:hAnsi="Calibri" w:cs="Calibri"/>
                <w:color w:val="000000"/>
              </w:rPr>
              <w:t>OR56A1</w:t>
            </w:r>
          </w:p>
        </w:tc>
        <w:tc>
          <w:tcPr>
            <w:tcW w:w="1870" w:type="dxa"/>
            <w:tcBorders>
              <w:top w:val="nil"/>
              <w:left w:val="nil"/>
              <w:bottom w:val="nil"/>
              <w:right w:val="nil"/>
            </w:tcBorders>
            <w:shd w:val="solid" w:color="FF0000" w:fill="auto"/>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1.83</w:t>
            </w:r>
          </w:p>
        </w:tc>
        <w:tc>
          <w:tcPr>
            <w:tcW w:w="1289" w:type="dxa"/>
            <w:tcBorders>
              <w:top w:val="nil"/>
              <w:left w:val="nil"/>
              <w:bottom w:val="nil"/>
              <w:right w:val="single" w:sz="6" w:space="0" w:color="auto"/>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0.0389</w:t>
            </w:r>
          </w:p>
        </w:tc>
        <w:tc>
          <w:tcPr>
            <w:tcW w:w="1708"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1.99</w:t>
            </w:r>
          </w:p>
        </w:tc>
        <w:tc>
          <w:tcPr>
            <w:tcW w:w="1289" w:type="dxa"/>
            <w:tcBorders>
              <w:top w:val="nil"/>
              <w:left w:val="nil"/>
              <w:bottom w:val="nil"/>
              <w:right w:val="nil"/>
            </w:tcBorders>
          </w:tcPr>
          <w:p w:rsidR="00595049" w:rsidRDefault="00BC651F">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0.0909</w:t>
            </w:r>
          </w:p>
        </w:tc>
      </w:tr>
    </w:tbl>
    <w:p w:rsidR="00595049" w:rsidRDefault="00595049">
      <w:pPr>
        <w:rPr>
          <w:lang w:val="en-US"/>
        </w:rPr>
      </w:pPr>
    </w:p>
    <w:p w:rsidR="00595049" w:rsidRDefault="00BC651F">
      <w:pPr>
        <w:spacing w:line="480" w:lineRule="auto"/>
        <w:jc w:val="both"/>
        <w:rPr>
          <w:rFonts w:ascii="Calibri" w:hAnsi="Calibri"/>
          <w:sz w:val="24"/>
          <w:szCs w:val="24"/>
          <w:lang w:val="en-US"/>
        </w:rPr>
      </w:pPr>
      <w:r>
        <w:rPr>
          <w:rFonts w:ascii="Calibri" w:hAnsi="Calibri"/>
          <w:b/>
          <w:sz w:val="24"/>
          <w:szCs w:val="24"/>
          <w:lang w:val="en-US"/>
        </w:rPr>
        <w:t>Supplementary Figure S6</w:t>
      </w:r>
      <w:r>
        <w:rPr>
          <w:rFonts w:ascii="Calibri" w:hAnsi="Calibri"/>
          <w:sz w:val="24"/>
          <w:szCs w:val="24"/>
          <w:lang w:val="en-US"/>
        </w:rPr>
        <w:t>. List of olfactory receptors for which co-colonisation led to altered gene expression. Shown are fold changes relative to the control and the respective p-values. Upregulated genes are highlighted in red and downregulated genes in green (p&lt; 0.05).</w:t>
      </w:r>
    </w:p>
    <w:p w:rsidR="00595049" w:rsidRDefault="00BC651F">
      <w:pPr>
        <w:spacing w:after="200" w:line="276" w:lineRule="auto"/>
        <w:rPr>
          <w:rFonts w:ascii="Calibri" w:hAnsi="Calibri"/>
          <w:sz w:val="24"/>
          <w:szCs w:val="24"/>
          <w:lang w:val="en-US"/>
        </w:rPr>
      </w:pPr>
      <w:r>
        <w:rPr>
          <w:rFonts w:ascii="Calibri" w:hAnsi="Calibri"/>
          <w:sz w:val="24"/>
          <w:szCs w:val="24"/>
          <w:lang w:val="en-US"/>
        </w:rPr>
        <w:br w:type="page"/>
      </w:r>
    </w:p>
    <w:p w:rsidR="00595049" w:rsidRDefault="00BC651F">
      <w:pPr>
        <w:spacing w:line="480" w:lineRule="auto"/>
        <w:jc w:val="both"/>
        <w:rPr>
          <w:rFonts w:ascii="Calibri" w:hAnsi="Calibri"/>
          <w:b/>
          <w:bCs/>
          <w:color w:val="FF0000"/>
          <w:sz w:val="24"/>
          <w:szCs w:val="24"/>
          <w:lang w:val="en-US"/>
        </w:rPr>
      </w:pPr>
      <w:r>
        <w:rPr>
          <w:rFonts w:ascii="Calibri" w:hAnsi="Calibri"/>
          <w:b/>
          <w:bCs/>
          <w:noProof/>
          <w:color w:val="FF0000"/>
          <w:sz w:val="24"/>
          <w:szCs w:val="24"/>
          <w:lang w:val="en-US"/>
        </w:rPr>
        <w:lastRenderedPageBreak/>
        <w:drawing>
          <wp:inline distT="0" distB="0" distL="0" distR="0">
            <wp:extent cx="3282950" cy="2206083"/>
            <wp:effectExtent l="0" t="0" r="0" b="3810"/>
            <wp:docPr id="6" name="Grafik 6" descr="C:\Users\Lemoine\Desktop\Abbildungen Paper_ erster Entwurf_LL1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moine\Desktop\Abbildungen Paper_ erster Entwurf_LL10-3.tif"/>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5686" r="56833" b="22745"/>
                    <a:stretch/>
                  </pic:blipFill>
                  <pic:spPr bwMode="auto">
                    <a:xfrm>
                      <a:off x="0" y="0"/>
                      <a:ext cx="3284883" cy="220738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95049" w:rsidRDefault="00BC651F">
      <w:pPr>
        <w:spacing w:line="480" w:lineRule="auto"/>
        <w:jc w:val="both"/>
        <w:rPr>
          <w:rFonts w:ascii="Calibri" w:hAnsi="Calibri"/>
          <w:sz w:val="24"/>
          <w:szCs w:val="24"/>
          <w:lang w:val="en-US"/>
        </w:rPr>
      </w:pPr>
      <w:r>
        <w:rPr>
          <w:rFonts w:ascii="Calibri" w:hAnsi="Calibri"/>
          <w:b/>
          <w:bCs/>
          <w:sz w:val="24"/>
          <w:szCs w:val="24"/>
          <w:lang w:val="en-US"/>
        </w:rPr>
        <w:t xml:space="preserve">Supplementary Figure S7. </w:t>
      </w:r>
      <w:r>
        <w:rPr>
          <w:rFonts w:ascii="Calibri" w:hAnsi="Calibri"/>
          <w:sz w:val="24"/>
          <w:szCs w:val="24"/>
          <w:lang w:val="en-US"/>
        </w:rPr>
        <w:t>Cytokine excretion of THP-1 cells treated with day 8-supernatant from microbially competent skin, colonised as indicated.</w:t>
      </w:r>
    </w:p>
    <w:p w:rsidR="00595049" w:rsidRDefault="00595049">
      <w:pPr>
        <w:spacing w:line="480" w:lineRule="auto"/>
        <w:jc w:val="both"/>
        <w:rPr>
          <w:lang w:val="en-GB"/>
        </w:rPr>
      </w:pPr>
    </w:p>
    <w:sectPr w:rsidR="00595049" w:rsidSect="00695D5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729" w:rsidRDefault="00752729">
      <w:pPr>
        <w:spacing w:after="0" w:line="240" w:lineRule="auto"/>
      </w:pPr>
      <w:r>
        <w:separator/>
      </w:r>
    </w:p>
  </w:endnote>
  <w:endnote w:type="continuationSeparator" w:id="0">
    <w:p w:rsidR="00752729" w:rsidRDefault="00752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729" w:rsidRDefault="00752729">
      <w:pPr>
        <w:spacing w:after="0" w:line="240" w:lineRule="auto"/>
      </w:pPr>
      <w:r>
        <w:separator/>
      </w:r>
    </w:p>
  </w:footnote>
  <w:footnote w:type="continuationSeparator" w:id="0">
    <w:p w:rsidR="00752729" w:rsidRDefault="0075272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rsids>
    <w:rsidRoot w:val="00595049"/>
    <w:rsid w:val="00125B43"/>
    <w:rsid w:val="00595049"/>
    <w:rsid w:val="00695D57"/>
    <w:rsid w:val="007412F4"/>
    <w:rsid w:val="00752729"/>
    <w:rsid w:val="00975E64"/>
    <w:rsid w:val="00BC651F"/>
    <w:rsid w:val="00D5692D"/>
    <w:rsid w:val="00DF19F1"/>
    <w:rsid w:val="00F846EA"/>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D5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95D57"/>
    <w:rPr>
      <w:sz w:val="16"/>
      <w:szCs w:val="16"/>
    </w:rPr>
  </w:style>
  <w:style w:type="paragraph" w:styleId="CommentText">
    <w:name w:val="annotation text"/>
    <w:basedOn w:val="Normal"/>
    <w:link w:val="CommentTextChar"/>
    <w:uiPriority w:val="99"/>
    <w:semiHidden/>
    <w:unhideWhenUsed/>
    <w:rsid w:val="00695D57"/>
    <w:pPr>
      <w:spacing w:line="240" w:lineRule="auto"/>
    </w:pPr>
    <w:rPr>
      <w:sz w:val="20"/>
      <w:szCs w:val="20"/>
    </w:rPr>
  </w:style>
  <w:style w:type="character" w:customStyle="1" w:styleId="CommentTextChar">
    <w:name w:val="Comment Text Char"/>
    <w:basedOn w:val="DefaultParagraphFont"/>
    <w:link w:val="CommentText"/>
    <w:uiPriority w:val="99"/>
    <w:semiHidden/>
    <w:rsid w:val="00695D57"/>
    <w:rPr>
      <w:sz w:val="20"/>
      <w:szCs w:val="20"/>
    </w:rPr>
  </w:style>
  <w:style w:type="paragraph" w:styleId="NormalWeb">
    <w:name w:val="Normal (Web)"/>
    <w:basedOn w:val="Normal"/>
    <w:uiPriority w:val="99"/>
    <w:unhideWhenUsed/>
    <w:rsid w:val="00695D57"/>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BalloonText">
    <w:name w:val="Balloon Text"/>
    <w:basedOn w:val="Normal"/>
    <w:link w:val="BalloonTextChar"/>
    <w:uiPriority w:val="99"/>
    <w:semiHidden/>
    <w:unhideWhenUsed/>
    <w:rsid w:val="00695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D5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95D57"/>
    <w:rPr>
      <w:b/>
      <w:bCs/>
    </w:rPr>
  </w:style>
  <w:style w:type="character" w:customStyle="1" w:styleId="CommentSubjectChar">
    <w:name w:val="Comment Subject Char"/>
    <w:basedOn w:val="CommentTextChar"/>
    <w:link w:val="CommentSubject"/>
    <w:uiPriority w:val="99"/>
    <w:semiHidden/>
    <w:rsid w:val="00695D57"/>
    <w:rPr>
      <w:b/>
      <w:bCs/>
      <w:sz w:val="20"/>
      <w:szCs w:val="20"/>
    </w:rPr>
  </w:style>
  <w:style w:type="paragraph" w:styleId="Header">
    <w:name w:val="header"/>
    <w:basedOn w:val="Normal"/>
    <w:link w:val="HeaderChar"/>
    <w:uiPriority w:val="99"/>
    <w:unhideWhenUsed/>
    <w:rsid w:val="00695D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695D57"/>
  </w:style>
  <w:style w:type="paragraph" w:styleId="Footer">
    <w:name w:val="footer"/>
    <w:basedOn w:val="Normal"/>
    <w:link w:val="FooterChar"/>
    <w:uiPriority w:val="99"/>
    <w:unhideWhenUsed/>
    <w:rsid w:val="00695D57"/>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5D57"/>
  </w:style>
</w:styles>
</file>

<file path=word/webSettings.xml><?xml version="1.0" encoding="utf-8"?>
<w:webSettings xmlns:r="http://schemas.openxmlformats.org/officeDocument/2006/relationships" xmlns:w="http://schemas.openxmlformats.org/wordprocessingml/2006/main">
  <w:divs>
    <w:div w:id="21103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C3DE9-560D-4B5E-9532-C9656CB63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1161</Words>
  <Characters>6618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Bundesinstitut fuer Risikobewertung</Company>
  <LinksUpToDate>false</LinksUpToDate>
  <CharactersWithSpaces>7764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Frau Lisa Lemoine</dc:creator>
  <cp:lastModifiedBy>CS0222</cp:lastModifiedBy>
  <cp:revision>6</cp:revision>
  <dcterms:created xsi:type="dcterms:W3CDTF">2020-05-11T08:13:00Z</dcterms:created>
  <dcterms:modified xsi:type="dcterms:W3CDTF">2020-07-10T12:58:00Z</dcterms:modified>
</cp:coreProperties>
</file>