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29BD" w14:textId="77777777" w:rsidR="00A219A2" w:rsidRDefault="00B24350">
      <w:pPr>
        <w:rPr>
          <w:rFonts w:ascii="Times New Roman" w:hAnsi="Times New Roman" w:cs="Times New Roman"/>
          <w:b/>
          <w:sz w:val="28"/>
        </w:rPr>
      </w:pPr>
      <w:r>
        <w:rPr>
          <w:rFonts w:ascii="Times New Roman" w:hAnsi="Times New Roman" w:cs="Times New Roman"/>
          <w:b/>
          <w:sz w:val="28"/>
        </w:rPr>
        <w:t>Supplementary information for</w:t>
      </w:r>
    </w:p>
    <w:p w14:paraId="2434213C" w14:textId="77777777" w:rsidR="00A219A2" w:rsidRDefault="00A219A2">
      <w:pPr>
        <w:rPr>
          <w:rFonts w:ascii="Times New Roman" w:hAnsi="Times New Roman" w:cs="Times New Roman"/>
        </w:rPr>
      </w:pPr>
    </w:p>
    <w:p w14:paraId="7EEBD203" w14:textId="77777777" w:rsidR="000D4A6C" w:rsidRDefault="000D4A6C" w:rsidP="000D4A6C">
      <w:pPr>
        <w:pStyle w:val="Titel"/>
        <w:spacing w:after="240"/>
        <w:rPr>
          <w:b/>
          <w:i/>
          <w:sz w:val="40"/>
          <w:szCs w:val="48"/>
          <w:shd w:val="clear" w:color="auto" w:fill="FFFF00"/>
        </w:rPr>
      </w:pPr>
      <w:r>
        <w:rPr>
          <w:b/>
          <w:sz w:val="40"/>
          <w:szCs w:val="48"/>
        </w:rPr>
        <w:t>Functional alterations by a subgroup of neonicotinoid pesticides in human dopaminergic neurons</w:t>
      </w:r>
    </w:p>
    <w:p w14:paraId="37E4A76A" w14:textId="77777777" w:rsidR="00094DC3" w:rsidRPr="00094DC3" w:rsidRDefault="00094DC3" w:rsidP="00C54D91">
      <w:pPr>
        <w:suppressAutoHyphens w:val="0"/>
        <w:spacing w:after="0" w:line="480" w:lineRule="auto"/>
        <w:jc w:val="both"/>
        <w:rPr>
          <w:rFonts w:ascii="Times New Roman" w:eastAsia="Times New Roman" w:hAnsi="Times New Roman" w:cs="Times New Roman"/>
          <w:i/>
          <w:sz w:val="24"/>
          <w:szCs w:val="24"/>
          <w:vertAlign w:val="superscript"/>
          <w:lang w:eastAsia="de-DE"/>
        </w:rPr>
      </w:pPr>
      <w:r w:rsidRPr="00094DC3">
        <w:rPr>
          <w:rFonts w:ascii="Times New Roman" w:eastAsia="Times New Roman" w:hAnsi="Times New Roman" w:cs="Times New Roman"/>
          <w:i/>
          <w:sz w:val="24"/>
          <w:szCs w:val="24"/>
          <w:lang w:eastAsia="de-DE"/>
        </w:rPr>
        <w:t>Dominik Loser</w:t>
      </w:r>
      <w:r w:rsidRPr="00094DC3">
        <w:rPr>
          <w:rFonts w:ascii="Times New Roman" w:eastAsia="Times New Roman" w:hAnsi="Times New Roman" w:cs="Times New Roman"/>
          <w:i/>
          <w:sz w:val="24"/>
          <w:szCs w:val="24"/>
          <w:vertAlign w:val="superscript"/>
          <w:lang w:eastAsia="de-DE"/>
        </w:rPr>
        <w:t>1,2,3</w:t>
      </w:r>
      <w:r w:rsidRPr="00094DC3">
        <w:rPr>
          <w:rFonts w:ascii="Times New Roman" w:eastAsia="Times New Roman" w:hAnsi="Times New Roman" w:cs="Times New Roman"/>
          <w:i/>
          <w:sz w:val="24"/>
          <w:szCs w:val="24"/>
          <w:lang w:eastAsia="de-DE"/>
        </w:rPr>
        <w:t>, Maria G. Hinojosa</w:t>
      </w:r>
      <w:r w:rsidRPr="00094DC3">
        <w:rPr>
          <w:rFonts w:ascii="Times New Roman" w:eastAsia="Times New Roman" w:hAnsi="Times New Roman" w:cs="Times New Roman"/>
          <w:i/>
          <w:sz w:val="24"/>
          <w:szCs w:val="24"/>
          <w:vertAlign w:val="superscript"/>
          <w:lang w:eastAsia="de-DE"/>
        </w:rPr>
        <w:t>5</w:t>
      </w:r>
      <w:r w:rsidRPr="00094DC3">
        <w:rPr>
          <w:rFonts w:ascii="Times New Roman" w:eastAsia="Times New Roman" w:hAnsi="Times New Roman" w:cs="Times New Roman"/>
          <w:i/>
          <w:sz w:val="24"/>
          <w:szCs w:val="24"/>
          <w:lang w:eastAsia="de-DE"/>
        </w:rPr>
        <w:t>, Jonathan Blum</w:t>
      </w:r>
      <w:r w:rsidRPr="00094DC3">
        <w:rPr>
          <w:rFonts w:ascii="Times New Roman" w:eastAsia="Times New Roman" w:hAnsi="Times New Roman" w:cs="Times New Roman"/>
          <w:i/>
          <w:sz w:val="24"/>
          <w:szCs w:val="24"/>
          <w:vertAlign w:val="superscript"/>
          <w:lang w:eastAsia="de-DE"/>
        </w:rPr>
        <w:t>3</w:t>
      </w:r>
      <w:r w:rsidRPr="00094DC3">
        <w:rPr>
          <w:rFonts w:ascii="Times New Roman" w:eastAsia="Times New Roman" w:hAnsi="Times New Roman" w:cs="Times New Roman"/>
          <w:i/>
          <w:sz w:val="24"/>
          <w:szCs w:val="24"/>
          <w:lang w:eastAsia="de-DE"/>
        </w:rPr>
        <w:t>, Jasmin Schaefer</w:t>
      </w:r>
      <w:r w:rsidRPr="00094DC3">
        <w:rPr>
          <w:rFonts w:ascii="Times New Roman" w:eastAsia="Times New Roman" w:hAnsi="Times New Roman" w:cs="Times New Roman"/>
          <w:i/>
          <w:sz w:val="24"/>
          <w:szCs w:val="24"/>
          <w:vertAlign w:val="superscript"/>
          <w:lang w:eastAsia="de-DE"/>
        </w:rPr>
        <w:t>1,2</w:t>
      </w:r>
      <w:r w:rsidRPr="00094DC3">
        <w:rPr>
          <w:rFonts w:ascii="Times New Roman" w:eastAsia="Times New Roman" w:hAnsi="Times New Roman" w:cs="Times New Roman"/>
          <w:i/>
          <w:sz w:val="24"/>
          <w:szCs w:val="24"/>
          <w:lang w:eastAsia="de-DE"/>
        </w:rPr>
        <w:t>, Markus Brüll</w:t>
      </w:r>
      <w:r w:rsidRPr="00094DC3">
        <w:rPr>
          <w:rFonts w:ascii="Times New Roman" w:eastAsia="Times New Roman" w:hAnsi="Times New Roman" w:cs="Times New Roman"/>
          <w:i/>
          <w:sz w:val="24"/>
          <w:szCs w:val="24"/>
          <w:vertAlign w:val="superscript"/>
          <w:lang w:eastAsia="de-DE"/>
        </w:rPr>
        <w:t>3</w:t>
      </w:r>
      <w:r w:rsidRPr="00094DC3">
        <w:rPr>
          <w:rFonts w:ascii="Times New Roman" w:eastAsia="Times New Roman" w:hAnsi="Times New Roman" w:cs="Times New Roman"/>
          <w:i/>
          <w:sz w:val="24"/>
          <w:szCs w:val="24"/>
          <w:lang w:eastAsia="de-DE"/>
        </w:rPr>
        <w:t>, Ylva Johansson</w:t>
      </w:r>
      <w:r w:rsidRPr="00094DC3">
        <w:rPr>
          <w:rFonts w:ascii="Times New Roman" w:eastAsia="Times New Roman" w:hAnsi="Times New Roman" w:cs="Times New Roman"/>
          <w:i/>
          <w:sz w:val="24"/>
          <w:szCs w:val="24"/>
          <w:vertAlign w:val="superscript"/>
          <w:lang w:eastAsia="de-DE"/>
        </w:rPr>
        <w:t>5</w:t>
      </w:r>
      <w:r w:rsidRPr="00094DC3">
        <w:rPr>
          <w:rFonts w:ascii="Times New Roman" w:eastAsia="Times New Roman" w:hAnsi="Times New Roman" w:cs="Times New Roman"/>
          <w:i/>
          <w:sz w:val="24"/>
          <w:szCs w:val="24"/>
          <w:lang w:eastAsia="de-DE"/>
        </w:rPr>
        <w:t>, Ilinca Suciu</w:t>
      </w:r>
      <w:r w:rsidRPr="00094DC3">
        <w:rPr>
          <w:rFonts w:ascii="Times New Roman" w:eastAsia="Times New Roman" w:hAnsi="Times New Roman" w:cs="Times New Roman"/>
          <w:i/>
          <w:sz w:val="24"/>
          <w:szCs w:val="24"/>
          <w:vertAlign w:val="superscript"/>
          <w:lang w:eastAsia="de-DE"/>
        </w:rPr>
        <w:t>3</w:t>
      </w:r>
      <w:r w:rsidRPr="00094DC3">
        <w:rPr>
          <w:rFonts w:ascii="Times New Roman" w:eastAsia="Times New Roman" w:hAnsi="Times New Roman" w:cs="Times New Roman"/>
          <w:i/>
          <w:sz w:val="24"/>
          <w:szCs w:val="24"/>
          <w:lang w:eastAsia="de-DE"/>
        </w:rPr>
        <w:t>, Karin Grillberger</w:t>
      </w:r>
      <w:r w:rsidRPr="00094DC3">
        <w:rPr>
          <w:rFonts w:ascii="Times New Roman" w:eastAsia="Times New Roman" w:hAnsi="Times New Roman" w:cs="Times New Roman"/>
          <w:i/>
          <w:sz w:val="24"/>
          <w:szCs w:val="24"/>
          <w:vertAlign w:val="superscript"/>
          <w:lang w:eastAsia="de-DE"/>
        </w:rPr>
        <w:t>6</w:t>
      </w:r>
      <w:r w:rsidRPr="00094DC3">
        <w:rPr>
          <w:rFonts w:ascii="Times New Roman" w:eastAsia="Times New Roman" w:hAnsi="Times New Roman" w:cs="Times New Roman"/>
          <w:i/>
          <w:sz w:val="24"/>
          <w:szCs w:val="24"/>
          <w:lang w:eastAsia="de-DE"/>
        </w:rPr>
        <w:t>, Timm Danker</w:t>
      </w:r>
      <w:r w:rsidR="00166359" w:rsidRPr="00166359">
        <w:rPr>
          <w:rFonts w:ascii="Times New Roman" w:eastAsia="Times New Roman" w:hAnsi="Times New Roman" w:cs="Times New Roman"/>
          <w:i/>
          <w:sz w:val="24"/>
          <w:szCs w:val="24"/>
          <w:vertAlign w:val="superscript"/>
          <w:lang w:eastAsia="de-DE"/>
        </w:rPr>
        <w:t>1,</w:t>
      </w:r>
      <w:r w:rsidRPr="00094DC3">
        <w:rPr>
          <w:rFonts w:ascii="Times New Roman" w:eastAsia="Times New Roman" w:hAnsi="Times New Roman" w:cs="Times New Roman"/>
          <w:i/>
          <w:sz w:val="24"/>
          <w:szCs w:val="24"/>
          <w:vertAlign w:val="superscript"/>
          <w:lang w:eastAsia="de-DE"/>
        </w:rPr>
        <w:t>2</w:t>
      </w:r>
      <w:r w:rsidRPr="00094DC3">
        <w:rPr>
          <w:rFonts w:ascii="Times New Roman" w:eastAsia="Times New Roman" w:hAnsi="Times New Roman" w:cs="Times New Roman"/>
          <w:i/>
          <w:sz w:val="24"/>
          <w:szCs w:val="24"/>
          <w:lang w:eastAsia="de-DE"/>
        </w:rPr>
        <w:t>, Clemens Möller</w:t>
      </w:r>
      <w:r w:rsidRPr="00094DC3">
        <w:rPr>
          <w:rFonts w:ascii="Times New Roman" w:eastAsia="Times New Roman" w:hAnsi="Times New Roman" w:cs="Times New Roman"/>
          <w:i/>
          <w:sz w:val="24"/>
          <w:szCs w:val="24"/>
          <w:vertAlign w:val="superscript"/>
          <w:lang w:eastAsia="de-DE"/>
        </w:rPr>
        <w:t>4</w:t>
      </w:r>
      <w:r w:rsidRPr="00094DC3">
        <w:rPr>
          <w:rFonts w:ascii="Times New Roman" w:eastAsia="Times New Roman" w:hAnsi="Times New Roman" w:cs="Times New Roman"/>
          <w:i/>
          <w:sz w:val="24"/>
          <w:szCs w:val="24"/>
          <w:lang w:eastAsia="de-DE"/>
        </w:rPr>
        <w:t>, Iain Gardner</w:t>
      </w:r>
      <w:r w:rsidRPr="00094DC3">
        <w:rPr>
          <w:rFonts w:ascii="Times New Roman" w:eastAsia="Times New Roman" w:hAnsi="Times New Roman" w:cs="Times New Roman"/>
          <w:i/>
          <w:sz w:val="24"/>
          <w:szCs w:val="24"/>
          <w:vertAlign w:val="superscript"/>
          <w:lang w:eastAsia="de-DE"/>
        </w:rPr>
        <w:t>7</w:t>
      </w:r>
      <w:r w:rsidRPr="00094DC3">
        <w:rPr>
          <w:rFonts w:ascii="Times New Roman" w:eastAsia="Times New Roman" w:hAnsi="Times New Roman" w:cs="Times New Roman"/>
          <w:i/>
          <w:sz w:val="24"/>
          <w:szCs w:val="24"/>
          <w:lang w:eastAsia="de-DE"/>
        </w:rPr>
        <w:t>, Gerhard F. Ecker</w:t>
      </w:r>
      <w:r w:rsidRPr="00094DC3">
        <w:rPr>
          <w:rFonts w:ascii="Times New Roman" w:eastAsia="Times New Roman" w:hAnsi="Times New Roman" w:cs="Times New Roman"/>
          <w:i/>
          <w:sz w:val="24"/>
          <w:szCs w:val="24"/>
          <w:vertAlign w:val="superscript"/>
          <w:lang w:eastAsia="de-DE"/>
        </w:rPr>
        <w:t>6</w:t>
      </w:r>
      <w:r w:rsidRPr="00094DC3">
        <w:rPr>
          <w:rFonts w:ascii="Times New Roman" w:eastAsia="Times New Roman" w:hAnsi="Times New Roman" w:cs="Times New Roman"/>
          <w:i/>
          <w:sz w:val="24"/>
          <w:szCs w:val="24"/>
          <w:lang w:eastAsia="de-DE"/>
        </w:rPr>
        <w:t>, Susanne H. Bennekou</w:t>
      </w:r>
      <w:r w:rsidRPr="00094DC3">
        <w:rPr>
          <w:rFonts w:ascii="Times New Roman" w:eastAsia="Times New Roman" w:hAnsi="Times New Roman" w:cs="Times New Roman"/>
          <w:i/>
          <w:sz w:val="24"/>
          <w:szCs w:val="24"/>
          <w:vertAlign w:val="superscript"/>
          <w:lang w:eastAsia="de-DE"/>
        </w:rPr>
        <w:t>8</w:t>
      </w:r>
      <w:r w:rsidRPr="00094DC3">
        <w:rPr>
          <w:rFonts w:ascii="Times New Roman" w:eastAsia="Times New Roman" w:hAnsi="Times New Roman" w:cs="Times New Roman"/>
          <w:i/>
          <w:sz w:val="24"/>
          <w:szCs w:val="24"/>
          <w:lang w:eastAsia="de-DE"/>
        </w:rPr>
        <w:t>, Anna Forsby</w:t>
      </w:r>
      <w:r w:rsidRPr="00094DC3">
        <w:rPr>
          <w:rFonts w:ascii="Times New Roman" w:eastAsia="Times New Roman" w:hAnsi="Times New Roman" w:cs="Times New Roman"/>
          <w:i/>
          <w:sz w:val="24"/>
          <w:szCs w:val="24"/>
          <w:vertAlign w:val="superscript"/>
          <w:lang w:eastAsia="de-DE"/>
        </w:rPr>
        <w:t>5</w:t>
      </w:r>
      <w:r w:rsidRPr="00094DC3">
        <w:rPr>
          <w:rFonts w:ascii="Times New Roman" w:eastAsia="Times New Roman" w:hAnsi="Times New Roman" w:cs="Times New Roman"/>
          <w:i/>
          <w:sz w:val="24"/>
          <w:szCs w:val="24"/>
          <w:lang w:eastAsia="de-DE"/>
        </w:rPr>
        <w:t>, Udo Kraushaar</w:t>
      </w:r>
      <w:r w:rsidRPr="00094DC3">
        <w:rPr>
          <w:rFonts w:ascii="Times New Roman" w:eastAsia="Times New Roman" w:hAnsi="Times New Roman" w:cs="Times New Roman"/>
          <w:i/>
          <w:sz w:val="24"/>
          <w:szCs w:val="24"/>
          <w:vertAlign w:val="superscript"/>
          <w:lang w:eastAsia="de-DE"/>
        </w:rPr>
        <w:t>1,#</w:t>
      </w:r>
      <w:r w:rsidRPr="00094DC3">
        <w:rPr>
          <w:rFonts w:ascii="Times New Roman" w:eastAsia="Times New Roman" w:hAnsi="Times New Roman" w:cs="Times New Roman"/>
          <w:i/>
          <w:sz w:val="24"/>
          <w:szCs w:val="24"/>
          <w:lang w:eastAsia="de-DE"/>
        </w:rPr>
        <w:t>, Marcel Leist</w:t>
      </w:r>
      <w:r w:rsidRPr="00094DC3">
        <w:rPr>
          <w:rFonts w:ascii="Times New Roman" w:eastAsia="Times New Roman" w:hAnsi="Times New Roman" w:cs="Times New Roman"/>
          <w:i/>
          <w:sz w:val="24"/>
          <w:szCs w:val="24"/>
          <w:vertAlign w:val="superscript"/>
          <w:lang w:eastAsia="de-DE"/>
        </w:rPr>
        <w:t>3,#</w:t>
      </w:r>
    </w:p>
    <w:p w14:paraId="59F75DC1" w14:textId="77777777" w:rsidR="000D4A6C" w:rsidRDefault="000D4A6C" w:rsidP="000D4A6C">
      <w:pPr>
        <w:spacing w:line="240" w:lineRule="auto"/>
      </w:pPr>
    </w:p>
    <w:p w14:paraId="01D4A390" w14:textId="5DF50720" w:rsidR="00094DC3" w:rsidRPr="00094DC3" w:rsidRDefault="00094DC3" w:rsidP="00C54D91">
      <w:pPr>
        <w:spacing w:after="120" w:line="240" w:lineRule="auto"/>
        <w:jc w:val="both"/>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1</w:t>
      </w:r>
      <w:r w:rsidRPr="00094DC3">
        <w:rPr>
          <w:rFonts w:ascii="Times New Roman" w:eastAsia="Times New Roman" w:hAnsi="Times New Roman" w:cs="Times New Roman"/>
          <w:sz w:val="24"/>
          <w:szCs w:val="24"/>
          <w:lang w:eastAsia="de-DE"/>
        </w:rPr>
        <w:t xml:space="preserve"> NMI Natural and Medical Sciences Institute at the Uni</w:t>
      </w:r>
      <w:r w:rsidR="00220E3A">
        <w:rPr>
          <w:rFonts w:ascii="Times New Roman" w:eastAsia="Times New Roman" w:hAnsi="Times New Roman" w:cs="Times New Roman"/>
          <w:sz w:val="24"/>
          <w:szCs w:val="24"/>
          <w:lang w:eastAsia="de-DE"/>
        </w:rPr>
        <w:t>versity of Tü</w:t>
      </w:r>
      <w:r w:rsidR="00C54D91">
        <w:rPr>
          <w:rFonts w:ascii="Times New Roman" w:eastAsia="Times New Roman" w:hAnsi="Times New Roman" w:cs="Times New Roman"/>
          <w:sz w:val="24"/>
          <w:szCs w:val="24"/>
          <w:lang w:eastAsia="de-DE"/>
        </w:rPr>
        <w:t>bingen, 72770 Reut</w:t>
      </w:r>
      <w:r w:rsidRPr="00094DC3">
        <w:rPr>
          <w:rFonts w:ascii="Times New Roman" w:eastAsia="Times New Roman" w:hAnsi="Times New Roman" w:cs="Times New Roman"/>
          <w:sz w:val="24"/>
          <w:szCs w:val="24"/>
          <w:lang w:eastAsia="de-DE"/>
        </w:rPr>
        <w:t>lingen, Germany</w:t>
      </w:r>
    </w:p>
    <w:p w14:paraId="559374BF" w14:textId="77777777" w:rsidR="00094DC3" w:rsidRPr="00094DC3" w:rsidRDefault="00094DC3" w:rsidP="00C54D91">
      <w:pPr>
        <w:spacing w:after="120" w:line="240" w:lineRule="auto"/>
        <w:jc w:val="both"/>
        <w:rPr>
          <w:rFonts w:ascii="Times New Roman" w:eastAsia="Times New Roman" w:hAnsi="Times New Roman" w:cs="Times New Roman"/>
          <w:sz w:val="24"/>
          <w:szCs w:val="24"/>
          <w:vertAlign w:val="superscript"/>
          <w:lang w:eastAsia="de-DE"/>
        </w:rPr>
      </w:pPr>
      <w:r w:rsidRPr="00094DC3">
        <w:rPr>
          <w:rFonts w:ascii="Times New Roman" w:eastAsia="Times New Roman" w:hAnsi="Times New Roman" w:cs="Times New Roman"/>
          <w:sz w:val="24"/>
          <w:szCs w:val="24"/>
          <w:vertAlign w:val="superscript"/>
          <w:lang w:eastAsia="de-DE"/>
        </w:rPr>
        <w:t xml:space="preserve">2 </w:t>
      </w:r>
      <w:r w:rsidRPr="00094DC3">
        <w:rPr>
          <w:rFonts w:ascii="Times New Roman" w:eastAsia="Times New Roman" w:hAnsi="Times New Roman" w:cs="Times New Roman"/>
          <w:sz w:val="24"/>
          <w:szCs w:val="24"/>
          <w:lang w:eastAsia="de-DE"/>
        </w:rPr>
        <w:t>NMI TT GmbH, 72770 Reutlingen, Germany</w:t>
      </w:r>
    </w:p>
    <w:p w14:paraId="14F2AE64" w14:textId="77777777" w:rsidR="00094DC3" w:rsidRPr="00094DC3" w:rsidRDefault="00094DC3" w:rsidP="00C54D91">
      <w:pPr>
        <w:spacing w:after="120" w:line="240" w:lineRule="auto"/>
        <w:jc w:val="both"/>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3</w:t>
      </w:r>
      <w:r w:rsidRPr="00094DC3">
        <w:rPr>
          <w:rFonts w:ascii="Times New Roman" w:eastAsia="Times New Roman" w:hAnsi="Times New Roman" w:cs="Times New Roman"/>
          <w:sz w:val="24"/>
          <w:szCs w:val="24"/>
          <w:lang w:eastAsia="de-DE"/>
        </w:rPr>
        <w:t xml:space="preserve"> In vitro Toxicology and Biomedicine, Dept. inaugurated by the Doerenkamp-Zbinden foundation, University of Konstanz, 78457 Konstanz, Germany </w:t>
      </w:r>
    </w:p>
    <w:p w14:paraId="3D18E521" w14:textId="77777777" w:rsidR="00094DC3" w:rsidRPr="00094DC3" w:rsidRDefault="00094DC3" w:rsidP="00C54D91">
      <w:pPr>
        <w:spacing w:after="120" w:line="240" w:lineRule="auto"/>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4</w:t>
      </w:r>
      <w:r w:rsidRPr="00094DC3">
        <w:rPr>
          <w:rFonts w:ascii="Times New Roman" w:eastAsia="Times New Roman" w:hAnsi="Times New Roman" w:cs="Times New Roman"/>
          <w:sz w:val="24"/>
          <w:szCs w:val="24"/>
          <w:lang w:eastAsia="de-DE"/>
        </w:rPr>
        <w:t xml:space="preserve"> Life Sciences Faculty, Albstadt-Sigmaringen University, 72488 Sigmaringen, Germany</w:t>
      </w:r>
    </w:p>
    <w:p w14:paraId="7F1B02AB" w14:textId="77777777" w:rsidR="00094DC3" w:rsidRPr="00094DC3" w:rsidRDefault="00094DC3" w:rsidP="00C54D91">
      <w:pPr>
        <w:spacing w:after="120" w:line="240" w:lineRule="auto"/>
        <w:jc w:val="both"/>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5</w:t>
      </w:r>
      <w:r w:rsidRPr="00094DC3">
        <w:rPr>
          <w:rFonts w:ascii="Times New Roman" w:eastAsia="Times New Roman" w:hAnsi="Times New Roman" w:cs="Times New Roman"/>
          <w:sz w:val="24"/>
          <w:szCs w:val="24"/>
          <w:lang w:eastAsia="de-DE"/>
        </w:rPr>
        <w:t xml:space="preserve"> Department of Biochemistry and Biophysics, Stockholm University, 106 91 Stockholm, Sweden</w:t>
      </w:r>
    </w:p>
    <w:p w14:paraId="4A42589A" w14:textId="77777777" w:rsidR="00166359" w:rsidRPr="00166359" w:rsidRDefault="00166359" w:rsidP="00166359">
      <w:pPr>
        <w:suppressAutoHyphens w:val="0"/>
        <w:spacing w:after="120" w:line="240" w:lineRule="auto"/>
        <w:rPr>
          <w:rFonts w:ascii="Times New Roman" w:eastAsia="Times New Roman" w:hAnsi="Times New Roman" w:cs="Times New Roman"/>
          <w:sz w:val="24"/>
          <w:szCs w:val="24"/>
          <w:lang w:eastAsia="de-DE"/>
        </w:rPr>
      </w:pPr>
      <w:r w:rsidRPr="00166359">
        <w:rPr>
          <w:rFonts w:ascii="Times New Roman" w:eastAsia="Times New Roman" w:hAnsi="Times New Roman" w:cs="Times New Roman"/>
          <w:sz w:val="24"/>
          <w:szCs w:val="24"/>
          <w:vertAlign w:val="superscript"/>
          <w:lang w:eastAsia="de-DE"/>
        </w:rPr>
        <w:t>6</w:t>
      </w:r>
      <w:r w:rsidRPr="00166359">
        <w:rPr>
          <w:rFonts w:ascii="Times New Roman" w:eastAsia="Times New Roman" w:hAnsi="Times New Roman" w:cs="Times New Roman"/>
          <w:sz w:val="24"/>
          <w:szCs w:val="24"/>
          <w:lang w:eastAsia="de-DE"/>
        </w:rPr>
        <w:t xml:space="preserve"> University of Vienna, Department of Pharmaceutical Sciences, Vienna, Austria</w:t>
      </w:r>
      <w:r w:rsidRPr="00166359">
        <w:rPr>
          <w:rFonts w:ascii="Times New Roman" w:eastAsia="Times New Roman" w:hAnsi="Times New Roman" w:cs="Times New Roman"/>
          <w:sz w:val="24"/>
          <w:szCs w:val="24"/>
          <w:vertAlign w:val="superscript"/>
          <w:lang w:eastAsia="de-DE"/>
        </w:rPr>
        <w:t xml:space="preserve"> </w:t>
      </w:r>
    </w:p>
    <w:p w14:paraId="6E4DD6CC" w14:textId="77777777" w:rsidR="00094DC3" w:rsidRPr="00094DC3" w:rsidRDefault="00094DC3" w:rsidP="00C54D91">
      <w:pPr>
        <w:spacing w:after="120" w:line="240" w:lineRule="auto"/>
        <w:jc w:val="both"/>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7</w:t>
      </w:r>
      <w:r w:rsidRPr="00094DC3">
        <w:rPr>
          <w:rFonts w:ascii="Times New Roman" w:eastAsia="Times New Roman" w:hAnsi="Times New Roman" w:cs="Times New Roman"/>
          <w:sz w:val="24"/>
          <w:szCs w:val="24"/>
          <w:lang w:eastAsia="de-DE"/>
        </w:rPr>
        <w:t xml:space="preserve"> CERTARA UK Limited, Simcyp Division, Level 2-Acero, 1 Concourse Way, Sheffield, S1 2BJ, United Kingdom</w:t>
      </w:r>
    </w:p>
    <w:p w14:paraId="3B363B8F" w14:textId="77777777" w:rsidR="00094DC3" w:rsidRPr="00094DC3" w:rsidRDefault="00094DC3" w:rsidP="00C54D91">
      <w:pPr>
        <w:spacing w:after="120" w:line="240" w:lineRule="auto"/>
        <w:jc w:val="both"/>
        <w:rPr>
          <w:rFonts w:ascii="Times New Roman" w:eastAsia="Times New Roman" w:hAnsi="Times New Roman" w:cs="Times New Roman"/>
          <w:color w:val="1F497D"/>
          <w:lang w:eastAsia="de-DE"/>
        </w:rPr>
      </w:pPr>
      <w:r w:rsidRPr="00094DC3">
        <w:rPr>
          <w:rFonts w:ascii="Times New Roman" w:eastAsia="Times New Roman" w:hAnsi="Times New Roman" w:cs="Times New Roman"/>
          <w:sz w:val="24"/>
          <w:szCs w:val="24"/>
          <w:vertAlign w:val="superscript"/>
          <w:lang w:eastAsia="de-DE"/>
        </w:rPr>
        <w:t>8</w:t>
      </w:r>
      <w:r w:rsidRPr="00094DC3">
        <w:rPr>
          <w:rFonts w:ascii="Times New Roman" w:eastAsia="Times New Roman" w:hAnsi="Times New Roman" w:cs="Times New Roman"/>
          <w:sz w:val="24"/>
          <w:szCs w:val="24"/>
          <w:lang w:eastAsia="de-DE"/>
        </w:rPr>
        <w:t xml:space="preserve"> Technical University of Denmark, Kongens Lyngby, Denmark</w:t>
      </w:r>
    </w:p>
    <w:p w14:paraId="2A97A2B6" w14:textId="7B475801" w:rsidR="00094DC3" w:rsidRPr="00094DC3" w:rsidRDefault="00094DC3" w:rsidP="00C54D91">
      <w:pPr>
        <w:spacing w:after="0" w:line="240" w:lineRule="auto"/>
        <w:rPr>
          <w:rFonts w:ascii="Times New Roman" w:eastAsia="Times New Roman" w:hAnsi="Times New Roman" w:cs="Times New Roman"/>
          <w:sz w:val="24"/>
          <w:szCs w:val="24"/>
          <w:lang w:eastAsia="de-DE"/>
        </w:rPr>
      </w:pPr>
      <w:r w:rsidRPr="00094DC3">
        <w:rPr>
          <w:rFonts w:ascii="Times New Roman" w:eastAsia="Times New Roman" w:hAnsi="Times New Roman" w:cs="Times New Roman"/>
          <w:sz w:val="24"/>
          <w:szCs w:val="24"/>
          <w:vertAlign w:val="superscript"/>
          <w:lang w:eastAsia="de-DE"/>
        </w:rPr>
        <w:t>#</w:t>
      </w:r>
      <w:r w:rsidRPr="00094DC3">
        <w:rPr>
          <w:rFonts w:ascii="Times New Roman" w:eastAsia="Times New Roman" w:hAnsi="Times New Roman" w:cs="Times New Roman"/>
          <w:sz w:val="24"/>
          <w:szCs w:val="24"/>
          <w:lang w:eastAsia="de-DE"/>
        </w:rPr>
        <w:t xml:space="preserve"> </w:t>
      </w:r>
      <w:r w:rsidR="007D5241" w:rsidRPr="00094DC3">
        <w:rPr>
          <w:rFonts w:ascii="Times New Roman" w:eastAsia="Times New Roman" w:hAnsi="Times New Roman" w:cs="Times New Roman"/>
          <w:sz w:val="24"/>
          <w:szCs w:val="24"/>
          <w:lang w:eastAsia="de-DE"/>
        </w:rPr>
        <w:t>These</w:t>
      </w:r>
      <w:r w:rsidRPr="00094DC3">
        <w:rPr>
          <w:rFonts w:ascii="Times New Roman" w:eastAsia="Times New Roman" w:hAnsi="Times New Roman" w:cs="Times New Roman"/>
          <w:sz w:val="24"/>
          <w:szCs w:val="24"/>
          <w:lang w:eastAsia="de-DE"/>
        </w:rPr>
        <w:t xml:space="preserve"> authors contributed equally </w:t>
      </w:r>
    </w:p>
    <w:p w14:paraId="1649D7B8" w14:textId="77777777" w:rsidR="00A219A2" w:rsidRDefault="00A219A2">
      <w:pPr>
        <w:rPr>
          <w:rFonts w:ascii="Times New Roman" w:hAnsi="Times New Roman" w:cs="Times New Roman"/>
        </w:rPr>
      </w:pPr>
    </w:p>
    <w:p w14:paraId="29E558C8" w14:textId="77777777" w:rsidR="00A219A2" w:rsidRDefault="00A219A2">
      <w:pPr>
        <w:rPr>
          <w:rFonts w:ascii="Times New Roman" w:hAnsi="Times New Roman" w:cs="Times New Roman"/>
        </w:rPr>
      </w:pPr>
    </w:p>
    <w:tbl>
      <w:tblPr>
        <w:tblStyle w:val="Tabellenraster"/>
        <w:tblW w:w="9062" w:type="dxa"/>
        <w:tblLook w:val="04A0" w:firstRow="1" w:lastRow="0" w:firstColumn="1" w:lastColumn="0" w:noHBand="0" w:noVBand="1"/>
      </w:tblPr>
      <w:tblGrid>
        <w:gridCol w:w="1275"/>
        <w:gridCol w:w="6379"/>
        <w:gridCol w:w="1408"/>
      </w:tblGrid>
      <w:tr w:rsidR="00A219A2" w14:paraId="2E9A58B9" w14:textId="77777777">
        <w:trPr>
          <w:trHeight w:val="680"/>
        </w:trPr>
        <w:tc>
          <w:tcPr>
            <w:tcW w:w="9062" w:type="dxa"/>
            <w:gridSpan w:val="3"/>
            <w:tcBorders>
              <w:top w:val="nil"/>
              <w:left w:val="nil"/>
              <w:bottom w:val="nil"/>
              <w:right w:val="nil"/>
            </w:tcBorders>
          </w:tcPr>
          <w:p w14:paraId="5E8BA734" w14:textId="77777777" w:rsidR="00A219A2" w:rsidRDefault="00527929">
            <w:pPr>
              <w:widowControl w:val="0"/>
              <w:spacing w:after="0" w:line="240" w:lineRule="auto"/>
              <w:rPr>
                <w:rFonts w:ascii="Times New Roman" w:hAnsi="Times New Roman" w:cs="Times New Roman"/>
                <w:sz w:val="24"/>
                <w:lang w:val="de-DE"/>
              </w:rPr>
            </w:pPr>
            <w:r>
              <w:rPr>
                <w:rFonts w:ascii="Times New Roman" w:hAnsi="Times New Roman" w:cs="Times New Roman"/>
                <w:b/>
                <w:sz w:val="32"/>
              </w:rPr>
              <w:t>Table</w:t>
            </w:r>
            <w:r w:rsidR="00B24350">
              <w:rPr>
                <w:rFonts w:ascii="Times New Roman" w:hAnsi="Times New Roman" w:cs="Times New Roman"/>
                <w:b/>
                <w:sz w:val="32"/>
                <w:lang w:val="de-DE"/>
              </w:rPr>
              <w:t xml:space="preserve"> </w:t>
            </w:r>
            <w:r w:rsidR="00B24350" w:rsidRPr="00527929">
              <w:rPr>
                <w:rFonts w:ascii="Times New Roman" w:hAnsi="Times New Roman" w:cs="Times New Roman"/>
                <w:b/>
                <w:sz w:val="32"/>
              </w:rPr>
              <w:t>of</w:t>
            </w:r>
            <w:r w:rsidR="00B24350">
              <w:rPr>
                <w:rFonts w:ascii="Times New Roman" w:hAnsi="Times New Roman" w:cs="Times New Roman"/>
                <w:b/>
                <w:sz w:val="32"/>
                <w:lang w:val="de-DE"/>
              </w:rPr>
              <w:t xml:space="preserve"> Contents</w:t>
            </w:r>
          </w:p>
        </w:tc>
      </w:tr>
      <w:tr w:rsidR="00A219A2" w14:paraId="3AAB7784" w14:textId="77777777">
        <w:trPr>
          <w:trHeight w:val="567"/>
        </w:trPr>
        <w:tc>
          <w:tcPr>
            <w:tcW w:w="1275" w:type="dxa"/>
            <w:tcBorders>
              <w:top w:val="nil"/>
              <w:left w:val="nil"/>
              <w:bottom w:val="nil"/>
              <w:right w:val="nil"/>
            </w:tcBorders>
          </w:tcPr>
          <w:p w14:paraId="724A7B15" w14:textId="77777777" w:rsidR="00A219A2" w:rsidRDefault="00B2435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S1</w:t>
            </w:r>
          </w:p>
        </w:tc>
        <w:tc>
          <w:tcPr>
            <w:tcW w:w="6379" w:type="dxa"/>
            <w:tcBorders>
              <w:top w:val="nil"/>
              <w:left w:val="nil"/>
              <w:bottom w:val="nil"/>
              <w:right w:val="nil"/>
            </w:tcBorders>
          </w:tcPr>
          <w:p w14:paraId="2E60D894" w14:textId="77777777" w:rsidR="00A219A2" w:rsidRDefault="00B243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Gene expression profile of LUHMES cells for cholinergic components.</w:t>
            </w:r>
          </w:p>
        </w:tc>
        <w:tc>
          <w:tcPr>
            <w:tcW w:w="1408" w:type="dxa"/>
            <w:tcBorders>
              <w:top w:val="nil"/>
              <w:left w:val="nil"/>
              <w:bottom w:val="nil"/>
              <w:right w:val="nil"/>
            </w:tcBorders>
          </w:tcPr>
          <w:p w14:paraId="54617AA9" w14:textId="77777777" w:rsidR="00A219A2" w:rsidRDefault="00D3600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3</w:t>
            </w:r>
          </w:p>
        </w:tc>
      </w:tr>
      <w:tr w:rsidR="00A219A2" w14:paraId="0151ABAE" w14:textId="77777777">
        <w:trPr>
          <w:trHeight w:val="567"/>
        </w:trPr>
        <w:tc>
          <w:tcPr>
            <w:tcW w:w="1275" w:type="dxa"/>
            <w:tcBorders>
              <w:top w:val="nil"/>
              <w:left w:val="nil"/>
              <w:bottom w:val="nil"/>
              <w:right w:val="nil"/>
            </w:tcBorders>
          </w:tcPr>
          <w:p w14:paraId="5F14DFCA" w14:textId="77777777" w:rsidR="00A219A2" w:rsidRDefault="00B2435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S2</w:t>
            </w:r>
          </w:p>
        </w:tc>
        <w:tc>
          <w:tcPr>
            <w:tcW w:w="6379" w:type="dxa"/>
            <w:tcBorders>
              <w:top w:val="nil"/>
              <w:left w:val="nil"/>
              <w:bottom w:val="nil"/>
              <w:right w:val="nil"/>
            </w:tcBorders>
          </w:tcPr>
          <w:p w14:paraId="3EDA243F" w14:textId="77777777" w:rsidR="00A219A2" w:rsidRDefault="00B24350" w:rsidP="00283FB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Effects of PNU-120596 on LUHMES neurons.</w:t>
            </w:r>
          </w:p>
        </w:tc>
        <w:tc>
          <w:tcPr>
            <w:tcW w:w="1408" w:type="dxa"/>
            <w:tcBorders>
              <w:top w:val="nil"/>
              <w:left w:val="nil"/>
              <w:bottom w:val="nil"/>
              <w:right w:val="nil"/>
            </w:tcBorders>
          </w:tcPr>
          <w:p w14:paraId="51AD52E3" w14:textId="77777777" w:rsidR="00A219A2" w:rsidRDefault="00B24350" w:rsidP="00D3600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 </w:t>
            </w:r>
            <w:r w:rsidR="00D36008">
              <w:rPr>
                <w:rFonts w:ascii="Times New Roman" w:hAnsi="Times New Roman" w:cs="Times New Roman"/>
                <w:sz w:val="24"/>
                <w:szCs w:val="24"/>
              </w:rPr>
              <w:t>4</w:t>
            </w:r>
          </w:p>
        </w:tc>
      </w:tr>
      <w:tr w:rsidR="00A219A2" w14:paraId="3B753022" w14:textId="77777777">
        <w:trPr>
          <w:trHeight w:val="567"/>
        </w:trPr>
        <w:tc>
          <w:tcPr>
            <w:tcW w:w="1275" w:type="dxa"/>
            <w:tcBorders>
              <w:top w:val="nil"/>
              <w:left w:val="nil"/>
              <w:bottom w:val="nil"/>
              <w:right w:val="nil"/>
            </w:tcBorders>
          </w:tcPr>
          <w:p w14:paraId="3533E430" w14:textId="77777777" w:rsidR="00A219A2" w:rsidRDefault="00B2435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S3</w:t>
            </w:r>
          </w:p>
        </w:tc>
        <w:tc>
          <w:tcPr>
            <w:tcW w:w="6379" w:type="dxa"/>
            <w:tcBorders>
              <w:top w:val="nil"/>
              <w:left w:val="nil"/>
              <w:bottom w:val="nil"/>
              <w:right w:val="nil"/>
            </w:tcBorders>
          </w:tcPr>
          <w:p w14:paraId="22C5E533" w14:textId="77777777" w:rsidR="00A219A2" w:rsidRDefault="00B243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Impact of neonicotinoids on neurite outgrowth of LUHMES neurons.</w:t>
            </w:r>
          </w:p>
        </w:tc>
        <w:tc>
          <w:tcPr>
            <w:tcW w:w="1408" w:type="dxa"/>
            <w:tcBorders>
              <w:top w:val="nil"/>
              <w:left w:val="nil"/>
              <w:bottom w:val="nil"/>
              <w:right w:val="nil"/>
            </w:tcBorders>
          </w:tcPr>
          <w:p w14:paraId="1CF699C1" w14:textId="77777777" w:rsidR="00A219A2" w:rsidRDefault="00D3600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5</w:t>
            </w:r>
          </w:p>
        </w:tc>
      </w:tr>
      <w:tr w:rsidR="00A219A2" w14:paraId="064E2578" w14:textId="77777777">
        <w:trPr>
          <w:trHeight w:val="567"/>
        </w:trPr>
        <w:tc>
          <w:tcPr>
            <w:tcW w:w="1275" w:type="dxa"/>
            <w:tcBorders>
              <w:top w:val="nil"/>
              <w:left w:val="nil"/>
              <w:bottom w:val="nil"/>
              <w:right w:val="nil"/>
            </w:tcBorders>
          </w:tcPr>
          <w:p w14:paraId="19C44E3A" w14:textId="77777777" w:rsidR="00A219A2" w:rsidRDefault="00B2435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Fig. S4</w:t>
            </w:r>
          </w:p>
        </w:tc>
        <w:tc>
          <w:tcPr>
            <w:tcW w:w="6379" w:type="dxa"/>
            <w:tcBorders>
              <w:top w:val="nil"/>
              <w:left w:val="nil"/>
              <w:bottom w:val="nil"/>
              <w:right w:val="nil"/>
            </w:tcBorders>
          </w:tcPr>
          <w:p w14:paraId="1AF9B5FA" w14:textId="77777777" w:rsidR="00A219A2" w:rsidRDefault="00D36008" w:rsidP="00CC52D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Inhibition of acetamiprid (Aceta) triggered responses</w:t>
            </w:r>
            <w:r w:rsidR="00B71D73">
              <w:rPr>
                <w:rFonts w:ascii="Times New Roman" w:hAnsi="Times New Roman" w:cs="Times New Roman"/>
                <w:sz w:val="24"/>
                <w:szCs w:val="24"/>
              </w:rPr>
              <w:t xml:space="preserve"> of LUHMES neurons</w:t>
            </w:r>
            <w:r>
              <w:rPr>
                <w:rFonts w:ascii="Times New Roman" w:hAnsi="Times New Roman" w:cs="Times New Roman"/>
                <w:sz w:val="24"/>
                <w:szCs w:val="24"/>
              </w:rPr>
              <w:t xml:space="preserve"> by tubocurarine.</w:t>
            </w:r>
          </w:p>
        </w:tc>
        <w:tc>
          <w:tcPr>
            <w:tcW w:w="1408" w:type="dxa"/>
            <w:tcBorders>
              <w:top w:val="nil"/>
              <w:left w:val="nil"/>
              <w:bottom w:val="nil"/>
              <w:right w:val="nil"/>
            </w:tcBorders>
          </w:tcPr>
          <w:p w14:paraId="78C7066B" w14:textId="77777777" w:rsidR="00A219A2" w:rsidRDefault="00D3600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6</w:t>
            </w:r>
          </w:p>
        </w:tc>
      </w:tr>
      <w:tr w:rsidR="00A219A2" w14:paraId="5C97F63C" w14:textId="77777777">
        <w:trPr>
          <w:trHeight w:val="567"/>
        </w:trPr>
        <w:tc>
          <w:tcPr>
            <w:tcW w:w="1275" w:type="dxa"/>
            <w:tcBorders>
              <w:top w:val="nil"/>
              <w:left w:val="nil"/>
              <w:bottom w:val="nil"/>
              <w:right w:val="nil"/>
            </w:tcBorders>
          </w:tcPr>
          <w:p w14:paraId="7F0023F6" w14:textId="77777777" w:rsidR="00A219A2" w:rsidRDefault="00B2435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S5</w:t>
            </w:r>
          </w:p>
        </w:tc>
        <w:tc>
          <w:tcPr>
            <w:tcW w:w="6379" w:type="dxa"/>
            <w:tcBorders>
              <w:top w:val="nil"/>
              <w:left w:val="nil"/>
              <w:bottom w:val="nil"/>
              <w:right w:val="nil"/>
            </w:tcBorders>
          </w:tcPr>
          <w:p w14:paraId="43709D7C" w14:textId="77777777" w:rsidR="00A219A2" w:rsidRDefault="00D36008">
            <w:pPr>
              <w:widowControl w:val="0"/>
              <w:spacing w:after="0" w:line="240" w:lineRule="auto"/>
              <w:rPr>
                <w:rFonts w:ascii="Times New Roman" w:hAnsi="Times New Roman" w:cs="Times New Roman"/>
                <w:sz w:val="24"/>
                <w:szCs w:val="24"/>
              </w:rPr>
            </w:pPr>
            <w:r w:rsidRPr="00D36008">
              <w:rPr>
                <w:rFonts w:ascii="Times New Roman" w:hAnsi="Times New Roman" w:cs="Times New Roman"/>
                <w:sz w:val="24"/>
                <w:szCs w:val="24"/>
              </w:rPr>
              <w:t>Effects of neonicotinoids on SH-SY5Y cells.</w:t>
            </w:r>
          </w:p>
        </w:tc>
        <w:tc>
          <w:tcPr>
            <w:tcW w:w="1408" w:type="dxa"/>
            <w:tcBorders>
              <w:top w:val="nil"/>
              <w:left w:val="nil"/>
              <w:bottom w:val="nil"/>
              <w:right w:val="nil"/>
            </w:tcBorders>
          </w:tcPr>
          <w:p w14:paraId="52568778" w14:textId="77777777" w:rsidR="00A219A2" w:rsidRDefault="00D3600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7</w:t>
            </w:r>
            <w:r w:rsidR="003C5F9C">
              <w:rPr>
                <w:rFonts w:ascii="Times New Roman" w:hAnsi="Times New Roman" w:cs="Times New Roman"/>
                <w:sz w:val="24"/>
                <w:szCs w:val="24"/>
              </w:rPr>
              <w:t>-8</w:t>
            </w:r>
          </w:p>
        </w:tc>
      </w:tr>
      <w:tr w:rsidR="005E5EA7" w14:paraId="09D402B3" w14:textId="77777777">
        <w:trPr>
          <w:trHeight w:val="567"/>
        </w:trPr>
        <w:tc>
          <w:tcPr>
            <w:tcW w:w="1275" w:type="dxa"/>
            <w:tcBorders>
              <w:top w:val="nil"/>
              <w:left w:val="nil"/>
              <w:bottom w:val="nil"/>
              <w:right w:val="nil"/>
            </w:tcBorders>
          </w:tcPr>
          <w:p w14:paraId="4CCE4E5D"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S6</w:t>
            </w:r>
          </w:p>
        </w:tc>
        <w:tc>
          <w:tcPr>
            <w:tcW w:w="6379" w:type="dxa"/>
            <w:tcBorders>
              <w:top w:val="nil"/>
              <w:left w:val="nil"/>
              <w:bottom w:val="nil"/>
              <w:right w:val="nil"/>
            </w:tcBorders>
          </w:tcPr>
          <w:p w14:paraId="21A11536" w14:textId="77777777" w:rsidR="005E5EA7" w:rsidRPr="00D36008" w:rsidRDefault="00166359" w:rsidP="005E5EA7">
            <w:pPr>
              <w:widowControl w:val="0"/>
              <w:spacing w:after="0" w:line="240" w:lineRule="auto"/>
              <w:rPr>
                <w:rFonts w:ascii="Times New Roman" w:hAnsi="Times New Roman" w:cs="Times New Roman"/>
                <w:sz w:val="24"/>
                <w:szCs w:val="24"/>
              </w:rPr>
            </w:pPr>
            <w:r w:rsidRPr="00166359">
              <w:rPr>
                <w:rFonts w:ascii="Times New Roman" w:hAnsi="Times New Roman" w:cs="Times New Roman"/>
                <w:sz w:val="24"/>
                <w:szCs w:val="24"/>
              </w:rPr>
              <w:t>Physicochemical properties and molecular docking studies.</w:t>
            </w:r>
          </w:p>
        </w:tc>
        <w:tc>
          <w:tcPr>
            <w:tcW w:w="1408" w:type="dxa"/>
            <w:tcBorders>
              <w:top w:val="nil"/>
              <w:left w:val="nil"/>
              <w:bottom w:val="nil"/>
              <w:right w:val="nil"/>
            </w:tcBorders>
          </w:tcPr>
          <w:p w14:paraId="3BB780C6" w14:textId="77777777" w:rsidR="005E5EA7" w:rsidRDefault="005E5E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 </w:t>
            </w:r>
            <w:r w:rsidR="007B17A7">
              <w:rPr>
                <w:rFonts w:ascii="Times New Roman" w:hAnsi="Times New Roman" w:cs="Times New Roman"/>
                <w:sz w:val="24"/>
                <w:szCs w:val="24"/>
              </w:rPr>
              <w:t>9-10</w:t>
            </w:r>
          </w:p>
        </w:tc>
      </w:tr>
      <w:tr w:rsidR="005E5EA7" w14:paraId="781CC966" w14:textId="77777777">
        <w:trPr>
          <w:trHeight w:val="567"/>
        </w:trPr>
        <w:tc>
          <w:tcPr>
            <w:tcW w:w="1275" w:type="dxa"/>
            <w:tcBorders>
              <w:top w:val="nil"/>
              <w:left w:val="nil"/>
              <w:bottom w:val="nil"/>
              <w:right w:val="nil"/>
            </w:tcBorders>
          </w:tcPr>
          <w:p w14:paraId="25784D8B"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S7</w:t>
            </w:r>
          </w:p>
        </w:tc>
        <w:tc>
          <w:tcPr>
            <w:tcW w:w="6379" w:type="dxa"/>
            <w:tcBorders>
              <w:top w:val="nil"/>
              <w:left w:val="nil"/>
              <w:bottom w:val="nil"/>
              <w:right w:val="nil"/>
            </w:tcBorders>
          </w:tcPr>
          <w:p w14:paraId="13439009" w14:textId="77777777" w:rsidR="005E5EA7" w:rsidRPr="00D36008" w:rsidRDefault="005E5EA7" w:rsidP="005E5EA7">
            <w:pPr>
              <w:widowControl w:val="0"/>
              <w:spacing w:after="0" w:line="240" w:lineRule="auto"/>
              <w:rPr>
                <w:rFonts w:ascii="Times New Roman" w:hAnsi="Times New Roman" w:cs="Times New Roman"/>
                <w:sz w:val="24"/>
                <w:szCs w:val="24"/>
              </w:rPr>
            </w:pPr>
            <w:r w:rsidRPr="00107314">
              <w:rPr>
                <w:rFonts w:ascii="Times New Roman" w:hAnsi="Times New Roman" w:cs="Times New Roman"/>
                <w:sz w:val="24"/>
                <w:szCs w:val="24"/>
              </w:rPr>
              <w:t>Effects of neonicotinoids on responses of LUHMES to selective agonists.</w:t>
            </w:r>
          </w:p>
        </w:tc>
        <w:tc>
          <w:tcPr>
            <w:tcW w:w="1408" w:type="dxa"/>
            <w:tcBorders>
              <w:top w:val="nil"/>
              <w:left w:val="nil"/>
              <w:bottom w:val="nil"/>
              <w:right w:val="nil"/>
            </w:tcBorders>
          </w:tcPr>
          <w:p w14:paraId="21F96823" w14:textId="77777777" w:rsidR="005E5EA7" w:rsidRDefault="005E5E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 </w:t>
            </w:r>
            <w:r w:rsidR="007B17A7">
              <w:rPr>
                <w:rFonts w:ascii="Times New Roman" w:hAnsi="Times New Roman" w:cs="Times New Roman"/>
                <w:sz w:val="24"/>
                <w:szCs w:val="24"/>
              </w:rPr>
              <w:t>11</w:t>
            </w:r>
          </w:p>
        </w:tc>
      </w:tr>
      <w:tr w:rsidR="005E5EA7" w14:paraId="6523397F" w14:textId="77777777">
        <w:trPr>
          <w:trHeight w:val="567"/>
        </w:trPr>
        <w:tc>
          <w:tcPr>
            <w:tcW w:w="1275" w:type="dxa"/>
            <w:tcBorders>
              <w:top w:val="nil"/>
              <w:left w:val="nil"/>
              <w:bottom w:val="nil"/>
              <w:right w:val="nil"/>
            </w:tcBorders>
          </w:tcPr>
          <w:p w14:paraId="03674139"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S8</w:t>
            </w:r>
          </w:p>
        </w:tc>
        <w:tc>
          <w:tcPr>
            <w:tcW w:w="6379" w:type="dxa"/>
            <w:tcBorders>
              <w:top w:val="nil"/>
              <w:left w:val="nil"/>
              <w:bottom w:val="nil"/>
              <w:right w:val="nil"/>
            </w:tcBorders>
          </w:tcPr>
          <w:p w14:paraId="2B3DE23A"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Effects of acetamiprid (Aceta) on Ca</w:t>
            </w:r>
            <w:r>
              <w:rPr>
                <w:rFonts w:ascii="Times New Roman" w:hAnsi="Times New Roman" w:cs="Times New Roman"/>
                <w:sz w:val="24"/>
                <w:szCs w:val="24"/>
                <w:vertAlign w:val="superscript"/>
              </w:rPr>
              <w:t>2+</w:t>
            </w:r>
            <w:r>
              <w:rPr>
                <w:rFonts w:ascii="Times New Roman" w:hAnsi="Times New Roman" w:cs="Times New Roman"/>
                <w:sz w:val="24"/>
                <w:szCs w:val="24"/>
              </w:rPr>
              <w:t>-signaling of individual LUHMES neurons.</w:t>
            </w:r>
          </w:p>
        </w:tc>
        <w:tc>
          <w:tcPr>
            <w:tcW w:w="1408" w:type="dxa"/>
            <w:tcBorders>
              <w:top w:val="nil"/>
              <w:left w:val="nil"/>
              <w:bottom w:val="nil"/>
              <w:right w:val="nil"/>
            </w:tcBorders>
          </w:tcPr>
          <w:p w14:paraId="001C9F98" w14:textId="77777777" w:rsidR="005E5EA7" w:rsidRDefault="005E5E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w:t>
            </w:r>
            <w:r w:rsidR="007B17A7">
              <w:rPr>
                <w:rFonts w:ascii="Times New Roman" w:hAnsi="Times New Roman" w:cs="Times New Roman"/>
                <w:sz w:val="24"/>
                <w:szCs w:val="24"/>
              </w:rPr>
              <w:t>2</w:t>
            </w:r>
          </w:p>
        </w:tc>
      </w:tr>
      <w:tr w:rsidR="005E5EA7" w14:paraId="60CC995C" w14:textId="77777777">
        <w:trPr>
          <w:trHeight w:val="567"/>
        </w:trPr>
        <w:tc>
          <w:tcPr>
            <w:tcW w:w="1275" w:type="dxa"/>
            <w:tcBorders>
              <w:top w:val="nil"/>
              <w:left w:val="nil"/>
              <w:bottom w:val="nil"/>
              <w:right w:val="nil"/>
            </w:tcBorders>
          </w:tcPr>
          <w:p w14:paraId="1361AE95"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Fig. S9</w:t>
            </w:r>
          </w:p>
        </w:tc>
        <w:tc>
          <w:tcPr>
            <w:tcW w:w="6379" w:type="dxa"/>
            <w:tcBorders>
              <w:top w:val="nil"/>
              <w:left w:val="nil"/>
              <w:bottom w:val="nil"/>
              <w:right w:val="nil"/>
            </w:tcBorders>
          </w:tcPr>
          <w:p w14:paraId="25734C25" w14:textId="77777777" w:rsidR="005E5EA7" w:rsidRDefault="005E5EA7" w:rsidP="005E5EA7">
            <w:pPr>
              <w:widowControl w:val="0"/>
              <w:spacing w:after="0" w:line="240" w:lineRule="auto"/>
              <w:rPr>
                <w:rFonts w:ascii="Times New Roman" w:hAnsi="Times New Roman" w:cs="Times New Roman"/>
                <w:sz w:val="24"/>
                <w:szCs w:val="24"/>
              </w:rPr>
            </w:pPr>
            <w:r w:rsidRPr="004D3AFE">
              <w:rPr>
                <w:rFonts w:ascii="Times New Roman" w:hAnsi="Times New Roman" w:cs="Times New Roman"/>
                <w:sz w:val="24"/>
                <w:szCs w:val="24"/>
              </w:rPr>
              <w:t>Physiologically-based toxicokinetic modelling of imidacloprid concentrations in the human population.</w:t>
            </w:r>
          </w:p>
        </w:tc>
        <w:tc>
          <w:tcPr>
            <w:tcW w:w="1408" w:type="dxa"/>
            <w:tcBorders>
              <w:top w:val="nil"/>
              <w:left w:val="nil"/>
              <w:bottom w:val="nil"/>
              <w:right w:val="nil"/>
            </w:tcBorders>
          </w:tcPr>
          <w:p w14:paraId="533CDBE4"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13</w:t>
            </w:r>
          </w:p>
        </w:tc>
      </w:tr>
      <w:tr w:rsidR="005E5EA7" w14:paraId="41629A59" w14:textId="77777777">
        <w:trPr>
          <w:trHeight w:val="567"/>
        </w:trPr>
        <w:tc>
          <w:tcPr>
            <w:tcW w:w="1275" w:type="dxa"/>
            <w:tcBorders>
              <w:top w:val="nil"/>
              <w:left w:val="nil"/>
              <w:bottom w:val="nil"/>
              <w:right w:val="nil"/>
            </w:tcBorders>
          </w:tcPr>
          <w:p w14:paraId="24244EF7"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S1</w:t>
            </w:r>
          </w:p>
        </w:tc>
        <w:tc>
          <w:tcPr>
            <w:tcW w:w="6379" w:type="dxa"/>
            <w:tcBorders>
              <w:top w:val="nil"/>
              <w:left w:val="nil"/>
              <w:bottom w:val="nil"/>
              <w:right w:val="nil"/>
            </w:tcBorders>
          </w:tcPr>
          <w:p w14:paraId="1FF62CD4"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Compound list.</w:t>
            </w:r>
          </w:p>
        </w:tc>
        <w:tc>
          <w:tcPr>
            <w:tcW w:w="1408" w:type="dxa"/>
            <w:tcBorders>
              <w:top w:val="nil"/>
              <w:left w:val="nil"/>
              <w:bottom w:val="nil"/>
              <w:right w:val="nil"/>
            </w:tcBorders>
          </w:tcPr>
          <w:p w14:paraId="4222855A"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14</w:t>
            </w:r>
          </w:p>
        </w:tc>
      </w:tr>
      <w:tr w:rsidR="005E5EA7" w14:paraId="32560379" w14:textId="77777777">
        <w:trPr>
          <w:trHeight w:val="567"/>
        </w:trPr>
        <w:tc>
          <w:tcPr>
            <w:tcW w:w="1275" w:type="dxa"/>
            <w:tcBorders>
              <w:top w:val="nil"/>
              <w:left w:val="nil"/>
              <w:bottom w:val="nil"/>
              <w:right w:val="nil"/>
            </w:tcBorders>
          </w:tcPr>
          <w:p w14:paraId="7EC81B33"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S2</w:t>
            </w:r>
          </w:p>
        </w:tc>
        <w:tc>
          <w:tcPr>
            <w:tcW w:w="6379" w:type="dxa"/>
            <w:tcBorders>
              <w:top w:val="nil"/>
              <w:left w:val="nil"/>
              <w:bottom w:val="nil"/>
              <w:right w:val="nil"/>
            </w:tcBorders>
          </w:tcPr>
          <w:p w14:paraId="5DC86FAF"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pEC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values for agonist experiments.</w:t>
            </w:r>
          </w:p>
        </w:tc>
        <w:tc>
          <w:tcPr>
            <w:tcW w:w="1408" w:type="dxa"/>
            <w:tcBorders>
              <w:top w:val="nil"/>
              <w:left w:val="nil"/>
              <w:bottom w:val="nil"/>
              <w:right w:val="nil"/>
            </w:tcBorders>
          </w:tcPr>
          <w:p w14:paraId="6D7165A9"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15</w:t>
            </w:r>
          </w:p>
        </w:tc>
      </w:tr>
      <w:tr w:rsidR="005E5EA7" w14:paraId="289B0013" w14:textId="77777777">
        <w:trPr>
          <w:trHeight w:val="567"/>
        </w:trPr>
        <w:tc>
          <w:tcPr>
            <w:tcW w:w="1275" w:type="dxa"/>
            <w:tcBorders>
              <w:top w:val="nil"/>
              <w:left w:val="nil"/>
              <w:bottom w:val="nil"/>
              <w:right w:val="nil"/>
            </w:tcBorders>
          </w:tcPr>
          <w:p w14:paraId="28D01532"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S3</w:t>
            </w:r>
          </w:p>
        </w:tc>
        <w:tc>
          <w:tcPr>
            <w:tcW w:w="6379" w:type="dxa"/>
            <w:tcBorders>
              <w:top w:val="nil"/>
              <w:left w:val="nil"/>
              <w:bottom w:val="nil"/>
              <w:right w:val="nil"/>
            </w:tcBorders>
          </w:tcPr>
          <w:p w14:paraId="51C9E9A4"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pIC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values for antagonist experiments.</w:t>
            </w:r>
          </w:p>
        </w:tc>
        <w:tc>
          <w:tcPr>
            <w:tcW w:w="1408" w:type="dxa"/>
            <w:tcBorders>
              <w:top w:val="nil"/>
              <w:left w:val="nil"/>
              <w:bottom w:val="nil"/>
              <w:right w:val="nil"/>
            </w:tcBorders>
          </w:tcPr>
          <w:p w14:paraId="4A15278C"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16</w:t>
            </w:r>
          </w:p>
        </w:tc>
      </w:tr>
      <w:tr w:rsidR="005E5EA7" w14:paraId="5CC449AE" w14:textId="77777777">
        <w:trPr>
          <w:trHeight w:val="567"/>
        </w:trPr>
        <w:tc>
          <w:tcPr>
            <w:tcW w:w="1275" w:type="dxa"/>
            <w:tcBorders>
              <w:top w:val="nil"/>
              <w:left w:val="nil"/>
              <w:bottom w:val="nil"/>
              <w:right w:val="nil"/>
            </w:tcBorders>
          </w:tcPr>
          <w:p w14:paraId="5D5EA70D"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S4</w:t>
            </w:r>
          </w:p>
        </w:tc>
        <w:tc>
          <w:tcPr>
            <w:tcW w:w="6379" w:type="dxa"/>
            <w:tcBorders>
              <w:top w:val="nil"/>
              <w:left w:val="nil"/>
              <w:bottom w:val="nil"/>
              <w:right w:val="nil"/>
            </w:tcBorders>
          </w:tcPr>
          <w:p w14:paraId="133B88E0"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concentrations and replicates for agonist and antagonist experiments.</w:t>
            </w:r>
          </w:p>
        </w:tc>
        <w:tc>
          <w:tcPr>
            <w:tcW w:w="1408" w:type="dxa"/>
            <w:tcBorders>
              <w:top w:val="nil"/>
              <w:left w:val="nil"/>
              <w:bottom w:val="nil"/>
              <w:right w:val="nil"/>
            </w:tcBorders>
          </w:tcPr>
          <w:p w14:paraId="6DFEA31C"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17</w:t>
            </w:r>
          </w:p>
        </w:tc>
      </w:tr>
      <w:tr w:rsidR="005E5EA7" w14:paraId="4B55D8CE" w14:textId="77777777">
        <w:trPr>
          <w:trHeight w:val="567"/>
        </w:trPr>
        <w:tc>
          <w:tcPr>
            <w:tcW w:w="1275" w:type="dxa"/>
            <w:tcBorders>
              <w:top w:val="nil"/>
              <w:left w:val="nil"/>
              <w:bottom w:val="nil"/>
              <w:right w:val="nil"/>
            </w:tcBorders>
          </w:tcPr>
          <w:p w14:paraId="714B7040"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S5</w:t>
            </w:r>
          </w:p>
        </w:tc>
        <w:tc>
          <w:tcPr>
            <w:tcW w:w="6379" w:type="dxa"/>
            <w:tcBorders>
              <w:top w:val="nil"/>
              <w:left w:val="nil"/>
              <w:bottom w:val="nil"/>
              <w:right w:val="nil"/>
            </w:tcBorders>
          </w:tcPr>
          <w:p w14:paraId="761E317F"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pIC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values for experiments with neonicotinoids.</w:t>
            </w:r>
          </w:p>
        </w:tc>
        <w:tc>
          <w:tcPr>
            <w:tcW w:w="1408" w:type="dxa"/>
            <w:tcBorders>
              <w:top w:val="nil"/>
              <w:left w:val="nil"/>
              <w:bottom w:val="nil"/>
              <w:right w:val="nil"/>
            </w:tcBorders>
          </w:tcPr>
          <w:p w14:paraId="7F5DC4DA" w14:textId="77777777" w:rsidR="005E5EA7" w:rsidRDefault="007B17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18-19</w:t>
            </w:r>
          </w:p>
        </w:tc>
      </w:tr>
      <w:tr w:rsidR="005E5EA7" w14:paraId="1A1402B4" w14:textId="77777777">
        <w:trPr>
          <w:trHeight w:val="567"/>
        </w:trPr>
        <w:tc>
          <w:tcPr>
            <w:tcW w:w="1275" w:type="dxa"/>
            <w:tcBorders>
              <w:top w:val="nil"/>
              <w:left w:val="nil"/>
              <w:bottom w:val="nil"/>
              <w:right w:val="nil"/>
            </w:tcBorders>
          </w:tcPr>
          <w:p w14:paraId="376B292F"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S6</w:t>
            </w:r>
          </w:p>
        </w:tc>
        <w:tc>
          <w:tcPr>
            <w:tcW w:w="6379" w:type="dxa"/>
            <w:tcBorders>
              <w:top w:val="nil"/>
              <w:left w:val="nil"/>
              <w:bottom w:val="nil"/>
              <w:right w:val="nil"/>
            </w:tcBorders>
          </w:tcPr>
          <w:p w14:paraId="2517BB74"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concentrations and replicates for experiments with neonicotinoids.</w:t>
            </w:r>
          </w:p>
        </w:tc>
        <w:tc>
          <w:tcPr>
            <w:tcW w:w="1408" w:type="dxa"/>
            <w:tcBorders>
              <w:top w:val="nil"/>
              <w:left w:val="nil"/>
              <w:bottom w:val="nil"/>
              <w:right w:val="nil"/>
            </w:tcBorders>
          </w:tcPr>
          <w:p w14:paraId="1A7F20A4" w14:textId="77777777" w:rsidR="005E5EA7" w:rsidRDefault="007B17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20-22</w:t>
            </w:r>
          </w:p>
        </w:tc>
      </w:tr>
      <w:tr w:rsidR="005E5EA7" w14:paraId="3321024A" w14:textId="77777777">
        <w:trPr>
          <w:trHeight w:val="567"/>
        </w:trPr>
        <w:tc>
          <w:tcPr>
            <w:tcW w:w="1275" w:type="dxa"/>
            <w:tcBorders>
              <w:top w:val="nil"/>
              <w:left w:val="nil"/>
              <w:bottom w:val="nil"/>
              <w:right w:val="nil"/>
            </w:tcBorders>
          </w:tcPr>
          <w:p w14:paraId="0CB8860A"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S7</w:t>
            </w:r>
          </w:p>
        </w:tc>
        <w:tc>
          <w:tcPr>
            <w:tcW w:w="6379" w:type="dxa"/>
            <w:tcBorders>
              <w:top w:val="nil"/>
              <w:left w:val="nil"/>
              <w:bottom w:val="nil"/>
              <w:right w:val="nil"/>
            </w:tcBorders>
          </w:tcPr>
          <w:p w14:paraId="1DFAEE86"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concentrations and replicates for single-cell Ca</w:t>
            </w:r>
            <w:r>
              <w:rPr>
                <w:rFonts w:ascii="Times New Roman" w:hAnsi="Times New Roman" w:cs="Times New Roman"/>
                <w:sz w:val="24"/>
                <w:szCs w:val="24"/>
                <w:vertAlign w:val="superscript"/>
              </w:rPr>
              <w:t>2+</w:t>
            </w:r>
            <w:r>
              <w:rPr>
                <w:rFonts w:ascii="Times New Roman" w:hAnsi="Times New Roman" w:cs="Times New Roman"/>
                <w:sz w:val="24"/>
                <w:szCs w:val="24"/>
              </w:rPr>
              <w:t>-imaging.</w:t>
            </w:r>
          </w:p>
        </w:tc>
        <w:tc>
          <w:tcPr>
            <w:tcW w:w="1408" w:type="dxa"/>
            <w:tcBorders>
              <w:top w:val="nil"/>
              <w:left w:val="nil"/>
              <w:bottom w:val="nil"/>
              <w:right w:val="nil"/>
            </w:tcBorders>
          </w:tcPr>
          <w:p w14:paraId="3E9D49B2"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23</w:t>
            </w:r>
          </w:p>
        </w:tc>
      </w:tr>
      <w:tr w:rsidR="005E5EA7" w14:paraId="43481FB4" w14:textId="77777777">
        <w:trPr>
          <w:trHeight w:val="567"/>
        </w:trPr>
        <w:tc>
          <w:tcPr>
            <w:tcW w:w="1275" w:type="dxa"/>
            <w:tcBorders>
              <w:top w:val="nil"/>
              <w:left w:val="nil"/>
              <w:bottom w:val="nil"/>
              <w:right w:val="nil"/>
            </w:tcBorders>
          </w:tcPr>
          <w:p w14:paraId="14619572"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S8</w:t>
            </w:r>
          </w:p>
        </w:tc>
        <w:tc>
          <w:tcPr>
            <w:tcW w:w="6379" w:type="dxa"/>
            <w:tcBorders>
              <w:top w:val="nil"/>
              <w:left w:val="nil"/>
              <w:bottom w:val="nil"/>
              <w:right w:val="nil"/>
            </w:tcBorders>
          </w:tcPr>
          <w:p w14:paraId="7EAEF19B"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Overview of percentages of responsive cells of single-cell Ca</w:t>
            </w:r>
            <w:r>
              <w:rPr>
                <w:rFonts w:ascii="Times New Roman" w:hAnsi="Times New Roman" w:cs="Times New Roman"/>
                <w:sz w:val="24"/>
                <w:szCs w:val="24"/>
                <w:vertAlign w:val="superscript"/>
              </w:rPr>
              <w:t>2+</w:t>
            </w:r>
            <w:r>
              <w:rPr>
                <w:rFonts w:ascii="Times New Roman" w:hAnsi="Times New Roman" w:cs="Times New Roman"/>
                <w:sz w:val="24"/>
                <w:szCs w:val="24"/>
              </w:rPr>
              <w:t>-imaging.</w:t>
            </w:r>
          </w:p>
        </w:tc>
        <w:tc>
          <w:tcPr>
            <w:tcW w:w="1408" w:type="dxa"/>
            <w:tcBorders>
              <w:top w:val="nil"/>
              <w:left w:val="nil"/>
              <w:bottom w:val="nil"/>
              <w:right w:val="nil"/>
            </w:tcBorders>
          </w:tcPr>
          <w:p w14:paraId="1877B42F"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24</w:t>
            </w:r>
          </w:p>
        </w:tc>
      </w:tr>
      <w:tr w:rsidR="005E5EA7" w14:paraId="685F46CA" w14:textId="77777777">
        <w:trPr>
          <w:trHeight w:val="567"/>
        </w:trPr>
        <w:tc>
          <w:tcPr>
            <w:tcW w:w="1275" w:type="dxa"/>
            <w:tcBorders>
              <w:top w:val="nil"/>
              <w:left w:val="nil"/>
              <w:bottom w:val="nil"/>
              <w:right w:val="nil"/>
            </w:tcBorders>
          </w:tcPr>
          <w:p w14:paraId="40F511CF"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S9</w:t>
            </w:r>
          </w:p>
        </w:tc>
        <w:tc>
          <w:tcPr>
            <w:tcW w:w="6379" w:type="dxa"/>
            <w:tcBorders>
              <w:top w:val="nil"/>
              <w:left w:val="nil"/>
              <w:bottom w:val="nil"/>
              <w:right w:val="nil"/>
            </w:tcBorders>
          </w:tcPr>
          <w:p w14:paraId="14B90EBD" w14:textId="77777777" w:rsidR="005E5EA7" w:rsidRDefault="005E5EA7" w:rsidP="005E5EA7">
            <w:pPr>
              <w:widowControl w:val="0"/>
              <w:spacing w:after="0" w:line="240" w:lineRule="auto"/>
              <w:rPr>
                <w:rFonts w:ascii="Times New Roman" w:hAnsi="Times New Roman" w:cs="Times New Roman"/>
                <w:sz w:val="24"/>
                <w:szCs w:val="24"/>
              </w:rPr>
            </w:pPr>
            <w:r w:rsidRPr="00A06D49">
              <w:rPr>
                <w:rFonts w:ascii="Times New Roman" w:hAnsi="Times New Roman" w:cs="Times New Roman"/>
                <w:sz w:val="24"/>
                <w:szCs w:val="24"/>
              </w:rPr>
              <w:t>Benchmark responses (BMR) for the neonicotinoids desensitization of nicotine and acetylcholine signaling</w:t>
            </w:r>
            <w:r>
              <w:rPr>
                <w:rFonts w:ascii="Times New Roman" w:hAnsi="Times New Roman" w:cs="Times New Roman"/>
                <w:sz w:val="24"/>
                <w:szCs w:val="24"/>
              </w:rPr>
              <w:t>.</w:t>
            </w:r>
          </w:p>
        </w:tc>
        <w:tc>
          <w:tcPr>
            <w:tcW w:w="1408" w:type="dxa"/>
            <w:tcBorders>
              <w:top w:val="nil"/>
              <w:left w:val="nil"/>
              <w:bottom w:val="nil"/>
              <w:right w:val="nil"/>
            </w:tcBorders>
          </w:tcPr>
          <w:p w14:paraId="1A7728A7" w14:textId="77777777" w:rsidR="005E5EA7"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25</w:t>
            </w:r>
          </w:p>
        </w:tc>
      </w:tr>
      <w:tr w:rsidR="005E5EA7" w14:paraId="13CA5AC9" w14:textId="77777777">
        <w:trPr>
          <w:trHeight w:val="567"/>
        </w:trPr>
        <w:tc>
          <w:tcPr>
            <w:tcW w:w="1275" w:type="dxa"/>
            <w:tcBorders>
              <w:top w:val="nil"/>
              <w:left w:val="nil"/>
              <w:bottom w:val="nil"/>
              <w:right w:val="nil"/>
            </w:tcBorders>
          </w:tcPr>
          <w:p w14:paraId="2A2B8F19"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S10</w:t>
            </w:r>
          </w:p>
        </w:tc>
        <w:tc>
          <w:tcPr>
            <w:tcW w:w="6379" w:type="dxa"/>
            <w:tcBorders>
              <w:top w:val="nil"/>
              <w:left w:val="nil"/>
              <w:bottom w:val="nil"/>
              <w:right w:val="nil"/>
            </w:tcBorders>
          </w:tcPr>
          <w:p w14:paraId="641D7225" w14:textId="77777777" w:rsidR="005E5EA7" w:rsidRPr="00A06D49" w:rsidRDefault="005E5EA7" w:rsidP="005E5EA7">
            <w:pPr>
              <w:widowControl w:val="0"/>
              <w:spacing w:after="0" w:line="240" w:lineRule="auto"/>
              <w:rPr>
                <w:rFonts w:ascii="Times New Roman" w:hAnsi="Times New Roman" w:cs="Times New Roman"/>
                <w:sz w:val="24"/>
                <w:szCs w:val="24"/>
              </w:rPr>
            </w:pPr>
            <w:r w:rsidRPr="00C71B4B">
              <w:rPr>
                <w:rFonts w:ascii="Times New Roman" w:hAnsi="Times New Roman" w:cs="Times New Roman"/>
                <w:sz w:val="24"/>
                <w:szCs w:val="24"/>
              </w:rPr>
              <w:t>Prediction of free drug concentrations in recording buffer of LUHMES.</w:t>
            </w:r>
          </w:p>
        </w:tc>
        <w:tc>
          <w:tcPr>
            <w:tcW w:w="1408" w:type="dxa"/>
            <w:tcBorders>
              <w:top w:val="nil"/>
              <w:left w:val="nil"/>
              <w:bottom w:val="nil"/>
              <w:right w:val="nil"/>
            </w:tcBorders>
          </w:tcPr>
          <w:p w14:paraId="58B0DAE5" w14:textId="77777777" w:rsidR="005E5EA7" w:rsidRDefault="005E5E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 </w:t>
            </w:r>
            <w:r w:rsidR="007B17A7">
              <w:rPr>
                <w:rFonts w:ascii="Times New Roman" w:hAnsi="Times New Roman" w:cs="Times New Roman"/>
                <w:sz w:val="24"/>
                <w:szCs w:val="24"/>
              </w:rPr>
              <w:t>26</w:t>
            </w:r>
          </w:p>
        </w:tc>
      </w:tr>
      <w:tr w:rsidR="005E5EA7" w14:paraId="521F3D4F" w14:textId="77777777">
        <w:trPr>
          <w:trHeight w:val="567"/>
        </w:trPr>
        <w:tc>
          <w:tcPr>
            <w:tcW w:w="1275" w:type="dxa"/>
            <w:tcBorders>
              <w:top w:val="nil"/>
              <w:left w:val="nil"/>
              <w:bottom w:val="nil"/>
              <w:right w:val="nil"/>
            </w:tcBorders>
          </w:tcPr>
          <w:p w14:paraId="55099175" w14:textId="77777777" w:rsidR="005E5EA7" w:rsidRDefault="005E5EA7" w:rsidP="005E5EA7">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Table S11</w:t>
            </w:r>
          </w:p>
        </w:tc>
        <w:tc>
          <w:tcPr>
            <w:tcW w:w="6379" w:type="dxa"/>
            <w:tcBorders>
              <w:top w:val="nil"/>
              <w:left w:val="nil"/>
              <w:bottom w:val="nil"/>
              <w:right w:val="nil"/>
            </w:tcBorders>
          </w:tcPr>
          <w:p w14:paraId="6B1E176F" w14:textId="77777777" w:rsidR="005E5EA7" w:rsidRPr="00C71B4B" w:rsidRDefault="005E5EA7" w:rsidP="005E5EA7">
            <w:pPr>
              <w:widowControl w:val="0"/>
              <w:spacing w:after="0" w:line="240" w:lineRule="auto"/>
              <w:rPr>
                <w:rFonts w:ascii="Times New Roman" w:hAnsi="Times New Roman" w:cs="Times New Roman"/>
                <w:sz w:val="24"/>
                <w:szCs w:val="24"/>
              </w:rPr>
            </w:pPr>
            <w:r w:rsidRPr="004D3AFE">
              <w:rPr>
                <w:rFonts w:ascii="Times New Roman" w:hAnsi="Times New Roman" w:cs="Times New Roman"/>
                <w:sz w:val="24"/>
                <w:szCs w:val="24"/>
              </w:rPr>
              <w:t>Input parameters used in the Imidacloprid PBTK model</w:t>
            </w:r>
            <w:r>
              <w:rPr>
                <w:rFonts w:ascii="Times New Roman" w:hAnsi="Times New Roman" w:cs="Times New Roman"/>
                <w:sz w:val="24"/>
                <w:szCs w:val="24"/>
              </w:rPr>
              <w:t>.</w:t>
            </w:r>
          </w:p>
        </w:tc>
        <w:tc>
          <w:tcPr>
            <w:tcW w:w="1408" w:type="dxa"/>
            <w:tcBorders>
              <w:top w:val="nil"/>
              <w:left w:val="nil"/>
              <w:bottom w:val="nil"/>
              <w:right w:val="nil"/>
            </w:tcBorders>
          </w:tcPr>
          <w:p w14:paraId="7C75E6AC" w14:textId="77777777" w:rsidR="005E5EA7" w:rsidRDefault="007B17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26</w:t>
            </w:r>
            <w:r w:rsidR="005E5EA7">
              <w:rPr>
                <w:rFonts w:ascii="Times New Roman" w:hAnsi="Times New Roman" w:cs="Times New Roman"/>
                <w:sz w:val="24"/>
                <w:szCs w:val="24"/>
              </w:rPr>
              <w:t>-2</w:t>
            </w:r>
            <w:r>
              <w:rPr>
                <w:rFonts w:ascii="Times New Roman" w:hAnsi="Times New Roman" w:cs="Times New Roman"/>
                <w:sz w:val="24"/>
                <w:szCs w:val="24"/>
              </w:rPr>
              <w:t>7</w:t>
            </w:r>
          </w:p>
        </w:tc>
      </w:tr>
      <w:tr w:rsidR="007B17A7" w14:paraId="24411777" w14:textId="77777777">
        <w:trPr>
          <w:trHeight w:val="567"/>
        </w:trPr>
        <w:tc>
          <w:tcPr>
            <w:tcW w:w="1275" w:type="dxa"/>
            <w:tcBorders>
              <w:top w:val="nil"/>
              <w:left w:val="nil"/>
              <w:bottom w:val="nil"/>
              <w:right w:val="nil"/>
            </w:tcBorders>
          </w:tcPr>
          <w:p w14:paraId="137FDE09" w14:textId="77777777" w:rsidR="007B17A7" w:rsidRDefault="007B17A7" w:rsidP="005E5EA7">
            <w:pPr>
              <w:widowControl w:val="0"/>
              <w:spacing w:after="0" w:line="240" w:lineRule="auto"/>
              <w:rPr>
                <w:rFonts w:ascii="Times New Roman" w:hAnsi="Times New Roman" w:cs="Times New Roman"/>
                <w:b/>
                <w:sz w:val="24"/>
                <w:szCs w:val="24"/>
              </w:rPr>
            </w:pPr>
          </w:p>
        </w:tc>
        <w:tc>
          <w:tcPr>
            <w:tcW w:w="6379" w:type="dxa"/>
            <w:tcBorders>
              <w:top w:val="nil"/>
              <w:left w:val="nil"/>
              <w:bottom w:val="nil"/>
              <w:right w:val="nil"/>
            </w:tcBorders>
          </w:tcPr>
          <w:p w14:paraId="2B75CD0C" w14:textId="77777777" w:rsidR="007B17A7" w:rsidRPr="004D3AFE" w:rsidRDefault="007B17A7" w:rsidP="005E5E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References</w:t>
            </w:r>
          </w:p>
        </w:tc>
        <w:tc>
          <w:tcPr>
            <w:tcW w:w="1408" w:type="dxa"/>
            <w:tcBorders>
              <w:top w:val="nil"/>
              <w:left w:val="nil"/>
              <w:bottom w:val="nil"/>
              <w:right w:val="nil"/>
            </w:tcBorders>
          </w:tcPr>
          <w:p w14:paraId="61480DAA" w14:textId="77777777" w:rsidR="007B17A7" w:rsidRDefault="007B17A7" w:rsidP="007B17A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page 28</w:t>
            </w:r>
          </w:p>
        </w:tc>
      </w:tr>
    </w:tbl>
    <w:p w14:paraId="702DE880" w14:textId="77777777" w:rsidR="007A6003" w:rsidRDefault="007A6003">
      <w:pPr>
        <w:rPr>
          <w:rFonts w:ascii="Times New Roman" w:hAnsi="Times New Roman" w:cs="Times New Roman"/>
        </w:rPr>
      </w:pPr>
    </w:p>
    <w:p w14:paraId="2C3D6027" w14:textId="77777777" w:rsidR="007A6003" w:rsidRDefault="007A6003">
      <w:pPr>
        <w:spacing w:after="0" w:line="240" w:lineRule="auto"/>
        <w:rPr>
          <w:rFonts w:ascii="Times New Roman" w:hAnsi="Times New Roman" w:cs="Times New Roman"/>
        </w:rPr>
      </w:pPr>
      <w:r>
        <w:rPr>
          <w:rFonts w:ascii="Times New Roman" w:hAnsi="Times New Roman" w:cs="Times New Roman"/>
        </w:rPr>
        <w:br w:type="page"/>
      </w:r>
    </w:p>
    <w:p w14:paraId="499E7024" w14:textId="77777777" w:rsidR="00A219A2" w:rsidRDefault="00461D72" w:rsidP="003C5F9C">
      <w:pPr>
        <w:jc w:val="center"/>
        <w:rPr>
          <w:rFonts w:ascii="Times New Roman" w:hAnsi="Times New Roman" w:cs="Times New Roman"/>
        </w:rPr>
      </w:pPr>
      <w:r>
        <w:rPr>
          <w:rFonts w:ascii="Times New Roman" w:hAnsi="Times New Roman" w:cs="Times New Roman"/>
          <w:noProof/>
          <w:lang w:val="de-DE" w:eastAsia="de-DE"/>
        </w:rPr>
        <w:lastRenderedPageBreak/>
        <w:drawing>
          <wp:inline distT="0" distB="0" distL="0" distR="0" wp14:anchorId="662C9EFB" wp14:editId="58DBEF01">
            <wp:extent cx="6102350" cy="366395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2350" cy="3663950"/>
                    </a:xfrm>
                    <a:prstGeom prst="rect">
                      <a:avLst/>
                    </a:prstGeom>
                    <a:noFill/>
                  </pic:spPr>
                </pic:pic>
              </a:graphicData>
            </a:graphic>
          </wp:inline>
        </w:drawing>
      </w:r>
    </w:p>
    <w:p w14:paraId="5E40E2DA" w14:textId="77777777" w:rsidR="00A219A2" w:rsidRPr="007A6003" w:rsidRDefault="00B24350">
      <w:pPr>
        <w:spacing w:after="120"/>
        <w:rPr>
          <w:rFonts w:ascii="Times New Roman" w:hAnsi="Times New Roman" w:cs="Times New Roman"/>
          <w:b/>
          <w:sz w:val="24"/>
          <w:szCs w:val="24"/>
        </w:rPr>
      </w:pPr>
      <w:r w:rsidRPr="007A6003">
        <w:rPr>
          <w:rFonts w:ascii="Times New Roman" w:hAnsi="Times New Roman" w:cs="Times New Roman"/>
          <w:b/>
          <w:sz w:val="24"/>
          <w:szCs w:val="24"/>
        </w:rPr>
        <w:t>Fig. S1</w:t>
      </w:r>
      <w:r w:rsidR="00530872">
        <w:rPr>
          <w:rFonts w:ascii="Times New Roman" w:hAnsi="Times New Roman" w:cs="Times New Roman"/>
          <w:b/>
          <w:sz w:val="24"/>
          <w:szCs w:val="24"/>
        </w:rPr>
        <w:t>:</w:t>
      </w:r>
      <w:r w:rsidRPr="007A6003">
        <w:rPr>
          <w:rFonts w:ascii="Times New Roman" w:hAnsi="Times New Roman" w:cs="Times New Roman"/>
          <w:b/>
          <w:sz w:val="24"/>
          <w:szCs w:val="24"/>
        </w:rPr>
        <w:t xml:space="preserve"> Gene expression profile of LUHMES cells for cholinergic components. </w:t>
      </w:r>
    </w:p>
    <w:p w14:paraId="7A4BB3DC" w14:textId="77777777" w:rsidR="00A219A2" w:rsidRPr="007A6003" w:rsidRDefault="00B24350">
      <w:pPr>
        <w:jc w:val="both"/>
        <w:rPr>
          <w:rFonts w:ascii="Times New Roman" w:hAnsi="Times New Roman" w:cs="Times New Roman"/>
          <w:sz w:val="24"/>
          <w:szCs w:val="24"/>
        </w:rPr>
      </w:pPr>
      <w:r w:rsidRPr="007A6003">
        <w:rPr>
          <w:rFonts w:ascii="Times New Roman" w:hAnsi="Times New Roman" w:cs="Times New Roman"/>
          <w:sz w:val="24"/>
          <w:szCs w:val="24"/>
        </w:rPr>
        <w:t xml:space="preserve">Five biological replicates were generated from LUHMES cells differentiated for 2, 3, 5, 6, 8, 10, and 11 days, as well as from undifferentiated LUHMES cells (day 0). The heatmaps visualize the normalized and logarithmic counts for each gene (rows) of cholinergic components, and day of differentiation (columns, indicated in blues). Darker red indicates high expression, orange indicates low expression, and white indicates no expression. The genes are clustered by the gene group (e.g. receptor subtype). Gene groups are indicated by color in the first column. Samples were analyzed via (A) the TempO-Seq assay and via (B) traditional whole genome RNA-sequencing (RNAseq). </w:t>
      </w:r>
      <w:r w:rsidR="00BE12C7" w:rsidRPr="007A6003">
        <w:rPr>
          <w:rFonts w:ascii="Times New Roman" w:hAnsi="Times New Roman" w:cs="Times New Roman"/>
          <w:sz w:val="24"/>
          <w:szCs w:val="24"/>
        </w:rPr>
        <w:t xml:space="preserve">The TempO-Seq analysis uses a part of the CHRNA7 </w:t>
      </w:r>
      <w:r w:rsidR="007A6003" w:rsidRPr="007A6003">
        <w:rPr>
          <w:rFonts w:ascii="Times New Roman" w:hAnsi="Times New Roman" w:cs="Times New Roman"/>
          <w:sz w:val="24"/>
          <w:szCs w:val="24"/>
        </w:rPr>
        <w:t xml:space="preserve">mRNA </w:t>
      </w:r>
      <w:r w:rsidR="00BE12C7" w:rsidRPr="007A6003">
        <w:rPr>
          <w:rFonts w:ascii="Times New Roman" w:hAnsi="Times New Roman" w:cs="Times New Roman"/>
          <w:sz w:val="24"/>
          <w:szCs w:val="24"/>
        </w:rPr>
        <w:t xml:space="preserve">sequence </w:t>
      </w:r>
      <w:r w:rsidR="007A6003" w:rsidRPr="007A6003">
        <w:rPr>
          <w:rFonts w:ascii="Times New Roman" w:hAnsi="Times New Roman" w:cs="Times New Roman"/>
          <w:sz w:val="24"/>
          <w:szCs w:val="24"/>
        </w:rPr>
        <w:t>complementary to</w:t>
      </w:r>
      <w:r w:rsidR="00BE12C7" w:rsidRPr="007A6003">
        <w:rPr>
          <w:rFonts w:ascii="Times New Roman" w:hAnsi="Times New Roman" w:cs="Times New Roman"/>
          <w:sz w:val="24"/>
          <w:szCs w:val="24"/>
        </w:rPr>
        <w:t xml:space="preserve"> </w:t>
      </w:r>
      <w:r w:rsidR="007A6003" w:rsidRPr="007A6003">
        <w:rPr>
          <w:rFonts w:ascii="Times New Roman" w:hAnsi="Times New Roman" w:cs="Times New Roman"/>
          <w:sz w:val="24"/>
          <w:szCs w:val="24"/>
        </w:rPr>
        <w:t>bases 374-424 (corresponding to amino acids 125-141)</w:t>
      </w:r>
      <w:r w:rsidR="00BE12C7" w:rsidRPr="007A6003">
        <w:rPr>
          <w:rFonts w:ascii="Times New Roman" w:hAnsi="Times New Roman" w:cs="Times New Roman"/>
          <w:sz w:val="24"/>
          <w:szCs w:val="24"/>
        </w:rPr>
        <w:t>. As data with this probe were unclear, we used qPCR as verification method (indicated by an asterisk). For this particular data set, the color code indicates the expression of the CHRNA7 receptor subunit gene relative to GAPDH. The red intensity was set in a way that an expression level corresponding to 10% of the GAPDH expression level (i.e. a very high level) was assigned the same hue as a log2(CPM) of 6  for the TempO</w:t>
      </w:r>
      <w:r w:rsidR="007A6003" w:rsidRPr="007A6003">
        <w:rPr>
          <w:rFonts w:ascii="Times New Roman" w:hAnsi="Times New Roman" w:cs="Times New Roman"/>
          <w:sz w:val="24"/>
          <w:szCs w:val="24"/>
        </w:rPr>
        <w:t>-</w:t>
      </w:r>
      <w:r w:rsidR="00BE12C7" w:rsidRPr="007A6003">
        <w:rPr>
          <w:rFonts w:ascii="Times New Roman" w:hAnsi="Times New Roman" w:cs="Times New Roman"/>
          <w:sz w:val="24"/>
          <w:szCs w:val="24"/>
        </w:rPr>
        <w:t>Seq method. Fields marked with “x”: no data was obtained for these days.</w:t>
      </w:r>
    </w:p>
    <w:p w14:paraId="454009FD" w14:textId="77777777" w:rsidR="00BE12C7" w:rsidRDefault="00BE12C7">
      <w:pPr>
        <w:jc w:val="both"/>
        <w:rPr>
          <w:rFonts w:ascii="Times New Roman" w:hAnsi="Times New Roman" w:cs="Times New Roman"/>
          <w:sz w:val="24"/>
        </w:rPr>
      </w:pPr>
    </w:p>
    <w:p w14:paraId="44CC0D8B" w14:textId="77777777" w:rsidR="00A219A2" w:rsidRDefault="00B24350" w:rsidP="003C5F9C">
      <w:pPr>
        <w:jc w:val="center"/>
      </w:pPr>
      <w:r>
        <w:rPr>
          <w:noProof/>
          <w:lang w:val="de-DE" w:eastAsia="de-DE"/>
        </w:rPr>
        <w:lastRenderedPageBreak/>
        <w:drawing>
          <wp:inline distT="0" distB="0" distL="0" distR="0" wp14:anchorId="086CE1D1" wp14:editId="541FCA58">
            <wp:extent cx="5013952" cy="3008261"/>
            <wp:effectExtent l="0" t="0" r="0" b="1905"/>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8"/>
                    <a:stretch>
                      <a:fillRect/>
                    </a:stretch>
                  </pic:blipFill>
                  <pic:spPr bwMode="auto">
                    <a:xfrm>
                      <a:off x="0" y="0"/>
                      <a:ext cx="5027682" cy="3016499"/>
                    </a:xfrm>
                    <a:prstGeom prst="rect">
                      <a:avLst/>
                    </a:prstGeom>
                  </pic:spPr>
                </pic:pic>
              </a:graphicData>
            </a:graphic>
          </wp:inline>
        </w:drawing>
      </w:r>
    </w:p>
    <w:p w14:paraId="63307725" w14:textId="77777777" w:rsidR="00A219A2" w:rsidRDefault="00B24350">
      <w:pPr>
        <w:rPr>
          <w:rFonts w:ascii="Times New Roman" w:hAnsi="Times New Roman" w:cs="Times New Roman"/>
          <w:sz w:val="24"/>
        </w:rPr>
      </w:pPr>
      <w:r>
        <w:rPr>
          <w:rFonts w:ascii="Times New Roman" w:hAnsi="Times New Roman" w:cs="Times New Roman"/>
          <w:b/>
          <w:sz w:val="24"/>
        </w:rPr>
        <w:t>Fig. S</w:t>
      </w:r>
      <w:r w:rsidR="00461D72">
        <w:rPr>
          <w:rFonts w:ascii="Times New Roman" w:hAnsi="Times New Roman" w:cs="Times New Roman"/>
          <w:b/>
          <w:sz w:val="24"/>
        </w:rPr>
        <w:t>2</w:t>
      </w:r>
      <w:r w:rsidR="00530872">
        <w:rPr>
          <w:rFonts w:ascii="Times New Roman" w:hAnsi="Times New Roman" w:cs="Times New Roman"/>
          <w:b/>
          <w:sz w:val="24"/>
        </w:rPr>
        <w:t>:</w:t>
      </w:r>
      <w:r>
        <w:rPr>
          <w:rFonts w:ascii="Times New Roman" w:hAnsi="Times New Roman" w:cs="Times New Roman"/>
          <w:b/>
          <w:sz w:val="24"/>
        </w:rPr>
        <w:t xml:space="preserve"> Effects of PNU-120596 on LUHMES neurons. </w:t>
      </w:r>
    </w:p>
    <w:p w14:paraId="5557A4A0" w14:textId="77777777" w:rsidR="00A219A2" w:rsidRDefault="00B24350">
      <w:pPr>
        <w:jc w:val="both"/>
        <w:rPr>
          <w:rFonts w:ascii="Times New Roman" w:hAnsi="Times New Roman" w:cs="Times New Roman"/>
          <w:sz w:val="24"/>
        </w:rPr>
      </w:pPr>
      <w:r>
        <w:rPr>
          <w:rFonts w:ascii="Times New Roman" w:hAnsi="Times New Roman" w:cs="Times New Roman"/>
          <w:sz w:val="24"/>
        </w:rPr>
        <w:t xml:space="preserve"> (A-B) Ca</w:t>
      </w:r>
      <w:r>
        <w:rPr>
          <w:rFonts w:ascii="Times New Roman" w:hAnsi="Times New Roman" w:cs="Times New Roman"/>
          <w:sz w:val="24"/>
          <w:vertAlign w:val="superscript"/>
        </w:rPr>
        <w:t>2+</w:t>
      </w:r>
      <w:r>
        <w:rPr>
          <w:rFonts w:ascii="Times New Roman" w:hAnsi="Times New Roman" w:cs="Times New Roman"/>
          <w:sz w:val="24"/>
        </w:rPr>
        <w:t>-imaging experiments to examine the effects of PNU-120596 (PNU), a selective positive a</w:t>
      </w:r>
      <w:r w:rsidR="006D7669">
        <w:rPr>
          <w:rFonts w:ascii="Times New Roman" w:hAnsi="Times New Roman" w:cs="Times New Roman"/>
          <w:sz w:val="24"/>
        </w:rPr>
        <w:t>llosteric modulator of α7 nAChR</w:t>
      </w:r>
      <w:r w:rsidR="0082252E">
        <w:rPr>
          <w:rFonts w:ascii="Times New Roman" w:hAnsi="Times New Roman" w:cs="Times New Roman"/>
          <w:sz w:val="24"/>
        </w:rPr>
        <w:t>, on LUHMES neurons. The cells</w:t>
      </w:r>
      <w:r>
        <w:rPr>
          <w:rFonts w:ascii="Times New Roman" w:hAnsi="Times New Roman" w:cs="Times New Roman"/>
          <w:sz w:val="24"/>
        </w:rPr>
        <w:t xml:space="preserve"> were pretreated with 10 µM PNU for 4.5 min. (A) Effect of the absence and presence of 10 µM PNU on the responses induced by the application of 0.1% DMSO (DMSO, n ≥ 5), as vehicle control, and 1 µM α,β-meATP (ATP, n = 6), a selective P2X receptor agonist. (B) Influence of the absence and presence of 10 µM PNU on the responses evoked by the addition of ABT 594 (n = 6), a neuronal non-α7 nAChR agonist. Statistical significance was determined between recordings without and with PNU present (n. s., not significant).</w:t>
      </w:r>
    </w:p>
    <w:p w14:paraId="1E537454" w14:textId="77777777" w:rsidR="00A219A2" w:rsidRDefault="00A219A2">
      <w:pPr>
        <w:jc w:val="both"/>
        <w:rPr>
          <w:rFonts w:ascii="Times New Roman" w:hAnsi="Times New Roman" w:cs="Times New Roman"/>
          <w:sz w:val="24"/>
        </w:rPr>
      </w:pPr>
    </w:p>
    <w:p w14:paraId="02A28B11" w14:textId="77777777" w:rsidR="00A219A2" w:rsidRDefault="00A219A2">
      <w:pPr>
        <w:jc w:val="both"/>
        <w:rPr>
          <w:rFonts w:ascii="Times New Roman" w:hAnsi="Times New Roman" w:cs="Times New Roman"/>
          <w:sz w:val="24"/>
        </w:rPr>
      </w:pPr>
    </w:p>
    <w:p w14:paraId="30BDC8C5" w14:textId="77777777" w:rsidR="00A219A2" w:rsidRDefault="00B24350" w:rsidP="003C5F9C">
      <w:pPr>
        <w:jc w:val="center"/>
        <w:rPr>
          <w:rFonts w:ascii="Times New Roman" w:hAnsi="Times New Roman" w:cs="Times New Roman"/>
          <w:sz w:val="24"/>
        </w:rPr>
      </w:pPr>
      <w:r>
        <w:rPr>
          <w:noProof/>
          <w:lang w:val="de-DE" w:eastAsia="de-DE"/>
        </w:rPr>
        <w:lastRenderedPageBreak/>
        <w:drawing>
          <wp:inline distT="0" distB="0" distL="0" distR="0" wp14:anchorId="62A26D61" wp14:editId="0C4B1329">
            <wp:extent cx="5760720" cy="4314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stretch>
                      <a:fillRect/>
                    </a:stretch>
                  </pic:blipFill>
                  <pic:spPr bwMode="auto">
                    <a:xfrm>
                      <a:off x="0" y="0"/>
                      <a:ext cx="5760720" cy="4314190"/>
                    </a:xfrm>
                    <a:prstGeom prst="rect">
                      <a:avLst/>
                    </a:prstGeom>
                  </pic:spPr>
                </pic:pic>
              </a:graphicData>
            </a:graphic>
          </wp:inline>
        </w:drawing>
      </w:r>
    </w:p>
    <w:p w14:paraId="7BCBECE1" w14:textId="77777777" w:rsidR="00A219A2" w:rsidRDefault="00461D72">
      <w:pPr>
        <w:rPr>
          <w:rFonts w:ascii="Times New Roman" w:hAnsi="Times New Roman" w:cs="Times New Roman"/>
          <w:b/>
          <w:sz w:val="24"/>
        </w:rPr>
      </w:pPr>
      <w:r>
        <w:rPr>
          <w:rFonts w:ascii="Times New Roman" w:hAnsi="Times New Roman" w:cs="Times New Roman"/>
          <w:b/>
          <w:sz w:val="24"/>
        </w:rPr>
        <w:t>Fig. S3</w:t>
      </w:r>
      <w:r w:rsidR="00530872">
        <w:rPr>
          <w:rFonts w:ascii="Times New Roman" w:hAnsi="Times New Roman" w:cs="Times New Roman"/>
          <w:b/>
          <w:sz w:val="24"/>
        </w:rPr>
        <w:t>:</w:t>
      </w:r>
      <w:r w:rsidR="00B24350">
        <w:rPr>
          <w:rFonts w:ascii="Times New Roman" w:hAnsi="Times New Roman" w:cs="Times New Roman"/>
          <w:b/>
          <w:sz w:val="24"/>
        </w:rPr>
        <w:t xml:space="preserve"> Impact of neonicotinoids on neurite outgrowth of LUHMES neurons.</w:t>
      </w:r>
    </w:p>
    <w:p w14:paraId="594B773C" w14:textId="77777777" w:rsidR="00A219A2" w:rsidRDefault="00B24350">
      <w:pPr>
        <w:jc w:val="both"/>
        <w:rPr>
          <w:rFonts w:ascii="Times New Roman" w:hAnsi="Times New Roman" w:cs="Times New Roman"/>
          <w:sz w:val="24"/>
        </w:rPr>
      </w:pPr>
      <w:r>
        <w:rPr>
          <w:rFonts w:ascii="Times New Roman" w:hAnsi="Times New Roman" w:cs="Times New Roman"/>
          <w:sz w:val="24"/>
        </w:rPr>
        <w:t>LUHMES cells were differentiated for two days. On day 2 of differentiation (d2 neurons) cells were replated and after 1 h of attachment, cells were treated for 24 h with nicotine and different neonicotinoids (5 nM - 100 µM). High content imaging was performed and live cells (black) and neurite area (orange) were assessed in parallel. All data are means ± SEM from at least two biological replicates. Dashed line indicates 75% of control.</w:t>
      </w:r>
    </w:p>
    <w:p w14:paraId="3F2A309C" w14:textId="77777777" w:rsidR="00461D72" w:rsidRDefault="00461D72">
      <w:pPr>
        <w:jc w:val="both"/>
        <w:rPr>
          <w:rFonts w:ascii="Times New Roman" w:hAnsi="Times New Roman" w:cs="Times New Roman"/>
          <w:sz w:val="24"/>
        </w:rPr>
      </w:pPr>
    </w:p>
    <w:p w14:paraId="50979528" w14:textId="77777777" w:rsidR="00461D72" w:rsidRDefault="00461D72">
      <w:pPr>
        <w:jc w:val="both"/>
        <w:rPr>
          <w:rFonts w:ascii="Times New Roman" w:hAnsi="Times New Roman" w:cs="Times New Roman"/>
          <w:sz w:val="24"/>
        </w:rPr>
      </w:pPr>
    </w:p>
    <w:p w14:paraId="6241FA1E" w14:textId="77777777" w:rsidR="00461D72" w:rsidRDefault="003D660F" w:rsidP="00461D72">
      <w:pPr>
        <w:jc w:val="center"/>
        <w:rPr>
          <w:rFonts w:ascii="Times New Roman" w:hAnsi="Times New Roman" w:cs="Times New Roman"/>
          <w:b/>
          <w:sz w:val="24"/>
        </w:rPr>
      </w:pPr>
      <w:r w:rsidRPr="003D660F">
        <w:rPr>
          <w:rFonts w:ascii="Times New Roman" w:hAnsi="Times New Roman" w:cs="Times New Roman"/>
          <w:b/>
          <w:noProof/>
          <w:sz w:val="24"/>
          <w:lang w:val="de-DE" w:eastAsia="de-DE"/>
        </w:rPr>
        <w:lastRenderedPageBreak/>
        <w:drawing>
          <wp:inline distT="0" distB="0" distL="0" distR="0" wp14:anchorId="372AB51B" wp14:editId="7C72A2E6">
            <wp:extent cx="3037398" cy="2764999"/>
            <wp:effectExtent l="0" t="0" r="0" b="0"/>
            <wp:docPr id="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rotWithShape="1">
                    <a:blip r:embed="rId10"/>
                    <a:srcRect l="51563" t="70605"/>
                    <a:stretch/>
                  </pic:blipFill>
                  <pic:spPr>
                    <a:xfrm>
                      <a:off x="0" y="0"/>
                      <a:ext cx="3047662" cy="2774343"/>
                    </a:xfrm>
                    <a:prstGeom prst="rect">
                      <a:avLst/>
                    </a:prstGeom>
                  </pic:spPr>
                </pic:pic>
              </a:graphicData>
            </a:graphic>
          </wp:inline>
        </w:drawing>
      </w:r>
    </w:p>
    <w:p w14:paraId="182541E5" w14:textId="77777777" w:rsidR="00461D72" w:rsidRDefault="00461D72" w:rsidP="00461D72">
      <w:pPr>
        <w:rPr>
          <w:rFonts w:ascii="Times New Roman" w:hAnsi="Times New Roman" w:cs="Times New Roman"/>
          <w:b/>
          <w:sz w:val="24"/>
        </w:rPr>
      </w:pPr>
      <w:r>
        <w:rPr>
          <w:rFonts w:ascii="Times New Roman" w:hAnsi="Times New Roman" w:cs="Times New Roman"/>
          <w:b/>
          <w:sz w:val="24"/>
        </w:rPr>
        <w:t>Fig. S4</w:t>
      </w:r>
      <w:r w:rsidR="00530872">
        <w:rPr>
          <w:rFonts w:ascii="Times New Roman" w:hAnsi="Times New Roman" w:cs="Times New Roman"/>
          <w:b/>
          <w:sz w:val="24"/>
        </w:rPr>
        <w:t>:</w:t>
      </w:r>
      <w:r>
        <w:rPr>
          <w:rFonts w:ascii="Times New Roman" w:hAnsi="Times New Roman" w:cs="Times New Roman"/>
          <w:b/>
          <w:sz w:val="24"/>
        </w:rPr>
        <w:t xml:space="preserve"> Inhibition of acetamiprid (Aceta) triggered responses </w:t>
      </w:r>
      <w:r w:rsidR="00B71D73">
        <w:rPr>
          <w:rFonts w:ascii="Times New Roman" w:hAnsi="Times New Roman" w:cs="Times New Roman"/>
          <w:b/>
          <w:sz w:val="24"/>
        </w:rPr>
        <w:t xml:space="preserve">of LUHMES neurons </w:t>
      </w:r>
      <w:r>
        <w:rPr>
          <w:rFonts w:ascii="Times New Roman" w:hAnsi="Times New Roman" w:cs="Times New Roman"/>
          <w:b/>
          <w:sz w:val="24"/>
        </w:rPr>
        <w:t>by tubocurarine.</w:t>
      </w:r>
    </w:p>
    <w:p w14:paraId="685D9E5E" w14:textId="77777777" w:rsidR="00461D72" w:rsidRDefault="00461D72" w:rsidP="00461D72">
      <w:pPr>
        <w:jc w:val="both"/>
        <w:rPr>
          <w:rFonts w:ascii="Times New Roman" w:hAnsi="Times New Roman" w:cs="Times New Roman"/>
          <w:sz w:val="24"/>
        </w:rPr>
      </w:pPr>
      <w:r>
        <w:rPr>
          <w:rFonts w:ascii="Times New Roman" w:hAnsi="Times New Roman" w:cs="Times New Roman"/>
          <w:sz w:val="24"/>
        </w:rPr>
        <w:t>Percentage of cells that responded in single-cell Ca</w:t>
      </w:r>
      <w:r>
        <w:rPr>
          <w:rFonts w:ascii="Times New Roman" w:hAnsi="Times New Roman" w:cs="Times New Roman"/>
          <w:sz w:val="24"/>
          <w:vertAlign w:val="superscript"/>
        </w:rPr>
        <w:t>2+</w:t>
      </w:r>
      <w:r>
        <w:rPr>
          <w:rFonts w:ascii="Times New Roman" w:hAnsi="Times New Roman" w:cs="Times New Roman"/>
          <w:sz w:val="24"/>
        </w:rPr>
        <w:t xml:space="preserve">-imaging to the application of 100 µM Aceta in the absence and presence of the nAChR antagonist tubocurarine. Statistical significance was determined against negative control recordings (*, significant; n. s., not significant) and against the control recordings with 100 µM Aceta in the absence of </w:t>
      </w:r>
      <w:r w:rsidR="006D7669">
        <w:rPr>
          <w:rFonts w:ascii="Times New Roman" w:hAnsi="Times New Roman" w:cs="Times New Roman"/>
          <w:sz w:val="24"/>
        </w:rPr>
        <w:t>tubocurarine</w:t>
      </w:r>
      <w:r>
        <w:rPr>
          <w:rFonts w:ascii="Times New Roman" w:hAnsi="Times New Roman" w:cs="Times New Roman"/>
          <w:sz w:val="24"/>
        </w:rPr>
        <w:t xml:space="preserve"> (0 µM) (#, significant). Note the treatment scheme (upper right corner), illustrating the experimental design</w:t>
      </w:r>
      <w:r w:rsidR="000871DB">
        <w:rPr>
          <w:rFonts w:ascii="Times New Roman" w:hAnsi="Times New Roman" w:cs="Times New Roman"/>
          <w:sz w:val="24"/>
        </w:rPr>
        <w:t xml:space="preserve"> and</w:t>
      </w:r>
      <w:r w:rsidR="000871DB" w:rsidRPr="000871DB">
        <w:rPr>
          <w:rFonts w:ascii="Times New Roman" w:hAnsi="Times New Roman" w:cs="Times New Roman"/>
          <w:sz w:val="24"/>
        </w:rPr>
        <w:t xml:space="preserve"> the enlarged y-axis.</w:t>
      </w:r>
      <w:r>
        <w:rPr>
          <w:rFonts w:ascii="Times New Roman" w:hAnsi="Times New Roman" w:cs="Times New Roman"/>
          <w:sz w:val="24"/>
        </w:rPr>
        <w:t xml:space="preserve"> Detailed data on n numbers and percentages of responsive cells are found in table S7 &amp; S8, respectively.</w:t>
      </w:r>
    </w:p>
    <w:p w14:paraId="6A91747B" w14:textId="77777777" w:rsidR="00461D72" w:rsidRDefault="00461D72">
      <w:pPr>
        <w:jc w:val="both"/>
        <w:rPr>
          <w:rFonts w:ascii="Times New Roman" w:hAnsi="Times New Roman" w:cs="Times New Roman"/>
          <w:sz w:val="24"/>
        </w:rPr>
      </w:pPr>
    </w:p>
    <w:p w14:paraId="692E87F2" w14:textId="0F94345A" w:rsidR="003C5F9C" w:rsidRDefault="00CD6433" w:rsidP="003C5F9C">
      <w:pPr>
        <w:jc w:val="center"/>
        <w:rPr>
          <w:rFonts w:ascii="Times New Roman" w:hAnsi="Times New Roman" w:cs="Times New Roman"/>
          <w:b/>
          <w:sz w:val="24"/>
        </w:rPr>
      </w:pPr>
      <w:r>
        <w:rPr>
          <w:rFonts w:ascii="Times New Roman" w:hAnsi="Times New Roman" w:cs="Times New Roman"/>
          <w:b/>
          <w:noProof/>
          <w:sz w:val="24"/>
          <w:lang w:val="de-DE" w:eastAsia="de-DE"/>
        </w:rPr>
        <w:lastRenderedPageBreak/>
        <w:drawing>
          <wp:inline distT="0" distB="0" distL="0" distR="0" wp14:anchorId="3A2DF4C5" wp14:editId="43A91751">
            <wp:extent cx="5903568" cy="76846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121"/>
                    <a:stretch/>
                  </pic:blipFill>
                  <pic:spPr bwMode="auto">
                    <a:xfrm>
                      <a:off x="0" y="0"/>
                      <a:ext cx="5904000" cy="7685242"/>
                    </a:xfrm>
                    <a:prstGeom prst="rect">
                      <a:avLst/>
                    </a:prstGeom>
                    <a:noFill/>
                    <a:ln>
                      <a:noFill/>
                    </a:ln>
                    <a:extLst>
                      <a:ext uri="{53640926-AAD7-44D8-BBD7-CCE9431645EC}">
                        <a14:shadowObscured xmlns:a14="http://schemas.microsoft.com/office/drawing/2010/main"/>
                      </a:ext>
                    </a:extLst>
                  </pic:spPr>
                </pic:pic>
              </a:graphicData>
            </a:graphic>
          </wp:inline>
        </w:drawing>
      </w:r>
    </w:p>
    <w:p w14:paraId="39223305" w14:textId="77777777" w:rsidR="00461D72" w:rsidRPr="00BE12C7" w:rsidRDefault="00461D72" w:rsidP="00461D72">
      <w:pPr>
        <w:jc w:val="both"/>
        <w:rPr>
          <w:rFonts w:ascii="Times New Roman" w:hAnsi="Times New Roman" w:cs="Times New Roman"/>
          <w:b/>
          <w:sz w:val="24"/>
        </w:rPr>
      </w:pPr>
      <w:r>
        <w:rPr>
          <w:rFonts w:ascii="Times New Roman" w:hAnsi="Times New Roman" w:cs="Times New Roman"/>
          <w:b/>
          <w:sz w:val="24"/>
        </w:rPr>
        <w:t>Fig. S</w:t>
      </w:r>
      <w:r w:rsidR="004B042D">
        <w:rPr>
          <w:rFonts w:ascii="Times New Roman" w:hAnsi="Times New Roman" w:cs="Times New Roman"/>
          <w:b/>
          <w:sz w:val="24"/>
        </w:rPr>
        <w:t>5</w:t>
      </w:r>
      <w:r w:rsidR="00395B88">
        <w:rPr>
          <w:rFonts w:ascii="Times New Roman" w:hAnsi="Times New Roman" w:cs="Times New Roman"/>
          <w:b/>
          <w:sz w:val="24"/>
        </w:rPr>
        <w:t>:</w:t>
      </w:r>
      <w:r w:rsidRPr="00BE12C7">
        <w:rPr>
          <w:rFonts w:ascii="Times New Roman" w:hAnsi="Times New Roman" w:cs="Times New Roman"/>
          <w:b/>
          <w:sz w:val="24"/>
        </w:rPr>
        <w:t xml:space="preserve"> Effects of neonicotinoids on SH-SY5Y cells</w:t>
      </w:r>
      <w:r>
        <w:rPr>
          <w:rFonts w:ascii="Times New Roman" w:hAnsi="Times New Roman" w:cs="Times New Roman"/>
          <w:b/>
          <w:sz w:val="24"/>
        </w:rPr>
        <w:t>.</w:t>
      </w:r>
    </w:p>
    <w:p w14:paraId="700C1411" w14:textId="77777777" w:rsidR="001B06E7" w:rsidRDefault="00461D72" w:rsidP="00461D72">
      <w:pPr>
        <w:jc w:val="both"/>
        <w:rPr>
          <w:rFonts w:ascii="Times New Roman" w:hAnsi="Times New Roman" w:cs="Times New Roman"/>
          <w:sz w:val="24"/>
        </w:rPr>
      </w:pPr>
      <w:r w:rsidRPr="007666D5">
        <w:rPr>
          <w:rFonts w:ascii="Times New Roman" w:hAnsi="Times New Roman" w:cs="Times New Roman"/>
          <w:sz w:val="24"/>
        </w:rPr>
        <w:t xml:space="preserve">(A) SH-SY5Y cells were treated with nicotine, acetamiprid, or imidacloprid on DoD3. After 6 and 24 h, samples for TempO-Seq analysis were taken. Counts were normalized to total counts per million and log2 transformed. – </w:t>
      </w:r>
      <w:r w:rsidRPr="007666D5">
        <w:rPr>
          <w:rFonts w:ascii="Cambria Math" w:hAnsi="Cambria Math" w:cs="Cambria Math"/>
          <w:sz w:val="24"/>
        </w:rPr>
        <w:t>≙</w:t>
      </w:r>
      <w:r w:rsidRPr="007666D5">
        <w:rPr>
          <w:rFonts w:ascii="Times New Roman" w:hAnsi="Times New Roman" w:cs="Times New Roman"/>
          <w:sz w:val="24"/>
        </w:rPr>
        <w:t xml:space="preserve"> not present, Nicotine: + </w:t>
      </w:r>
      <w:r w:rsidRPr="007666D5">
        <w:rPr>
          <w:rFonts w:ascii="Cambria Math" w:hAnsi="Cambria Math" w:cs="Cambria Math"/>
          <w:sz w:val="24"/>
        </w:rPr>
        <w:t>≙</w:t>
      </w:r>
      <w:r w:rsidRPr="007666D5">
        <w:rPr>
          <w:rFonts w:ascii="Times New Roman" w:hAnsi="Times New Roman" w:cs="Times New Roman"/>
          <w:sz w:val="24"/>
        </w:rPr>
        <w:t xml:space="preserve"> 1µM ++ </w:t>
      </w:r>
      <w:r w:rsidRPr="007666D5">
        <w:rPr>
          <w:rFonts w:ascii="Cambria Math" w:hAnsi="Cambria Math" w:cs="Cambria Math"/>
          <w:sz w:val="24"/>
        </w:rPr>
        <w:t>≙</w:t>
      </w:r>
      <w:r w:rsidRPr="007666D5">
        <w:rPr>
          <w:rFonts w:ascii="Times New Roman" w:hAnsi="Times New Roman" w:cs="Times New Roman"/>
          <w:sz w:val="24"/>
        </w:rPr>
        <w:t xml:space="preserve"> 5 µM, acetamiprid/imidacloprid: + </w:t>
      </w:r>
      <w:r w:rsidRPr="007666D5">
        <w:rPr>
          <w:rFonts w:ascii="Cambria Math" w:hAnsi="Cambria Math" w:cs="Cambria Math"/>
          <w:sz w:val="24"/>
        </w:rPr>
        <w:t>≙</w:t>
      </w:r>
      <w:r w:rsidRPr="007666D5">
        <w:rPr>
          <w:rFonts w:ascii="Times New Roman" w:hAnsi="Times New Roman" w:cs="Times New Roman"/>
          <w:sz w:val="24"/>
        </w:rPr>
        <w:t xml:space="preserve"> 10 µM ++ </w:t>
      </w:r>
      <w:r w:rsidRPr="007666D5">
        <w:rPr>
          <w:rFonts w:ascii="Cambria Math" w:hAnsi="Cambria Math" w:cs="Cambria Math"/>
          <w:sz w:val="24"/>
        </w:rPr>
        <w:t>≙</w:t>
      </w:r>
      <w:r w:rsidRPr="007666D5">
        <w:rPr>
          <w:rFonts w:ascii="Times New Roman" w:hAnsi="Times New Roman" w:cs="Times New Roman"/>
          <w:sz w:val="24"/>
        </w:rPr>
        <w:t xml:space="preserve"> 50 µM. </w:t>
      </w:r>
      <w:r w:rsidR="00676A15">
        <w:rPr>
          <w:rFonts w:ascii="Times New Roman" w:hAnsi="Times New Roman" w:cs="Times New Roman"/>
          <w:sz w:val="24"/>
        </w:rPr>
        <w:t xml:space="preserve">Data represent mean of ≥4 replicates from </w:t>
      </w:r>
      <w:r w:rsidR="00676A15">
        <w:rPr>
          <w:rFonts w:ascii="Times New Roman" w:hAnsi="Times New Roman" w:cs="Times New Roman"/>
          <w:sz w:val="24"/>
        </w:rPr>
        <w:lastRenderedPageBreak/>
        <w:t xml:space="preserve">2 experimental occasions. No significant differences between treatment and control were observed when p&lt;0.05. </w:t>
      </w:r>
      <w:r w:rsidRPr="007666D5">
        <w:rPr>
          <w:rFonts w:ascii="Times New Roman" w:hAnsi="Times New Roman" w:cs="Times New Roman"/>
          <w:sz w:val="24"/>
        </w:rPr>
        <w:t>(B)</w:t>
      </w:r>
      <w:r w:rsidRPr="007666D5">
        <w:rPr>
          <w:rFonts w:ascii="Times New Roman" w:hAnsi="Times New Roman" w:cs="Times New Roman"/>
          <w:b/>
          <w:sz w:val="24"/>
        </w:rPr>
        <w:t xml:space="preserve"> </w:t>
      </w:r>
      <w:r w:rsidRPr="007666D5">
        <w:rPr>
          <w:rFonts w:ascii="Times New Roman" w:hAnsi="Times New Roman" w:cs="Times New Roman"/>
          <w:sz w:val="24"/>
        </w:rPr>
        <w:t>Cell viability</w:t>
      </w:r>
      <w:r>
        <w:rPr>
          <w:rFonts w:ascii="Times New Roman" w:hAnsi="Times New Roman" w:cs="Times New Roman"/>
          <w:sz w:val="24"/>
        </w:rPr>
        <w:t xml:space="preserve"> of SH-SY5Y cells</w:t>
      </w:r>
      <w:r w:rsidRPr="007666D5">
        <w:rPr>
          <w:rFonts w:ascii="Times New Roman" w:hAnsi="Times New Roman" w:cs="Times New Roman"/>
          <w:sz w:val="24"/>
        </w:rPr>
        <w:t xml:space="preserve"> was determined by a resazurin assay. Cells were treated on DoD3 for 24 h. Resorufin fluorescence was normalized to untreated controls. (C)</w:t>
      </w:r>
      <w:r w:rsidRPr="007666D5">
        <w:rPr>
          <w:rFonts w:ascii="Times New Roman" w:hAnsi="Times New Roman" w:cs="Times New Roman"/>
          <w:b/>
          <w:sz w:val="24"/>
        </w:rPr>
        <w:t xml:space="preserve"> </w:t>
      </w:r>
      <w:r w:rsidRPr="007666D5">
        <w:rPr>
          <w:rFonts w:ascii="Times New Roman" w:hAnsi="Times New Roman" w:cs="Times New Roman"/>
          <w:sz w:val="24"/>
        </w:rPr>
        <w:t xml:space="preserve">Example curve of the increased Fura-2 fluorescence after </w:t>
      </w:r>
      <w:r w:rsidR="00CF514B">
        <w:rPr>
          <w:rFonts w:ascii="Times New Roman" w:hAnsi="Times New Roman" w:cs="Times New Roman"/>
          <w:sz w:val="24"/>
        </w:rPr>
        <w:t>[Ca</w:t>
      </w:r>
      <w:r w:rsidR="00CF514B" w:rsidRPr="00CF514B">
        <w:rPr>
          <w:rFonts w:ascii="Times New Roman" w:hAnsi="Times New Roman" w:cs="Times New Roman"/>
          <w:sz w:val="24"/>
          <w:vertAlign w:val="superscript"/>
        </w:rPr>
        <w:t>2+</w:t>
      </w:r>
      <w:r w:rsidR="00CF514B">
        <w:rPr>
          <w:rFonts w:ascii="Times New Roman" w:hAnsi="Times New Roman" w:cs="Times New Roman"/>
          <w:sz w:val="24"/>
        </w:rPr>
        <w:t>]</w:t>
      </w:r>
      <w:r w:rsidR="00CF514B" w:rsidRPr="00CF514B">
        <w:rPr>
          <w:rFonts w:ascii="Times New Roman" w:hAnsi="Times New Roman" w:cs="Times New Roman"/>
          <w:sz w:val="24"/>
          <w:vertAlign w:val="subscript"/>
        </w:rPr>
        <w:t>i</w:t>
      </w:r>
      <w:r w:rsidR="00CF514B">
        <w:rPr>
          <w:rFonts w:ascii="Times New Roman" w:hAnsi="Times New Roman" w:cs="Times New Roman"/>
          <w:sz w:val="24"/>
        </w:rPr>
        <w:t xml:space="preserve"> </w:t>
      </w:r>
      <w:r w:rsidRPr="007666D5">
        <w:rPr>
          <w:rFonts w:ascii="Times New Roman" w:hAnsi="Times New Roman" w:cs="Times New Roman"/>
          <w:sz w:val="24"/>
        </w:rPr>
        <w:t xml:space="preserve">response of SH-SY5Y triggered by 30 mM KCl. Cells were treated on DoD3. </w:t>
      </w:r>
      <w:r w:rsidR="003C5F9C">
        <w:rPr>
          <w:rFonts w:ascii="Times New Roman" w:hAnsi="Times New Roman" w:cs="Times New Roman"/>
          <w:sz w:val="24"/>
        </w:rPr>
        <w:t>(D) Effect</w:t>
      </w:r>
      <w:r w:rsidR="00CC2072">
        <w:rPr>
          <w:rFonts w:ascii="Times New Roman" w:hAnsi="Times New Roman" w:cs="Times New Roman"/>
          <w:sz w:val="24"/>
        </w:rPr>
        <w:t>s</w:t>
      </w:r>
      <w:r w:rsidR="003C5F9C">
        <w:rPr>
          <w:rFonts w:ascii="Times New Roman" w:hAnsi="Times New Roman" w:cs="Times New Roman"/>
          <w:sz w:val="24"/>
        </w:rPr>
        <w:t xml:space="preserve"> of neonicotinoids (33.3 µM) in absence and presence of 10 µM PNU. The responses to Aceta, Imida, Cloth and Thiac were </w:t>
      </w:r>
      <w:r w:rsidR="00CC2072">
        <w:rPr>
          <w:rFonts w:ascii="Times New Roman" w:hAnsi="Times New Roman" w:cs="Times New Roman"/>
          <w:sz w:val="24"/>
        </w:rPr>
        <w:t>strongly</w:t>
      </w:r>
      <w:r w:rsidR="003C5F9C">
        <w:rPr>
          <w:rFonts w:ascii="Times New Roman" w:hAnsi="Times New Roman" w:cs="Times New Roman"/>
          <w:sz w:val="24"/>
        </w:rPr>
        <w:t xml:space="preserve"> increased. </w:t>
      </w:r>
      <w:r w:rsidR="003C5F9C" w:rsidRPr="003C5F9C">
        <w:rPr>
          <w:rFonts w:ascii="Times New Roman" w:hAnsi="Times New Roman" w:cs="Times New Roman"/>
          <w:sz w:val="24"/>
        </w:rPr>
        <w:t>Significance was evaluated by multiple t-tests. *p&lt;0.05, **p&lt;0.01, ***p&lt;0.001.</w:t>
      </w:r>
      <w:r w:rsidR="003C5F9C">
        <w:rPr>
          <w:rFonts w:ascii="Times New Roman" w:hAnsi="Times New Roman" w:cs="Times New Roman"/>
          <w:sz w:val="24"/>
        </w:rPr>
        <w:t xml:space="preserve"> (E) The [Ca</w:t>
      </w:r>
      <w:r w:rsidR="003C5F9C" w:rsidRPr="003C5F9C">
        <w:rPr>
          <w:rFonts w:ascii="Times New Roman" w:hAnsi="Times New Roman" w:cs="Times New Roman"/>
          <w:sz w:val="24"/>
          <w:vertAlign w:val="superscript"/>
        </w:rPr>
        <w:t>2+</w:t>
      </w:r>
      <w:r w:rsidR="003C5F9C">
        <w:rPr>
          <w:rFonts w:ascii="Times New Roman" w:hAnsi="Times New Roman" w:cs="Times New Roman"/>
          <w:sz w:val="24"/>
        </w:rPr>
        <w:t>]</w:t>
      </w:r>
      <w:r w:rsidR="003C5F9C" w:rsidRPr="003C5F9C">
        <w:rPr>
          <w:rFonts w:ascii="Times New Roman" w:hAnsi="Times New Roman" w:cs="Times New Roman"/>
          <w:sz w:val="24"/>
          <w:vertAlign w:val="subscript"/>
        </w:rPr>
        <w:t>i</w:t>
      </w:r>
      <w:r w:rsidR="003C5F9C">
        <w:rPr>
          <w:rFonts w:ascii="Times New Roman" w:hAnsi="Times New Roman" w:cs="Times New Roman"/>
          <w:sz w:val="24"/>
        </w:rPr>
        <w:t xml:space="preserve"> responses triggered by </w:t>
      </w:r>
      <w:r w:rsidR="00CC2072">
        <w:rPr>
          <w:rFonts w:ascii="Times New Roman" w:hAnsi="Times New Roman" w:cs="Times New Roman"/>
          <w:sz w:val="24"/>
        </w:rPr>
        <w:t xml:space="preserve">the acute exposure to </w:t>
      </w:r>
      <w:r w:rsidR="003C5F9C">
        <w:rPr>
          <w:rFonts w:ascii="Times New Roman" w:hAnsi="Times New Roman" w:cs="Times New Roman"/>
          <w:sz w:val="24"/>
        </w:rPr>
        <w:t xml:space="preserve">nicotine (11.1 µM) was negatively modulated by </w:t>
      </w:r>
      <w:r w:rsidR="00CC2072">
        <w:rPr>
          <w:rFonts w:ascii="Times New Roman" w:hAnsi="Times New Roman" w:cs="Times New Roman"/>
          <w:sz w:val="24"/>
        </w:rPr>
        <w:t xml:space="preserve">pre-applied </w:t>
      </w:r>
      <w:r w:rsidR="003C5F9C">
        <w:rPr>
          <w:rFonts w:ascii="Times New Roman" w:hAnsi="Times New Roman" w:cs="Times New Roman"/>
          <w:sz w:val="24"/>
        </w:rPr>
        <w:t xml:space="preserve">Thiac. </w:t>
      </w:r>
      <w:r w:rsidR="00CC2072">
        <w:rPr>
          <w:rFonts w:ascii="Times New Roman" w:hAnsi="Times New Roman" w:cs="Times New Roman"/>
          <w:sz w:val="24"/>
        </w:rPr>
        <w:t xml:space="preserve">The pre-exposure to </w:t>
      </w:r>
      <w:r w:rsidR="003C5F9C">
        <w:rPr>
          <w:rFonts w:ascii="Times New Roman" w:hAnsi="Times New Roman" w:cs="Times New Roman"/>
          <w:sz w:val="24"/>
        </w:rPr>
        <w:t>Thiam and Dino did not modula</w:t>
      </w:r>
      <w:r w:rsidR="00684974">
        <w:rPr>
          <w:rFonts w:ascii="Times New Roman" w:hAnsi="Times New Roman" w:cs="Times New Roman"/>
          <w:sz w:val="24"/>
        </w:rPr>
        <w:t>te the nicotine-evoked response</w:t>
      </w:r>
      <w:r w:rsidR="003C5F9C">
        <w:rPr>
          <w:rFonts w:ascii="Times New Roman" w:hAnsi="Times New Roman" w:cs="Times New Roman"/>
          <w:sz w:val="24"/>
        </w:rPr>
        <w:t>.</w:t>
      </w:r>
    </w:p>
    <w:p w14:paraId="1A6AB46F" w14:textId="77777777" w:rsidR="001B06E7" w:rsidRDefault="001B06E7">
      <w:pPr>
        <w:spacing w:after="0" w:line="240" w:lineRule="auto"/>
        <w:rPr>
          <w:rFonts w:ascii="Times New Roman" w:hAnsi="Times New Roman" w:cs="Times New Roman"/>
          <w:sz w:val="24"/>
        </w:rPr>
      </w:pPr>
      <w:r>
        <w:rPr>
          <w:rFonts w:ascii="Times New Roman" w:hAnsi="Times New Roman" w:cs="Times New Roman"/>
          <w:sz w:val="24"/>
        </w:rPr>
        <w:br w:type="page"/>
      </w:r>
    </w:p>
    <w:p w14:paraId="0A98BB4D" w14:textId="77777777" w:rsidR="00395B88" w:rsidRDefault="00BE589F" w:rsidP="00395B88">
      <w:pPr>
        <w:jc w:val="center"/>
        <w:rPr>
          <w:rFonts w:ascii="Times New Roman" w:hAnsi="Times New Roman" w:cs="Times New Roman"/>
          <w:sz w:val="24"/>
        </w:rPr>
      </w:pPr>
      <w:r w:rsidRPr="00BE589F">
        <w:rPr>
          <w:rFonts w:ascii="Times New Roman" w:hAnsi="Times New Roman" w:cs="Times New Roman"/>
          <w:noProof/>
          <w:sz w:val="24"/>
          <w:lang w:val="de-DE" w:eastAsia="de-DE"/>
        </w:rPr>
        <w:lastRenderedPageBreak/>
        <w:drawing>
          <wp:inline distT="0" distB="0" distL="0" distR="0" wp14:anchorId="548682B4" wp14:editId="475115C5">
            <wp:extent cx="4874149" cy="6808335"/>
            <wp:effectExtent l="0" t="0" r="3175" b="0"/>
            <wp:docPr id="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pic:cNvPicPr>
                  </pic:nvPicPr>
                  <pic:blipFill rotWithShape="1">
                    <a:blip r:embed="rId12"/>
                    <a:srcRect l="1577"/>
                    <a:stretch/>
                  </pic:blipFill>
                  <pic:spPr>
                    <a:xfrm>
                      <a:off x="0" y="0"/>
                      <a:ext cx="4889133" cy="6829264"/>
                    </a:xfrm>
                    <a:prstGeom prst="rect">
                      <a:avLst/>
                    </a:prstGeom>
                  </pic:spPr>
                </pic:pic>
              </a:graphicData>
            </a:graphic>
          </wp:inline>
        </w:drawing>
      </w:r>
    </w:p>
    <w:p w14:paraId="20563C8F" w14:textId="77777777" w:rsidR="00395B88" w:rsidRPr="00BE12C7" w:rsidRDefault="00395B88" w:rsidP="00395B88">
      <w:pPr>
        <w:jc w:val="both"/>
        <w:rPr>
          <w:rFonts w:ascii="Times New Roman" w:hAnsi="Times New Roman" w:cs="Times New Roman"/>
          <w:b/>
          <w:sz w:val="24"/>
        </w:rPr>
      </w:pPr>
      <w:r>
        <w:rPr>
          <w:rFonts w:ascii="Times New Roman" w:hAnsi="Times New Roman" w:cs="Times New Roman"/>
          <w:b/>
          <w:sz w:val="24"/>
        </w:rPr>
        <w:t>Fig. S6:</w:t>
      </w:r>
      <w:r w:rsidRPr="00BE12C7">
        <w:rPr>
          <w:rFonts w:ascii="Times New Roman" w:hAnsi="Times New Roman" w:cs="Times New Roman"/>
          <w:b/>
          <w:sz w:val="24"/>
        </w:rPr>
        <w:t xml:space="preserve"> </w:t>
      </w:r>
      <w:r w:rsidR="001B06E7">
        <w:rPr>
          <w:rFonts w:ascii="Times New Roman" w:hAnsi="Times New Roman" w:cs="Times New Roman"/>
          <w:b/>
          <w:sz w:val="24"/>
        </w:rPr>
        <w:t>Physicochemical properties and m</w:t>
      </w:r>
      <w:r w:rsidR="007B17A7" w:rsidRPr="007B17A7">
        <w:rPr>
          <w:rFonts w:ascii="Times New Roman" w:hAnsi="Times New Roman" w:cs="Times New Roman"/>
          <w:b/>
          <w:sz w:val="24"/>
        </w:rPr>
        <w:t>olecular docking studies</w:t>
      </w:r>
      <w:r>
        <w:rPr>
          <w:rFonts w:ascii="Times New Roman" w:hAnsi="Times New Roman" w:cs="Times New Roman"/>
          <w:b/>
          <w:sz w:val="24"/>
        </w:rPr>
        <w:t>.</w:t>
      </w:r>
    </w:p>
    <w:p w14:paraId="275E0DA5" w14:textId="6839220E" w:rsidR="00395B88" w:rsidRPr="00684AD0" w:rsidRDefault="00EB2147" w:rsidP="00F25ABC">
      <w:pPr>
        <w:spacing w:after="240"/>
        <w:jc w:val="both"/>
      </w:pPr>
      <w:r>
        <w:rPr>
          <w:rFonts w:ascii="Times New Roman" w:hAnsi="Times New Roman" w:cs="Times New Roman"/>
          <w:sz w:val="24"/>
        </w:rPr>
        <w:t>(</w:t>
      </w:r>
      <w:r w:rsidRPr="00BB02CE">
        <w:rPr>
          <w:rFonts w:ascii="Times New Roman" w:hAnsi="Times New Roman" w:cs="Times New Roman"/>
          <w:b/>
          <w:color w:val="0000FF"/>
          <w:sz w:val="24"/>
        </w:rPr>
        <w:t>A</w:t>
      </w:r>
      <w:r>
        <w:rPr>
          <w:rFonts w:ascii="Times New Roman" w:hAnsi="Times New Roman" w:cs="Times New Roman"/>
          <w:sz w:val="24"/>
        </w:rPr>
        <w:t xml:space="preserve">) </w:t>
      </w:r>
      <w:r w:rsidR="001B06E7">
        <w:rPr>
          <w:rFonts w:ascii="Times New Roman" w:hAnsi="Times New Roman" w:cs="Times New Roman"/>
          <w:sz w:val="24"/>
        </w:rPr>
        <w:t>T</w:t>
      </w:r>
      <w:r w:rsidRPr="00EB2147">
        <w:rPr>
          <w:rFonts w:ascii="Times New Roman" w:hAnsi="Times New Roman" w:cs="Times New Roman"/>
          <w:sz w:val="24"/>
        </w:rPr>
        <w:t xml:space="preserve">he </w:t>
      </w:r>
      <w:r w:rsidR="001B06E7">
        <w:rPr>
          <w:rFonts w:ascii="Times New Roman" w:hAnsi="Times New Roman" w:cs="Times New Roman"/>
          <w:sz w:val="24"/>
        </w:rPr>
        <w:t>octanol:water distribution coefficient</w:t>
      </w:r>
      <w:r w:rsidRPr="00EB2147">
        <w:rPr>
          <w:rFonts w:ascii="Times New Roman" w:hAnsi="Times New Roman" w:cs="Times New Roman"/>
          <w:sz w:val="24"/>
        </w:rPr>
        <w:t xml:space="preserve"> </w:t>
      </w:r>
      <w:r w:rsidR="001B06E7">
        <w:rPr>
          <w:rFonts w:ascii="Times New Roman" w:hAnsi="Times New Roman" w:cs="Times New Roman"/>
          <w:sz w:val="24"/>
        </w:rPr>
        <w:t>(</w:t>
      </w:r>
      <w:r w:rsidR="00144330">
        <w:rPr>
          <w:rFonts w:ascii="Times New Roman" w:hAnsi="Times New Roman" w:cs="Times New Roman"/>
          <w:sz w:val="24"/>
        </w:rPr>
        <w:t xml:space="preserve">given as </w:t>
      </w:r>
      <w:r w:rsidRPr="00EB2147">
        <w:rPr>
          <w:rFonts w:ascii="Times New Roman" w:hAnsi="Times New Roman" w:cs="Times New Roman"/>
          <w:sz w:val="24"/>
        </w:rPr>
        <w:t>AlogP</w:t>
      </w:r>
      <w:r w:rsidR="001B06E7">
        <w:rPr>
          <w:rFonts w:ascii="Times New Roman" w:hAnsi="Times New Roman" w:cs="Times New Roman"/>
          <w:sz w:val="24"/>
        </w:rPr>
        <w:t>)</w:t>
      </w:r>
      <w:r w:rsidRPr="00EB2147">
        <w:rPr>
          <w:rFonts w:ascii="Times New Roman" w:hAnsi="Times New Roman" w:cs="Times New Roman"/>
          <w:sz w:val="24"/>
        </w:rPr>
        <w:t xml:space="preserve"> and polar surface area (PSA) were calculated as mentioned in the methods section. In co</w:t>
      </w:r>
      <w:r w:rsidR="001B06E7">
        <w:rPr>
          <w:rFonts w:ascii="Times New Roman" w:hAnsi="Times New Roman" w:cs="Times New Roman"/>
          <w:sz w:val="24"/>
        </w:rPr>
        <w:t>ntrast to the other compounds, d</w:t>
      </w:r>
      <w:r w:rsidRPr="00EB2147">
        <w:rPr>
          <w:rFonts w:ascii="Times New Roman" w:hAnsi="Times New Roman" w:cs="Times New Roman"/>
          <w:sz w:val="24"/>
        </w:rPr>
        <w:t>inotefuran reported a negative AlogP value</w:t>
      </w:r>
      <w:r w:rsidR="001B06E7">
        <w:rPr>
          <w:rFonts w:ascii="Times New Roman" w:hAnsi="Times New Roman" w:cs="Times New Roman"/>
          <w:sz w:val="24"/>
        </w:rPr>
        <w:t xml:space="preserve"> (i.e.</w:t>
      </w:r>
      <w:r w:rsidRPr="00EB2147">
        <w:rPr>
          <w:rFonts w:ascii="Times New Roman" w:hAnsi="Times New Roman" w:cs="Times New Roman"/>
          <w:sz w:val="24"/>
        </w:rPr>
        <w:t xml:space="preserve"> </w:t>
      </w:r>
      <w:r w:rsidR="001B06E7">
        <w:rPr>
          <w:rFonts w:ascii="Times New Roman" w:hAnsi="Times New Roman" w:cs="Times New Roman"/>
          <w:sz w:val="24"/>
        </w:rPr>
        <w:t>higher</w:t>
      </w:r>
      <w:r w:rsidRPr="00EB2147">
        <w:rPr>
          <w:rFonts w:ascii="Times New Roman" w:hAnsi="Times New Roman" w:cs="Times New Roman"/>
          <w:sz w:val="24"/>
        </w:rPr>
        <w:t xml:space="preserve"> hydrophilicity</w:t>
      </w:r>
      <w:r w:rsidR="001B06E7">
        <w:rPr>
          <w:rFonts w:ascii="Times New Roman" w:hAnsi="Times New Roman" w:cs="Times New Roman"/>
          <w:sz w:val="24"/>
        </w:rPr>
        <w:t xml:space="preserve"> than the other compounds)</w:t>
      </w:r>
      <w:r w:rsidRPr="00EB2147">
        <w:rPr>
          <w:rFonts w:ascii="Times New Roman" w:hAnsi="Times New Roman" w:cs="Times New Roman"/>
          <w:sz w:val="24"/>
        </w:rPr>
        <w:t>. The structurall</w:t>
      </w:r>
      <w:r w:rsidR="001B06E7">
        <w:rPr>
          <w:rFonts w:ascii="Times New Roman" w:hAnsi="Times New Roman" w:cs="Times New Roman"/>
          <w:sz w:val="24"/>
        </w:rPr>
        <w:t>y similar compounds thiamethoxam and c</w:t>
      </w:r>
      <w:r w:rsidRPr="00EB2147">
        <w:rPr>
          <w:rFonts w:ascii="Times New Roman" w:hAnsi="Times New Roman" w:cs="Times New Roman"/>
          <w:sz w:val="24"/>
        </w:rPr>
        <w:t xml:space="preserve">lothianidin </w:t>
      </w:r>
      <w:r w:rsidR="001B06E7">
        <w:rPr>
          <w:rFonts w:ascii="Times New Roman" w:hAnsi="Times New Roman" w:cs="Times New Roman"/>
          <w:sz w:val="24"/>
        </w:rPr>
        <w:t>had</w:t>
      </w:r>
      <w:r w:rsidRPr="00EB2147">
        <w:rPr>
          <w:rFonts w:ascii="Times New Roman" w:hAnsi="Times New Roman" w:cs="Times New Roman"/>
          <w:sz w:val="24"/>
        </w:rPr>
        <w:t xml:space="preserve"> the highest values for PSA.</w:t>
      </w:r>
      <w:r>
        <w:rPr>
          <w:rFonts w:ascii="Times New Roman" w:hAnsi="Times New Roman" w:cs="Times New Roman"/>
          <w:sz w:val="24"/>
        </w:rPr>
        <w:t xml:space="preserve"> (</w:t>
      </w:r>
      <w:r w:rsidRPr="00BB02CE">
        <w:rPr>
          <w:rFonts w:ascii="Times New Roman" w:hAnsi="Times New Roman" w:cs="Times New Roman"/>
          <w:b/>
          <w:color w:val="0000FF"/>
          <w:sz w:val="24"/>
        </w:rPr>
        <w:t>B</w:t>
      </w:r>
      <w:r>
        <w:rPr>
          <w:rFonts w:ascii="Times New Roman" w:hAnsi="Times New Roman" w:cs="Times New Roman"/>
          <w:sz w:val="24"/>
        </w:rPr>
        <w:t xml:space="preserve">) </w:t>
      </w:r>
      <w:r w:rsidRPr="00EB2147">
        <w:rPr>
          <w:rFonts w:ascii="Times New Roman" w:hAnsi="Times New Roman" w:cs="Times New Roman"/>
          <w:sz w:val="24"/>
        </w:rPr>
        <w:t xml:space="preserve">Up to 80 docked poses per ligand and per </w:t>
      </w:r>
      <w:r w:rsidR="001B06E7">
        <w:rPr>
          <w:rFonts w:ascii="Times New Roman" w:hAnsi="Times New Roman" w:cs="Times New Roman"/>
          <w:sz w:val="24"/>
        </w:rPr>
        <w:t>nAChR isoform we</w:t>
      </w:r>
      <w:r w:rsidRPr="00EB2147">
        <w:rPr>
          <w:rFonts w:ascii="Times New Roman" w:hAnsi="Times New Roman" w:cs="Times New Roman"/>
          <w:sz w:val="24"/>
        </w:rPr>
        <w:t>re generated during the induced fit docking procedure</w:t>
      </w:r>
      <w:r w:rsidR="001B06E7">
        <w:rPr>
          <w:rFonts w:ascii="Times New Roman" w:hAnsi="Times New Roman" w:cs="Times New Roman"/>
          <w:sz w:val="24"/>
        </w:rPr>
        <w:t>. The poses</w:t>
      </w:r>
      <w:r w:rsidRPr="00EB2147">
        <w:rPr>
          <w:rFonts w:ascii="Times New Roman" w:hAnsi="Times New Roman" w:cs="Times New Roman"/>
          <w:sz w:val="24"/>
        </w:rPr>
        <w:t xml:space="preserve"> were subsequently clustered according to the interaction-fingerprint of the docking-output. For each isoform, the highly populated clusters were analyzed further</w:t>
      </w:r>
      <w:r w:rsidR="001B06E7">
        <w:rPr>
          <w:rFonts w:ascii="Times New Roman" w:hAnsi="Times New Roman" w:cs="Times New Roman"/>
          <w:sz w:val="24"/>
        </w:rPr>
        <w:t>, and exemplary docking poses are displayed in C-E.</w:t>
      </w:r>
      <w:r>
        <w:rPr>
          <w:rFonts w:ascii="Times New Roman" w:hAnsi="Times New Roman" w:cs="Times New Roman"/>
          <w:sz w:val="24"/>
        </w:rPr>
        <w:t xml:space="preserve"> (</w:t>
      </w:r>
      <w:r w:rsidRPr="00BB02CE">
        <w:rPr>
          <w:rFonts w:ascii="Times New Roman" w:hAnsi="Times New Roman" w:cs="Times New Roman"/>
          <w:b/>
          <w:color w:val="0000FF"/>
          <w:sz w:val="24"/>
        </w:rPr>
        <w:t>C</w:t>
      </w:r>
      <w:r>
        <w:rPr>
          <w:rFonts w:ascii="Times New Roman" w:hAnsi="Times New Roman" w:cs="Times New Roman"/>
          <w:sz w:val="24"/>
        </w:rPr>
        <w:t xml:space="preserve">) </w:t>
      </w:r>
      <w:r w:rsidR="00684AD0" w:rsidRPr="00684AD0">
        <w:rPr>
          <w:rFonts w:ascii="Times New Roman" w:hAnsi="Times New Roman" w:cs="Times New Roman"/>
          <w:sz w:val="24"/>
        </w:rPr>
        <w:t xml:space="preserve">The neonicotinoids were docked to the α7 nAChR and to the α4β2 receptor at the α4β2 </w:t>
      </w:r>
      <w:r w:rsidR="00684AD0" w:rsidRPr="00684AD0">
        <w:rPr>
          <w:rFonts w:ascii="Times New Roman" w:hAnsi="Times New Roman" w:cs="Times New Roman"/>
          <w:sz w:val="24"/>
        </w:rPr>
        <w:lastRenderedPageBreak/>
        <w:t xml:space="preserve">interface and at the α4α4-interface. The representative poses of imidacloprid, thiacloprid, acetamiprid and clothianidin in the binding site of the α4α4-interface are superimposed. The poses looked essentially similar in the other </w:t>
      </w:r>
      <w:r w:rsidR="00684AD0">
        <w:rPr>
          <w:rFonts w:ascii="Times New Roman" w:hAnsi="Times New Roman" w:cs="Times New Roman"/>
          <w:sz w:val="24"/>
        </w:rPr>
        <w:t>modelled receptor binding sites</w:t>
      </w:r>
      <w:r w:rsidRPr="00EB2147">
        <w:rPr>
          <w:rFonts w:ascii="Times New Roman" w:hAnsi="Times New Roman" w:cs="Times New Roman"/>
          <w:sz w:val="24"/>
        </w:rPr>
        <w:t xml:space="preserve">; for better view only one ribbon from the docked complexes is shown in blue. </w:t>
      </w:r>
      <w:r w:rsidR="00D117D4">
        <w:rPr>
          <w:rFonts w:ascii="Times New Roman" w:hAnsi="Times New Roman" w:cs="Times New Roman"/>
          <w:sz w:val="24"/>
        </w:rPr>
        <w:t>For spatial orientation in Figures C-E: the loops (and associated beta-sheet regions) A-C belong to the principal (+) binding subunit (e.g. alpha-4), while structures labelled D-F belong to the complementary (-) subunit (e.g. beta</w:t>
      </w:r>
      <w:r w:rsidR="0010134E">
        <w:rPr>
          <w:rFonts w:ascii="Times New Roman" w:hAnsi="Times New Roman" w:cs="Times New Roman"/>
          <w:sz w:val="24"/>
        </w:rPr>
        <w:t>-</w:t>
      </w:r>
      <w:r w:rsidR="00D117D4">
        <w:rPr>
          <w:rFonts w:ascii="Times New Roman" w:hAnsi="Times New Roman" w:cs="Times New Roman"/>
          <w:sz w:val="24"/>
        </w:rPr>
        <w:t>2).</w:t>
      </w:r>
      <w:r w:rsidR="00D117D4">
        <w:t xml:space="preserve"> </w:t>
      </w:r>
      <w:r w:rsidR="00D117D4">
        <w:rPr>
          <w:rFonts w:ascii="Times New Roman" w:hAnsi="Times New Roman" w:cs="Times New Roman"/>
          <w:sz w:val="24"/>
        </w:rPr>
        <w:t xml:space="preserve">Ligands: </w:t>
      </w:r>
      <w:r w:rsidRPr="00EB2147">
        <w:rPr>
          <w:rFonts w:ascii="Times New Roman" w:hAnsi="Times New Roman" w:cs="Times New Roman"/>
          <w:sz w:val="24"/>
        </w:rPr>
        <w:t>Chlorine-atoms are depicted in green, nitrogen-atoms in blue, sulfur-atoms in yellow, carbon-atoms in orange and nitrogen-atoms in blue. Chlorohet</w:t>
      </w:r>
      <w:r w:rsidR="00393069">
        <w:rPr>
          <w:rFonts w:ascii="Times New Roman" w:hAnsi="Times New Roman" w:cs="Times New Roman"/>
          <w:sz w:val="24"/>
        </w:rPr>
        <w:t>e</w:t>
      </w:r>
      <w:r w:rsidRPr="00EB2147">
        <w:rPr>
          <w:rFonts w:ascii="Times New Roman" w:hAnsi="Times New Roman" w:cs="Times New Roman"/>
          <w:sz w:val="24"/>
        </w:rPr>
        <w:t>roaryl-moieties of the ligands are aligning well and are pointing towards loop D and E from the complementary subunit while the electronegative nitro-</w:t>
      </w:r>
      <w:r w:rsidR="0010134E">
        <w:rPr>
          <w:rFonts w:ascii="Times New Roman" w:hAnsi="Times New Roman" w:cs="Times New Roman"/>
          <w:sz w:val="24"/>
        </w:rPr>
        <w:t xml:space="preserve"> </w:t>
      </w:r>
      <w:r w:rsidRPr="00EB2147">
        <w:rPr>
          <w:rFonts w:ascii="Times New Roman" w:hAnsi="Times New Roman" w:cs="Times New Roman"/>
          <w:sz w:val="24"/>
        </w:rPr>
        <w:t>or cyano-functionalities are pointing towards the tip of the loop C of the principal chain. This binding orientation is outlining the “common” binding mode</w:t>
      </w:r>
      <w:r w:rsidR="005642EA">
        <w:rPr>
          <w:rFonts w:ascii="Times New Roman" w:hAnsi="Times New Roman" w:cs="Times New Roman"/>
          <w:sz w:val="24"/>
        </w:rPr>
        <w:t>,</w:t>
      </w:r>
      <w:r w:rsidRPr="00EB2147">
        <w:rPr>
          <w:rFonts w:ascii="Times New Roman" w:hAnsi="Times New Roman" w:cs="Times New Roman"/>
          <w:sz w:val="24"/>
        </w:rPr>
        <w:t xml:space="preserve"> which is also reported in co-crystalli</w:t>
      </w:r>
      <w:r w:rsidR="00527929">
        <w:rPr>
          <w:rFonts w:ascii="Times New Roman" w:hAnsi="Times New Roman" w:cs="Times New Roman"/>
          <w:sz w:val="24"/>
        </w:rPr>
        <w:t>z</w:t>
      </w:r>
      <w:r w:rsidRPr="00EB2147">
        <w:rPr>
          <w:rFonts w:ascii="Times New Roman" w:hAnsi="Times New Roman" w:cs="Times New Roman"/>
          <w:sz w:val="24"/>
        </w:rPr>
        <w:t xml:space="preserve">ed homologous </w:t>
      </w:r>
      <w:r w:rsidR="0055523F">
        <w:rPr>
          <w:rFonts w:ascii="Times New Roman" w:hAnsi="Times New Roman" w:cs="Times New Roman"/>
          <w:sz w:val="24"/>
        </w:rPr>
        <w:t>ACh-binding protein (</w:t>
      </w:r>
      <w:r w:rsidRPr="00EB2147">
        <w:rPr>
          <w:rFonts w:ascii="Times New Roman" w:hAnsi="Times New Roman" w:cs="Times New Roman"/>
          <w:sz w:val="24"/>
        </w:rPr>
        <w:t>AChBP</w:t>
      </w:r>
      <w:r w:rsidR="0055523F">
        <w:rPr>
          <w:rFonts w:ascii="Times New Roman" w:hAnsi="Times New Roman" w:cs="Times New Roman"/>
          <w:sz w:val="24"/>
        </w:rPr>
        <w:t>)</w:t>
      </w:r>
      <w:r w:rsidRPr="00EB2147">
        <w:rPr>
          <w:rFonts w:ascii="Times New Roman" w:hAnsi="Times New Roman" w:cs="Times New Roman"/>
          <w:sz w:val="24"/>
        </w:rPr>
        <w:t>-complexes.</w:t>
      </w:r>
      <w:r>
        <w:rPr>
          <w:rFonts w:ascii="Times New Roman" w:hAnsi="Times New Roman" w:cs="Times New Roman"/>
          <w:sz w:val="24"/>
        </w:rPr>
        <w:t xml:space="preserve"> (</w:t>
      </w:r>
      <w:r w:rsidRPr="00BB02CE">
        <w:rPr>
          <w:rFonts w:ascii="Times New Roman" w:hAnsi="Times New Roman" w:cs="Times New Roman"/>
          <w:b/>
          <w:color w:val="0000FF"/>
          <w:sz w:val="24"/>
        </w:rPr>
        <w:t>D</w:t>
      </w:r>
      <w:r>
        <w:rPr>
          <w:rFonts w:ascii="Times New Roman" w:hAnsi="Times New Roman" w:cs="Times New Roman"/>
          <w:sz w:val="24"/>
        </w:rPr>
        <w:t xml:space="preserve">) </w:t>
      </w:r>
      <w:r w:rsidRPr="00EB2147">
        <w:rPr>
          <w:rFonts w:ascii="Times New Roman" w:hAnsi="Times New Roman" w:cs="Times New Roman"/>
          <w:sz w:val="24"/>
        </w:rPr>
        <w:t>Thiamethoxam (pink structure) exhibits an “inverted” binding mode with the nitroguanidine-group being placed reversed with respect to the heteroarylic substructure, which is pointing towards the tip of loop C in this binding conformation. Nicotine (green structure) has been docked as reference compound into the homo</w:t>
      </w:r>
      <w:r w:rsidR="00393069">
        <w:rPr>
          <w:rFonts w:ascii="Times New Roman" w:hAnsi="Times New Roman" w:cs="Times New Roman"/>
          <w:sz w:val="24"/>
        </w:rPr>
        <w:t>-</w:t>
      </w:r>
      <w:r w:rsidRPr="00EB2147">
        <w:rPr>
          <w:rFonts w:ascii="Times New Roman" w:hAnsi="Times New Roman" w:cs="Times New Roman"/>
          <w:sz w:val="24"/>
        </w:rPr>
        <w:t>pentameric α7-structure and shows a “common” nicotinoid binding mode, with the amino-feature pointing away from loop C.</w:t>
      </w:r>
      <w:r>
        <w:rPr>
          <w:rFonts w:ascii="Times New Roman" w:hAnsi="Times New Roman" w:cs="Times New Roman"/>
          <w:sz w:val="24"/>
        </w:rPr>
        <w:t xml:space="preserve"> (</w:t>
      </w:r>
      <w:r w:rsidRPr="00BB02CE">
        <w:rPr>
          <w:rFonts w:ascii="Times New Roman" w:hAnsi="Times New Roman" w:cs="Times New Roman"/>
          <w:b/>
          <w:color w:val="0000FF"/>
          <w:sz w:val="24"/>
        </w:rPr>
        <w:t>E</w:t>
      </w:r>
      <w:r>
        <w:rPr>
          <w:rFonts w:ascii="Times New Roman" w:hAnsi="Times New Roman" w:cs="Times New Roman"/>
          <w:sz w:val="24"/>
        </w:rPr>
        <w:t xml:space="preserve">) </w:t>
      </w:r>
      <w:r w:rsidR="00BB02CE">
        <w:rPr>
          <w:rFonts w:ascii="Times New Roman" w:hAnsi="Times New Roman" w:cs="Times New Roman"/>
          <w:sz w:val="24"/>
        </w:rPr>
        <w:t xml:space="preserve">The </w:t>
      </w:r>
      <w:r w:rsidR="00BB02CE" w:rsidRPr="00BB02CE">
        <w:rPr>
          <w:rFonts w:ascii="Times New Roman" w:hAnsi="Times New Roman" w:cs="Times New Roman"/>
          <w:sz w:val="24"/>
        </w:rPr>
        <w:t>α4(+)-β2(-)-interface is shown:</w:t>
      </w:r>
      <w:r w:rsidR="00BB02CE">
        <w:t xml:space="preserve"> </w:t>
      </w:r>
      <w:r w:rsidRPr="00EB2147">
        <w:rPr>
          <w:rFonts w:ascii="Times New Roman" w:hAnsi="Times New Roman" w:cs="Times New Roman"/>
          <w:sz w:val="24"/>
        </w:rPr>
        <w:t>Dinotefuran (pink structure) accommodates a distinct binding mode compared to the other com</w:t>
      </w:r>
      <w:r w:rsidR="002A24E8">
        <w:rPr>
          <w:rFonts w:ascii="Times New Roman" w:hAnsi="Times New Roman" w:cs="Times New Roman"/>
          <w:sz w:val="24"/>
        </w:rPr>
        <w:t>pounds. The reference compound n</w:t>
      </w:r>
      <w:r w:rsidRPr="00EB2147">
        <w:rPr>
          <w:rFonts w:ascii="Times New Roman" w:hAnsi="Times New Roman" w:cs="Times New Roman"/>
          <w:sz w:val="24"/>
        </w:rPr>
        <w:t xml:space="preserve">icotine (green structure) is </w:t>
      </w:r>
      <w:r w:rsidR="002A24E8">
        <w:rPr>
          <w:rFonts w:ascii="Times New Roman" w:hAnsi="Times New Roman" w:cs="Times New Roman"/>
          <w:sz w:val="24"/>
        </w:rPr>
        <w:t xml:space="preserve">shown as it was actually found in the </w:t>
      </w:r>
      <w:r w:rsidRPr="00EB2147">
        <w:rPr>
          <w:rFonts w:ascii="Times New Roman" w:hAnsi="Times New Roman" w:cs="Times New Roman"/>
          <w:sz w:val="24"/>
        </w:rPr>
        <w:t>co-crystalli</w:t>
      </w:r>
      <w:r w:rsidR="00527929">
        <w:rPr>
          <w:rFonts w:ascii="Times New Roman" w:hAnsi="Times New Roman" w:cs="Times New Roman"/>
          <w:sz w:val="24"/>
        </w:rPr>
        <w:t>z</w:t>
      </w:r>
      <w:r w:rsidRPr="00EB2147">
        <w:rPr>
          <w:rFonts w:ascii="Times New Roman" w:hAnsi="Times New Roman" w:cs="Times New Roman"/>
          <w:sz w:val="24"/>
        </w:rPr>
        <w:t>ed complex</w:t>
      </w:r>
      <w:r w:rsidR="002A24E8">
        <w:rPr>
          <w:rFonts w:ascii="Times New Roman" w:hAnsi="Times New Roman" w:cs="Times New Roman"/>
          <w:sz w:val="24"/>
        </w:rPr>
        <w:t xml:space="preserve">. In this common binding mode it </w:t>
      </w:r>
      <w:r w:rsidRPr="00EB2147">
        <w:rPr>
          <w:rFonts w:ascii="Times New Roman" w:hAnsi="Times New Roman" w:cs="Times New Roman"/>
          <w:sz w:val="24"/>
        </w:rPr>
        <w:t xml:space="preserve">undergoes stabilizing pi-stacking-interactions with a Tryptophan (Trp156) of the </w:t>
      </w:r>
      <w:r w:rsidR="00D117D4">
        <w:rPr>
          <w:rFonts w:ascii="Times New Roman" w:hAnsi="Times New Roman" w:cs="Times New Roman"/>
          <w:sz w:val="24"/>
        </w:rPr>
        <w:t xml:space="preserve">B-loop of the </w:t>
      </w:r>
      <w:r w:rsidRPr="00EB2147">
        <w:rPr>
          <w:rFonts w:ascii="Times New Roman" w:hAnsi="Times New Roman" w:cs="Times New Roman"/>
          <w:sz w:val="24"/>
        </w:rPr>
        <w:t>binding site</w:t>
      </w:r>
      <w:r w:rsidR="002A24E8">
        <w:rPr>
          <w:rFonts w:ascii="Times New Roman" w:hAnsi="Times New Roman" w:cs="Times New Roman"/>
          <w:sz w:val="24"/>
        </w:rPr>
        <w:t>. Such an interaction was found here to be impossible for d</w:t>
      </w:r>
      <w:r w:rsidRPr="00EB2147">
        <w:rPr>
          <w:rFonts w:ascii="Times New Roman" w:hAnsi="Times New Roman" w:cs="Times New Roman"/>
          <w:sz w:val="24"/>
        </w:rPr>
        <w:t xml:space="preserve">inotefuran </w:t>
      </w:r>
      <w:r w:rsidR="002A24E8">
        <w:rPr>
          <w:rFonts w:ascii="Times New Roman" w:hAnsi="Times New Roman" w:cs="Times New Roman"/>
          <w:sz w:val="24"/>
        </w:rPr>
        <w:t xml:space="preserve">(lack of the </w:t>
      </w:r>
      <w:r w:rsidRPr="00EB2147">
        <w:rPr>
          <w:rFonts w:ascii="Times New Roman" w:hAnsi="Times New Roman" w:cs="Times New Roman"/>
          <w:sz w:val="24"/>
        </w:rPr>
        <w:t xml:space="preserve">heteroarylic </w:t>
      </w:r>
      <w:r w:rsidR="002A24E8">
        <w:rPr>
          <w:rFonts w:ascii="Times New Roman" w:hAnsi="Times New Roman" w:cs="Times New Roman"/>
          <w:sz w:val="24"/>
        </w:rPr>
        <w:t>moiety; altered orientation)</w:t>
      </w:r>
      <w:r w:rsidRPr="00EB2147">
        <w:rPr>
          <w:rFonts w:ascii="Times New Roman" w:hAnsi="Times New Roman" w:cs="Times New Roman"/>
          <w:sz w:val="24"/>
        </w:rPr>
        <w:t>.</w:t>
      </w:r>
    </w:p>
    <w:p w14:paraId="728730AE" w14:textId="77777777" w:rsidR="00A219A2" w:rsidRDefault="00B24350" w:rsidP="003C5F9C">
      <w:pPr>
        <w:jc w:val="center"/>
        <w:rPr>
          <w:rFonts w:ascii="Times New Roman" w:hAnsi="Times New Roman" w:cs="Times New Roman"/>
          <w:sz w:val="24"/>
        </w:rPr>
      </w:pPr>
      <w:r>
        <w:rPr>
          <w:noProof/>
          <w:lang w:val="de-DE" w:eastAsia="de-DE"/>
        </w:rPr>
        <w:lastRenderedPageBreak/>
        <w:drawing>
          <wp:inline distT="0" distB="0" distL="0" distR="0" wp14:anchorId="0CBD135E" wp14:editId="4C9CA6BC">
            <wp:extent cx="3242921" cy="4600258"/>
            <wp:effectExtent l="0" t="0" r="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pic:cNvPicPr>
                      <a:picLocks noChangeAspect="1" noChangeArrowheads="1"/>
                    </pic:cNvPicPr>
                  </pic:nvPicPr>
                  <pic:blipFill>
                    <a:blip r:embed="rId13"/>
                    <a:srcRect b="10262"/>
                    <a:stretch>
                      <a:fillRect/>
                    </a:stretch>
                  </pic:blipFill>
                  <pic:spPr bwMode="auto">
                    <a:xfrm>
                      <a:off x="0" y="0"/>
                      <a:ext cx="3252629" cy="4614029"/>
                    </a:xfrm>
                    <a:prstGeom prst="rect">
                      <a:avLst/>
                    </a:prstGeom>
                  </pic:spPr>
                </pic:pic>
              </a:graphicData>
            </a:graphic>
          </wp:inline>
        </w:drawing>
      </w:r>
    </w:p>
    <w:p w14:paraId="47638A4E" w14:textId="77777777" w:rsidR="00A219A2" w:rsidRDefault="00B24350">
      <w:pPr>
        <w:rPr>
          <w:rFonts w:ascii="Times New Roman" w:hAnsi="Times New Roman" w:cs="Times New Roman"/>
          <w:b/>
          <w:sz w:val="24"/>
        </w:rPr>
      </w:pPr>
      <w:r>
        <w:rPr>
          <w:rFonts w:ascii="Times New Roman" w:hAnsi="Times New Roman" w:cs="Times New Roman"/>
          <w:b/>
          <w:sz w:val="24"/>
        </w:rPr>
        <w:t>Fig. S</w:t>
      </w:r>
      <w:r w:rsidR="00395B88">
        <w:rPr>
          <w:rFonts w:ascii="Times New Roman" w:hAnsi="Times New Roman" w:cs="Times New Roman"/>
          <w:b/>
          <w:sz w:val="24"/>
        </w:rPr>
        <w:t>7:</w:t>
      </w:r>
      <w:r>
        <w:rPr>
          <w:rFonts w:ascii="Times New Roman" w:hAnsi="Times New Roman" w:cs="Times New Roman"/>
          <w:b/>
          <w:sz w:val="24"/>
        </w:rPr>
        <w:t xml:space="preserve"> Effects of neonicotinoids on </w:t>
      </w:r>
      <w:r w:rsidR="00107314">
        <w:rPr>
          <w:rFonts w:ascii="Times New Roman" w:hAnsi="Times New Roman" w:cs="Times New Roman"/>
          <w:b/>
          <w:sz w:val="24"/>
        </w:rPr>
        <w:t>responses of LUHMES to selective agonists.</w:t>
      </w:r>
    </w:p>
    <w:p w14:paraId="50BDBF5B" w14:textId="77777777" w:rsidR="00A06D49" w:rsidRDefault="00B24350">
      <w:pPr>
        <w:jc w:val="both"/>
        <w:rPr>
          <w:rFonts w:ascii="Times New Roman" w:hAnsi="Times New Roman" w:cs="Times New Roman"/>
          <w:sz w:val="24"/>
        </w:rPr>
      </w:pPr>
      <w:r>
        <w:rPr>
          <w:rFonts w:ascii="Times New Roman" w:hAnsi="Times New Roman" w:cs="Times New Roman"/>
          <w:sz w:val="24"/>
        </w:rPr>
        <w:t>(A) The concentration-response curves present the effects of the neonicotinoids Aceta, Imida, Cloth and Thiac, which were preincubated for 4.5 min, on the response of LUHMES neurons to the addition of 3 µM (3) and 10 µM (10) nicotine. The resulting pIC</w:t>
      </w:r>
      <w:r>
        <w:rPr>
          <w:rFonts w:ascii="Times New Roman" w:hAnsi="Times New Roman" w:cs="Times New Roman"/>
          <w:sz w:val="24"/>
          <w:vertAlign w:val="subscript"/>
        </w:rPr>
        <w:t>50</w:t>
      </w:r>
      <w:r w:rsidR="004A24E1">
        <w:rPr>
          <w:rFonts w:ascii="Times New Roman" w:hAnsi="Times New Roman" w:cs="Times New Roman"/>
          <w:sz w:val="24"/>
        </w:rPr>
        <w:t xml:space="preserve"> values are ~5.4</w:t>
      </w:r>
      <w:r>
        <w:rPr>
          <w:rFonts w:ascii="Times New Roman" w:hAnsi="Times New Roman" w:cs="Times New Roman"/>
          <w:sz w:val="24"/>
        </w:rPr>
        <w:t xml:space="preserve"> for the effects of</w:t>
      </w:r>
      <w:r w:rsidR="00450ECD">
        <w:rPr>
          <w:rFonts w:ascii="Times New Roman" w:hAnsi="Times New Roman" w:cs="Times New Roman"/>
          <w:sz w:val="24"/>
        </w:rPr>
        <w:t xml:space="preserve"> Aceta, Imida, Thiac and Cloth</w:t>
      </w:r>
      <w:r>
        <w:rPr>
          <w:rFonts w:ascii="Times New Roman" w:hAnsi="Times New Roman" w:cs="Times New Roman"/>
          <w:sz w:val="24"/>
        </w:rPr>
        <w:t xml:space="preserve"> on the response </w:t>
      </w:r>
      <w:r w:rsidR="00450ECD">
        <w:rPr>
          <w:rFonts w:ascii="Times New Roman" w:hAnsi="Times New Roman" w:cs="Times New Roman"/>
          <w:sz w:val="24"/>
        </w:rPr>
        <w:t>evoked by</w:t>
      </w:r>
      <w:r>
        <w:rPr>
          <w:rFonts w:ascii="Times New Roman" w:hAnsi="Times New Roman" w:cs="Times New Roman"/>
          <w:sz w:val="24"/>
        </w:rPr>
        <w:t xml:space="preserve"> 3 µM nicotine, as described in fig. </w:t>
      </w:r>
      <w:r w:rsidR="00450ECD">
        <w:rPr>
          <w:rFonts w:ascii="Times New Roman" w:hAnsi="Times New Roman" w:cs="Times New Roman"/>
          <w:sz w:val="24"/>
        </w:rPr>
        <w:t>8</w:t>
      </w:r>
      <w:r>
        <w:rPr>
          <w:rFonts w:ascii="Times New Roman" w:hAnsi="Times New Roman" w:cs="Times New Roman"/>
          <w:sz w:val="24"/>
        </w:rPr>
        <w:t>C. The pIC</w:t>
      </w:r>
      <w:r>
        <w:rPr>
          <w:rFonts w:ascii="Times New Roman" w:hAnsi="Times New Roman" w:cs="Times New Roman"/>
          <w:sz w:val="24"/>
          <w:vertAlign w:val="subscript"/>
        </w:rPr>
        <w:t>50</w:t>
      </w:r>
      <w:r>
        <w:rPr>
          <w:rFonts w:ascii="Times New Roman" w:hAnsi="Times New Roman" w:cs="Times New Roman"/>
          <w:sz w:val="24"/>
        </w:rPr>
        <w:t>s for the experim</w:t>
      </w:r>
      <w:r w:rsidR="00450ECD">
        <w:rPr>
          <w:rFonts w:ascii="Times New Roman" w:hAnsi="Times New Roman" w:cs="Times New Roman"/>
          <w:sz w:val="24"/>
        </w:rPr>
        <w:t>ent with 10 µM nicotine are ~4.6</w:t>
      </w:r>
      <w:r>
        <w:rPr>
          <w:rFonts w:ascii="Times New Roman" w:hAnsi="Times New Roman" w:cs="Times New Roman"/>
          <w:sz w:val="24"/>
        </w:rPr>
        <w:t xml:space="preserve"> fo</w:t>
      </w:r>
      <w:r w:rsidR="00450ECD">
        <w:rPr>
          <w:rFonts w:ascii="Times New Roman" w:hAnsi="Times New Roman" w:cs="Times New Roman"/>
          <w:sz w:val="24"/>
        </w:rPr>
        <w:t xml:space="preserve">r Aceta, </w:t>
      </w:r>
      <w:r w:rsidR="00450ECD" w:rsidRPr="00450ECD">
        <w:rPr>
          <w:rFonts w:ascii="Times New Roman" w:hAnsi="Times New Roman" w:cs="Times New Roman"/>
          <w:sz w:val="24"/>
        </w:rPr>
        <w:t>Imida, Cloth and Thiac</w:t>
      </w:r>
      <w:r w:rsidRPr="00450ECD">
        <w:rPr>
          <w:rFonts w:ascii="Times New Roman" w:hAnsi="Times New Roman" w:cs="Times New Roman"/>
          <w:sz w:val="24"/>
        </w:rPr>
        <w:t xml:space="preserve">. Detailed data on </w:t>
      </w:r>
      <w:r w:rsidR="00450ECD" w:rsidRPr="00450ECD">
        <w:rPr>
          <w:rFonts w:ascii="Times New Roman" w:hAnsi="Times New Roman" w:cs="Times New Roman"/>
          <w:sz w:val="24"/>
        </w:rPr>
        <w:t>pIC</w:t>
      </w:r>
      <w:r w:rsidR="00450ECD" w:rsidRPr="00450ECD">
        <w:rPr>
          <w:rFonts w:ascii="Times New Roman" w:hAnsi="Times New Roman" w:cs="Times New Roman"/>
          <w:sz w:val="24"/>
          <w:vertAlign w:val="subscript"/>
        </w:rPr>
        <w:t>50</w:t>
      </w:r>
      <w:r w:rsidR="00450ECD" w:rsidRPr="00450ECD">
        <w:rPr>
          <w:rFonts w:ascii="Times New Roman" w:hAnsi="Times New Roman" w:cs="Times New Roman"/>
          <w:sz w:val="24"/>
        </w:rPr>
        <w:t xml:space="preserve"> values and </w:t>
      </w:r>
      <w:r w:rsidRPr="00450ECD">
        <w:rPr>
          <w:rFonts w:ascii="Times New Roman" w:hAnsi="Times New Roman" w:cs="Times New Roman"/>
          <w:sz w:val="24"/>
        </w:rPr>
        <w:t xml:space="preserve">n numbers are found in table </w:t>
      </w:r>
      <w:r w:rsidR="00450ECD" w:rsidRPr="00450ECD">
        <w:rPr>
          <w:rFonts w:ascii="Times New Roman" w:hAnsi="Times New Roman" w:cs="Times New Roman"/>
          <w:sz w:val="24"/>
        </w:rPr>
        <w:t xml:space="preserve">S5 &amp; </w:t>
      </w:r>
      <w:r w:rsidRPr="00450ECD">
        <w:rPr>
          <w:rFonts w:ascii="Times New Roman" w:hAnsi="Times New Roman" w:cs="Times New Roman"/>
          <w:sz w:val="24"/>
        </w:rPr>
        <w:t>S6</w:t>
      </w:r>
      <w:r w:rsidR="00DB5D50">
        <w:rPr>
          <w:rFonts w:ascii="Times New Roman" w:hAnsi="Times New Roman" w:cs="Times New Roman"/>
          <w:sz w:val="24"/>
        </w:rPr>
        <w:t>, respectively.</w:t>
      </w:r>
      <w:r w:rsidRPr="00450ECD">
        <w:rPr>
          <w:rFonts w:ascii="Times New Roman" w:hAnsi="Times New Roman" w:cs="Times New Roman"/>
          <w:sz w:val="24"/>
        </w:rPr>
        <w:t xml:space="preserve"> The impact of the four neonicotinoids was significantly different between the recordings </w:t>
      </w:r>
      <w:r>
        <w:rPr>
          <w:rFonts w:ascii="Times New Roman" w:hAnsi="Times New Roman" w:cs="Times New Roman"/>
          <w:sz w:val="24"/>
        </w:rPr>
        <w:t>with 3 µM and 10 µM nicotine. Note the treatment scheme (lower left corner), illustrating the experimental design. (B) Investigation of unspecific effects of neonicotinoids and nicotine on the responses evoked by 0.1 µM α,β-meATP, a P2X receptor agonist, using Ca</w:t>
      </w:r>
      <w:r>
        <w:rPr>
          <w:rFonts w:ascii="Times New Roman" w:hAnsi="Times New Roman" w:cs="Times New Roman"/>
          <w:sz w:val="24"/>
          <w:vertAlign w:val="superscript"/>
        </w:rPr>
        <w:t>2+</w:t>
      </w:r>
      <w:r>
        <w:rPr>
          <w:rFonts w:ascii="Times New Roman" w:hAnsi="Times New Roman" w:cs="Times New Roman"/>
          <w:sz w:val="24"/>
        </w:rPr>
        <w:t>-imaging. The neonicotinoids Aceta (n = 5), Imida (n = 5), Cloth (n = 5), Thiac (n = 5), Thiam (n = 6) and Dino (n = 6) and nicotine (n = 7) were preincubated for 4.5 min prior to the application of α,β-meATP. Statistical significance was determined against control recordings (n = 6; n. s., not significant).</w:t>
      </w:r>
    </w:p>
    <w:p w14:paraId="1A62EAEA" w14:textId="77777777" w:rsidR="00A219A2" w:rsidRDefault="00B24350">
      <w:pPr>
        <w:jc w:val="center"/>
        <w:rPr>
          <w:rFonts w:ascii="Times New Roman" w:hAnsi="Times New Roman" w:cs="Times New Roman"/>
          <w:b/>
          <w:sz w:val="24"/>
        </w:rPr>
      </w:pPr>
      <w:r>
        <w:rPr>
          <w:noProof/>
          <w:lang w:val="de-DE" w:eastAsia="de-DE"/>
        </w:rPr>
        <w:lastRenderedPageBreak/>
        <w:drawing>
          <wp:inline distT="0" distB="0" distL="0" distR="0" wp14:anchorId="30B54CDE" wp14:editId="3652C0EF">
            <wp:extent cx="4326724" cy="4326724"/>
            <wp:effectExtent l="0" t="0" r="0" b="0"/>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7"/>
                    <pic:cNvPicPr>
                      <a:picLocks noChangeAspect="1" noChangeArrowheads="1"/>
                    </pic:cNvPicPr>
                  </pic:nvPicPr>
                  <pic:blipFill>
                    <a:blip r:embed="rId14"/>
                    <a:stretch>
                      <a:fillRect/>
                    </a:stretch>
                  </pic:blipFill>
                  <pic:spPr bwMode="auto">
                    <a:xfrm>
                      <a:off x="0" y="0"/>
                      <a:ext cx="4336652" cy="4336652"/>
                    </a:xfrm>
                    <a:prstGeom prst="rect">
                      <a:avLst/>
                    </a:prstGeom>
                  </pic:spPr>
                </pic:pic>
              </a:graphicData>
            </a:graphic>
          </wp:inline>
        </w:drawing>
      </w:r>
    </w:p>
    <w:p w14:paraId="5FDAD937" w14:textId="77777777" w:rsidR="00A219A2" w:rsidRDefault="0079413C">
      <w:pPr>
        <w:rPr>
          <w:rFonts w:ascii="Times New Roman" w:hAnsi="Times New Roman" w:cs="Times New Roman"/>
          <w:b/>
          <w:sz w:val="24"/>
        </w:rPr>
      </w:pPr>
      <w:r>
        <w:rPr>
          <w:rFonts w:ascii="Times New Roman" w:hAnsi="Times New Roman" w:cs="Times New Roman"/>
          <w:b/>
          <w:sz w:val="24"/>
        </w:rPr>
        <w:t>Fig. S</w:t>
      </w:r>
      <w:r w:rsidR="00395B88">
        <w:rPr>
          <w:rFonts w:ascii="Times New Roman" w:hAnsi="Times New Roman" w:cs="Times New Roman"/>
          <w:b/>
          <w:sz w:val="24"/>
        </w:rPr>
        <w:t>8:</w:t>
      </w:r>
      <w:r w:rsidR="00B24350">
        <w:rPr>
          <w:rFonts w:ascii="Times New Roman" w:hAnsi="Times New Roman" w:cs="Times New Roman"/>
          <w:b/>
          <w:sz w:val="24"/>
        </w:rPr>
        <w:t xml:space="preserve"> Effects of acetamiprid (Aceta) on Ca</w:t>
      </w:r>
      <w:r w:rsidR="00B24350">
        <w:rPr>
          <w:rFonts w:ascii="Times New Roman" w:hAnsi="Times New Roman" w:cs="Times New Roman"/>
          <w:b/>
          <w:sz w:val="24"/>
          <w:vertAlign w:val="superscript"/>
        </w:rPr>
        <w:t>2+</w:t>
      </w:r>
      <w:r w:rsidR="00B24350">
        <w:rPr>
          <w:rFonts w:ascii="Times New Roman" w:hAnsi="Times New Roman" w:cs="Times New Roman"/>
          <w:b/>
          <w:sz w:val="24"/>
        </w:rPr>
        <w:t xml:space="preserve">-signaling of individual </w:t>
      </w:r>
      <w:r w:rsidR="00B71D73">
        <w:rPr>
          <w:rFonts w:ascii="Times New Roman" w:hAnsi="Times New Roman" w:cs="Times New Roman"/>
          <w:b/>
          <w:sz w:val="24"/>
        </w:rPr>
        <w:t xml:space="preserve">LUHMES </w:t>
      </w:r>
      <w:r w:rsidR="00B24350">
        <w:rPr>
          <w:rFonts w:ascii="Times New Roman" w:hAnsi="Times New Roman" w:cs="Times New Roman"/>
          <w:b/>
          <w:sz w:val="24"/>
        </w:rPr>
        <w:t>neurons.</w:t>
      </w:r>
    </w:p>
    <w:p w14:paraId="69CBF463" w14:textId="77777777" w:rsidR="00A219A2" w:rsidRDefault="00DB5D50">
      <w:pPr>
        <w:jc w:val="both"/>
        <w:rPr>
          <w:rFonts w:ascii="Times New Roman" w:hAnsi="Times New Roman" w:cs="Times New Roman"/>
          <w:sz w:val="24"/>
        </w:rPr>
      </w:pPr>
      <w:r>
        <w:rPr>
          <w:rFonts w:ascii="Times New Roman" w:hAnsi="Times New Roman" w:cs="Times New Roman"/>
          <w:sz w:val="24"/>
        </w:rPr>
        <w:t>Percentage</w:t>
      </w:r>
      <w:r w:rsidR="00B24350">
        <w:rPr>
          <w:rFonts w:ascii="Times New Roman" w:hAnsi="Times New Roman" w:cs="Times New Roman"/>
          <w:sz w:val="24"/>
        </w:rPr>
        <w:t xml:space="preserve"> of responsive cells </w:t>
      </w:r>
      <w:r>
        <w:rPr>
          <w:rFonts w:ascii="Times New Roman" w:hAnsi="Times New Roman" w:cs="Times New Roman"/>
          <w:sz w:val="24"/>
        </w:rPr>
        <w:t>during</w:t>
      </w:r>
      <w:r w:rsidR="00B24350">
        <w:rPr>
          <w:rFonts w:ascii="Times New Roman" w:hAnsi="Times New Roman" w:cs="Times New Roman"/>
          <w:sz w:val="24"/>
        </w:rPr>
        <w:t xml:space="preserve"> the serial application of (A) 10 µM </w:t>
      </w:r>
      <w:r>
        <w:rPr>
          <w:rFonts w:ascii="Times New Roman" w:hAnsi="Times New Roman" w:cs="Times New Roman"/>
          <w:sz w:val="24"/>
        </w:rPr>
        <w:t>or</w:t>
      </w:r>
      <w:r w:rsidR="00B24350">
        <w:rPr>
          <w:rFonts w:ascii="Times New Roman" w:hAnsi="Times New Roman" w:cs="Times New Roman"/>
          <w:sz w:val="24"/>
        </w:rPr>
        <w:t xml:space="preserve"> (B) 100 µM Aceta, followed by the addition of 10 µM nicotine and 30 µM veratridine (VTD) in single-cell Ca</w:t>
      </w:r>
      <w:r w:rsidR="00B24350">
        <w:rPr>
          <w:rFonts w:ascii="Times New Roman" w:hAnsi="Times New Roman" w:cs="Times New Roman"/>
          <w:sz w:val="24"/>
          <w:vertAlign w:val="superscript"/>
        </w:rPr>
        <w:t>2+</w:t>
      </w:r>
      <w:r w:rsidR="00B24350">
        <w:rPr>
          <w:rFonts w:ascii="Times New Roman" w:hAnsi="Times New Roman" w:cs="Times New Roman"/>
          <w:sz w:val="24"/>
        </w:rPr>
        <w:t>-imaging. Compounds were incubated for 1-2 min, before the next application. The Na</w:t>
      </w:r>
      <w:r w:rsidR="00B24350">
        <w:rPr>
          <w:rFonts w:ascii="Times New Roman" w:hAnsi="Times New Roman" w:cs="Times New Roman"/>
          <w:sz w:val="24"/>
          <w:vertAlign w:val="subscript"/>
        </w:rPr>
        <w:t>V</w:t>
      </w:r>
      <w:r w:rsidR="00B24350">
        <w:rPr>
          <w:rFonts w:ascii="Times New Roman" w:hAnsi="Times New Roman" w:cs="Times New Roman"/>
          <w:sz w:val="24"/>
        </w:rPr>
        <w:t xml:space="preserve"> channel modulator VTD was used as a positive control. Statistical significance was determined against negative control recordings (*, significant; n. s., not significant) and between the values of 10 µM nicotine (#, significant). Detailed data on n numbers and percentages of responsive cells are found in table S7 &amp; S8, respectively.</w:t>
      </w:r>
    </w:p>
    <w:p w14:paraId="506B58E6" w14:textId="77777777" w:rsidR="00A219A2" w:rsidRDefault="00A219A2">
      <w:pPr>
        <w:jc w:val="both"/>
        <w:rPr>
          <w:rFonts w:ascii="Times New Roman" w:hAnsi="Times New Roman" w:cs="Times New Roman"/>
          <w:sz w:val="24"/>
        </w:rPr>
      </w:pPr>
    </w:p>
    <w:p w14:paraId="413E4EB7" w14:textId="77777777" w:rsidR="00A219A2" w:rsidRDefault="00A219A2">
      <w:pPr>
        <w:jc w:val="both"/>
        <w:rPr>
          <w:rFonts w:ascii="Times New Roman" w:hAnsi="Times New Roman" w:cs="Times New Roman"/>
          <w:b/>
          <w:sz w:val="24"/>
        </w:rPr>
      </w:pPr>
    </w:p>
    <w:p w14:paraId="0E5E902F" w14:textId="77777777" w:rsidR="00A219A2" w:rsidRDefault="00D2224C" w:rsidP="00D2224C">
      <w:pPr>
        <w:jc w:val="center"/>
        <w:rPr>
          <w:rFonts w:ascii="Times New Roman" w:hAnsi="Times New Roman" w:cs="Times New Roman"/>
          <w:sz w:val="24"/>
        </w:rPr>
      </w:pPr>
      <w:r>
        <w:rPr>
          <w:rFonts w:ascii="Times New Roman" w:hAnsi="Times New Roman" w:cs="Times New Roman"/>
          <w:noProof/>
          <w:sz w:val="24"/>
          <w:lang w:val="de-DE" w:eastAsia="de-DE"/>
        </w:rPr>
        <w:lastRenderedPageBreak/>
        <w:drawing>
          <wp:inline distT="0" distB="0" distL="0" distR="0" wp14:anchorId="1FC053F6" wp14:editId="3061D49E">
            <wp:extent cx="5779963" cy="240157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694" cy="2414339"/>
                    </a:xfrm>
                    <a:prstGeom prst="rect">
                      <a:avLst/>
                    </a:prstGeom>
                    <a:noFill/>
                  </pic:spPr>
                </pic:pic>
              </a:graphicData>
            </a:graphic>
          </wp:inline>
        </w:drawing>
      </w:r>
    </w:p>
    <w:p w14:paraId="5CCE1C69" w14:textId="77777777" w:rsidR="00D2224C" w:rsidRPr="00D2224C" w:rsidRDefault="00D2224C" w:rsidP="00D2224C">
      <w:pPr>
        <w:rPr>
          <w:rFonts w:ascii="Times New Roman" w:hAnsi="Times New Roman" w:cs="Times New Roman"/>
          <w:b/>
          <w:sz w:val="24"/>
        </w:rPr>
      </w:pPr>
      <w:r w:rsidRPr="00D2224C">
        <w:rPr>
          <w:rFonts w:ascii="Times New Roman" w:hAnsi="Times New Roman" w:cs="Times New Roman"/>
          <w:b/>
          <w:sz w:val="24"/>
        </w:rPr>
        <w:t>Fig. S</w:t>
      </w:r>
      <w:r w:rsidR="00395B88">
        <w:rPr>
          <w:rFonts w:ascii="Times New Roman" w:hAnsi="Times New Roman" w:cs="Times New Roman"/>
          <w:b/>
          <w:sz w:val="24"/>
        </w:rPr>
        <w:t>9</w:t>
      </w:r>
      <w:r w:rsidRPr="00D2224C">
        <w:rPr>
          <w:rFonts w:ascii="Times New Roman" w:hAnsi="Times New Roman" w:cs="Times New Roman"/>
          <w:b/>
          <w:sz w:val="24"/>
        </w:rPr>
        <w:t>: Physiologically-based toxicokinetic modelling of imidacloprid concentrations in the human population.</w:t>
      </w:r>
    </w:p>
    <w:p w14:paraId="6A24D0F8" w14:textId="77777777" w:rsidR="00D2224C" w:rsidRPr="008957E7" w:rsidRDefault="00D2224C" w:rsidP="008957E7">
      <w:pPr>
        <w:pStyle w:val="Textkrper"/>
        <w:jc w:val="both"/>
        <w:rPr>
          <w:rFonts w:ascii="Times New Roman" w:hAnsi="Times New Roman" w:cs="Times New Roman"/>
          <w:sz w:val="24"/>
          <w:szCs w:val="24"/>
        </w:rPr>
      </w:pPr>
      <w:r w:rsidRPr="008957E7">
        <w:rPr>
          <w:rFonts w:ascii="Times New Roman" w:hAnsi="Times New Roman" w:cs="Times New Roman"/>
          <w:sz w:val="24"/>
          <w:szCs w:val="24"/>
        </w:rPr>
        <w:t xml:space="preserve">A physiology-based toxicokinetic model (PBTK model) was established in the Simcyp Simulator V19 (Certara, Sheffield, UK), using a previously published approach </w:t>
      </w:r>
      <w:r w:rsidRPr="008957E7">
        <w:rPr>
          <w:rFonts w:ascii="Times New Roman" w:hAnsi="Times New Roman" w:cs="Times New Roman"/>
          <w:sz w:val="24"/>
          <w:szCs w:val="24"/>
        </w:rPr>
        <w:fldChar w:fldCharType="begin"/>
      </w:r>
      <w:r w:rsidRPr="008957E7">
        <w:rPr>
          <w:rFonts w:ascii="Times New Roman" w:hAnsi="Times New Roman" w:cs="Times New Roman"/>
          <w:sz w:val="24"/>
          <w:szCs w:val="24"/>
        </w:rPr>
        <w:instrText xml:space="preserve"> ADDIN ZOTERO_ITEM CSL_CITATION {"citationID":"2fZ3iN6Z","properties":{"formattedCitation":"(Albrecht et al. 2019)","plainCitation":"(Albrecht et al. 2019)","noteIndex":0},"citationItems":[{"id":4857,"uris":["http://zotero.org/users/local/MijtTDlV/items/N7K9MP8I"],"uri":["http://zotero.org/users/local/MijtTDlV/items/N7K9MP8I"],"itemData":{"id":4857,"type":"article-journal","abstract":"Drug-induced liver injury (DILI) cannot be accurately predicted by animal models. In addition, currently available in vitro methods do not allow for the estimation of hepatotoxic doses or the determination of an acceptable daily intake (ADI). To overcome this limitation, an in vitro/in silico method was established that predicts the risk of human DILI in relation to oral doses and blood concentrations. This method can be used to estimate DILI risk if the maximal blood concentration (Cmax) of the test compound is known. Moreover, an ADI can be estimated even for compounds without information on blood concentrations. To systematically optimize the in vitro system, two novel test performance metrics were introduced, the toxicity separation index (TSI) which quantifies how well a test differentiates between hepatotoxic and non-hepatotoxic compounds, and the toxicity estimation index (TEI) which measures how well hepatotoxic blood concentrations in vivo can be estimated. In vitro test performance was optimized for a training set of 28 compounds, based on TSI and TEI, demonstrating that (1) concentrations where cytotoxicity first becomes evident in vitro (EC10) yielded better metrics than higher toxicity thresholds (EC50); (2) compound incubation for 48 h was better than 24 h, with no further improvement of TSI after 7 days incubation; (3) metrics were moderately improved by adding gene expression to the test battery; (4) evaluation of pharmacokinetic parameters demonstrated that total blood compound concentrations and the 95%-population-based percentile of Cmax were best suited to estimate human toxicity. With a support vector machine-based classifier, using EC10 and Cmax as variables, the cross-validated sensitivity, specificity and accuracy for hepatotoxicity prediction were 100, 88 and 93%, respectively. Concentrations in the culture medium allowed extrapolation to blood concentrations in vivo that are associated with a specific probability of hepatotoxicity and the corresponding oral doses were obtained by reverse modeling. Application of this in vitro/in silico method to the rat hepatotoxicant pulegone resulted in an ADI that was similar to values previously established based on animal experiments. In conclusion, the proposed method links oral doses and blood concentrations of test compounds to the probability of hepatotoxicity.","container-title":"Archives of Toxicology","DOI":"10.1007/s00204-019-02492-9","ISSN":"1432-0738","issue":"6","journalAbbreviation":"Arch Toxicol","language":"en","page":"1609-1637","source":"Springer Link","title":"Prediction of human drug-induced liver injury (DILI) in relation to oral doses and blood concentrations","volume":"93","author":[{"family":"Albrecht","given":"Wiebke"},{"family":"Kappenberg","given":"Franziska"},{"family":"Brecklinghaus","given":"Tim"},{"family":"Stoeber","given":"Regina"},{"family":"Marchan","given":"Rosemarie"},{"family":"Zhang","given":"Mian"},{"family":"Ebbert","given":"Kristina"},{"family":"Kirschner","given":"Hendrik"},{"family":"Grinberg","given":"Marianna"},{"family":"Leist","given":"Marcel"},{"family":"Moritz","given":"Wolfgang"},{"family":"Cadenas","given":"Cristina"},{"family":"Ghallab","given":"Ahmed"},{"family":"Reinders","given":"Jörg"},{"family":"Vartak","given":"Nachiket"},{"family":"Thriel","given":"Christoph","non-dropping-particle":"van"},{"family":"Golka","given":"Klaus"},{"family":"Tolosa","given":"Laia"},{"family":"Castell","given":"José V."},{"family":"Damm","given":"Georg"},{"family":"Seehofer","given":"Daniel"},{"family":"Lampen","given":"Alfonso"},{"family":"Braeuning","given":"Albert"},{"family":"Buhrke","given":"Thorsten"},{"family":"Behr","given":"Anne-Cathrin"},{"family":"Oberemm","given":"Axel"},{"family":"Gu","given":"Xiaolong"},{"family":"Kittana","given":"Naim"},{"family":"Water","given":"Bob","non-dropping-particle":"van de"},{"family":"Kreiling","given":"Reinhard"},{"family":"Fayyaz","given":"Susann"},{"family":"Aerts","given":"Leon","non-dropping-particle":"van"},{"family":"Smedsrød","given":"Bård"},{"family":"Ellinger-Ziegelbauer","given":"Heidrun"},{"family":"Steger-Hartmann","given":"Thomas"},{"family":"Gundert-Remy","given":"Ursula"},{"family":"Zeigerer","given":"Anja"},{"family":"Ullrich","given":"Anett"},{"family":"Runge","given":"Dieter"},{"family":"Lee","given":"Serene M. L."},{"family":"Schiergens","given":"Tobias S."},{"family":"Kuepfer","given":"Lars"},{"family":"Aguayo-Orozco","given":"Alejandro"},{"family":"Sachinidis","given":"Agapios"},{"family":"Edlund","given":"Karolina"},{"family":"Gardner","given":"Iain"},{"family":"Rahnenführer","given":"Jörg"},{"family":"Hengstler","given":"Jan G."}],"issued":{"date-parts":[["2019",6,1]]}}}],"schema":"https://github.com/citation-style-language/schema/raw/master/csl-citation.json"} </w:instrText>
      </w:r>
      <w:r w:rsidRPr="008957E7">
        <w:rPr>
          <w:rFonts w:ascii="Times New Roman" w:hAnsi="Times New Roman" w:cs="Times New Roman"/>
          <w:sz w:val="24"/>
          <w:szCs w:val="24"/>
        </w:rPr>
        <w:fldChar w:fldCharType="separate"/>
      </w:r>
      <w:r w:rsidRPr="008957E7">
        <w:rPr>
          <w:rFonts w:ascii="Times New Roman" w:hAnsi="Times New Roman" w:cs="Times New Roman"/>
          <w:sz w:val="24"/>
          <w:szCs w:val="24"/>
        </w:rPr>
        <w:t>(Albrecht et al. 2019)</w:t>
      </w:r>
      <w:r w:rsidRPr="008957E7">
        <w:rPr>
          <w:rFonts w:ascii="Times New Roman" w:hAnsi="Times New Roman" w:cs="Times New Roman"/>
          <w:sz w:val="24"/>
          <w:szCs w:val="24"/>
        </w:rPr>
        <w:fldChar w:fldCharType="end"/>
      </w:r>
      <w:r w:rsidRPr="008957E7">
        <w:rPr>
          <w:rFonts w:ascii="Times New Roman" w:hAnsi="Times New Roman" w:cs="Times New Roman"/>
          <w:sz w:val="24"/>
          <w:szCs w:val="24"/>
        </w:rPr>
        <w:t>. The input parameters for imidacloprid ar</w:t>
      </w:r>
      <w:r w:rsidR="008957E7" w:rsidRPr="008957E7">
        <w:rPr>
          <w:rFonts w:ascii="Times New Roman" w:hAnsi="Times New Roman" w:cs="Times New Roman"/>
          <w:sz w:val="24"/>
          <w:szCs w:val="24"/>
        </w:rPr>
        <w:t>e given in table S11</w:t>
      </w:r>
      <w:r w:rsidRPr="008957E7">
        <w:rPr>
          <w:rFonts w:ascii="Times New Roman" w:hAnsi="Times New Roman" w:cs="Times New Roman"/>
          <w:sz w:val="24"/>
          <w:szCs w:val="24"/>
        </w:rPr>
        <w:t xml:space="preserve">. The systemic exposure following an oral dose of 0.16 mg/kg, given every 24 h intervals to 100 individuals (50% female) with randomly assigned phenotypic and genotypic properties typical for a </w:t>
      </w:r>
      <w:r w:rsidR="004D3AFE" w:rsidRPr="008957E7">
        <w:rPr>
          <w:rFonts w:ascii="Times New Roman" w:hAnsi="Times New Roman" w:cs="Times New Roman"/>
          <w:sz w:val="24"/>
          <w:szCs w:val="24"/>
        </w:rPr>
        <w:t>Caucasian</w:t>
      </w:r>
      <w:r w:rsidRPr="008957E7">
        <w:rPr>
          <w:rFonts w:ascii="Times New Roman" w:hAnsi="Times New Roman" w:cs="Times New Roman"/>
          <w:sz w:val="24"/>
          <w:szCs w:val="24"/>
        </w:rPr>
        <w:t xml:space="preserve"> Northern European population are shown. In the panel to the left, the predicted mean plasma concentrations (green line) are shown with the 5</w:t>
      </w:r>
      <w:r w:rsidRPr="008957E7">
        <w:rPr>
          <w:rFonts w:ascii="Times New Roman" w:hAnsi="Times New Roman" w:cs="Times New Roman"/>
          <w:sz w:val="24"/>
          <w:szCs w:val="24"/>
          <w:vertAlign w:val="superscript"/>
        </w:rPr>
        <w:t>th</w:t>
      </w:r>
      <w:r w:rsidRPr="008957E7">
        <w:rPr>
          <w:rFonts w:ascii="Times New Roman" w:hAnsi="Times New Roman" w:cs="Times New Roman"/>
          <w:sz w:val="24"/>
          <w:szCs w:val="24"/>
        </w:rPr>
        <w:t xml:space="preserve"> and 95</w:t>
      </w:r>
      <w:r w:rsidRPr="008957E7">
        <w:rPr>
          <w:rFonts w:ascii="Times New Roman" w:hAnsi="Times New Roman" w:cs="Times New Roman"/>
          <w:sz w:val="24"/>
          <w:szCs w:val="24"/>
          <w:vertAlign w:val="superscript"/>
        </w:rPr>
        <w:t>th</w:t>
      </w:r>
      <w:r w:rsidRPr="008957E7">
        <w:rPr>
          <w:rFonts w:ascii="Times New Roman" w:hAnsi="Times New Roman" w:cs="Times New Roman"/>
          <w:sz w:val="24"/>
          <w:szCs w:val="24"/>
        </w:rPr>
        <w:t xml:space="preserve"> percentiles of the population represented as dashed lines. In the panel to the right, mean plasma and brain concentrations are compared. A description of the full model building and model application for all compounds will be reported elsewhere, as this would exceed the scope of the current study.</w:t>
      </w:r>
    </w:p>
    <w:p w14:paraId="2171985B" w14:textId="77777777" w:rsidR="00A219A2" w:rsidRDefault="00A219A2">
      <w:pPr>
        <w:rPr>
          <w:rFonts w:ascii="Times New Roman" w:hAnsi="Times New Roman" w:cs="Times New Roman"/>
          <w:sz w:val="24"/>
        </w:rPr>
      </w:pPr>
    </w:p>
    <w:p w14:paraId="1DEEA1DE" w14:textId="77777777" w:rsidR="00A219A2" w:rsidRDefault="00A219A2">
      <w:pPr>
        <w:rPr>
          <w:rFonts w:ascii="Times New Roman" w:hAnsi="Times New Roman" w:cs="Times New Roman"/>
          <w:b/>
          <w:sz w:val="24"/>
        </w:rPr>
      </w:pPr>
    </w:p>
    <w:p w14:paraId="66C48E13" w14:textId="77777777" w:rsidR="00A219A2" w:rsidRDefault="00B24350">
      <w:pPr>
        <w:jc w:val="center"/>
        <w:rPr>
          <w:rFonts w:ascii="Times New Roman" w:hAnsi="Times New Roman" w:cs="Times New Roman"/>
          <w:b/>
          <w:sz w:val="24"/>
        </w:rPr>
      </w:pPr>
      <w:r>
        <w:br w:type="page"/>
      </w:r>
    </w:p>
    <w:p w14:paraId="1D8B533C"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Table S1. Compound list.</w:t>
      </w:r>
    </w:p>
    <w:p w14:paraId="0504E098" w14:textId="15F411B4" w:rsidR="00A219A2" w:rsidRDefault="00532B27">
      <w:pPr>
        <w:jc w:val="both"/>
        <w:rPr>
          <w:rFonts w:ascii="Times New Roman" w:hAnsi="Times New Roman" w:cs="Times New Roman"/>
          <w:sz w:val="24"/>
        </w:rPr>
      </w:pPr>
      <w:r w:rsidRPr="00532B27">
        <w:drawing>
          <wp:inline distT="0" distB="0" distL="0" distR="0" wp14:anchorId="1CDC1BDD" wp14:editId="22E84025">
            <wp:extent cx="4981575" cy="869583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1417" cy="8713017"/>
                    </a:xfrm>
                    <a:prstGeom prst="rect">
                      <a:avLst/>
                    </a:prstGeom>
                    <a:noFill/>
                    <a:ln>
                      <a:noFill/>
                    </a:ln>
                  </pic:spPr>
                </pic:pic>
              </a:graphicData>
            </a:graphic>
          </wp:inline>
        </w:drawing>
      </w:r>
      <w:bookmarkStart w:id="0" w:name="_GoBack"/>
      <w:bookmarkEnd w:id="0"/>
    </w:p>
    <w:p w14:paraId="2728D8C0"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Table S2. Overview of pEC</w:t>
      </w:r>
      <w:r>
        <w:rPr>
          <w:rFonts w:ascii="Times New Roman" w:hAnsi="Times New Roman" w:cs="Times New Roman"/>
          <w:b/>
          <w:sz w:val="24"/>
          <w:vertAlign w:val="subscript"/>
        </w:rPr>
        <w:t>50</w:t>
      </w:r>
      <w:r>
        <w:rPr>
          <w:rFonts w:ascii="Times New Roman" w:hAnsi="Times New Roman" w:cs="Times New Roman"/>
          <w:b/>
          <w:sz w:val="24"/>
        </w:rPr>
        <w:t xml:space="preserve"> values for agonist experiments.</w:t>
      </w:r>
    </w:p>
    <w:p w14:paraId="650FF3B2" w14:textId="77777777" w:rsidR="00A219A2" w:rsidRDefault="00381BC9">
      <w:pPr>
        <w:jc w:val="both"/>
        <w:rPr>
          <w:rFonts w:ascii="Times New Roman" w:hAnsi="Times New Roman" w:cs="Times New Roman"/>
          <w:sz w:val="24"/>
        </w:rPr>
      </w:pPr>
      <w:r w:rsidRPr="00381BC9">
        <w:rPr>
          <w:noProof/>
          <w:lang w:val="de-DE" w:eastAsia="de-DE"/>
        </w:rPr>
        <w:drawing>
          <wp:inline distT="0" distB="0" distL="0" distR="0" wp14:anchorId="3936E0AF" wp14:editId="09565BBD">
            <wp:extent cx="5143500" cy="31813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3181350"/>
                    </a:xfrm>
                    <a:prstGeom prst="rect">
                      <a:avLst/>
                    </a:prstGeom>
                    <a:noFill/>
                    <a:ln>
                      <a:noFill/>
                    </a:ln>
                  </pic:spPr>
                </pic:pic>
              </a:graphicData>
            </a:graphic>
          </wp:inline>
        </w:drawing>
      </w:r>
    </w:p>
    <w:p w14:paraId="3004EB7A" w14:textId="77777777" w:rsidR="00A219A2" w:rsidRDefault="00A219A2">
      <w:pPr>
        <w:jc w:val="both"/>
        <w:rPr>
          <w:rFonts w:ascii="Times New Roman" w:hAnsi="Times New Roman" w:cs="Times New Roman"/>
          <w:sz w:val="24"/>
        </w:rPr>
      </w:pPr>
    </w:p>
    <w:p w14:paraId="47CA6BCE" w14:textId="77777777" w:rsidR="00A219A2" w:rsidRDefault="00B24350">
      <w:pPr>
        <w:rPr>
          <w:rFonts w:ascii="Times New Roman" w:hAnsi="Times New Roman" w:cs="Times New Roman"/>
          <w:b/>
          <w:sz w:val="24"/>
        </w:rPr>
      </w:pPr>
      <w:r>
        <w:br w:type="page"/>
      </w:r>
    </w:p>
    <w:p w14:paraId="3B96986D"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Table S3. Overview of pIC</w:t>
      </w:r>
      <w:r>
        <w:rPr>
          <w:rFonts w:ascii="Times New Roman" w:hAnsi="Times New Roman" w:cs="Times New Roman"/>
          <w:b/>
          <w:sz w:val="24"/>
          <w:vertAlign w:val="subscript"/>
        </w:rPr>
        <w:t>50</w:t>
      </w:r>
      <w:r>
        <w:rPr>
          <w:rFonts w:ascii="Times New Roman" w:hAnsi="Times New Roman" w:cs="Times New Roman"/>
          <w:b/>
          <w:sz w:val="24"/>
        </w:rPr>
        <w:t xml:space="preserve"> values for antagonist experiments.</w:t>
      </w:r>
    </w:p>
    <w:p w14:paraId="1B62583B" w14:textId="77777777" w:rsidR="00A219A2" w:rsidRDefault="009C170D">
      <w:pPr>
        <w:jc w:val="both"/>
        <w:rPr>
          <w:rFonts w:ascii="Times New Roman" w:hAnsi="Times New Roman" w:cs="Times New Roman"/>
          <w:sz w:val="24"/>
        </w:rPr>
      </w:pPr>
      <w:r w:rsidRPr="009C170D">
        <w:rPr>
          <w:noProof/>
          <w:lang w:val="de-DE" w:eastAsia="de-DE"/>
        </w:rPr>
        <w:drawing>
          <wp:inline distT="0" distB="0" distL="0" distR="0" wp14:anchorId="510A240C" wp14:editId="0D15B7A7">
            <wp:extent cx="5172075" cy="3590925"/>
            <wp:effectExtent l="0" t="0" r="9525"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2075" cy="3590925"/>
                    </a:xfrm>
                    <a:prstGeom prst="rect">
                      <a:avLst/>
                    </a:prstGeom>
                    <a:noFill/>
                    <a:ln>
                      <a:noFill/>
                    </a:ln>
                  </pic:spPr>
                </pic:pic>
              </a:graphicData>
            </a:graphic>
          </wp:inline>
        </w:drawing>
      </w:r>
    </w:p>
    <w:p w14:paraId="26DF7F9D" w14:textId="77777777" w:rsidR="00A219A2" w:rsidRDefault="00A219A2">
      <w:pPr>
        <w:jc w:val="both"/>
        <w:rPr>
          <w:rFonts w:ascii="Times New Roman" w:hAnsi="Times New Roman" w:cs="Times New Roman"/>
          <w:sz w:val="24"/>
        </w:rPr>
      </w:pPr>
    </w:p>
    <w:p w14:paraId="672F7C01" w14:textId="77777777" w:rsidR="00A219A2" w:rsidRDefault="00B24350">
      <w:pPr>
        <w:rPr>
          <w:rFonts w:ascii="Times New Roman" w:hAnsi="Times New Roman" w:cs="Times New Roman"/>
          <w:b/>
          <w:sz w:val="24"/>
        </w:rPr>
      </w:pPr>
      <w:r>
        <w:br w:type="page"/>
      </w:r>
    </w:p>
    <w:p w14:paraId="23B527A1" w14:textId="77777777" w:rsidR="00A219A2" w:rsidRDefault="00B24350">
      <w:pPr>
        <w:spacing w:after="120"/>
        <w:rPr>
          <w:rFonts w:ascii="Times New Roman" w:hAnsi="Times New Roman" w:cs="Times New Roman"/>
          <w:b/>
          <w:sz w:val="24"/>
        </w:rPr>
      </w:pPr>
      <w:r>
        <w:rPr>
          <w:rFonts w:ascii="Times New Roman" w:hAnsi="Times New Roman" w:cs="Times New Roman"/>
          <w:b/>
          <w:sz w:val="24"/>
        </w:rPr>
        <w:lastRenderedPageBreak/>
        <w:t xml:space="preserve">Table S4. Overview of concentrations and </w:t>
      </w:r>
      <w:r w:rsidR="00091560">
        <w:rPr>
          <w:rFonts w:ascii="Times New Roman" w:hAnsi="Times New Roman" w:cs="Times New Roman"/>
          <w:b/>
          <w:sz w:val="24"/>
        </w:rPr>
        <w:t xml:space="preserve">technical </w:t>
      </w:r>
      <w:r>
        <w:rPr>
          <w:rFonts w:ascii="Times New Roman" w:hAnsi="Times New Roman" w:cs="Times New Roman"/>
          <w:b/>
          <w:sz w:val="24"/>
        </w:rPr>
        <w:t>replicates for agonist and antagonist experiments.</w:t>
      </w:r>
    </w:p>
    <w:p w14:paraId="77BE093A" w14:textId="77777777" w:rsidR="00A219A2" w:rsidRDefault="000D026C">
      <w:pPr>
        <w:jc w:val="both"/>
        <w:rPr>
          <w:rFonts w:ascii="Times New Roman" w:hAnsi="Times New Roman" w:cs="Times New Roman"/>
          <w:sz w:val="24"/>
        </w:rPr>
      </w:pPr>
      <w:r w:rsidRPr="000D026C">
        <w:rPr>
          <w:noProof/>
          <w:lang w:val="de-DE" w:eastAsia="de-DE"/>
        </w:rPr>
        <w:drawing>
          <wp:inline distT="0" distB="0" distL="0" distR="0" wp14:anchorId="15334C99" wp14:editId="6C0E55A2">
            <wp:extent cx="5029200" cy="8515145"/>
            <wp:effectExtent l="0" t="0" r="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7496" cy="8529192"/>
                    </a:xfrm>
                    <a:prstGeom prst="rect">
                      <a:avLst/>
                    </a:prstGeom>
                    <a:noFill/>
                    <a:ln>
                      <a:noFill/>
                    </a:ln>
                  </pic:spPr>
                </pic:pic>
              </a:graphicData>
            </a:graphic>
          </wp:inline>
        </w:drawing>
      </w:r>
    </w:p>
    <w:p w14:paraId="5074E9AF"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Table S5. Overview of pIC</w:t>
      </w:r>
      <w:r>
        <w:rPr>
          <w:rFonts w:ascii="Times New Roman" w:hAnsi="Times New Roman" w:cs="Times New Roman"/>
          <w:b/>
          <w:sz w:val="24"/>
          <w:vertAlign w:val="subscript"/>
        </w:rPr>
        <w:t>50</w:t>
      </w:r>
      <w:r>
        <w:rPr>
          <w:rFonts w:ascii="Times New Roman" w:hAnsi="Times New Roman" w:cs="Times New Roman"/>
          <w:b/>
          <w:sz w:val="24"/>
        </w:rPr>
        <w:t xml:space="preserve"> values for experiments with neonicotinoids.</w:t>
      </w:r>
    </w:p>
    <w:p w14:paraId="3035C2E8" w14:textId="77777777" w:rsidR="00A219A2" w:rsidRDefault="00273BBC">
      <w:pPr>
        <w:jc w:val="both"/>
        <w:rPr>
          <w:rFonts w:ascii="Times New Roman" w:hAnsi="Times New Roman" w:cs="Times New Roman"/>
          <w:sz w:val="24"/>
        </w:rPr>
      </w:pPr>
      <w:r w:rsidRPr="00273BBC">
        <w:rPr>
          <w:noProof/>
          <w:lang w:val="de-DE" w:eastAsia="de-DE"/>
        </w:rPr>
        <w:drawing>
          <wp:inline distT="0" distB="0" distL="0" distR="0" wp14:anchorId="7CF80FB3" wp14:editId="537F3CF0">
            <wp:extent cx="5143500" cy="7210425"/>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7210425"/>
                    </a:xfrm>
                    <a:prstGeom prst="rect">
                      <a:avLst/>
                    </a:prstGeom>
                    <a:noFill/>
                    <a:ln>
                      <a:noFill/>
                    </a:ln>
                  </pic:spPr>
                </pic:pic>
              </a:graphicData>
            </a:graphic>
          </wp:inline>
        </w:drawing>
      </w:r>
    </w:p>
    <w:p w14:paraId="1982FA14" w14:textId="77777777" w:rsidR="00A219A2" w:rsidRDefault="00B24350">
      <w:pPr>
        <w:jc w:val="both"/>
        <w:rPr>
          <w:rFonts w:ascii="Times New Roman" w:hAnsi="Times New Roman" w:cs="Times New Roman"/>
          <w:sz w:val="24"/>
        </w:rPr>
      </w:pPr>
      <w:r>
        <w:rPr>
          <w:rFonts w:ascii="Times New Roman" w:hAnsi="Times New Roman" w:cs="Times New Roman"/>
          <w:sz w:val="24"/>
        </w:rPr>
        <w:t>(Table continued on next page.)</w:t>
      </w:r>
    </w:p>
    <w:p w14:paraId="50C082CB" w14:textId="77777777" w:rsidR="00A219A2" w:rsidRDefault="00A219A2">
      <w:pPr>
        <w:jc w:val="both"/>
        <w:rPr>
          <w:rFonts w:ascii="Times New Roman" w:hAnsi="Times New Roman" w:cs="Times New Roman"/>
          <w:sz w:val="24"/>
        </w:rPr>
      </w:pPr>
    </w:p>
    <w:p w14:paraId="04668210" w14:textId="77777777" w:rsidR="00A219A2" w:rsidRDefault="00A219A2">
      <w:pPr>
        <w:jc w:val="both"/>
        <w:rPr>
          <w:rFonts w:ascii="Times New Roman" w:hAnsi="Times New Roman" w:cs="Times New Roman"/>
          <w:sz w:val="24"/>
        </w:rPr>
      </w:pPr>
    </w:p>
    <w:p w14:paraId="6B984AE5" w14:textId="77777777" w:rsidR="00A219A2" w:rsidRDefault="00A219A2">
      <w:pPr>
        <w:jc w:val="both"/>
        <w:rPr>
          <w:rFonts w:ascii="Times New Roman" w:hAnsi="Times New Roman" w:cs="Times New Roman"/>
          <w:sz w:val="24"/>
        </w:rPr>
      </w:pPr>
    </w:p>
    <w:p w14:paraId="4C7E1E0A" w14:textId="77777777" w:rsidR="003C35BF" w:rsidRDefault="003C35BF">
      <w:pPr>
        <w:jc w:val="both"/>
        <w:rPr>
          <w:rFonts w:ascii="Times New Roman" w:hAnsi="Times New Roman" w:cs="Times New Roman"/>
          <w:sz w:val="24"/>
        </w:rPr>
      </w:pPr>
    </w:p>
    <w:p w14:paraId="1D534060" w14:textId="77777777" w:rsidR="003C35BF" w:rsidRDefault="003C35BF">
      <w:pPr>
        <w:jc w:val="both"/>
        <w:rPr>
          <w:rFonts w:ascii="Times New Roman" w:hAnsi="Times New Roman" w:cs="Times New Roman"/>
          <w:sz w:val="24"/>
        </w:rPr>
      </w:pPr>
    </w:p>
    <w:p w14:paraId="1DD95514" w14:textId="77777777" w:rsidR="00A219A2" w:rsidRDefault="00B24350">
      <w:pPr>
        <w:rPr>
          <w:rFonts w:ascii="Times New Roman" w:hAnsi="Times New Roman" w:cs="Times New Roman"/>
          <w:b/>
          <w:sz w:val="24"/>
        </w:rPr>
      </w:pPr>
      <w:r>
        <w:rPr>
          <w:rFonts w:ascii="Times New Roman" w:hAnsi="Times New Roman" w:cs="Times New Roman"/>
          <w:b/>
          <w:sz w:val="24"/>
        </w:rPr>
        <w:t>Table S5. Overview of pIC</w:t>
      </w:r>
      <w:r>
        <w:rPr>
          <w:rFonts w:ascii="Times New Roman" w:hAnsi="Times New Roman" w:cs="Times New Roman"/>
          <w:b/>
          <w:sz w:val="24"/>
          <w:vertAlign w:val="subscript"/>
        </w:rPr>
        <w:t>50</w:t>
      </w:r>
      <w:r>
        <w:rPr>
          <w:rFonts w:ascii="Times New Roman" w:hAnsi="Times New Roman" w:cs="Times New Roman"/>
          <w:b/>
          <w:sz w:val="24"/>
        </w:rPr>
        <w:t xml:space="preserve"> values for experiments with neonicotinoids. (continued)</w:t>
      </w:r>
    </w:p>
    <w:p w14:paraId="35A1AE91" w14:textId="77777777" w:rsidR="00A219A2" w:rsidRDefault="005E5EA7">
      <w:pPr>
        <w:jc w:val="both"/>
        <w:rPr>
          <w:rFonts w:ascii="Times New Roman" w:hAnsi="Times New Roman" w:cs="Times New Roman"/>
          <w:sz w:val="24"/>
        </w:rPr>
      </w:pPr>
      <w:r w:rsidRPr="005E5EA7">
        <w:rPr>
          <w:noProof/>
          <w:lang w:val="de-DE" w:eastAsia="de-DE"/>
        </w:rPr>
        <w:drawing>
          <wp:inline distT="0" distB="0" distL="0" distR="0" wp14:anchorId="5351A737" wp14:editId="7E88D59F">
            <wp:extent cx="5144770" cy="303720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4770" cy="3037205"/>
                    </a:xfrm>
                    <a:prstGeom prst="rect">
                      <a:avLst/>
                    </a:prstGeom>
                    <a:noFill/>
                    <a:ln>
                      <a:noFill/>
                    </a:ln>
                  </pic:spPr>
                </pic:pic>
              </a:graphicData>
            </a:graphic>
          </wp:inline>
        </w:drawing>
      </w:r>
    </w:p>
    <w:p w14:paraId="16B2C366" w14:textId="77777777" w:rsidR="005E5EA7" w:rsidRDefault="005E5EA7">
      <w:pPr>
        <w:jc w:val="both"/>
        <w:rPr>
          <w:rFonts w:ascii="Times New Roman" w:hAnsi="Times New Roman" w:cs="Times New Roman"/>
          <w:sz w:val="24"/>
        </w:rPr>
      </w:pPr>
    </w:p>
    <w:p w14:paraId="62FEE7E9" w14:textId="77777777" w:rsidR="00A219A2" w:rsidRDefault="00B24350">
      <w:pPr>
        <w:rPr>
          <w:rFonts w:ascii="Times New Roman" w:hAnsi="Times New Roman" w:cs="Times New Roman"/>
          <w:b/>
          <w:sz w:val="24"/>
        </w:rPr>
      </w:pPr>
      <w:r>
        <w:br w:type="page"/>
      </w:r>
    </w:p>
    <w:p w14:paraId="6813B6E6"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 xml:space="preserve">Table S6. Overview of concentrations and </w:t>
      </w:r>
      <w:r w:rsidR="00091560">
        <w:rPr>
          <w:rFonts w:ascii="Times New Roman" w:hAnsi="Times New Roman" w:cs="Times New Roman"/>
          <w:b/>
          <w:sz w:val="24"/>
        </w:rPr>
        <w:t xml:space="preserve">technical </w:t>
      </w:r>
      <w:r>
        <w:rPr>
          <w:rFonts w:ascii="Times New Roman" w:hAnsi="Times New Roman" w:cs="Times New Roman"/>
          <w:b/>
          <w:sz w:val="24"/>
        </w:rPr>
        <w:t>replicates for experiments with neonicotinoids.</w:t>
      </w:r>
    </w:p>
    <w:p w14:paraId="575C8CEA" w14:textId="77777777" w:rsidR="00A219A2" w:rsidRDefault="000D026C">
      <w:pPr>
        <w:jc w:val="both"/>
        <w:rPr>
          <w:rFonts w:ascii="Times New Roman" w:hAnsi="Times New Roman" w:cs="Times New Roman"/>
          <w:sz w:val="24"/>
        </w:rPr>
      </w:pPr>
      <w:r w:rsidRPr="000D026C">
        <w:rPr>
          <w:noProof/>
          <w:lang w:val="de-DE" w:eastAsia="de-DE"/>
        </w:rPr>
        <w:drawing>
          <wp:inline distT="0" distB="0" distL="0" distR="0" wp14:anchorId="62784380" wp14:editId="3AC26063">
            <wp:extent cx="5229225" cy="7667625"/>
            <wp:effectExtent l="0" t="0" r="9525"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9225" cy="7667625"/>
                    </a:xfrm>
                    <a:prstGeom prst="rect">
                      <a:avLst/>
                    </a:prstGeom>
                    <a:noFill/>
                    <a:ln>
                      <a:noFill/>
                    </a:ln>
                  </pic:spPr>
                </pic:pic>
              </a:graphicData>
            </a:graphic>
          </wp:inline>
        </w:drawing>
      </w:r>
    </w:p>
    <w:p w14:paraId="1496D469" w14:textId="77777777" w:rsidR="00A219A2" w:rsidRDefault="00B24350">
      <w:pPr>
        <w:jc w:val="both"/>
        <w:rPr>
          <w:rFonts w:ascii="Times New Roman" w:hAnsi="Times New Roman" w:cs="Times New Roman"/>
          <w:sz w:val="24"/>
        </w:rPr>
      </w:pPr>
      <w:r>
        <w:rPr>
          <w:rFonts w:ascii="Times New Roman" w:hAnsi="Times New Roman" w:cs="Times New Roman"/>
          <w:sz w:val="24"/>
        </w:rPr>
        <w:t>(Table continued on next page.)</w:t>
      </w:r>
    </w:p>
    <w:p w14:paraId="795F8D18" w14:textId="77777777" w:rsidR="00A219A2" w:rsidRDefault="00A219A2">
      <w:pPr>
        <w:jc w:val="both"/>
        <w:rPr>
          <w:rFonts w:ascii="Times New Roman" w:hAnsi="Times New Roman" w:cs="Times New Roman"/>
          <w:sz w:val="24"/>
        </w:rPr>
      </w:pPr>
    </w:p>
    <w:p w14:paraId="61B4C076" w14:textId="77777777" w:rsidR="00A219A2" w:rsidRDefault="00B24350">
      <w:pPr>
        <w:rPr>
          <w:rFonts w:ascii="Times New Roman" w:hAnsi="Times New Roman" w:cs="Times New Roman"/>
          <w:sz w:val="24"/>
        </w:rPr>
      </w:pPr>
      <w:r>
        <w:rPr>
          <w:rFonts w:ascii="Times New Roman" w:hAnsi="Times New Roman" w:cs="Times New Roman"/>
          <w:b/>
          <w:sz w:val="24"/>
        </w:rPr>
        <w:lastRenderedPageBreak/>
        <w:t xml:space="preserve">Table S6. Overview of concentrations and </w:t>
      </w:r>
      <w:r w:rsidR="00091560">
        <w:rPr>
          <w:rFonts w:ascii="Times New Roman" w:hAnsi="Times New Roman" w:cs="Times New Roman"/>
          <w:b/>
          <w:sz w:val="24"/>
        </w:rPr>
        <w:t xml:space="preserve">technical </w:t>
      </w:r>
      <w:r>
        <w:rPr>
          <w:rFonts w:ascii="Times New Roman" w:hAnsi="Times New Roman" w:cs="Times New Roman"/>
          <w:b/>
          <w:sz w:val="24"/>
        </w:rPr>
        <w:t>replicates for experiments with neonicotinoids. (continued)</w:t>
      </w:r>
    </w:p>
    <w:p w14:paraId="6E485AB0" w14:textId="77777777" w:rsidR="00A219A2" w:rsidRDefault="000D026C">
      <w:pPr>
        <w:jc w:val="both"/>
        <w:rPr>
          <w:rFonts w:ascii="Times New Roman" w:hAnsi="Times New Roman" w:cs="Times New Roman"/>
          <w:sz w:val="24"/>
        </w:rPr>
      </w:pPr>
      <w:r w:rsidRPr="000D026C">
        <w:rPr>
          <w:noProof/>
          <w:lang w:val="de-DE" w:eastAsia="de-DE"/>
        </w:rPr>
        <w:drawing>
          <wp:inline distT="0" distB="0" distL="0" distR="0" wp14:anchorId="4DF89C77" wp14:editId="55976DA7">
            <wp:extent cx="5229225" cy="7962900"/>
            <wp:effectExtent l="0" t="0" r="952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9225" cy="7962900"/>
                    </a:xfrm>
                    <a:prstGeom prst="rect">
                      <a:avLst/>
                    </a:prstGeom>
                    <a:noFill/>
                    <a:ln>
                      <a:noFill/>
                    </a:ln>
                  </pic:spPr>
                </pic:pic>
              </a:graphicData>
            </a:graphic>
          </wp:inline>
        </w:drawing>
      </w:r>
    </w:p>
    <w:p w14:paraId="68CBFA63" w14:textId="77777777" w:rsidR="00A219A2" w:rsidRDefault="00B24350">
      <w:pPr>
        <w:jc w:val="both"/>
        <w:rPr>
          <w:rFonts w:ascii="Times New Roman" w:hAnsi="Times New Roman" w:cs="Times New Roman"/>
          <w:sz w:val="24"/>
        </w:rPr>
      </w:pPr>
      <w:r>
        <w:rPr>
          <w:rFonts w:ascii="Times New Roman" w:hAnsi="Times New Roman" w:cs="Times New Roman"/>
          <w:sz w:val="24"/>
        </w:rPr>
        <w:t>(Table continued on next page.)</w:t>
      </w:r>
    </w:p>
    <w:p w14:paraId="745189E5" w14:textId="77777777" w:rsidR="00A219A2" w:rsidRDefault="00B24350">
      <w:pPr>
        <w:rPr>
          <w:rFonts w:ascii="Times New Roman" w:hAnsi="Times New Roman" w:cs="Times New Roman"/>
          <w:sz w:val="24"/>
        </w:rPr>
      </w:pPr>
      <w:r>
        <w:rPr>
          <w:rFonts w:ascii="Times New Roman" w:hAnsi="Times New Roman" w:cs="Times New Roman"/>
          <w:b/>
          <w:sz w:val="24"/>
        </w:rPr>
        <w:lastRenderedPageBreak/>
        <w:t xml:space="preserve">Table S6. Overview of concentrations and </w:t>
      </w:r>
      <w:r w:rsidR="00091560">
        <w:rPr>
          <w:rFonts w:ascii="Times New Roman" w:hAnsi="Times New Roman" w:cs="Times New Roman"/>
          <w:b/>
          <w:sz w:val="24"/>
        </w:rPr>
        <w:t xml:space="preserve">technical </w:t>
      </w:r>
      <w:r>
        <w:rPr>
          <w:rFonts w:ascii="Times New Roman" w:hAnsi="Times New Roman" w:cs="Times New Roman"/>
          <w:b/>
          <w:sz w:val="24"/>
        </w:rPr>
        <w:t>replicates for experiments with neonicotinoids. (continued)</w:t>
      </w:r>
    </w:p>
    <w:p w14:paraId="7723FF8A" w14:textId="77777777" w:rsidR="00A219A2" w:rsidRDefault="00166498">
      <w:pPr>
        <w:rPr>
          <w:rFonts w:ascii="Times New Roman" w:hAnsi="Times New Roman" w:cs="Times New Roman"/>
          <w:sz w:val="24"/>
        </w:rPr>
      </w:pPr>
      <w:r w:rsidRPr="00166498">
        <w:rPr>
          <w:noProof/>
          <w:lang w:val="de-DE" w:eastAsia="de-DE"/>
        </w:rPr>
        <w:drawing>
          <wp:inline distT="0" distB="0" distL="0" distR="0" wp14:anchorId="2D567324" wp14:editId="688BECE4">
            <wp:extent cx="5231765" cy="5430520"/>
            <wp:effectExtent l="0" t="0" r="698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1765" cy="5430520"/>
                    </a:xfrm>
                    <a:prstGeom prst="rect">
                      <a:avLst/>
                    </a:prstGeom>
                    <a:noFill/>
                    <a:ln>
                      <a:noFill/>
                    </a:ln>
                  </pic:spPr>
                </pic:pic>
              </a:graphicData>
            </a:graphic>
          </wp:inline>
        </w:drawing>
      </w:r>
    </w:p>
    <w:p w14:paraId="3B0F39F5" w14:textId="77777777" w:rsidR="00166498" w:rsidRDefault="00166498">
      <w:pPr>
        <w:rPr>
          <w:rFonts w:ascii="Times New Roman" w:hAnsi="Times New Roman" w:cs="Times New Roman"/>
          <w:sz w:val="24"/>
        </w:rPr>
      </w:pPr>
    </w:p>
    <w:p w14:paraId="522F4A56" w14:textId="77777777" w:rsidR="00A219A2" w:rsidRDefault="00B24350">
      <w:pPr>
        <w:rPr>
          <w:rFonts w:ascii="Times New Roman" w:hAnsi="Times New Roman" w:cs="Times New Roman"/>
          <w:b/>
          <w:sz w:val="24"/>
        </w:rPr>
      </w:pPr>
      <w:r>
        <w:br w:type="page"/>
      </w:r>
    </w:p>
    <w:p w14:paraId="7B43B961"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 xml:space="preserve">Table S7. Overview of concentrations and </w:t>
      </w:r>
      <w:r w:rsidR="00091560">
        <w:rPr>
          <w:rFonts w:ascii="Times New Roman" w:hAnsi="Times New Roman" w:cs="Times New Roman"/>
          <w:b/>
          <w:sz w:val="24"/>
        </w:rPr>
        <w:t xml:space="preserve">technical </w:t>
      </w:r>
      <w:r>
        <w:rPr>
          <w:rFonts w:ascii="Times New Roman" w:hAnsi="Times New Roman" w:cs="Times New Roman"/>
          <w:b/>
          <w:sz w:val="24"/>
        </w:rPr>
        <w:t>replicates for single-cell Ca</w:t>
      </w:r>
      <w:r>
        <w:rPr>
          <w:rFonts w:ascii="Times New Roman" w:hAnsi="Times New Roman" w:cs="Times New Roman"/>
          <w:b/>
          <w:sz w:val="24"/>
          <w:vertAlign w:val="superscript"/>
        </w:rPr>
        <w:t>2+</w:t>
      </w:r>
      <w:r>
        <w:rPr>
          <w:rFonts w:ascii="Times New Roman" w:hAnsi="Times New Roman" w:cs="Times New Roman"/>
          <w:b/>
          <w:sz w:val="24"/>
        </w:rPr>
        <w:t>-imaging.</w:t>
      </w:r>
    </w:p>
    <w:p w14:paraId="702BACE8" w14:textId="77777777" w:rsidR="00A219A2" w:rsidRDefault="00C70A75">
      <w:pPr>
        <w:jc w:val="both"/>
        <w:rPr>
          <w:rFonts w:ascii="Times New Roman" w:hAnsi="Times New Roman" w:cs="Times New Roman"/>
          <w:sz w:val="24"/>
        </w:rPr>
      </w:pPr>
      <w:r w:rsidRPr="00C70A75">
        <w:rPr>
          <w:noProof/>
          <w:lang w:val="de-DE" w:eastAsia="de-DE"/>
        </w:rPr>
        <w:drawing>
          <wp:inline distT="0" distB="0" distL="0" distR="0" wp14:anchorId="5B0BC53D" wp14:editId="6D9A89E7">
            <wp:extent cx="5279390" cy="332359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9390" cy="3323590"/>
                    </a:xfrm>
                    <a:prstGeom prst="rect">
                      <a:avLst/>
                    </a:prstGeom>
                    <a:noFill/>
                    <a:ln>
                      <a:noFill/>
                    </a:ln>
                  </pic:spPr>
                </pic:pic>
              </a:graphicData>
            </a:graphic>
          </wp:inline>
        </w:drawing>
      </w:r>
    </w:p>
    <w:p w14:paraId="5695250F" w14:textId="77777777" w:rsidR="00A219A2" w:rsidRDefault="00A219A2">
      <w:pPr>
        <w:rPr>
          <w:rFonts w:ascii="Times New Roman" w:hAnsi="Times New Roman" w:cs="Times New Roman"/>
          <w:b/>
          <w:sz w:val="24"/>
        </w:rPr>
      </w:pPr>
    </w:p>
    <w:p w14:paraId="32BB9621" w14:textId="77777777" w:rsidR="00C70A75" w:rsidRDefault="00C70A75">
      <w:pPr>
        <w:rPr>
          <w:rFonts w:ascii="Times New Roman" w:hAnsi="Times New Roman" w:cs="Times New Roman"/>
          <w:b/>
          <w:sz w:val="24"/>
        </w:rPr>
      </w:pPr>
    </w:p>
    <w:p w14:paraId="617B361F" w14:textId="77777777" w:rsidR="00A219A2" w:rsidRDefault="00B24350">
      <w:pPr>
        <w:rPr>
          <w:rFonts w:ascii="Times New Roman" w:hAnsi="Times New Roman" w:cs="Times New Roman"/>
          <w:b/>
          <w:sz w:val="24"/>
        </w:rPr>
      </w:pPr>
      <w:r>
        <w:br w:type="page"/>
      </w:r>
    </w:p>
    <w:p w14:paraId="4ED81DB3" w14:textId="77777777" w:rsidR="00A219A2" w:rsidRDefault="00B24350">
      <w:pPr>
        <w:rPr>
          <w:rFonts w:ascii="Times New Roman" w:hAnsi="Times New Roman" w:cs="Times New Roman"/>
          <w:b/>
          <w:sz w:val="24"/>
        </w:rPr>
      </w:pPr>
      <w:r>
        <w:rPr>
          <w:rFonts w:ascii="Times New Roman" w:hAnsi="Times New Roman" w:cs="Times New Roman"/>
          <w:b/>
          <w:sz w:val="24"/>
        </w:rPr>
        <w:lastRenderedPageBreak/>
        <w:t>Table S8. Overview of percentages of responsive cell</w:t>
      </w:r>
      <w:r w:rsidR="009D0185">
        <w:rPr>
          <w:rFonts w:ascii="Times New Roman" w:hAnsi="Times New Roman" w:cs="Times New Roman"/>
          <w:b/>
          <w:sz w:val="24"/>
        </w:rPr>
        <w:t>s</w:t>
      </w:r>
      <w:r>
        <w:rPr>
          <w:rFonts w:ascii="Times New Roman" w:hAnsi="Times New Roman" w:cs="Times New Roman"/>
          <w:b/>
          <w:sz w:val="24"/>
        </w:rPr>
        <w:t xml:space="preserve"> of single-cell Ca</w:t>
      </w:r>
      <w:r>
        <w:rPr>
          <w:rFonts w:ascii="Times New Roman" w:hAnsi="Times New Roman" w:cs="Times New Roman"/>
          <w:b/>
          <w:sz w:val="24"/>
          <w:vertAlign w:val="superscript"/>
        </w:rPr>
        <w:t>2+</w:t>
      </w:r>
      <w:r>
        <w:rPr>
          <w:rFonts w:ascii="Times New Roman" w:hAnsi="Times New Roman" w:cs="Times New Roman"/>
          <w:b/>
          <w:sz w:val="24"/>
        </w:rPr>
        <w:t>-imaging.</w:t>
      </w:r>
    </w:p>
    <w:p w14:paraId="53F83F15" w14:textId="77777777" w:rsidR="00A219A2" w:rsidRDefault="002B1F92" w:rsidP="002B1F92">
      <w:pPr>
        <w:jc w:val="center"/>
        <w:rPr>
          <w:rFonts w:ascii="Times New Roman" w:hAnsi="Times New Roman" w:cs="Times New Roman"/>
          <w:sz w:val="24"/>
        </w:rPr>
      </w:pPr>
      <w:r w:rsidRPr="002B1F92">
        <w:rPr>
          <w:noProof/>
          <w:lang w:val="de-DE" w:eastAsia="de-DE"/>
        </w:rPr>
        <w:drawing>
          <wp:inline distT="0" distB="0" distL="0" distR="0" wp14:anchorId="5CA94D77" wp14:editId="660DB375">
            <wp:extent cx="5144770" cy="527939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4770" cy="5279390"/>
                    </a:xfrm>
                    <a:prstGeom prst="rect">
                      <a:avLst/>
                    </a:prstGeom>
                    <a:noFill/>
                    <a:ln>
                      <a:noFill/>
                    </a:ln>
                  </pic:spPr>
                </pic:pic>
              </a:graphicData>
            </a:graphic>
          </wp:inline>
        </w:drawing>
      </w:r>
    </w:p>
    <w:p w14:paraId="7598E769" w14:textId="77777777" w:rsidR="00A219A2" w:rsidRDefault="00A219A2">
      <w:pPr>
        <w:jc w:val="both"/>
        <w:rPr>
          <w:rFonts w:ascii="Times New Roman" w:hAnsi="Times New Roman" w:cs="Times New Roman"/>
          <w:sz w:val="24"/>
        </w:rPr>
      </w:pPr>
    </w:p>
    <w:p w14:paraId="05F29EBC" w14:textId="77777777" w:rsidR="00A219A2" w:rsidRDefault="00A219A2">
      <w:pPr>
        <w:jc w:val="both"/>
        <w:rPr>
          <w:rFonts w:ascii="Times New Roman" w:hAnsi="Times New Roman" w:cs="Times New Roman"/>
          <w:sz w:val="24"/>
        </w:rPr>
      </w:pPr>
    </w:p>
    <w:p w14:paraId="47C041E0" w14:textId="77777777" w:rsidR="00D2679D" w:rsidRDefault="00D2679D">
      <w:pPr>
        <w:jc w:val="both"/>
        <w:rPr>
          <w:rFonts w:ascii="Times New Roman" w:hAnsi="Times New Roman" w:cs="Times New Roman"/>
          <w:sz w:val="24"/>
        </w:rPr>
      </w:pPr>
    </w:p>
    <w:p w14:paraId="35AC1554" w14:textId="77777777" w:rsidR="00D2679D" w:rsidRDefault="00D2679D">
      <w:pPr>
        <w:jc w:val="both"/>
        <w:rPr>
          <w:rFonts w:ascii="Times New Roman" w:hAnsi="Times New Roman" w:cs="Times New Roman"/>
          <w:sz w:val="24"/>
        </w:rPr>
      </w:pPr>
    </w:p>
    <w:p w14:paraId="25BB0106" w14:textId="77777777" w:rsidR="00D2679D" w:rsidRDefault="00D2679D">
      <w:pPr>
        <w:jc w:val="both"/>
        <w:rPr>
          <w:rFonts w:ascii="Times New Roman" w:hAnsi="Times New Roman" w:cs="Times New Roman"/>
          <w:sz w:val="24"/>
        </w:rPr>
      </w:pPr>
    </w:p>
    <w:p w14:paraId="1222FDED" w14:textId="77777777" w:rsidR="00D2679D" w:rsidRDefault="00D2679D">
      <w:pPr>
        <w:jc w:val="both"/>
        <w:rPr>
          <w:rFonts w:ascii="Times New Roman" w:hAnsi="Times New Roman" w:cs="Times New Roman"/>
          <w:sz w:val="24"/>
        </w:rPr>
      </w:pPr>
    </w:p>
    <w:p w14:paraId="63743028" w14:textId="77777777" w:rsidR="00D2679D" w:rsidRDefault="00D2679D">
      <w:pPr>
        <w:jc w:val="both"/>
        <w:rPr>
          <w:rFonts w:ascii="Times New Roman" w:hAnsi="Times New Roman" w:cs="Times New Roman"/>
          <w:sz w:val="24"/>
        </w:rPr>
      </w:pPr>
    </w:p>
    <w:p w14:paraId="7B685E2C" w14:textId="77777777" w:rsidR="00D2679D" w:rsidRDefault="00D2679D">
      <w:pPr>
        <w:jc w:val="both"/>
        <w:rPr>
          <w:rFonts w:ascii="Times New Roman" w:hAnsi="Times New Roman" w:cs="Times New Roman"/>
          <w:sz w:val="24"/>
        </w:rPr>
      </w:pPr>
    </w:p>
    <w:p w14:paraId="6DF1B08C" w14:textId="77777777" w:rsidR="00D2679D" w:rsidRDefault="00D2679D">
      <w:pPr>
        <w:jc w:val="both"/>
        <w:rPr>
          <w:rFonts w:ascii="Times New Roman" w:hAnsi="Times New Roman" w:cs="Times New Roman"/>
          <w:sz w:val="24"/>
        </w:rPr>
      </w:pPr>
    </w:p>
    <w:p w14:paraId="6C0EE0B8" w14:textId="77777777" w:rsidR="00D2679D" w:rsidRDefault="00D2679D">
      <w:pPr>
        <w:jc w:val="both"/>
        <w:rPr>
          <w:rFonts w:ascii="Times New Roman" w:hAnsi="Times New Roman" w:cs="Times New Roman"/>
          <w:sz w:val="24"/>
        </w:rPr>
      </w:pPr>
    </w:p>
    <w:p w14:paraId="11CFE869" w14:textId="77777777" w:rsidR="00D2679D" w:rsidRDefault="00D2679D">
      <w:pPr>
        <w:jc w:val="both"/>
        <w:rPr>
          <w:rFonts w:ascii="Times New Roman" w:hAnsi="Times New Roman" w:cs="Times New Roman"/>
          <w:sz w:val="24"/>
        </w:rPr>
      </w:pPr>
    </w:p>
    <w:p w14:paraId="7013B778" w14:textId="77777777" w:rsidR="00D2679D" w:rsidRDefault="00D2679D" w:rsidP="00D2679D">
      <w:pPr>
        <w:rPr>
          <w:rFonts w:ascii="Times New Roman" w:hAnsi="Times New Roman" w:cs="Times New Roman"/>
          <w:b/>
          <w:sz w:val="24"/>
        </w:rPr>
      </w:pPr>
      <w:r>
        <w:rPr>
          <w:rFonts w:ascii="Times New Roman" w:hAnsi="Times New Roman" w:cs="Times New Roman"/>
          <w:b/>
          <w:sz w:val="24"/>
        </w:rPr>
        <w:lastRenderedPageBreak/>
        <w:t xml:space="preserve">Table S9. </w:t>
      </w:r>
      <w:r w:rsidRPr="00A06D49">
        <w:rPr>
          <w:rFonts w:ascii="Times New Roman" w:hAnsi="Times New Roman" w:cs="Times New Roman"/>
          <w:b/>
          <w:sz w:val="24"/>
        </w:rPr>
        <w:t>Benchmark respons</w:t>
      </w:r>
      <w:r>
        <w:rPr>
          <w:rFonts w:ascii="Times New Roman" w:hAnsi="Times New Roman" w:cs="Times New Roman"/>
          <w:b/>
          <w:sz w:val="24"/>
        </w:rPr>
        <w:t>es (BMR) for the neonicotinoids</w:t>
      </w:r>
      <w:r w:rsidRPr="00A06D49">
        <w:rPr>
          <w:rFonts w:ascii="Times New Roman" w:hAnsi="Times New Roman" w:cs="Times New Roman"/>
          <w:b/>
          <w:sz w:val="24"/>
        </w:rPr>
        <w:t xml:space="preserve"> desensitization of nicotine and acetylcholine signaling</w:t>
      </w:r>
      <w:r>
        <w:rPr>
          <w:rFonts w:ascii="Times New Roman" w:hAnsi="Times New Roman" w:cs="Times New Roman"/>
          <w:b/>
          <w:sz w:val="24"/>
        </w:rPr>
        <w:t>.</w:t>
      </w:r>
    </w:p>
    <w:p w14:paraId="3F7260B1" w14:textId="77777777" w:rsidR="00D2679D" w:rsidRPr="00D2679D" w:rsidRDefault="00D2679D" w:rsidP="00D2679D">
      <w:pPr>
        <w:jc w:val="both"/>
        <w:rPr>
          <w:rFonts w:ascii="Times New Roman" w:hAnsi="Times New Roman" w:cs="Times New Roman"/>
          <w:sz w:val="24"/>
        </w:rPr>
      </w:pPr>
      <w:r w:rsidRPr="00A06D49">
        <w:rPr>
          <w:rFonts w:ascii="Times New Roman" w:hAnsi="Times New Roman" w:cs="Times New Roman"/>
          <w:sz w:val="24"/>
        </w:rPr>
        <w:t>Overview of the BMR10 and BMR25 concentrations (in log[M]) of the Ca</w:t>
      </w:r>
      <w:r w:rsidRPr="00A06D49">
        <w:rPr>
          <w:rFonts w:ascii="Times New Roman" w:hAnsi="Times New Roman" w:cs="Times New Roman"/>
          <w:sz w:val="24"/>
          <w:vertAlign w:val="superscript"/>
        </w:rPr>
        <w:t>2+</w:t>
      </w:r>
      <w:r w:rsidRPr="00A06D49">
        <w:rPr>
          <w:rFonts w:ascii="Times New Roman" w:hAnsi="Times New Roman" w:cs="Times New Roman"/>
          <w:sz w:val="24"/>
        </w:rPr>
        <w:t xml:space="preserve"> response induced by nicotine and acetylcholine after an initial stimulation of LUHMES cells with neonicotinoids. </w:t>
      </w:r>
      <w:r w:rsidRPr="00A06D49">
        <w:rPr>
          <w:rFonts w:ascii="Times New Roman" w:hAnsi="Times New Roman" w:cs="Times New Roman"/>
          <w:sz w:val="24"/>
          <w:lang w:val="en-GB"/>
        </w:rPr>
        <w:t>For each BMR, the benchmark concentrations (BMC) and their confidence interval (BMCL and BMCU) are shown</w:t>
      </w:r>
      <w:r w:rsidRPr="00A06D49">
        <w:rPr>
          <w:rFonts w:ascii="Times New Roman" w:hAnsi="Times New Roman" w:cs="Times New Roman"/>
          <w:sz w:val="24"/>
        </w:rPr>
        <w:t>; n.a.: BMR could not be determined due to low/no effect within the tested concentration range.</w:t>
      </w:r>
    </w:p>
    <w:p w14:paraId="21F447EF" w14:textId="77777777" w:rsidR="00D2679D" w:rsidRDefault="00D2679D" w:rsidP="00D2679D">
      <w:pPr>
        <w:jc w:val="both"/>
        <w:rPr>
          <w:rFonts w:ascii="Times New Roman" w:hAnsi="Times New Roman" w:cs="Times New Roman"/>
          <w:sz w:val="24"/>
        </w:rPr>
      </w:pPr>
      <w:r w:rsidRPr="00112935">
        <w:rPr>
          <w:noProof/>
          <w:lang w:val="de-DE" w:eastAsia="de-DE"/>
        </w:rPr>
        <w:drawing>
          <wp:inline distT="0" distB="0" distL="0" distR="0" wp14:anchorId="36AA788E" wp14:editId="44DFAC63">
            <wp:extent cx="5391150" cy="29146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1150" cy="2914650"/>
                    </a:xfrm>
                    <a:prstGeom prst="rect">
                      <a:avLst/>
                    </a:prstGeom>
                    <a:noFill/>
                    <a:ln>
                      <a:noFill/>
                    </a:ln>
                  </pic:spPr>
                </pic:pic>
              </a:graphicData>
            </a:graphic>
          </wp:inline>
        </w:drawing>
      </w:r>
    </w:p>
    <w:p w14:paraId="3378694D" w14:textId="77777777" w:rsidR="00A219A2" w:rsidRDefault="00A219A2">
      <w:pPr>
        <w:rPr>
          <w:rFonts w:ascii="Times New Roman" w:hAnsi="Times New Roman" w:cs="Times New Roman"/>
          <w:sz w:val="24"/>
        </w:rPr>
      </w:pPr>
    </w:p>
    <w:p w14:paraId="2D6C81C5" w14:textId="77777777" w:rsidR="00A219A2" w:rsidRDefault="00A219A2">
      <w:pPr>
        <w:rPr>
          <w:rFonts w:ascii="Times New Roman" w:hAnsi="Times New Roman" w:cs="Times New Roman"/>
          <w:sz w:val="24"/>
        </w:rPr>
      </w:pPr>
    </w:p>
    <w:p w14:paraId="36BB3164" w14:textId="77777777" w:rsidR="003763A9" w:rsidRDefault="003763A9">
      <w:pPr>
        <w:rPr>
          <w:rFonts w:ascii="Times New Roman" w:hAnsi="Times New Roman" w:cs="Times New Roman"/>
          <w:sz w:val="24"/>
        </w:rPr>
      </w:pPr>
    </w:p>
    <w:p w14:paraId="4662A677" w14:textId="77777777" w:rsidR="003763A9" w:rsidRDefault="003763A9">
      <w:pPr>
        <w:rPr>
          <w:rFonts w:ascii="Times New Roman" w:hAnsi="Times New Roman" w:cs="Times New Roman"/>
          <w:sz w:val="24"/>
        </w:rPr>
      </w:pPr>
    </w:p>
    <w:p w14:paraId="5198F49A" w14:textId="77777777" w:rsidR="003763A9" w:rsidRDefault="003763A9">
      <w:pPr>
        <w:rPr>
          <w:rFonts w:ascii="Times New Roman" w:hAnsi="Times New Roman" w:cs="Times New Roman"/>
          <w:sz w:val="24"/>
        </w:rPr>
      </w:pPr>
    </w:p>
    <w:p w14:paraId="73EC9BD2" w14:textId="77777777" w:rsidR="003763A9" w:rsidRDefault="003763A9">
      <w:pPr>
        <w:rPr>
          <w:rFonts w:ascii="Times New Roman" w:hAnsi="Times New Roman" w:cs="Times New Roman"/>
          <w:sz w:val="24"/>
        </w:rPr>
      </w:pPr>
    </w:p>
    <w:p w14:paraId="5722CC5C" w14:textId="77777777" w:rsidR="003763A9" w:rsidRDefault="003763A9">
      <w:pPr>
        <w:rPr>
          <w:rFonts w:ascii="Times New Roman" w:hAnsi="Times New Roman" w:cs="Times New Roman"/>
          <w:sz w:val="24"/>
        </w:rPr>
      </w:pPr>
    </w:p>
    <w:p w14:paraId="6D06D609" w14:textId="77777777" w:rsidR="003763A9" w:rsidRDefault="003763A9">
      <w:pPr>
        <w:rPr>
          <w:rFonts w:ascii="Times New Roman" w:hAnsi="Times New Roman" w:cs="Times New Roman"/>
          <w:sz w:val="24"/>
        </w:rPr>
      </w:pPr>
    </w:p>
    <w:p w14:paraId="3A4E17B3" w14:textId="77777777" w:rsidR="003763A9" w:rsidRDefault="003763A9">
      <w:pPr>
        <w:rPr>
          <w:rFonts w:ascii="Times New Roman" w:hAnsi="Times New Roman" w:cs="Times New Roman"/>
          <w:sz w:val="24"/>
        </w:rPr>
      </w:pPr>
    </w:p>
    <w:p w14:paraId="60EFEE64" w14:textId="77777777" w:rsidR="003763A9" w:rsidRDefault="003763A9">
      <w:pPr>
        <w:rPr>
          <w:rFonts w:ascii="Times New Roman" w:hAnsi="Times New Roman" w:cs="Times New Roman"/>
          <w:sz w:val="24"/>
        </w:rPr>
      </w:pPr>
    </w:p>
    <w:p w14:paraId="6F994D4A" w14:textId="77777777" w:rsidR="003763A9" w:rsidRDefault="003763A9">
      <w:pPr>
        <w:rPr>
          <w:rFonts w:ascii="Times New Roman" w:hAnsi="Times New Roman" w:cs="Times New Roman"/>
          <w:sz w:val="24"/>
        </w:rPr>
      </w:pPr>
    </w:p>
    <w:p w14:paraId="6736FD5A" w14:textId="77777777" w:rsidR="003763A9" w:rsidRDefault="003763A9">
      <w:pPr>
        <w:rPr>
          <w:rFonts w:ascii="Times New Roman" w:hAnsi="Times New Roman" w:cs="Times New Roman"/>
          <w:sz w:val="24"/>
        </w:rPr>
      </w:pPr>
    </w:p>
    <w:p w14:paraId="43A24E12" w14:textId="77777777" w:rsidR="003763A9" w:rsidRDefault="003763A9">
      <w:pPr>
        <w:rPr>
          <w:rFonts w:ascii="Times New Roman" w:hAnsi="Times New Roman" w:cs="Times New Roman"/>
          <w:sz w:val="24"/>
        </w:rPr>
      </w:pPr>
    </w:p>
    <w:p w14:paraId="4499E35A" w14:textId="77777777" w:rsidR="003763A9" w:rsidRDefault="003763A9">
      <w:pPr>
        <w:rPr>
          <w:rFonts w:ascii="Times New Roman" w:hAnsi="Times New Roman" w:cs="Times New Roman"/>
          <w:sz w:val="24"/>
        </w:rPr>
      </w:pPr>
    </w:p>
    <w:p w14:paraId="5EB3D33A" w14:textId="77777777" w:rsidR="003763A9" w:rsidRDefault="003763A9">
      <w:pPr>
        <w:rPr>
          <w:rFonts w:ascii="Times New Roman" w:hAnsi="Times New Roman" w:cs="Times New Roman"/>
          <w:sz w:val="24"/>
        </w:rPr>
      </w:pPr>
    </w:p>
    <w:p w14:paraId="33BB489D" w14:textId="77777777" w:rsidR="00891158" w:rsidRPr="00891158" w:rsidRDefault="00891158" w:rsidP="00891158">
      <w:pPr>
        <w:rPr>
          <w:rFonts w:ascii="Times New Roman" w:hAnsi="Times New Roman" w:cs="Times New Roman"/>
          <w:b/>
          <w:sz w:val="24"/>
        </w:rPr>
      </w:pPr>
      <w:r>
        <w:rPr>
          <w:rFonts w:ascii="Times New Roman" w:hAnsi="Times New Roman" w:cs="Times New Roman"/>
          <w:b/>
          <w:sz w:val="24"/>
        </w:rPr>
        <w:lastRenderedPageBreak/>
        <w:t xml:space="preserve">Table S10. </w:t>
      </w:r>
      <w:r w:rsidRPr="00891158">
        <w:rPr>
          <w:rFonts w:ascii="Times New Roman" w:hAnsi="Times New Roman" w:cs="Times New Roman"/>
          <w:b/>
          <w:sz w:val="24"/>
        </w:rPr>
        <w:t>Prediction of fr</w:t>
      </w:r>
      <w:r w:rsidR="00C775DC">
        <w:rPr>
          <w:rFonts w:ascii="Times New Roman" w:hAnsi="Times New Roman" w:cs="Times New Roman"/>
          <w:b/>
          <w:sz w:val="24"/>
        </w:rPr>
        <w:t>ee drug concentrations in recording buffer of LUHMES</w:t>
      </w:r>
      <w:r w:rsidRPr="00891158">
        <w:rPr>
          <w:rFonts w:ascii="Times New Roman" w:hAnsi="Times New Roman" w:cs="Times New Roman"/>
          <w:b/>
          <w:sz w:val="24"/>
        </w:rPr>
        <w:t>.</w:t>
      </w:r>
    </w:p>
    <w:p w14:paraId="32DD8222" w14:textId="77777777" w:rsidR="00891158" w:rsidRPr="00891158" w:rsidRDefault="00891158" w:rsidP="00891158">
      <w:pPr>
        <w:jc w:val="both"/>
        <w:rPr>
          <w:rFonts w:ascii="Times New Roman" w:hAnsi="Times New Roman" w:cs="Times New Roman"/>
          <w:sz w:val="24"/>
          <w:lang w:val="en-GB"/>
        </w:rPr>
      </w:pPr>
      <w:r w:rsidRPr="00891158">
        <w:rPr>
          <w:rFonts w:ascii="Times New Roman" w:hAnsi="Times New Roman" w:cs="Times New Roman"/>
          <w:sz w:val="24"/>
          <w:lang w:val="en-GB"/>
        </w:rPr>
        <w:t xml:space="preserve">The free drug concentrations </w:t>
      </w:r>
      <w:r w:rsidR="00C775DC">
        <w:rPr>
          <w:rFonts w:ascii="Times New Roman" w:hAnsi="Times New Roman" w:cs="Times New Roman"/>
          <w:sz w:val="24"/>
          <w:lang w:val="en-GB"/>
        </w:rPr>
        <w:t xml:space="preserve">[µM] </w:t>
      </w:r>
      <w:r w:rsidRPr="00891158">
        <w:rPr>
          <w:rFonts w:ascii="Times New Roman" w:hAnsi="Times New Roman" w:cs="Times New Roman"/>
          <w:sz w:val="24"/>
          <w:lang w:val="en-GB"/>
        </w:rPr>
        <w:t>w</w:t>
      </w:r>
      <w:r w:rsidR="00C775DC">
        <w:rPr>
          <w:rFonts w:ascii="Times New Roman" w:hAnsi="Times New Roman" w:cs="Times New Roman"/>
          <w:sz w:val="24"/>
          <w:lang w:val="en-GB"/>
        </w:rPr>
        <w:t>ere</w:t>
      </w:r>
      <w:r w:rsidRPr="00891158">
        <w:rPr>
          <w:rFonts w:ascii="Times New Roman" w:hAnsi="Times New Roman" w:cs="Times New Roman"/>
          <w:sz w:val="24"/>
          <w:lang w:val="en-GB"/>
        </w:rPr>
        <w:t xml:space="preserve"> calculated for the exemplary nominal concentrations of 1, 10 and 50 µM, based on the known </w:t>
      </w:r>
      <w:r w:rsidR="00C775DC">
        <w:rPr>
          <w:rFonts w:ascii="Times New Roman" w:hAnsi="Times New Roman" w:cs="Times New Roman"/>
          <w:sz w:val="24"/>
          <w:lang w:val="en-GB"/>
        </w:rPr>
        <w:t>recording buffer</w:t>
      </w:r>
      <w:r w:rsidRPr="00891158">
        <w:rPr>
          <w:rFonts w:ascii="Times New Roman" w:hAnsi="Times New Roman" w:cs="Times New Roman"/>
          <w:sz w:val="24"/>
          <w:lang w:val="en-GB"/>
        </w:rPr>
        <w:t xml:space="preserve"> content of lipids and proteins and the number of cells used in each well. Calculations were performed as detailed in</w:t>
      </w:r>
      <w:r>
        <w:rPr>
          <w:rFonts w:ascii="Times New Roman" w:hAnsi="Times New Roman" w:cs="Times New Roman"/>
          <w:sz w:val="24"/>
          <w:lang w:val="en-GB"/>
        </w:rPr>
        <w:t xml:space="preserve"> </w:t>
      </w:r>
      <w:r>
        <w:rPr>
          <w:rFonts w:ascii="Times New Roman" w:hAnsi="Times New Roman" w:cs="Times New Roman"/>
          <w:sz w:val="24"/>
          <w:lang w:val="en-GB"/>
        </w:rPr>
        <w:fldChar w:fldCharType="begin"/>
      </w:r>
      <w:r w:rsidR="00D2224C">
        <w:rPr>
          <w:rFonts w:ascii="Times New Roman" w:hAnsi="Times New Roman" w:cs="Times New Roman"/>
          <w:sz w:val="24"/>
          <w:lang w:val="en-GB"/>
        </w:rPr>
        <w:instrText xml:space="preserve"> ADDIN ZOTERO_ITEM CSL_CITATION {"citationID":"YVIyYNiP","properties":{"formattedCitation":"(Kisitu et al. 2020)","plainCitation":"(Kisitu et al. 2020)","dontUpdate":true,"noteIndex":0},"citationItems":[{"id":4791,"uris":["http://zotero.org/users/local/MijtTDlV/items/H543LH3F"],"uri":["http://zotero.org/users/local/MijtTDlV/items/H543LH3F"],"itemData":{"id":4791,"type":"article-journal","container-title":"ALTEX - Alternatives to animal experimentation","DOI":"10.14573/altex.2008251","ISSN":"1868-8551","issue":"4","journalAbbreviation":"ALTEX","language":"en","note":"number: 4","page":"693-708","source":"www.altex.org","title":"Chemical concentrations in cell culture compartments (C5) – free concentrations","volume":"37","author":[{"family":"Kisitu","given":"Jaffar"},{"family":"Hollert","given":"Henner"},{"family":"Fisher","given":"Ciarán"},{"family":"Leist","given":"Marcel"}],"issued":{"date-parts":[["2020",10,20]]}}}],"schema":"https://github.com/citation-style-language/schema/raw/master/csl-citation.json"} </w:instrText>
      </w:r>
      <w:r>
        <w:rPr>
          <w:rFonts w:ascii="Times New Roman" w:hAnsi="Times New Roman" w:cs="Times New Roman"/>
          <w:sz w:val="24"/>
          <w:lang w:val="en-GB"/>
        </w:rPr>
        <w:fldChar w:fldCharType="separate"/>
      </w:r>
      <w:r w:rsidRPr="00891158">
        <w:rPr>
          <w:rFonts w:ascii="Times New Roman" w:hAnsi="Times New Roman" w:cs="Times New Roman"/>
          <w:sz w:val="24"/>
        </w:rPr>
        <w:t xml:space="preserve">Kisitu et al. </w:t>
      </w:r>
      <w:r>
        <w:rPr>
          <w:rFonts w:ascii="Times New Roman" w:hAnsi="Times New Roman" w:cs="Times New Roman"/>
          <w:sz w:val="24"/>
        </w:rPr>
        <w:t>(</w:t>
      </w:r>
      <w:r w:rsidRPr="00891158">
        <w:rPr>
          <w:rFonts w:ascii="Times New Roman" w:hAnsi="Times New Roman" w:cs="Times New Roman"/>
          <w:sz w:val="24"/>
        </w:rPr>
        <w:t>2020)</w:t>
      </w:r>
      <w:r>
        <w:rPr>
          <w:rFonts w:ascii="Times New Roman" w:hAnsi="Times New Roman" w:cs="Times New Roman"/>
          <w:sz w:val="24"/>
          <w:lang w:val="en-GB"/>
        </w:rPr>
        <w:fldChar w:fldCharType="end"/>
      </w:r>
      <w:r w:rsidRPr="00891158">
        <w:rPr>
          <w:rFonts w:ascii="Times New Roman" w:hAnsi="Times New Roman" w:cs="Times New Roman"/>
          <w:sz w:val="24"/>
          <w:lang w:val="en-GB"/>
        </w:rPr>
        <w:t xml:space="preserve"> and</w:t>
      </w:r>
      <w:r>
        <w:rPr>
          <w:rFonts w:ascii="Times New Roman" w:hAnsi="Times New Roman" w:cs="Times New Roman"/>
          <w:sz w:val="24"/>
          <w:lang w:val="en-GB"/>
        </w:rPr>
        <w:t xml:space="preserve"> </w:t>
      </w:r>
      <w:r>
        <w:rPr>
          <w:rFonts w:ascii="Times New Roman" w:hAnsi="Times New Roman" w:cs="Times New Roman"/>
          <w:sz w:val="24"/>
          <w:lang w:val="en-GB"/>
        </w:rPr>
        <w:fldChar w:fldCharType="begin"/>
      </w:r>
      <w:r w:rsidR="00D2224C">
        <w:rPr>
          <w:rFonts w:ascii="Times New Roman" w:hAnsi="Times New Roman" w:cs="Times New Roman"/>
          <w:sz w:val="24"/>
          <w:lang w:val="en-GB"/>
        </w:rPr>
        <w:instrText xml:space="preserve"> ADDIN ZOTERO_ITEM CSL_CITATION {"citationID":"I71WVkV4","properties":{"formattedCitation":"(Fisher et al. 2019)","plainCitation":"(Fisher et al. 2019)","dontUpdate":true,"noteIndex":0},"citationItems":[{"id":4794,"uris":["http://zotero.org/users/local/MijtTDlV/items/Y3HHBJC8"],"uri":["http://zotero.org/users/local/MijtTDlV/items/Y3HHBJC8"],"itemData":{"id":4794,"type":"article-journal","abstract":"In vitro toxicity testing routinely uses nominal treatment concentrations as the driver for measured toxicity endpoints. However, test compounds can bind to the plastic of culture vessels or interact with culture media components, such as lipids and albumin. Additionally, volatile compounds may partition into the air above culture media. These processes reduce the free concentrations of compound to which cells are exposed. Models predicting the freely dissolved concentrations by accounting for these interactions have been published. However, these have only been applied to neutral compounds or assume no differential ionisation of test compounds between the media and cell cytoplasm. Herein, we describe an in vitro distribution model, based on the Fick-Nernst Planck equation accounting for differential compound ionisation in culture medium and intracellular water. The model considers permeability of ionised and unionised species and accounts for membrane potential in the partitioning of ionised moieties. By accounting for lipid and protein binding in culture medium, binding to cell culture plastic, air-partitioning, and lipid binding in the cell, the model can predict chemical concentrations (free and total) in medium and cells. The model can improve in vitro in vivo extrapolation of toxicity endpoint by determining intracellular concentrations for translation to in vivo.","container-title":"Toxicology in Vitro","DOI":"10.1016/j.tiv.2018.12.017","ISSN":"0887-2333","journalAbbreviation":"Toxicology in Vitro","language":"en","page":"42-50","source":"ScienceDirect","title":"VIVD: Virtual in vitro distribution model for the mechanistic prediction of intracellular concentrations of chemicals in in vitro toxicity assays","title-short":"VIVD","volume":"58","author":[{"family":"Fisher","given":"C."},{"family":"Siméon","given":"S."},{"family":"Jamei","given":"M."},{"family":"Gardner","given":"I."},{"family":"Bois","given":"Y. F."}],"issued":{"date-parts":[["2019",8,1]]}}}],"schema":"https://github.com/citation-style-language/schema/raw/master/csl-citation.json"} </w:instrText>
      </w:r>
      <w:r>
        <w:rPr>
          <w:rFonts w:ascii="Times New Roman" w:hAnsi="Times New Roman" w:cs="Times New Roman"/>
          <w:sz w:val="24"/>
          <w:lang w:val="en-GB"/>
        </w:rPr>
        <w:fldChar w:fldCharType="separate"/>
      </w:r>
      <w:r w:rsidRPr="00891158">
        <w:rPr>
          <w:rFonts w:ascii="Times New Roman" w:hAnsi="Times New Roman" w:cs="Times New Roman"/>
          <w:sz w:val="24"/>
        </w:rPr>
        <w:t xml:space="preserve">Fisher et al. </w:t>
      </w:r>
      <w:r>
        <w:rPr>
          <w:rFonts w:ascii="Times New Roman" w:hAnsi="Times New Roman" w:cs="Times New Roman"/>
          <w:sz w:val="24"/>
        </w:rPr>
        <w:t>(</w:t>
      </w:r>
      <w:r w:rsidRPr="00891158">
        <w:rPr>
          <w:rFonts w:ascii="Times New Roman" w:hAnsi="Times New Roman" w:cs="Times New Roman"/>
          <w:sz w:val="24"/>
        </w:rPr>
        <w:t>2019)</w:t>
      </w:r>
      <w:r>
        <w:rPr>
          <w:rFonts w:ascii="Times New Roman" w:hAnsi="Times New Roman" w:cs="Times New Roman"/>
          <w:sz w:val="24"/>
          <w:lang w:val="en-GB"/>
        </w:rPr>
        <w:fldChar w:fldCharType="end"/>
      </w:r>
      <w:r>
        <w:rPr>
          <w:rFonts w:ascii="Times New Roman" w:hAnsi="Times New Roman" w:cs="Times New Roman"/>
          <w:sz w:val="24"/>
          <w:lang w:val="en-GB"/>
        </w:rPr>
        <w:t>.</w:t>
      </w:r>
    </w:p>
    <w:p w14:paraId="76D616AF" w14:textId="77777777" w:rsidR="009233D8" w:rsidRDefault="00F02A8B" w:rsidP="00891158">
      <w:pPr>
        <w:jc w:val="center"/>
        <w:rPr>
          <w:rFonts w:ascii="Times New Roman" w:hAnsi="Times New Roman" w:cs="Times New Roman"/>
          <w:sz w:val="24"/>
        </w:rPr>
      </w:pPr>
      <w:r w:rsidRPr="00F02A8B">
        <w:rPr>
          <w:noProof/>
          <w:lang w:val="de-DE" w:eastAsia="de-DE"/>
        </w:rPr>
        <w:drawing>
          <wp:inline distT="0" distB="0" distL="0" distR="0" wp14:anchorId="53E532C5" wp14:editId="1AD9A37C">
            <wp:extent cx="3857625" cy="1743075"/>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7625" cy="1743075"/>
                    </a:xfrm>
                    <a:prstGeom prst="rect">
                      <a:avLst/>
                    </a:prstGeom>
                    <a:noFill/>
                    <a:ln>
                      <a:noFill/>
                    </a:ln>
                  </pic:spPr>
                </pic:pic>
              </a:graphicData>
            </a:graphic>
          </wp:inline>
        </w:drawing>
      </w:r>
    </w:p>
    <w:p w14:paraId="0E312A98" w14:textId="77777777" w:rsidR="009233D8" w:rsidRDefault="009233D8">
      <w:pPr>
        <w:rPr>
          <w:rFonts w:ascii="Times New Roman" w:hAnsi="Times New Roman" w:cs="Times New Roman"/>
          <w:sz w:val="24"/>
        </w:rPr>
      </w:pPr>
    </w:p>
    <w:p w14:paraId="0F3BB5CE" w14:textId="77777777" w:rsidR="008957E7" w:rsidRDefault="008957E7">
      <w:pPr>
        <w:rPr>
          <w:rFonts w:ascii="Times New Roman" w:hAnsi="Times New Roman" w:cs="Times New Roman"/>
          <w:sz w:val="24"/>
        </w:rPr>
      </w:pPr>
    </w:p>
    <w:p w14:paraId="00BA563D" w14:textId="77777777" w:rsidR="008957E7" w:rsidRDefault="008957E7">
      <w:pPr>
        <w:rPr>
          <w:rFonts w:ascii="Times New Roman" w:hAnsi="Times New Roman" w:cs="Times New Roman"/>
          <w:sz w:val="24"/>
        </w:rPr>
      </w:pPr>
    </w:p>
    <w:p w14:paraId="078B10B2" w14:textId="77777777" w:rsidR="008957E7" w:rsidRDefault="008957E7" w:rsidP="008957E7"/>
    <w:p w14:paraId="7D0C286C" w14:textId="4D681042" w:rsidR="008957E7" w:rsidRPr="008957E7" w:rsidRDefault="008957E7" w:rsidP="008957E7">
      <w:pPr>
        <w:rPr>
          <w:rFonts w:ascii="Times New Roman" w:hAnsi="Times New Roman" w:cs="Times New Roman"/>
          <w:b/>
          <w:sz w:val="24"/>
        </w:rPr>
      </w:pPr>
      <w:bookmarkStart w:id="1" w:name="iTableVGFpKl4iUm3IHYV0EUKw"/>
      <w:r w:rsidRPr="008957E7">
        <w:rPr>
          <w:rFonts w:ascii="Times New Roman" w:hAnsi="Times New Roman" w:cs="Times New Roman"/>
          <w:b/>
          <w:sz w:val="24"/>
        </w:rPr>
        <w:t xml:space="preserve">Table </w:t>
      </w:r>
      <w:r>
        <w:rPr>
          <w:rFonts w:ascii="Times New Roman" w:hAnsi="Times New Roman" w:cs="Times New Roman"/>
          <w:b/>
          <w:sz w:val="24"/>
        </w:rPr>
        <w:t>S11</w:t>
      </w:r>
      <w:r w:rsidRPr="008957E7">
        <w:rPr>
          <w:rFonts w:ascii="Times New Roman" w:hAnsi="Times New Roman" w:cs="Times New Roman"/>
          <w:b/>
          <w:sz w:val="24"/>
        </w:rPr>
        <w:t xml:space="preserve">. Input parameters used in the </w:t>
      </w:r>
      <w:r w:rsidR="00C13F12">
        <w:rPr>
          <w:rFonts w:ascii="Times New Roman" w:hAnsi="Times New Roman" w:cs="Times New Roman"/>
          <w:b/>
          <w:sz w:val="24"/>
        </w:rPr>
        <w:t>i</w:t>
      </w:r>
      <w:r w:rsidRPr="008957E7">
        <w:rPr>
          <w:rFonts w:ascii="Times New Roman" w:hAnsi="Times New Roman" w:cs="Times New Roman"/>
          <w:b/>
          <w:sz w:val="24"/>
        </w:rPr>
        <w:t>midacloprid PBTK model</w:t>
      </w:r>
      <w:r>
        <w:rPr>
          <w:rFonts w:ascii="Times New Roman" w:hAnsi="Times New Roman" w:cs="Times New Roman"/>
          <w:b/>
          <w:sz w:val="24"/>
        </w:rPr>
        <w:t>.</w:t>
      </w:r>
    </w:p>
    <w:tbl>
      <w:tblPr>
        <w:tblW w:w="940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34"/>
        <w:gridCol w:w="3135"/>
        <w:gridCol w:w="3135"/>
      </w:tblGrid>
      <w:tr w:rsidR="008957E7" w:rsidRPr="008957E7" w14:paraId="4A1B270B" w14:textId="77777777" w:rsidTr="008957E7">
        <w:tc>
          <w:tcPr>
            <w:tcW w:w="3134" w:type="dxa"/>
            <w:tcBorders>
              <w:top w:val="single" w:sz="4" w:space="0" w:color="auto"/>
              <w:left w:val="single" w:sz="4" w:space="0" w:color="auto"/>
              <w:bottom w:val="single" w:sz="4" w:space="0" w:color="auto"/>
              <w:right w:val="nil"/>
            </w:tcBorders>
            <w:vAlign w:val="center"/>
            <w:hideMark/>
          </w:tcPr>
          <w:p w14:paraId="56779F92" w14:textId="77777777" w:rsidR="008957E7" w:rsidRPr="008957E7" w:rsidRDefault="008957E7">
            <w:pPr>
              <w:pStyle w:val="Textkrper"/>
              <w:rPr>
                <w:rFonts w:ascii="Times New Roman" w:hAnsi="Times New Roman" w:cs="Times New Roman"/>
                <w:b/>
                <w:sz w:val="24"/>
                <w:szCs w:val="24"/>
              </w:rPr>
            </w:pPr>
            <w:r w:rsidRPr="008957E7">
              <w:rPr>
                <w:rFonts w:ascii="Times New Roman" w:hAnsi="Times New Roman" w:cs="Times New Roman"/>
                <w:b/>
                <w:sz w:val="24"/>
                <w:szCs w:val="24"/>
              </w:rPr>
              <w:t>Parameter</w:t>
            </w:r>
          </w:p>
        </w:tc>
        <w:tc>
          <w:tcPr>
            <w:tcW w:w="3135" w:type="dxa"/>
            <w:tcBorders>
              <w:top w:val="single" w:sz="4" w:space="0" w:color="auto"/>
              <w:left w:val="nil"/>
              <w:bottom w:val="single" w:sz="4" w:space="0" w:color="auto"/>
              <w:right w:val="nil"/>
            </w:tcBorders>
            <w:vAlign w:val="center"/>
            <w:hideMark/>
          </w:tcPr>
          <w:p w14:paraId="46318EA9" w14:textId="77777777" w:rsidR="008957E7" w:rsidRPr="008957E7" w:rsidRDefault="008957E7">
            <w:pPr>
              <w:pStyle w:val="Textkrper"/>
              <w:rPr>
                <w:rFonts w:ascii="Times New Roman" w:hAnsi="Times New Roman" w:cs="Times New Roman"/>
                <w:b/>
                <w:sz w:val="24"/>
                <w:szCs w:val="24"/>
              </w:rPr>
            </w:pPr>
            <w:r w:rsidRPr="008957E7">
              <w:rPr>
                <w:rFonts w:ascii="Times New Roman" w:hAnsi="Times New Roman" w:cs="Times New Roman"/>
                <w:b/>
                <w:sz w:val="24"/>
                <w:szCs w:val="24"/>
              </w:rPr>
              <w:t>Value</w:t>
            </w:r>
          </w:p>
        </w:tc>
        <w:tc>
          <w:tcPr>
            <w:tcW w:w="3135" w:type="dxa"/>
            <w:tcBorders>
              <w:top w:val="single" w:sz="4" w:space="0" w:color="auto"/>
              <w:left w:val="nil"/>
              <w:bottom w:val="single" w:sz="4" w:space="0" w:color="auto"/>
              <w:right w:val="single" w:sz="4" w:space="0" w:color="auto"/>
            </w:tcBorders>
            <w:vAlign w:val="center"/>
            <w:hideMark/>
          </w:tcPr>
          <w:p w14:paraId="763AD570" w14:textId="77777777" w:rsidR="008957E7" w:rsidRPr="008957E7" w:rsidRDefault="008957E7">
            <w:pPr>
              <w:pStyle w:val="Textkrper"/>
              <w:rPr>
                <w:rFonts w:ascii="Times New Roman" w:hAnsi="Times New Roman" w:cs="Times New Roman"/>
                <w:b/>
                <w:sz w:val="24"/>
                <w:szCs w:val="24"/>
              </w:rPr>
            </w:pPr>
            <w:r w:rsidRPr="008957E7">
              <w:rPr>
                <w:rFonts w:ascii="Times New Roman" w:hAnsi="Times New Roman" w:cs="Times New Roman"/>
                <w:b/>
                <w:sz w:val="24"/>
                <w:szCs w:val="24"/>
              </w:rPr>
              <w:t>Method/Reference</w:t>
            </w:r>
          </w:p>
        </w:tc>
      </w:tr>
      <w:tr w:rsidR="008957E7" w:rsidRPr="008957E7" w14:paraId="24489605" w14:textId="77777777" w:rsidTr="008957E7">
        <w:trPr>
          <w:trHeight w:val="672"/>
        </w:trPr>
        <w:tc>
          <w:tcPr>
            <w:tcW w:w="3134" w:type="dxa"/>
            <w:tcBorders>
              <w:top w:val="single" w:sz="4" w:space="0" w:color="auto"/>
              <w:left w:val="single" w:sz="4" w:space="0" w:color="auto"/>
              <w:bottom w:val="nil"/>
              <w:right w:val="nil"/>
            </w:tcBorders>
            <w:vAlign w:val="center"/>
            <w:hideMark/>
          </w:tcPr>
          <w:p w14:paraId="0EB5A67E"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 xml:space="preserve">Molecular weight (g/mol) </w:t>
            </w:r>
          </w:p>
        </w:tc>
        <w:tc>
          <w:tcPr>
            <w:tcW w:w="3135" w:type="dxa"/>
            <w:tcBorders>
              <w:top w:val="single" w:sz="4" w:space="0" w:color="auto"/>
              <w:left w:val="nil"/>
              <w:bottom w:val="nil"/>
              <w:right w:val="nil"/>
            </w:tcBorders>
            <w:vAlign w:val="center"/>
            <w:hideMark/>
          </w:tcPr>
          <w:p w14:paraId="69C0ECEA"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255.7</w:t>
            </w:r>
          </w:p>
        </w:tc>
        <w:tc>
          <w:tcPr>
            <w:tcW w:w="3135" w:type="dxa"/>
            <w:tcBorders>
              <w:top w:val="single" w:sz="4" w:space="0" w:color="auto"/>
              <w:left w:val="nil"/>
              <w:bottom w:val="nil"/>
              <w:right w:val="single" w:sz="4" w:space="0" w:color="auto"/>
            </w:tcBorders>
            <w:vAlign w:val="center"/>
            <w:hideMark/>
          </w:tcPr>
          <w:p w14:paraId="294DAF3E"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Pubchem</w:t>
            </w:r>
          </w:p>
        </w:tc>
      </w:tr>
      <w:tr w:rsidR="008957E7" w:rsidRPr="008957E7" w14:paraId="4E020D7F" w14:textId="77777777" w:rsidTr="008957E7">
        <w:trPr>
          <w:trHeight w:val="672"/>
        </w:trPr>
        <w:tc>
          <w:tcPr>
            <w:tcW w:w="3134" w:type="dxa"/>
            <w:tcBorders>
              <w:top w:val="nil"/>
              <w:left w:val="single" w:sz="4" w:space="0" w:color="auto"/>
              <w:bottom w:val="nil"/>
              <w:right w:val="nil"/>
            </w:tcBorders>
            <w:vAlign w:val="center"/>
            <w:hideMark/>
          </w:tcPr>
          <w:p w14:paraId="0FB01603"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log P</w:t>
            </w:r>
          </w:p>
        </w:tc>
        <w:tc>
          <w:tcPr>
            <w:tcW w:w="3135" w:type="dxa"/>
            <w:tcBorders>
              <w:top w:val="nil"/>
              <w:left w:val="nil"/>
              <w:bottom w:val="nil"/>
              <w:right w:val="nil"/>
            </w:tcBorders>
            <w:vAlign w:val="center"/>
            <w:hideMark/>
          </w:tcPr>
          <w:p w14:paraId="71491C8C"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0.4</w:t>
            </w:r>
          </w:p>
        </w:tc>
        <w:tc>
          <w:tcPr>
            <w:tcW w:w="3135" w:type="dxa"/>
            <w:tcBorders>
              <w:top w:val="nil"/>
              <w:left w:val="nil"/>
              <w:bottom w:val="nil"/>
              <w:right w:val="single" w:sz="4" w:space="0" w:color="auto"/>
            </w:tcBorders>
            <w:vAlign w:val="center"/>
            <w:hideMark/>
          </w:tcPr>
          <w:p w14:paraId="1CD90E30"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 xml:space="preserve">Predicted </w:t>
            </w:r>
            <w:r w:rsidRPr="008957E7">
              <w:rPr>
                <w:rFonts w:ascii="Times New Roman" w:hAnsi="Times New Roman" w:cs="Times New Roman"/>
                <w:i/>
                <w:sz w:val="24"/>
                <w:szCs w:val="24"/>
              </w:rPr>
              <w:t>in silico</w:t>
            </w:r>
            <w:r w:rsidRPr="008957E7">
              <w:rPr>
                <w:rFonts w:ascii="Times New Roman" w:hAnsi="Times New Roman" w:cs="Times New Roman"/>
                <w:i/>
                <w:sz w:val="24"/>
                <w:szCs w:val="24"/>
                <w:vertAlign w:val="superscript"/>
              </w:rPr>
              <w:t>b</w:t>
            </w:r>
            <w:r w:rsidRPr="008957E7">
              <w:rPr>
                <w:rFonts w:ascii="Times New Roman" w:hAnsi="Times New Roman" w:cs="Times New Roman"/>
                <w:i/>
                <w:sz w:val="24"/>
                <w:szCs w:val="24"/>
              </w:rPr>
              <w:t xml:space="preserve">. </w:t>
            </w:r>
          </w:p>
        </w:tc>
      </w:tr>
      <w:tr w:rsidR="008957E7" w:rsidRPr="008957E7" w14:paraId="49F6F13F" w14:textId="77777777" w:rsidTr="008957E7">
        <w:trPr>
          <w:trHeight w:val="672"/>
        </w:trPr>
        <w:tc>
          <w:tcPr>
            <w:tcW w:w="3134" w:type="dxa"/>
            <w:tcBorders>
              <w:top w:val="nil"/>
              <w:left w:val="single" w:sz="4" w:space="0" w:color="auto"/>
              <w:bottom w:val="nil"/>
              <w:right w:val="nil"/>
            </w:tcBorders>
            <w:vAlign w:val="center"/>
            <w:hideMark/>
          </w:tcPr>
          <w:p w14:paraId="3FCC949B"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Compound type</w:t>
            </w:r>
          </w:p>
        </w:tc>
        <w:tc>
          <w:tcPr>
            <w:tcW w:w="3135" w:type="dxa"/>
            <w:tcBorders>
              <w:top w:val="nil"/>
              <w:left w:val="nil"/>
              <w:bottom w:val="nil"/>
              <w:right w:val="nil"/>
            </w:tcBorders>
            <w:vAlign w:val="center"/>
            <w:hideMark/>
          </w:tcPr>
          <w:p w14:paraId="266DE57D"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Neutral</w:t>
            </w:r>
          </w:p>
        </w:tc>
        <w:tc>
          <w:tcPr>
            <w:tcW w:w="3135" w:type="dxa"/>
            <w:tcBorders>
              <w:top w:val="nil"/>
              <w:left w:val="nil"/>
              <w:bottom w:val="nil"/>
              <w:right w:val="single" w:sz="4" w:space="0" w:color="auto"/>
            </w:tcBorders>
            <w:vAlign w:val="center"/>
          </w:tcPr>
          <w:p w14:paraId="6109A474" w14:textId="77777777" w:rsidR="008957E7" w:rsidRPr="008957E7" w:rsidRDefault="008957E7">
            <w:pPr>
              <w:pStyle w:val="Textkrper"/>
              <w:rPr>
                <w:rFonts w:ascii="Times New Roman" w:hAnsi="Times New Roman" w:cs="Times New Roman"/>
                <w:sz w:val="24"/>
                <w:szCs w:val="24"/>
              </w:rPr>
            </w:pPr>
          </w:p>
        </w:tc>
      </w:tr>
      <w:tr w:rsidR="008957E7" w:rsidRPr="008957E7" w14:paraId="54579F73" w14:textId="77777777" w:rsidTr="008957E7">
        <w:trPr>
          <w:trHeight w:val="672"/>
        </w:trPr>
        <w:tc>
          <w:tcPr>
            <w:tcW w:w="3134" w:type="dxa"/>
            <w:tcBorders>
              <w:top w:val="nil"/>
              <w:left w:val="single" w:sz="4" w:space="0" w:color="auto"/>
              <w:bottom w:val="nil"/>
              <w:right w:val="nil"/>
            </w:tcBorders>
            <w:vAlign w:val="center"/>
            <w:hideMark/>
          </w:tcPr>
          <w:p w14:paraId="2191E870"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blood/plasma ratio [B/P]</w:t>
            </w:r>
          </w:p>
        </w:tc>
        <w:tc>
          <w:tcPr>
            <w:tcW w:w="3135" w:type="dxa"/>
            <w:tcBorders>
              <w:top w:val="nil"/>
              <w:left w:val="nil"/>
              <w:bottom w:val="nil"/>
              <w:right w:val="nil"/>
            </w:tcBorders>
            <w:vAlign w:val="center"/>
            <w:hideMark/>
          </w:tcPr>
          <w:p w14:paraId="758ECF66"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0.954</w:t>
            </w:r>
          </w:p>
        </w:tc>
        <w:tc>
          <w:tcPr>
            <w:tcW w:w="3135" w:type="dxa"/>
            <w:tcBorders>
              <w:top w:val="nil"/>
              <w:left w:val="nil"/>
              <w:bottom w:val="nil"/>
              <w:right w:val="single" w:sz="4" w:space="0" w:color="auto"/>
            </w:tcBorders>
            <w:vAlign w:val="center"/>
            <w:hideMark/>
          </w:tcPr>
          <w:p w14:paraId="02B77D8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measured</w:t>
            </w:r>
          </w:p>
        </w:tc>
      </w:tr>
      <w:tr w:rsidR="008957E7" w:rsidRPr="008957E7" w14:paraId="6491E406" w14:textId="77777777" w:rsidTr="008957E7">
        <w:trPr>
          <w:trHeight w:val="672"/>
        </w:trPr>
        <w:tc>
          <w:tcPr>
            <w:tcW w:w="3134" w:type="dxa"/>
            <w:tcBorders>
              <w:top w:val="nil"/>
              <w:left w:val="single" w:sz="4" w:space="0" w:color="auto"/>
              <w:bottom w:val="nil"/>
              <w:right w:val="nil"/>
            </w:tcBorders>
            <w:vAlign w:val="center"/>
            <w:hideMark/>
          </w:tcPr>
          <w:p w14:paraId="408CDED7"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free fraction [fu]</w:t>
            </w:r>
          </w:p>
        </w:tc>
        <w:tc>
          <w:tcPr>
            <w:tcW w:w="3135" w:type="dxa"/>
            <w:tcBorders>
              <w:top w:val="nil"/>
              <w:left w:val="nil"/>
              <w:bottom w:val="nil"/>
              <w:right w:val="nil"/>
            </w:tcBorders>
            <w:vAlign w:val="center"/>
            <w:hideMark/>
          </w:tcPr>
          <w:p w14:paraId="774DA356"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0.724</w:t>
            </w:r>
          </w:p>
        </w:tc>
        <w:tc>
          <w:tcPr>
            <w:tcW w:w="3135" w:type="dxa"/>
            <w:tcBorders>
              <w:top w:val="nil"/>
              <w:left w:val="nil"/>
              <w:bottom w:val="nil"/>
              <w:right w:val="single" w:sz="4" w:space="0" w:color="auto"/>
            </w:tcBorders>
            <w:vAlign w:val="center"/>
            <w:hideMark/>
          </w:tcPr>
          <w:p w14:paraId="78801426"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measured</w:t>
            </w:r>
          </w:p>
        </w:tc>
      </w:tr>
      <w:tr w:rsidR="008957E7" w:rsidRPr="008957E7" w14:paraId="333B5BFA" w14:textId="77777777" w:rsidTr="008957E7">
        <w:trPr>
          <w:trHeight w:val="672"/>
        </w:trPr>
        <w:tc>
          <w:tcPr>
            <w:tcW w:w="3134" w:type="dxa"/>
            <w:tcBorders>
              <w:top w:val="nil"/>
              <w:left w:val="single" w:sz="4" w:space="0" w:color="auto"/>
              <w:bottom w:val="nil"/>
              <w:right w:val="nil"/>
            </w:tcBorders>
            <w:vAlign w:val="center"/>
            <w:hideMark/>
          </w:tcPr>
          <w:p w14:paraId="4BE59B83"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Main plasma binding protein</w:t>
            </w:r>
          </w:p>
        </w:tc>
        <w:tc>
          <w:tcPr>
            <w:tcW w:w="3135" w:type="dxa"/>
            <w:tcBorders>
              <w:top w:val="nil"/>
              <w:left w:val="nil"/>
              <w:bottom w:val="nil"/>
              <w:right w:val="nil"/>
            </w:tcBorders>
            <w:vAlign w:val="center"/>
            <w:hideMark/>
          </w:tcPr>
          <w:p w14:paraId="428BC88E"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Human serum albumin</w:t>
            </w:r>
          </w:p>
        </w:tc>
        <w:tc>
          <w:tcPr>
            <w:tcW w:w="3135" w:type="dxa"/>
            <w:tcBorders>
              <w:top w:val="nil"/>
              <w:left w:val="nil"/>
              <w:bottom w:val="nil"/>
              <w:right w:val="single" w:sz="4" w:space="0" w:color="auto"/>
            </w:tcBorders>
            <w:vAlign w:val="center"/>
            <w:hideMark/>
          </w:tcPr>
          <w:p w14:paraId="0799D2DF"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assumed</w:t>
            </w:r>
          </w:p>
        </w:tc>
      </w:tr>
      <w:tr w:rsidR="008957E7" w:rsidRPr="008957E7" w14:paraId="0E126921" w14:textId="77777777" w:rsidTr="00CD1A69">
        <w:trPr>
          <w:trHeight w:val="850"/>
        </w:trPr>
        <w:tc>
          <w:tcPr>
            <w:tcW w:w="3134" w:type="dxa"/>
            <w:tcBorders>
              <w:top w:val="nil"/>
              <w:left w:val="single" w:sz="4" w:space="0" w:color="auto"/>
              <w:bottom w:val="nil"/>
              <w:right w:val="nil"/>
            </w:tcBorders>
            <w:vAlign w:val="bottom"/>
            <w:hideMark/>
          </w:tcPr>
          <w:p w14:paraId="07444AAF" w14:textId="77777777" w:rsidR="008957E7" w:rsidRPr="008957E7" w:rsidRDefault="008957E7" w:rsidP="00CD1A69">
            <w:pPr>
              <w:pStyle w:val="Textkrper"/>
              <w:rPr>
                <w:rFonts w:ascii="Times New Roman" w:hAnsi="Times New Roman" w:cs="Times New Roman"/>
                <w:b/>
                <w:sz w:val="24"/>
                <w:szCs w:val="24"/>
              </w:rPr>
            </w:pPr>
            <w:r w:rsidRPr="008957E7">
              <w:rPr>
                <w:rFonts w:ascii="Times New Roman" w:hAnsi="Times New Roman" w:cs="Times New Roman"/>
                <w:b/>
                <w:sz w:val="24"/>
                <w:szCs w:val="24"/>
              </w:rPr>
              <w:t>Absorption parameters:</w:t>
            </w:r>
            <w:r w:rsidRPr="008957E7">
              <w:rPr>
                <w:rFonts w:ascii="Times New Roman" w:hAnsi="Times New Roman" w:cs="Times New Roman"/>
                <w:b/>
                <w:sz w:val="24"/>
                <w:szCs w:val="24"/>
                <w:vertAlign w:val="superscript"/>
              </w:rPr>
              <w:t>b</w:t>
            </w:r>
          </w:p>
        </w:tc>
        <w:tc>
          <w:tcPr>
            <w:tcW w:w="3135" w:type="dxa"/>
            <w:tcBorders>
              <w:top w:val="nil"/>
              <w:left w:val="nil"/>
              <w:bottom w:val="nil"/>
              <w:right w:val="nil"/>
            </w:tcBorders>
            <w:vAlign w:val="bottom"/>
          </w:tcPr>
          <w:p w14:paraId="61F1CC47" w14:textId="77777777" w:rsidR="008957E7" w:rsidRPr="008957E7" w:rsidRDefault="008957E7" w:rsidP="00CD1A69">
            <w:pPr>
              <w:pStyle w:val="Textkrper"/>
              <w:rPr>
                <w:rFonts w:ascii="Times New Roman" w:hAnsi="Times New Roman" w:cs="Times New Roman"/>
                <w:sz w:val="24"/>
                <w:szCs w:val="24"/>
              </w:rPr>
            </w:pPr>
          </w:p>
        </w:tc>
        <w:tc>
          <w:tcPr>
            <w:tcW w:w="3135" w:type="dxa"/>
            <w:tcBorders>
              <w:top w:val="nil"/>
              <w:left w:val="nil"/>
              <w:bottom w:val="nil"/>
              <w:right w:val="single" w:sz="4" w:space="0" w:color="auto"/>
            </w:tcBorders>
            <w:vAlign w:val="center"/>
          </w:tcPr>
          <w:p w14:paraId="14369C2F" w14:textId="77777777" w:rsidR="008957E7" w:rsidRPr="008957E7" w:rsidRDefault="008957E7">
            <w:pPr>
              <w:pStyle w:val="Textkrper"/>
              <w:rPr>
                <w:rFonts w:ascii="Times New Roman" w:hAnsi="Times New Roman" w:cs="Times New Roman"/>
                <w:sz w:val="24"/>
                <w:szCs w:val="24"/>
              </w:rPr>
            </w:pPr>
          </w:p>
        </w:tc>
      </w:tr>
      <w:tr w:rsidR="008957E7" w:rsidRPr="008957E7" w14:paraId="5871CA8A" w14:textId="77777777" w:rsidTr="008957E7">
        <w:trPr>
          <w:trHeight w:val="672"/>
        </w:trPr>
        <w:tc>
          <w:tcPr>
            <w:tcW w:w="3134" w:type="dxa"/>
            <w:tcBorders>
              <w:top w:val="nil"/>
              <w:left w:val="single" w:sz="4" w:space="0" w:color="auto"/>
              <w:bottom w:val="single" w:sz="4" w:space="0" w:color="auto"/>
              <w:right w:val="nil"/>
            </w:tcBorders>
            <w:vAlign w:val="center"/>
            <w:hideMark/>
          </w:tcPr>
          <w:p w14:paraId="7357D75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fa</w:t>
            </w:r>
          </w:p>
        </w:tc>
        <w:tc>
          <w:tcPr>
            <w:tcW w:w="3135" w:type="dxa"/>
            <w:tcBorders>
              <w:top w:val="nil"/>
              <w:left w:val="nil"/>
              <w:bottom w:val="single" w:sz="4" w:space="0" w:color="auto"/>
              <w:right w:val="nil"/>
            </w:tcBorders>
            <w:vAlign w:val="center"/>
            <w:hideMark/>
          </w:tcPr>
          <w:p w14:paraId="0BED72A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0.95</w:t>
            </w:r>
          </w:p>
        </w:tc>
        <w:tc>
          <w:tcPr>
            <w:tcW w:w="3135" w:type="dxa"/>
            <w:tcBorders>
              <w:top w:val="nil"/>
              <w:left w:val="nil"/>
              <w:bottom w:val="single" w:sz="4" w:space="0" w:color="auto"/>
              <w:right w:val="single" w:sz="4" w:space="0" w:color="auto"/>
            </w:tcBorders>
            <w:vAlign w:val="center"/>
          </w:tcPr>
          <w:p w14:paraId="2F5484A7" w14:textId="77777777" w:rsidR="008957E7" w:rsidRPr="008957E7" w:rsidRDefault="008957E7">
            <w:pPr>
              <w:pStyle w:val="Textkrper"/>
              <w:rPr>
                <w:rFonts w:ascii="Times New Roman" w:hAnsi="Times New Roman" w:cs="Times New Roman"/>
                <w:sz w:val="24"/>
                <w:szCs w:val="24"/>
              </w:rPr>
            </w:pPr>
          </w:p>
        </w:tc>
      </w:tr>
      <w:tr w:rsidR="008957E7" w:rsidRPr="008957E7" w14:paraId="317336C1" w14:textId="77777777" w:rsidTr="008957E7">
        <w:trPr>
          <w:trHeight w:val="672"/>
        </w:trPr>
        <w:tc>
          <w:tcPr>
            <w:tcW w:w="6269" w:type="dxa"/>
            <w:gridSpan w:val="2"/>
            <w:tcBorders>
              <w:top w:val="single" w:sz="4" w:space="0" w:color="auto"/>
              <w:left w:val="nil"/>
              <w:bottom w:val="nil"/>
              <w:right w:val="nil"/>
            </w:tcBorders>
            <w:vAlign w:val="center"/>
          </w:tcPr>
          <w:p w14:paraId="2074021A" w14:textId="77777777" w:rsidR="008957E7" w:rsidRDefault="008957E7" w:rsidP="008957E7">
            <w:pPr>
              <w:jc w:val="both"/>
              <w:rPr>
                <w:rFonts w:ascii="Times New Roman" w:hAnsi="Times New Roman" w:cs="Times New Roman"/>
                <w:sz w:val="24"/>
              </w:rPr>
            </w:pPr>
            <w:r>
              <w:rPr>
                <w:rFonts w:ascii="Times New Roman" w:hAnsi="Times New Roman" w:cs="Times New Roman"/>
                <w:sz w:val="24"/>
              </w:rPr>
              <w:t>(Table continued on next page.)</w:t>
            </w:r>
          </w:p>
          <w:p w14:paraId="1D815D7D" w14:textId="77777777" w:rsidR="008957E7" w:rsidRPr="008957E7" w:rsidRDefault="008957E7" w:rsidP="008957E7">
            <w:pPr>
              <w:rPr>
                <w:rFonts w:ascii="Times New Roman" w:hAnsi="Times New Roman" w:cs="Times New Roman"/>
                <w:b/>
                <w:sz w:val="24"/>
              </w:rPr>
            </w:pPr>
          </w:p>
        </w:tc>
        <w:tc>
          <w:tcPr>
            <w:tcW w:w="3135" w:type="dxa"/>
            <w:tcBorders>
              <w:top w:val="single" w:sz="4" w:space="0" w:color="auto"/>
              <w:left w:val="nil"/>
              <w:bottom w:val="nil"/>
              <w:right w:val="nil"/>
            </w:tcBorders>
            <w:vAlign w:val="center"/>
          </w:tcPr>
          <w:p w14:paraId="06EC472D" w14:textId="77777777" w:rsidR="008957E7" w:rsidRPr="008957E7" w:rsidRDefault="008957E7">
            <w:pPr>
              <w:pStyle w:val="Textkrper"/>
              <w:rPr>
                <w:rFonts w:ascii="Times New Roman" w:hAnsi="Times New Roman" w:cs="Times New Roman"/>
                <w:sz w:val="24"/>
                <w:szCs w:val="24"/>
              </w:rPr>
            </w:pPr>
          </w:p>
        </w:tc>
      </w:tr>
      <w:tr w:rsidR="008957E7" w:rsidRPr="008957E7" w14:paraId="595C9466" w14:textId="77777777" w:rsidTr="008957E7">
        <w:trPr>
          <w:trHeight w:val="672"/>
        </w:trPr>
        <w:tc>
          <w:tcPr>
            <w:tcW w:w="9404" w:type="dxa"/>
            <w:gridSpan w:val="3"/>
            <w:tcBorders>
              <w:top w:val="nil"/>
              <w:left w:val="nil"/>
              <w:bottom w:val="single" w:sz="4" w:space="0" w:color="auto"/>
              <w:right w:val="nil"/>
            </w:tcBorders>
            <w:vAlign w:val="center"/>
          </w:tcPr>
          <w:p w14:paraId="2C0866CD"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b/>
                <w:sz w:val="24"/>
              </w:rPr>
              <w:lastRenderedPageBreak/>
              <w:t xml:space="preserve">Table </w:t>
            </w:r>
            <w:r>
              <w:rPr>
                <w:rFonts w:ascii="Times New Roman" w:hAnsi="Times New Roman" w:cs="Times New Roman"/>
                <w:b/>
                <w:sz w:val="24"/>
              </w:rPr>
              <w:t>S11</w:t>
            </w:r>
            <w:r w:rsidRPr="008957E7">
              <w:rPr>
                <w:rFonts w:ascii="Times New Roman" w:hAnsi="Times New Roman" w:cs="Times New Roman"/>
                <w:b/>
                <w:sz w:val="24"/>
              </w:rPr>
              <w:t>. Input parameters used in the Imidacloprid PBTK model</w:t>
            </w:r>
            <w:r>
              <w:rPr>
                <w:rFonts w:ascii="Times New Roman" w:hAnsi="Times New Roman" w:cs="Times New Roman"/>
                <w:b/>
                <w:sz w:val="24"/>
              </w:rPr>
              <w:t>. (continued)</w:t>
            </w:r>
          </w:p>
        </w:tc>
      </w:tr>
      <w:tr w:rsidR="008957E7" w:rsidRPr="008957E7" w14:paraId="6D8D9C56" w14:textId="77777777" w:rsidTr="008957E7">
        <w:trPr>
          <w:trHeight w:val="672"/>
        </w:trPr>
        <w:tc>
          <w:tcPr>
            <w:tcW w:w="3134" w:type="dxa"/>
            <w:tcBorders>
              <w:top w:val="single" w:sz="4" w:space="0" w:color="auto"/>
              <w:left w:val="single" w:sz="4" w:space="0" w:color="auto"/>
              <w:bottom w:val="nil"/>
              <w:right w:val="nil"/>
            </w:tcBorders>
            <w:vAlign w:val="center"/>
            <w:hideMark/>
          </w:tcPr>
          <w:p w14:paraId="4FB5E34C"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ka (1/h)</w:t>
            </w:r>
          </w:p>
        </w:tc>
        <w:tc>
          <w:tcPr>
            <w:tcW w:w="3135" w:type="dxa"/>
            <w:tcBorders>
              <w:top w:val="single" w:sz="4" w:space="0" w:color="auto"/>
              <w:left w:val="nil"/>
              <w:bottom w:val="nil"/>
              <w:right w:val="nil"/>
            </w:tcBorders>
            <w:vAlign w:val="center"/>
            <w:hideMark/>
          </w:tcPr>
          <w:p w14:paraId="0FDDB713"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1.16</w:t>
            </w:r>
          </w:p>
        </w:tc>
        <w:tc>
          <w:tcPr>
            <w:tcW w:w="3135" w:type="dxa"/>
            <w:tcBorders>
              <w:top w:val="single" w:sz="4" w:space="0" w:color="auto"/>
              <w:left w:val="nil"/>
              <w:bottom w:val="nil"/>
              <w:right w:val="single" w:sz="4" w:space="0" w:color="auto"/>
            </w:tcBorders>
            <w:vAlign w:val="center"/>
          </w:tcPr>
          <w:p w14:paraId="47C50CEC" w14:textId="77777777" w:rsidR="008957E7" w:rsidRPr="008957E7" w:rsidRDefault="008957E7">
            <w:pPr>
              <w:pStyle w:val="Textkrper"/>
              <w:rPr>
                <w:rFonts w:ascii="Times New Roman" w:hAnsi="Times New Roman" w:cs="Times New Roman"/>
                <w:sz w:val="24"/>
                <w:szCs w:val="24"/>
              </w:rPr>
            </w:pPr>
          </w:p>
        </w:tc>
      </w:tr>
      <w:tr w:rsidR="008957E7" w:rsidRPr="008957E7" w14:paraId="00F5A6A6" w14:textId="77777777" w:rsidTr="008957E7">
        <w:trPr>
          <w:trHeight w:val="672"/>
        </w:trPr>
        <w:tc>
          <w:tcPr>
            <w:tcW w:w="3134" w:type="dxa"/>
            <w:tcBorders>
              <w:top w:val="nil"/>
              <w:left w:val="single" w:sz="4" w:space="0" w:color="auto"/>
              <w:bottom w:val="nil"/>
              <w:right w:val="nil"/>
            </w:tcBorders>
            <w:vAlign w:val="center"/>
            <w:hideMark/>
          </w:tcPr>
          <w:p w14:paraId="6CB390F1"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fu</w:t>
            </w:r>
            <w:r w:rsidRPr="008957E7">
              <w:rPr>
                <w:rFonts w:ascii="Times New Roman" w:hAnsi="Times New Roman" w:cs="Times New Roman"/>
                <w:sz w:val="24"/>
                <w:szCs w:val="24"/>
                <w:vertAlign w:val="subscript"/>
              </w:rPr>
              <w:t>gut</w:t>
            </w:r>
          </w:p>
        </w:tc>
        <w:tc>
          <w:tcPr>
            <w:tcW w:w="3135" w:type="dxa"/>
            <w:tcBorders>
              <w:top w:val="nil"/>
              <w:left w:val="nil"/>
              <w:bottom w:val="nil"/>
              <w:right w:val="nil"/>
            </w:tcBorders>
            <w:vAlign w:val="center"/>
            <w:hideMark/>
          </w:tcPr>
          <w:p w14:paraId="3FCC5793"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1</w:t>
            </w:r>
          </w:p>
        </w:tc>
        <w:tc>
          <w:tcPr>
            <w:tcW w:w="3135" w:type="dxa"/>
            <w:tcBorders>
              <w:top w:val="nil"/>
              <w:left w:val="nil"/>
              <w:bottom w:val="nil"/>
              <w:right w:val="single" w:sz="4" w:space="0" w:color="auto"/>
            </w:tcBorders>
            <w:vAlign w:val="center"/>
            <w:hideMark/>
          </w:tcPr>
          <w:p w14:paraId="1D487D25"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assumed</w:t>
            </w:r>
          </w:p>
        </w:tc>
      </w:tr>
      <w:tr w:rsidR="008957E7" w:rsidRPr="008957E7" w14:paraId="4B5E515E" w14:textId="77777777" w:rsidTr="008957E7">
        <w:trPr>
          <w:trHeight w:val="672"/>
        </w:trPr>
        <w:tc>
          <w:tcPr>
            <w:tcW w:w="3134" w:type="dxa"/>
            <w:tcBorders>
              <w:top w:val="nil"/>
              <w:left w:val="single" w:sz="4" w:space="0" w:color="auto"/>
              <w:bottom w:val="nil"/>
              <w:right w:val="nil"/>
            </w:tcBorders>
            <w:vAlign w:val="center"/>
            <w:hideMark/>
          </w:tcPr>
          <w:p w14:paraId="6B06D63D"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Q</w:t>
            </w:r>
            <w:r w:rsidRPr="008957E7">
              <w:rPr>
                <w:rFonts w:ascii="Times New Roman" w:hAnsi="Times New Roman" w:cs="Times New Roman"/>
                <w:sz w:val="24"/>
                <w:szCs w:val="24"/>
                <w:vertAlign w:val="subscript"/>
              </w:rPr>
              <w:t>gut</w:t>
            </w:r>
            <w:r w:rsidRPr="008957E7">
              <w:rPr>
                <w:rFonts w:ascii="Times New Roman" w:hAnsi="Times New Roman" w:cs="Times New Roman"/>
                <w:sz w:val="24"/>
                <w:szCs w:val="24"/>
              </w:rPr>
              <w:t xml:space="preserve"> (L/h)</w:t>
            </w:r>
          </w:p>
        </w:tc>
        <w:tc>
          <w:tcPr>
            <w:tcW w:w="3135" w:type="dxa"/>
            <w:tcBorders>
              <w:top w:val="nil"/>
              <w:left w:val="nil"/>
              <w:bottom w:val="nil"/>
              <w:right w:val="nil"/>
            </w:tcBorders>
            <w:vAlign w:val="center"/>
            <w:hideMark/>
          </w:tcPr>
          <w:p w14:paraId="0055DB40"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18.6</w:t>
            </w:r>
          </w:p>
        </w:tc>
        <w:tc>
          <w:tcPr>
            <w:tcW w:w="3135" w:type="dxa"/>
            <w:tcBorders>
              <w:top w:val="nil"/>
              <w:left w:val="nil"/>
              <w:bottom w:val="nil"/>
              <w:right w:val="single" w:sz="4" w:space="0" w:color="auto"/>
            </w:tcBorders>
            <w:vAlign w:val="center"/>
          </w:tcPr>
          <w:p w14:paraId="78C8D347" w14:textId="77777777" w:rsidR="008957E7" w:rsidRPr="008957E7" w:rsidRDefault="008957E7">
            <w:pPr>
              <w:pStyle w:val="Textkrper"/>
              <w:rPr>
                <w:rFonts w:ascii="Times New Roman" w:hAnsi="Times New Roman" w:cs="Times New Roman"/>
                <w:sz w:val="24"/>
                <w:szCs w:val="24"/>
              </w:rPr>
            </w:pPr>
          </w:p>
        </w:tc>
      </w:tr>
      <w:tr w:rsidR="008957E7" w:rsidRPr="008957E7" w14:paraId="0C858AEC" w14:textId="77777777" w:rsidTr="008957E7">
        <w:trPr>
          <w:trHeight w:val="672"/>
        </w:trPr>
        <w:tc>
          <w:tcPr>
            <w:tcW w:w="3134" w:type="dxa"/>
            <w:tcBorders>
              <w:top w:val="nil"/>
              <w:left w:val="single" w:sz="4" w:space="0" w:color="auto"/>
              <w:bottom w:val="nil"/>
              <w:right w:val="nil"/>
            </w:tcBorders>
            <w:vAlign w:val="center"/>
            <w:hideMark/>
          </w:tcPr>
          <w:p w14:paraId="7C644DB3"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P</w:t>
            </w:r>
            <w:r w:rsidRPr="008957E7">
              <w:rPr>
                <w:rFonts w:ascii="Times New Roman" w:hAnsi="Times New Roman" w:cs="Times New Roman"/>
                <w:sz w:val="24"/>
                <w:szCs w:val="24"/>
                <w:vertAlign w:val="subscript"/>
              </w:rPr>
              <w:t>eff,man</w:t>
            </w:r>
            <w:r w:rsidRPr="008957E7">
              <w:rPr>
                <w:rFonts w:ascii="Times New Roman" w:hAnsi="Times New Roman" w:cs="Times New Roman"/>
                <w:sz w:val="24"/>
                <w:szCs w:val="24"/>
              </w:rPr>
              <w:t xml:space="preserve"> (10</w:t>
            </w:r>
            <w:r w:rsidRPr="008957E7">
              <w:rPr>
                <w:rFonts w:ascii="Times New Roman" w:hAnsi="Times New Roman" w:cs="Times New Roman"/>
                <w:sz w:val="24"/>
                <w:szCs w:val="24"/>
                <w:vertAlign w:val="superscript"/>
              </w:rPr>
              <w:t>-4</w:t>
            </w:r>
            <w:r w:rsidRPr="008957E7">
              <w:rPr>
                <w:rFonts w:ascii="Times New Roman" w:hAnsi="Times New Roman" w:cs="Times New Roman"/>
                <w:sz w:val="24"/>
                <w:szCs w:val="24"/>
              </w:rPr>
              <w:t>cm/s)</w:t>
            </w:r>
          </w:p>
        </w:tc>
        <w:tc>
          <w:tcPr>
            <w:tcW w:w="3135" w:type="dxa"/>
            <w:tcBorders>
              <w:top w:val="nil"/>
              <w:left w:val="nil"/>
              <w:bottom w:val="nil"/>
              <w:right w:val="nil"/>
            </w:tcBorders>
            <w:vAlign w:val="center"/>
            <w:hideMark/>
          </w:tcPr>
          <w:p w14:paraId="2F05C1F7"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2.82</w:t>
            </w:r>
          </w:p>
        </w:tc>
        <w:tc>
          <w:tcPr>
            <w:tcW w:w="3135" w:type="dxa"/>
            <w:tcBorders>
              <w:top w:val="nil"/>
              <w:left w:val="nil"/>
              <w:bottom w:val="nil"/>
              <w:right w:val="single" w:sz="4" w:space="0" w:color="auto"/>
            </w:tcBorders>
            <w:vAlign w:val="center"/>
          </w:tcPr>
          <w:p w14:paraId="0AEEF6FA" w14:textId="77777777" w:rsidR="008957E7" w:rsidRPr="008957E7" w:rsidRDefault="008957E7">
            <w:pPr>
              <w:pStyle w:val="Textkrper"/>
              <w:rPr>
                <w:rFonts w:ascii="Times New Roman" w:hAnsi="Times New Roman" w:cs="Times New Roman"/>
                <w:sz w:val="24"/>
                <w:szCs w:val="24"/>
              </w:rPr>
            </w:pPr>
          </w:p>
        </w:tc>
      </w:tr>
      <w:tr w:rsidR="008957E7" w:rsidRPr="008957E7" w14:paraId="4AAC9AA9" w14:textId="77777777" w:rsidTr="008957E7">
        <w:trPr>
          <w:trHeight w:val="672"/>
        </w:trPr>
        <w:tc>
          <w:tcPr>
            <w:tcW w:w="3134" w:type="dxa"/>
            <w:tcBorders>
              <w:top w:val="nil"/>
              <w:left w:val="single" w:sz="4" w:space="0" w:color="auto"/>
              <w:bottom w:val="nil"/>
              <w:right w:val="nil"/>
            </w:tcBorders>
            <w:vAlign w:val="center"/>
            <w:hideMark/>
          </w:tcPr>
          <w:p w14:paraId="7A2F38C0"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P</w:t>
            </w:r>
            <w:r w:rsidRPr="008957E7">
              <w:rPr>
                <w:rFonts w:ascii="Times New Roman" w:hAnsi="Times New Roman" w:cs="Times New Roman"/>
                <w:sz w:val="24"/>
                <w:szCs w:val="24"/>
                <w:vertAlign w:val="subscript"/>
              </w:rPr>
              <w:t>trans,0</w:t>
            </w:r>
            <w:r w:rsidRPr="008957E7">
              <w:rPr>
                <w:rFonts w:ascii="Times New Roman" w:hAnsi="Times New Roman" w:cs="Times New Roman"/>
                <w:sz w:val="24"/>
                <w:szCs w:val="24"/>
              </w:rPr>
              <w:t xml:space="preserve"> (10</w:t>
            </w:r>
            <w:r w:rsidRPr="008957E7">
              <w:rPr>
                <w:rFonts w:ascii="Times New Roman" w:hAnsi="Times New Roman" w:cs="Times New Roman"/>
                <w:sz w:val="24"/>
                <w:szCs w:val="24"/>
                <w:vertAlign w:val="superscript"/>
              </w:rPr>
              <w:t>-6</w:t>
            </w:r>
            <w:r w:rsidRPr="008957E7">
              <w:rPr>
                <w:rFonts w:ascii="Times New Roman" w:hAnsi="Times New Roman" w:cs="Times New Roman"/>
                <w:sz w:val="24"/>
                <w:szCs w:val="24"/>
              </w:rPr>
              <w:t>cm/s)</w:t>
            </w:r>
          </w:p>
        </w:tc>
        <w:tc>
          <w:tcPr>
            <w:tcW w:w="3135" w:type="dxa"/>
            <w:tcBorders>
              <w:top w:val="nil"/>
              <w:left w:val="nil"/>
              <w:bottom w:val="nil"/>
              <w:right w:val="nil"/>
            </w:tcBorders>
            <w:vAlign w:val="center"/>
            <w:hideMark/>
          </w:tcPr>
          <w:p w14:paraId="00A126B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35.4</w:t>
            </w:r>
          </w:p>
        </w:tc>
        <w:tc>
          <w:tcPr>
            <w:tcW w:w="3135" w:type="dxa"/>
            <w:tcBorders>
              <w:top w:val="nil"/>
              <w:left w:val="nil"/>
              <w:bottom w:val="nil"/>
              <w:right w:val="single" w:sz="4" w:space="0" w:color="auto"/>
            </w:tcBorders>
            <w:vAlign w:val="center"/>
          </w:tcPr>
          <w:p w14:paraId="41573C2E" w14:textId="77777777" w:rsidR="008957E7" w:rsidRPr="008957E7" w:rsidRDefault="008957E7">
            <w:pPr>
              <w:pStyle w:val="Textkrper"/>
              <w:rPr>
                <w:rFonts w:ascii="Times New Roman" w:hAnsi="Times New Roman" w:cs="Times New Roman"/>
                <w:sz w:val="24"/>
                <w:szCs w:val="24"/>
              </w:rPr>
            </w:pPr>
          </w:p>
        </w:tc>
      </w:tr>
      <w:tr w:rsidR="008957E7" w:rsidRPr="008957E7" w14:paraId="5CC0F62B" w14:textId="77777777" w:rsidTr="00CD1A69">
        <w:trPr>
          <w:trHeight w:val="850"/>
        </w:trPr>
        <w:tc>
          <w:tcPr>
            <w:tcW w:w="3134" w:type="dxa"/>
            <w:tcBorders>
              <w:top w:val="nil"/>
              <w:left w:val="single" w:sz="4" w:space="0" w:color="auto"/>
              <w:bottom w:val="nil"/>
              <w:right w:val="nil"/>
            </w:tcBorders>
            <w:vAlign w:val="bottom"/>
            <w:hideMark/>
          </w:tcPr>
          <w:p w14:paraId="5AB6248D" w14:textId="77777777" w:rsidR="008957E7" w:rsidRPr="008957E7" w:rsidRDefault="008957E7" w:rsidP="00CD1A69">
            <w:pPr>
              <w:pStyle w:val="Textkrper"/>
              <w:rPr>
                <w:rFonts w:ascii="Times New Roman" w:hAnsi="Times New Roman" w:cs="Times New Roman"/>
                <w:b/>
                <w:sz w:val="24"/>
                <w:szCs w:val="24"/>
              </w:rPr>
            </w:pPr>
            <w:r w:rsidRPr="008957E7">
              <w:rPr>
                <w:rFonts w:ascii="Times New Roman" w:hAnsi="Times New Roman" w:cs="Times New Roman"/>
                <w:b/>
                <w:sz w:val="24"/>
                <w:szCs w:val="24"/>
              </w:rPr>
              <w:t>Distribution Model</w:t>
            </w:r>
          </w:p>
        </w:tc>
        <w:tc>
          <w:tcPr>
            <w:tcW w:w="3135" w:type="dxa"/>
            <w:tcBorders>
              <w:top w:val="nil"/>
              <w:left w:val="nil"/>
              <w:bottom w:val="nil"/>
              <w:right w:val="nil"/>
            </w:tcBorders>
            <w:vAlign w:val="bottom"/>
            <w:hideMark/>
          </w:tcPr>
          <w:p w14:paraId="18A5294A" w14:textId="7D0A2DCE" w:rsidR="008957E7" w:rsidRPr="008957E7" w:rsidRDefault="006C5112" w:rsidP="00CD1A69">
            <w:pPr>
              <w:pStyle w:val="Textkrper"/>
              <w:rPr>
                <w:rFonts w:ascii="Times New Roman" w:hAnsi="Times New Roman" w:cs="Times New Roman"/>
                <w:sz w:val="24"/>
                <w:szCs w:val="24"/>
              </w:rPr>
            </w:pPr>
            <w:r>
              <w:rPr>
                <w:rFonts w:ascii="Times New Roman" w:hAnsi="Times New Roman" w:cs="Times New Roman"/>
                <w:sz w:val="24"/>
                <w:szCs w:val="24"/>
              </w:rPr>
              <w:t>Minimal PBT</w:t>
            </w:r>
            <w:r w:rsidR="008957E7" w:rsidRPr="008957E7">
              <w:rPr>
                <w:rFonts w:ascii="Times New Roman" w:hAnsi="Times New Roman" w:cs="Times New Roman"/>
                <w:sz w:val="24"/>
                <w:szCs w:val="24"/>
              </w:rPr>
              <w:t>K Model</w:t>
            </w:r>
          </w:p>
        </w:tc>
        <w:tc>
          <w:tcPr>
            <w:tcW w:w="3135" w:type="dxa"/>
            <w:tcBorders>
              <w:top w:val="nil"/>
              <w:left w:val="nil"/>
              <w:bottom w:val="nil"/>
              <w:right w:val="single" w:sz="4" w:space="0" w:color="auto"/>
            </w:tcBorders>
            <w:vAlign w:val="bottom"/>
          </w:tcPr>
          <w:p w14:paraId="132DBD39" w14:textId="77777777" w:rsidR="008957E7" w:rsidRPr="008957E7" w:rsidRDefault="008957E7" w:rsidP="00CD1A69">
            <w:pPr>
              <w:pStyle w:val="Textkrper"/>
              <w:rPr>
                <w:rFonts w:ascii="Times New Roman" w:hAnsi="Times New Roman" w:cs="Times New Roman"/>
                <w:sz w:val="24"/>
                <w:szCs w:val="24"/>
              </w:rPr>
            </w:pPr>
          </w:p>
        </w:tc>
      </w:tr>
      <w:tr w:rsidR="008957E7" w:rsidRPr="008957E7" w14:paraId="09E016BE" w14:textId="77777777" w:rsidTr="00CD1A69">
        <w:trPr>
          <w:trHeight w:val="675"/>
        </w:trPr>
        <w:tc>
          <w:tcPr>
            <w:tcW w:w="3134" w:type="dxa"/>
            <w:tcBorders>
              <w:top w:val="nil"/>
              <w:left w:val="single" w:sz="4" w:space="0" w:color="auto"/>
              <w:bottom w:val="nil"/>
              <w:right w:val="nil"/>
            </w:tcBorders>
            <w:vAlign w:val="center"/>
            <w:hideMark/>
          </w:tcPr>
          <w:p w14:paraId="71B0ADE1"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V</w:t>
            </w:r>
            <w:r w:rsidRPr="008957E7">
              <w:rPr>
                <w:rFonts w:ascii="Times New Roman" w:hAnsi="Times New Roman" w:cs="Times New Roman"/>
                <w:sz w:val="24"/>
                <w:szCs w:val="24"/>
                <w:vertAlign w:val="subscript"/>
              </w:rPr>
              <w:t>SS</w:t>
            </w:r>
            <w:r w:rsidRPr="008957E7">
              <w:rPr>
                <w:rFonts w:ascii="Times New Roman" w:hAnsi="Times New Roman" w:cs="Times New Roman"/>
                <w:sz w:val="24"/>
                <w:szCs w:val="24"/>
              </w:rPr>
              <w:t xml:space="preserve"> (L/kg)</w:t>
            </w:r>
          </w:p>
        </w:tc>
        <w:tc>
          <w:tcPr>
            <w:tcW w:w="3135" w:type="dxa"/>
            <w:tcBorders>
              <w:top w:val="nil"/>
              <w:left w:val="nil"/>
              <w:bottom w:val="nil"/>
              <w:right w:val="nil"/>
            </w:tcBorders>
            <w:vAlign w:val="center"/>
            <w:hideMark/>
          </w:tcPr>
          <w:p w14:paraId="220B7DE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0.85</w:t>
            </w:r>
          </w:p>
        </w:tc>
        <w:tc>
          <w:tcPr>
            <w:tcW w:w="3135" w:type="dxa"/>
            <w:tcBorders>
              <w:top w:val="nil"/>
              <w:left w:val="nil"/>
              <w:bottom w:val="nil"/>
              <w:right w:val="single" w:sz="4" w:space="0" w:color="auto"/>
            </w:tcBorders>
            <w:vAlign w:val="center"/>
            <w:hideMark/>
          </w:tcPr>
          <w:p w14:paraId="2DEA2026"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 xml:space="preserve">Predicted </w:t>
            </w:r>
            <w:r w:rsidRPr="008957E7">
              <w:rPr>
                <w:rFonts w:ascii="Times New Roman" w:hAnsi="Times New Roman" w:cs="Times New Roman"/>
                <w:sz w:val="24"/>
                <w:szCs w:val="24"/>
                <w:vertAlign w:val="superscript"/>
              </w:rPr>
              <w:t>c</w:t>
            </w:r>
          </w:p>
        </w:tc>
      </w:tr>
      <w:tr w:rsidR="008957E7" w:rsidRPr="008957E7" w14:paraId="67C25B32" w14:textId="77777777" w:rsidTr="00CD1A69">
        <w:trPr>
          <w:trHeight w:val="675"/>
        </w:trPr>
        <w:tc>
          <w:tcPr>
            <w:tcW w:w="3134" w:type="dxa"/>
            <w:tcBorders>
              <w:top w:val="nil"/>
              <w:left w:val="single" w:sz="4" w:space="0" w:color="auto"/>
              <w:bottom w:val="nil"/>
              <w:right w:val="nil"/>
            </w:tcBorders>
            <w:vAlign w:val="center"/>
            <w:hideMark/>
          </w:tcPr>
          <w:p w14:paraId="74D52EB1"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Brain:</w:t>
            </w:r>
            <w:r w:rsidR="00CD1A69">
              <w:rPr>
                <w:rFonts w:ascii="Times New Roman" w:hAnsi="Times New Roman" w:cs="Times New Roman"/>
                <w:sz w:val="24"/>
                <w:szCs w:val="24"/>
              </w:rPr>
              <w:t xml:space="preserve"> </w:t>
            </w:r>
            <w:r w:rsidRPr="008957E7">
              <w:rPr>
                <w:rFonts w:ascii="Times New Roman" w:hAnsi="Times New Roman" w:cs="Times New Roman"/>
                <w:sz w:val="24"/>
                <w:szCs w:val="24"/>
              </w:rPr>
              <w:t xml:space="preserve">Plasma ratio </w:t>
            </w:r>
          </w:p>
        </w:tc>
        <w:tc>
          <w:tcPr>
            <w:tcW w:w="3135" w:type="dxa"/>
            <w:tcBorders>
              <w:top w:val="nil"/>
              <w:left w:val="nil"/>
              <w:bottom w:val="nil"/>
              <w:right w:val="nil"/>
            </w:tcBorders>
            <w:vAlign w:val="center"/>
            <w:hideMark/>
          </w:tcPr>
          <w:p w14:paraId="316D3AEE"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0.75</w:t>
            </w:r>
            <w:r w:rsidRPr="008957E7">
              <w:rPr>
                <w:rFonts w:ascii="Times New Roman" w:hAnsi="Times New Roman" w:cs="Times New Roman"/>
                <w:sz w:val="24"/>
                <w:szCs w:val="24"/>
                <w:vertAlign w:val="superscript"/>
              </w:rPr>
              <w:t>d</w:t>
            </w:r>
          </w:p>
        </w:tc>
        <w:tc>
          <w:tcPr>
            <w:tcW w:w="3135" w:type="dxa"/>
            <w:tcBorders>
              <w:top w:val="nil"/>
              <w:left w:val="nil"/>
              <w:bottom w:val="nil"/>
              <w:right w:val="single" w:sz="4" w:space="0" w:color="auto"/>
            </w:tcBorders>
            <w:vAlign w:val="center"/>
          </w:tcPr>
          <w:p w14:paraId="467A9567" w14:textId="77777777" w:rsidR="008957E7" w:rsidRPr="008957E7" w:rsidRDefault="008957E7">
            <w:pPr>
              <w:pStyle w:val="Textkrper"/>
              <w:rPr>
                <w:rFonts w:ascii="Times New Roman" w:hAnsi="Times New Roman" w:cs="Times New Roman"/>
                <w:sz w:val="24"/>
                <w:szCs w:val="24"/>
              </w:rPr>
            </w:pPr>
          </w:p>
        </w:tc>
      </w:tr>
      <w:tr w:rsidR="008957E7" w:rsidRPr="008957E7" w14:paraId="73C48369" w14:textId="77777777" w:rsidTr="00CD1A69">
        <w:trPr>
          <w:trHeight w:val="675"/>
        </w:trPr>
        <w:tc>
          <w:tcPr>
            <w:tcW w:w="3134" w:type="dxa"/>
            <w:tcBorders>
              <w:top w:val="nil"/>
              <w:left w:val="single" w:sz="4" w:space="0" w:color="auto"/>
              <w:bottom w:val="nil"/>
              <w:right w:val="nil"/>
            </w:tcBorders>
            <w:vAlign w:val="center"/>
            <w:hideMark/>
          </w:tcPr>
          <w:p w14:paraId="263171A5"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Kp Scalar</w:t>
            </w:r>
          </w:p>
        </w:tc>
        <w:tc>
          <w:tcPr>
            <w:tcW w:w="3135" w:type="dxa"/>
            <w:tcBorders>
              <w:top w:val="nil"/>
              <w:left w:val="nil"/>
              <w:bottom w:val="nil"/>
              <w:right w:val="nil"/>
            </w:tcBorders>
            <w:vAlign w:val="center"/>
            <w:hideMark/>
          </w:tcPr>
          <w:p w14:paraId="51E190AC"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2</w:t>
            </w:r>
          </w:p>
        </w:tc>
        <w:tc>
          <w:tcPr>
            <w:tcW w:w="3135" w:type="dxa"/>
            <w:tcBorders>
              <w:top w:val="nil"/>
              <w:left w:val="nil"/>
              <w:bottom w:val="nil"/>
              <w:right w:val="single" w:sz="4" w:space="0" w:color="auto"/>
            </w:tcBorders>
            <w:vAlign w:val="center"/>
            <w:hideMark/>
          </w:tcPr>
          <w:p w14:paraId="5577E622" w14:textId="77777777" w:rsidR="008957E7" w:rsidRPr="008957E7" w:rsidRDefault="00CD1A69">
            <w:pPr>
              <w:pStyle w:val="Textkrper"/>
              <w:rPr>
                <w:rFonts w:ascii="Times New Roman" w:hAnsi="Times New Roman" w:cs="Times New Roman"/>
                <w:sz w:val="24"/>
                <w:szCs w:val="24"/>
              </w:rPr>
            </w:pPr>
            <w:r w:rsidRPr="008957E7">
              <w:rPr>
                <w:rFonts w:ascii="Times New Roman" w:hAnsi="Times New Roman" w:cs="Times New Roman"/>
                <w:sz w:val="24"/>
                <w:szCs w:val="24"/>
              </w:rPr>
              <w:t>Optimized</w:t>
            </w:r>
          </w:p>
        </w:tc>
      </w:tr>
      <w:tr w:rsidR="008957E7" w:rsidRPr="008957E7" w14:paraId="753F4475" w14:textId="77777777" w:rsidTr="00CD1A69">
        <w:trPr>
          <w:trHeight w:val="675"/>
        </w:trPr>
        <w:tc>
          <w:tcPr>
            <w:tcW w:w="3134" w:type="dxa"/>
            <w:tcBorders>
              <w:top w:val="nil"/>
              <w:left w:val="single" w:sz="4" w:space="0" w:color="auto"/>
              <w:bottom w:val="nil"/>
              <w:right w:val="nil"/>
            </w:tcBorders>
            <w:vAlign w:val="center"/>
            <w:hideMark/>
          </w:tcPr>
          <w:p w14:paraId="54F243E9"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Enzyme</w:t>
            </w:r>
          </w:p>
        </w:tc>
        <w:tc>
          <w:tcPr>
            <w:tcW w:w="3135" w:type="dxa"/>
            <w:tcBorders>
              <w:top w:val="nil"/>
              <w:left w:val="nil"/>
              <w:bottom w:val="nil"/>
              <w:right w:val="nil"/>
            </w:tcBorders>
            <w:vAlign w:val="center"/>
            <w:hideMark/>
          </w:tcPr>
          <w:p w14:paraId="6D2429B8"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CYP3A4</w:t>
            </w:r>
          </w:p>
        </w:tc>
        <w:tc>
          <w:tcPr>
            <w:tcW w:w="3135" w:type="dxa"/>
            <w:tcBorders>
              <w:top w:val="nil"/>
              <w:left w:val="nil"/>
              <w:bottom w:val="nil"/>
              <w:right w:val="single" w:sz="4" w:space="0" w:color="auto"/>
            </w:tcBorders>
            <w:vAlign w:val="center"/>
          </w:tcPr>
          <w:p w14:paraId="1F615D26" w14:textId="77777777" w:rsidR="008957E7" w:rsidRPr="008957E7" w:rsidRDefault="008957E7">
            <w:pPr>
              <w:pStyle w:val="Textkrper"/>
              <w:rPr>
                <w:rFonts w:ascii="Times New Roman" w:hAnsi="Times New Roman" w:cs="Times New Roman"/>
                <w:sz w:val="24"/>
                <w:szCs w:val="24"/>
              </w:rPr>
            </w:pPr>
          </w:p>
        </w:tc>
      </w:tr>
      <w:tr w:rsidR="008957E7" w:rsidRPr="008957E7" w14:paraId="780DE8A1" w14:textId="77777777" w:rsidTr="00CD1A69">
        <w:trPr>
          <w:trHeight w:val="675"/>
        </w:trPr>
        <w:tc>
          <w:tcPr>
            <w:tcW w:w="3134" w:type="dxa"/>
            <w:tcBorders>
              <w:top w:val="nil"/>
              <w:left w:val="single" w:sz="4" w:space="0" w:color="auto"/>
              <w:bottom w:val="nil"/>
              <w:right w:val="nil"/>
            </w:tcBorders>
            <w:vAlign w:val="center"/>
            <w:hideMark/>
          </w:tcPr>
          <w:p w14:paraId="17322B8D"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CL</w:t>
            </w:r>
            <w:r w:rsidRPr="008957E7">
              <w:rPr>
                <w:rFonts w:ascii="Times New Roman" w:hAnsi="Times New Roman" w:cs="Times New Roman"/>
                <w:sz w:val="24"/>
                <w:szCs w:val="24"/>
                <w:vertAlign w:val="subscript"/>
              </w:rPr>
              <w:t>int</w:t>
            </w:r>
            <w:r w:rsidRPr="008957E7">
              <w:rPr>
                <w:rFonts w:ascii="Times New Roman" w:hAnsi="Times New Roman" w:cs="Times New Roman"/>
                <w:sz w:val="24"/>
                <w:szCs w:val="24"/>
              </w:rPr>
              <w:t xml:space="preserve"> (μL/min/pmol)</w:t>
            </w:r>
          </w:p>
        </w:tc>
        <w:tc>
          <w:tcPr>
            <w:tcW w:w="3135" w:type="dxa"/>
            <w:tcBorders>
              <w:top w:val="nil"/>
              <w:left w:val="nil"/>
              <w:bottom w:val="nil"/>
              <w:right w:val="nil"/>
            </w:tcBorders>
            <w:vAlign w:val="center"/>
            <w:hideMark/>
          </w:tcPr>
          <w:p w14:paraId="7ABD7B30"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0.003</w:t>
            </w:r>
            <w:r w:rsidRPr="008957E7">
              <w:rPr>
                <w:rFonts w:ascii="Times New Roman" w:hAnsi="Times New Roman" w:cs="Times New Roman"/>
                <w:sz w:val="24"/>
                <w:szCs w:val="24"/>
                <w:vertAlign w:val="superscript"/>
              </w:rPr>
              <w:t>e</w:t>
            </w:r>
          </w:p>
        </w:tc>
        <w:tc>
          <w:tcPr>
            <w:tcW w:w="3135" w:type="dxa"/>
            <w:tcBorders>
              <w:top w:val="nil"/>
              <w:left w:val="nil"/>
              <w:bottom w:val="nil"/>
              <w:right w:val="single" w:sz="4" w:space="0" w:color="auto"/>
            </w:tcBorders>
            <w:vAlign w:val="center"/>
          </w:tcPr>
          <w:p w14:paraId="522BDEC4" w14:textId="77777777" w:rsidR="008957E7" w:rsidRPr="008957E7" w:rsidRDefault="008957E7">
            <w:pPr>
              <w:pStyle w:val="Textkrper"/>
              <w:rPr>
                <w:rFonts w:ascii="Times New Roman" w:hAnsi="Times New Roman" w:cs="Times New Roman"/>
                <w:sz w:val="24"/>
                <w:szCs w:val="24"/>
              </w:rPr>
            </w:pPr>
          </w:p>
        </w:tc>
      </w:tr>
      <w:tr w:rsidR="008957E7" w:rsidRPr="008957E7" w14:paraId="543D56B1" w14:textId="77777777" w:rsidTr="00CD1A69">
        <w:trPr>
          <w:trHeight w:val="675"/>
        </w:trPr>
        <w:tc>
          <w:tcPr>
            <w:tcW w:w="3134" w:type="dxa"/>
            <w:tcBorders>
              <w:top w:val="nil"/>
              <w:left w:val="single" w:sz="4" w:space="0" w:color="auto"/>
              <w:bottom w:val="single" w:sz="4" w:space="0" w:color="auto"/>
              <w:right w:val="nil"/>
            </w:tcBorders>
            <w:vAlign w:val="center"/>
            <w:hideMark/>
          </w:tcPr>
          <w:p w14:paraId="48A26A1D"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CL</w:t>
            </w:r>
            <w:r w:rsidRPr="008957E7">
              <w:rPr>
                <w:rFonts w:ascii="Times New Roman" w:hAnsi="Times New Roman" w:cs="Times New Roman"/>
                <w:sz w:val="24"/>
                <w:szCs w:val="24"/>
                <w:vertAlign w:val="subscript"/>
              </w:rPr>
              <w:t>R</w:t>
            </w:r>
            <w:r w:rsidRPr="008957E7">
              <w:rPr>
                <w:rFonts w:ascii="Times New Roman" w:hAnsi="Times New Roman" w:cs="Times New Roman"/>
                <w:sz w:val="24"/>
                <w:szCs w:val="24"/>
              </w:rPr>
              <w:t xml:space="preserve"> (L/h)</w:t>
            </w:r>
          </w:p>
        </w:tc>
        <w:tc>
          <w:tcPr>
            <w:tcW w:w="3135" w:type="dxa"/>
            <w:tcBorders>
              <w:top w:val="nil"/>
              <w:left w:val="nil"/>
              <w:bottom w:val="single" w:sz="4" w:space="0" w:color="auto"/>
              <w:right w:val="nil"/>
            </w:tcBorders>
            <w:vAlign w:val="center"/>
            <w:hideMark/>
          </w:tcPr>
          <w:p w14:paraId="19CDBDAB" w14:textId="77777777" w:rsidR="008957E7" w:rsidRPr="008957E7" w:rsidRDefault="008957E7">
            <w:pPr>
              <w:pStyle w:val="Textkrper"/>
              <w:rPr>
                <w:rFonts w:ascii="Times New Roman" w:hAnsi="Times New Roman" w:cs="Times New Roman"/>
                <w:sz w:val="24"/>
                <w:szCs w:val="24"/>
              </w:rPr>
            </w:pPr>
            <w:r w:rsidRPr="008957E7">
              <w:rPr>
                <w:rFonts w:ascii="Times New Roman" w:hAnsi="Times New Roman" w:cs="Times New Roman"/>
                <w:sz w:val="24"/>
                <w:szCs w:val="24"/>
              </w:rPr>
              <w:t>0.17</w:t>
            </w:r>
            <w:r w:rsidRPr="008957E7">
              <w:rPr>
                <w:rFonts w:ascii="Times New Roman" w:hAnsi="Times New Roman" w:cs="Times New Roman"/>
                <w:sz w:val="24"/>
                <w:szCs w:val="24"/>
                <w:vertAlign w:val="superscript"/>
              </w:rPr>
              <w:t>f</w:t>
            </w:r>
          </w:p>
        </w:tc>
        <w:tc>
          <w:tcPr>
            <w:tcW w:w="3135" w:type="dxa"/>
            <w:tcBorders>
              <w:top w:val="nil"/>
              <w:left w:val="nil"/>
              <w:bottom w:val="single" w:sz="4" w:space="0" w:color="auto"/>
              <w:right w:val="single" w:sz="4" w:space="0" w:color="auto"/>
            </w:tcBorders>
            <w:vAlign w:val="center"/>
          </w:tcPr>
          <w:p w14:paraId="04F20884" w14:textId="77777777" w:rsidR="008957E7" w:rsidRPr="008957E7" w:rsidRDefault="008957E7">
            <w:pPr>
              <w:pStyle w:val="Textkrper"/>
              <w:rPr>
                <w:rFonts w:ascii="Times New Roman" w:hAnsi="Times New Roman" w:cs="Times New Roman"/>
                <w:sz w:val="24"/>
                <w:szCs w:val="24"/>
              </w:rPr>
            </w:pPr>
          </w:p>
        </w:tc>
      </w:tr>
      <w:bookmarkEnd w:id="1"/>
    </w:tbl>
    <w:p w14:paraId="50339A9E" w14:textId="77777777" w:rsidR="008957E7" w:rsidRDefault="008957E7" w:rsidP="008957E7">
      <w:pPr>
        <w:pStyle w:val="Textkrper"/>
      </w:pPr>
    </w:p>
    <w:p w14:paraId="66BF82D4" w14:textId="77777777" w:rsidR="008957E7" w:rsidRP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a</w:t>
      </w:r>
      <w:r w:rsidRPr="00CD1A69">
        <w:rPr>
          <w:rFonts w:ascii="Times New Roman" w:hAnsi="Times New Roman" w:cs="Times New Roman"/>
          <w:sz w:val="24"/>
        </w:rPr>
        <w:t xml:space="preserve">: Predicted </w:t>
      </w:r>
      <w:r w:rsidR="00527929" w:rsidRPr="00CD1A69">
        <w:rPr>
          <w:rFonts w:ascii="Times New Roman" w:hAnsi="Times New Roman" w:cs="Times New Roman"/>
          <w:sz w:val="24"/>
        </w:rPr>
        <w:t>according</w:t>
      </w:r>
      <w:r w:rsidRPr="00CD1A69">
        <w:rPr>
          <w:rFonts w:ascii="Times New Roman" w:hAnsi="Times New Roman" w:cs="Times New Roman"/>
          <w:sz w:val="24"/>
        </w:rPr>
        <w:t xml:space="preserve"> to a mechanistic permeability model </w:t>
      </w:r>
      <w:r w:rsidR="00CD1A69">
        <w:rPr>
          <w:rFonts w:ascii="Times New Roman" w:hAnsi="Times New Roman" w:cs="Times New Roman"/>
          <w:sz w:val="24"/>
        </w:rPr>
        <w:fldChar w:fldCharType="begin"/>
      </w:r>
      <w:r w:rsidR="00CD1A69">
        <w:rPr>
          <w:rFonts w:ascii="Times New Roman" w:hAnsi="Times New Roman" w:cs="Times New Roman"/>
          <w:sz w:val="24"/>
        </w:rPr>
        <w:instrText xml:space="preserve"> ADDIN ZOTERO_ITEM CSL_CITATION {"citationID":"dOHlSVFD","properties":{"formattedCitation":"(Sugano 2009)","plainCitation":"(Sugano 2009)","noteIndex":0},"citationItems":[{"id":4859,"uris":["http://zotero.org/users/local/MijtTDlV/items/F2YU4TAG"],"uri":["http://zotero.org/users/local/MijtTDlV/items/F2YU4TAG"],"itemData":{"id":4859,"type":"article-journal","abstract":"The purpose of the present study was to investigate the effect of the physiological and morphological differences between in vivo and in vitro systems on the estimation of in vivo effective intestinal membrane permeability (Peff) from in vitro permeability data (Pivt,app). Five hundred virtual drug-like compounds were generated using Monte Carlo method based on the distribution of octanol water partition coefficient, molecular weight, and pKa. In vivo and in vitro membrane permeability was theoretically calculated from these parameters considering the transcellular, paracellular and unstirred water layer (UWL) permeation. More than 50% of drug-like compounds showed high Peff values. When the same pH value was used for in vivo and in vitro, the scattering of the Pivt,app–Peff plot was small, whereas it was large when different pH values were used. However, the extent of discrepancy depended on the physicochemical properties and permeation characteristics of a drug. When the pH effect was directly corrected on the Peff value, paracellular and UWL permeability was inappropriately corrected since the pH partition theory is only applicable for transcellular permeation. In vivo species differences of Peff and the fraction of a dose absorbed (Fa%) was also investigated for humans, rats and dogs. In conclusion, Peff estimation from in vitro data should be based on the theoretical method rather than simple linear regression.","container-title":"International Journal of Pharmaceutics","DOI":"10.1016/j.ijpharm.2009.02.002","ISSN":"0378-5173","issue":"1","journalAbbreviation":"International Journal of Pharmaceutics","language":"en","page":"55-61","source":"ScienceDirect","title":"Theoretical investigation of passive intestinal membrane permeability using Monte Carlo method to generate drug-like molecule population","volume":"373","author":[{"family":"Sugano","given":"Kiyohiko"}],"issued":{"date-parts":[["2009",5,21]]}}}],"schema":"https://github.com/citation-style-language/schema/raw/master/csl-citation.json"} </w:instrText>
      </w:r>
      <w:r w:rsidR="00CD1A69">
        <w:rPr>
          <w:rFonts w:ascii="Times New Roman" w:hAnsi="Times New Roman" w:cs="Times New Roman"/>
          <w:sz w:val="24"/>
        </w:rPr>
        <w:fldChar w:fldCharType="separate"/>
      </w:r>
      <w:r w:rsidR="00CD1A69" w:rsidRPr="00CD1A69">
        <w:rPr>
          <w:rFonts w:ascii="Times New Roman" w:hAnsi="Times New Roman" w:cs="Times New Roman"/>
          <w:sz w:val="24"/>
        </w:rPr>
        <w:t>(Sugano 2009)</w:t>
      </w:r>
      <w:r w:rsidR="00CD1A69">
        <w:rPr>
          <w:rFonts w:ascii="Times New Roman" w:hAnsi="Times New Roman" w:cs="Times New Roman"/>
          <w:sz w:val="24"/>
        </w:rPr>
        <w:fldChar w:fldCharType="end"/>
      </w:r>
    </w:p>
    <w:p w14:paraId="5C0ADA47" w14:textId="77777777" w:rsidR="008957E7" w:rsidRP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b</w:t>
      </w:r>
      <w:r w:rsidRPr="00CD1A69">
        <w:rPr>
          <w:rFonts w:ascii="Times New Roman" w:hAnsi="Times New Roman" w:cs="Times New Roman"/>
          <w:sz w:val="24"/>
        </w:rPr>
        <w:t>: Average of 5 estimates from different source models</w:t>
      </w:r>
    </w:p>
    <w:p w14:paraId="2764B8C6" w14:textId="77777777" w:rsidR="008957E7" w:rsidRP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c</w:t>
      </w:r>
      <w:r w:rsidRPr="00CD1A69">
        <w:rPr>
          <w:rFonts w:ascii="Times New Roman" w:hAnsi="Times New Roman" w:cs="Times New Roman"/>
          <w:sz w:val="24"/>
        </w:rPr>
        <w:t>: Method 2</w:t>
      </w:r>
      <w:r w:rsidR="00CD1A69">
        <w:rPr>
          <w:rFonts w:ascii="Times New Roman" w:hAnsi="Times New Roman" w:cs="Times New Roman"/>
          <w:sz w:val="24"/>
        </w:rPr>
        <w:t xml:space="preserve"> </w:t>
      </w:r>
      <w:r w:rsidR="00CD1A69">
        <w:rPr>
          <w:rFonts w:ascii="Times New Roman" w:hAnsi="Times New Roman" w:cs="Times New Roman"/>
          <w:sz w:val="24"/>
        </w:rPr>
        <w:fldChar w:fldCharType="begin"/>
      </w:r>
      <w:r w:rsidR="00CD1A69">
        <w:rPr>
          <w:rFonts w:ascii="Times New Roman" w:hAnsi="Times New Roman" w:cs="Times New Roman"/>
          <w:sz w:val="24"/>
        </w:rPr>
        <w:instrText xml:space="preserve"> ADDIN ZOTERO_ITEM CSL_CITATION {"citationID":"OFxLwRRr","properties":{"formattedCitation":"(Rodgers and Rowland 2007)","plainCitation":"(Rodgers and Rowland 2007)","noteIndex":0},"citationItems":[{"id":4861,"uris":["http://zotero.org/users/local/MijtTDlV/items/N27QWIJ5"],"uri":["http://zotero.org/users/local/MijtTDlV/items/N27QWIJ5"],"itemData":{"id":4861,"type":"article-journal","abstract":"The original article to which this erratum refers was published in 2006; 95:1238–1257.","container-title":"Journal of Pharmaceutical Sciences","DOI":"10.1002/jps.20857","ISSN":"0022-3549","issue":"11","journalAbbreviation":"Journal of Pharmaceutical Sciences","language":"en","page":"3153-3154","source":"ScienceDirect","title":"Rodgers T, Rowland M. 2006. Physiologically‐based Pharmacokinetic Modeling 2: Predicting the tissue distribution of acids, very weak bases, neutrals and zwitterions. J Pharm Sci 95:1238–1257.","title-short":"Rodgers T, Rowland M. 2006. Physiologically‐based Pharmacokinetic Modeling 2","volume":"96","author":[{"family":"Rodgers","given":"Trudy"},{"family":"Rowland","given":"Malcolm"}],"issued":{"date-parts":[["2007",11,1]]}}}],"schema":"https://github.com/citation-style-language/schema/raw/master/csl-citation.json"} </w:instrText>
      </w:r>
      <w:r w:rsidR="00CD1A69">
        <w:rPr>
          <w:rFonts w:ascii="Times New Roman" w:hAnsi="Times New Roman" w:cs="Times New Roman"/>
          <w:sz w:val="24"/>
        </w:rPr>
        <w:fldChar w:fldCharType="separate"/>
      </w:r>
      <w:r w:rsidR="00CD1A69" w:rsidRPr="00CD1A69">
        <w:rPr>
          <w:rFonts w:ascii="Times New Roman" w:hAnsi="Times New Roman" w:cs="Times New Roman"/>
          <w:sz w:val="24"/>
        </w:rPr>
        <w:t>(Rodgers and Rowland 2007)</w:t>
      </w:r>
      <w:r w:rsidR="00CD1A69">
        <w:rPr>
          <w:rFonts w:ascii="Times New Roman" w:hAnsi="Times New Roman" w:cs="Times New Roman"/>
          <w:sz w:val="24"/>
        </w:rPr>
        <w:fldChar w:fldCharType="end"/>
      </w:r>
      <w:r w:rsidRPr="00CD1A69">
        <w:rPr>
          <w:rFonts w:ascii="Times New Roman" w:hAnsi="Times New Roman" w:cs="Times New Roman"/>
          <w:sz w:val="24"/>
        </w:rPr>
        <w:t xml:space="preserve"> </w:t>
      </w:r>
    </w:p>
    <w:p w14:paraId="5E115BBE" w14:textId="77777777" w:rsid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d</w:t>
      </w:r>
      <w:r w:rsidRPr="00CD1A69">
        <w:rPr>
          <w:rFonts w:ascii="Times New Roman" w:hAnsi="Times New Roman" w:cs="Times New Roman"/>
          <w:sz w:val="24"/>
        </w:rPr>
        <w:t>: Assumed same as mouse</w:t>
      </w:r>
      <w:r w:rsidR="00CD1A69">
        <w:rPr>
          <w:rFonts w:ascii="Times New Roman" w:hAnsi="Times New Roman" w:cs="Times New Roman"/>
          <w:sz w:val="24"/>
        </w:rPr>
        <w:t xml:space="preserve"> </w:t>
      </w:r>
      <w:r w:rsidR="00CD1A69">
        <w:rPr>
          <w:rFonts w:ascii="Times New Roman" w:hAnsi="Times New Roman" w:cs="Times New Roman"/>
          <w:sz w:val="24"/>
        </w:rPr>
        <w:fldChar w:fldCharType="begin"/>
      </w:r>
      <w:r w:rsidR="00CD1A69">
        <w:rPr>
          <w:rFonts w:ascii="Times New Roman" w:hAnsi="Times New Roman" w:cs="Times New Roman"/>
          <w:sz w:val="24"/>
        </w:rPr>
        <w:instrText xml:space="preserve"> ADDIN ZOTERO_ITEM CSL_CITATION {"citationID":"5hKYRZLF","properties":{"formattedCitation":"(Ford and Casida 2006)","plainCitation":"(Ford and Casida 2006)","noteIndex":0},"citationItems":[{"id":4840,"uris":["http://zotero.org/users/local/MijtTDlV/items/9ML8KY9G"],"uri":["http://zotero.org/users/local/MijtTDlV/items/9ML8KY9G"],"itemData":{"id":4840,"type":"article-journal","container-title":"Chemical Research in Toxicology","DOI":"10.1021/tx0600696","ISSN":"0893-228X","issue":"7","journalAbbreviation":"Chem. Res. Toxicol.","note":"publisher: American Chemical Society","page":"944-951","source":"ACS Publications","title":"Chloropyridinyl Neonicotinoid Insecticides:  Diverse Molecular Substituents Contribute to Facile Metabolism in Mice","title-short":"Chloropyridinyl Neonicotinoid Insecticides","volume":"19","author":[{"family":"Ford","given":"Kevin A."},{"family":"Casida","given":"John E."}],"issued":{"date-parts":[["2006",7,1]]}}}],"schema":"https://github.com/citation-style-language/schema/raw/master/csl-citation.json"} </w:instrText>
      </w:r>
      <w:r w:rsidR="00CD1A69">
        <w:rPr>
          <w:rFonts w:ascii="Times New Roman" w:hAnsi="Times New Roman" w:cs="Times New Roman"/>
          <w:sz w:val="24"/>
        </w:rPr>
        <w:fldChar w:fldCharType="separate"/>
      </w:r>
      <w:r w:rsidR="00CD1A69" w:rsidRPr="00CD1A69">
        <w:rPr>
          <w:rFonts w:ascii="Times New Roman" w:hAnsi="Times New Roman" w:cs="Times New Roman"/>
          <w:sz w:val="24"/>
        </w:rPr>
        <w:t>(Ford and Casida 2006)</w:t>
      </w:r>
      <w:r w:rsidR="00CD1A69">
        <w:rPr>
          <w:rFonts w:ascii="Times New Roman" w:hAnsi="Times New Roman" w:cs="Times New Roman"/>
          <w:sz w:val="24"/>
        </w:rPr>
        <w:fldChar w:fldCharType="end"/>
      </w:r>
      <w:r w:rsidRPr="00CD1A69">
        <w:rPr>
          <w:rFonts w:ascii="Times New Roman" w:hAnsi="Times New Roman" w:cs="Times New Roman"/>
          <w:sz w:val="24"/>
        </w:rPr>
        <w:t xml:space="preserve"> </w:t>
      </w:r>
    </w:p>
    <w:p w14:paraId="5AF983BB" w14:textId="77777777" w:rsidR="008957E7" w:rsidRP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e</w:t>
      </w:r>
      <w:r w:rsidRPr="00CD1A69">
        <w:rPr>
          <w:rFonts w:ascii="Times New Roman" w:hAnsi="Times New Roman" w:cs="Times New Roman"/>
          <w:sz w:val="24"/>
        </w:rPr>
        <w:t>: Retrograde calculation based on predicted Vss and half-life of renal elimination reported for deuterated imidacloprid in humans</w:t>
      </w:r>
      <w:r w:rsidR="00CD1A69">
        <w:rPr>
          <w:rFonts w:ascii="Times New Roman" w:hAnsi="Times New Roman" w:cs="Times New Roman"/>
          <w:sz w:val="24"/>
        </w:rPr>
        <w:t xml:space="preserve"> </w:t>
      </w:r>
      <w:r w:rsidR="00CD1A69">
        <w:rPr>
          <w:rFonts w:ascii="Times New Roman" w:hAnsi="Times New Roman" w:cs="Times New Roman"/>
          <w:sz w:val="24"/>
        </w:rPr>
        <w:fldChar w:fldCharType="begin"/>
      </w:r>
      <w:r w:rsidR="00CD1A69">
        <w:rPr>
          <w:rFonts w:ascii="Times New Roman" w:hAnsi="Times New Roman" w:cs="Times New Roman"/>
          <w:sz w:val="24"/>
        </w:rPr>
        <w:instrText xml:space="preserve"> ADDIN ZOTERO_ITEM CSL_CITATION {"citationID":"yMiTSni6","properties":{"formattedCitation":"(Harada et al. 2016)","plainCitation":"(Harada et al. 2016)","noteIndex":0},"citationItems":[{"id":3673,"uris":["http://zotero.org/users/local/MijtTDlV/items/BHX4DI6X"],"uri":["http://zotero.org/users/local/MijtTDlV/items/BHX4DI6X"],"itemData":{"id":3673,"type":"article-journal","container-title":"PLOS ONE","DOI":"10.1371/journal.pone.0146335","ISSN":"1932-6203","issue":"1","journalAbbreviation":"PLoS ONE","language":"en","page":"e0146335","source":"DOI.org (Crossref)","title":"Biological Monitoring of Human Exposure to Neonicotinoids Using Urine Samples, and Neonicotinoid Excretion Kinetics","volume":"11","author":[{"family":"Harada","given":"Kouji H."},{"family":"Tanaka","given":"Keiko"},{"family":"Sakamoto","given":"Hiroko"},{"family":"Imanaka","given":"Mie"},{"family":"Niisoe","given":"Tamon"},{"family":"Hitomi","given":"Toshiaki"},{"family":"Kobayashi","given":"Hatasu"},{"family":"Okuda","given":"Hiroko"},{"family":"Inoue","given":"Sumiko"},{"family":"Kusakawa","given":"Koichi"},{"family":"Oshima","given":"Masayo"},{"family":"Watanabe","given":"Kiyohiko"},{"family":"Yasojima","given":"Makoto"},{"family":"Takasuga","given":"Takumi"},{"family":"Koizumi","given":"Akio"}],"editor":[{"family":"Matsuo","given":"Keitaro"}],"issued":{"date-parts":[["2016",1,5]]}}}],"schema":"https://github.com/citation-style-language/schema/raw/master/csl-citation.json"} </w:instrText>
      </w:r>
      <w:r w:rsidR="00CD1A69">
        <w:rPr>
          <w:rFonts w:ascii="Times New Roman" w:hAnsi="Times New Roman" w:cs="Times New Roman"/>
          <w:sz w:val="24"/>
        </w:rPr>
        <w:fldChar w:fldCharType="separate"/>
      </w:r>
      <w:r w:rsidR="00CD1A69" w:rsidRPr="00CD1A69">
        <w:rPr>
          <w:rFonts w:ascii="Times New Roman" w:hAnsi="Times New Roman" w:cs="Times New Roman"/>
          <w:sz w:val="24"/>
        </w:rPr>
        <w:t>(Harada et al. 2016)</w:t>
      </w:r>
      <w:r w:rsidR="00CD1A69">
        <w:rPr>
          <w:rFonts w:ascii="Times New Roman" w:hAnsi="Times New Roman" w:cs="Times New Roman"/>
          <w:sz w:val="24"/>
        </w:rPr>
        <w:fldChar w:fldCharType="end"/>
      </w:r>
    </w:p>
    <w:p w14:paraId="313F7281" w14:textId="77777777" w:rsidR="008957E7" w:rsidRPr="00CD1A69" w:rsidRDefault="008957E7" w:rsidP="008957E7">
      <w:pPr>
        <w:pStyle w:val="Textkrper"/>
        <w:rPr>
          <w:rFonts w:ascii="Times New Roman" w:hAnsi="Times New Roman" w:cs="Times New Roman"/>
          <w:sz w:val="24"/>
        </w:rPr>
      </w:pPr>
      <w:r w:rsidRPr="00CD1A69">
        <w:rPr>
          <w:rFonts w:ascii="Times New Roman" w:hAnsi="Times New Roman" w:cs="Times New Roman"/>
          <w:sz w:val="24"/>
          <w:vertAlign w:val="superscript"/>
        </w:rPr>
        <w:t>f</w:t>
      </w:r>
      <w:r w:rsidRPr="00CD1A69">
        <w:rPr>
          <w:rFonts w:ascii="Times New Roman" w:hAnsi="Times New Roman" w:cs="Times New Roman"/>
          <w:sz w:val="24"/>
        </w:rPr>
        <w:t>: Estimated from total CL and renal excretion of deuterated imidacloprid in human ur</w:t>
      </w:r>
      <w:r w:rsidR="00CD1A69">
        <w:rPr>
          <w:rFonts w:ascii="Times New Roman" w:hAnsi="Times New Roman" w:cs="Times New Roman"/>
          <w:sz w:val="24"/>
        </w:rPr>
        <w:t>ine as reported by Harada et al.</w:t>
      </w:r>
      <w:r w:rsidRPr="00CD1A69">
        <w:rPr>
          <w:rFonts w:ascii="Times New Roman" w:hAnsi="Times New Roman" w:cs="Times New Roman"/>
          <w:sz w:val="24"/>
        </w:rPr>
        <w:t xml:space="preserve"> </w:t>
      </w:r>
      <w:r w:rsidR="00CD1A69">
        <w:rPr>
          <w:rFonts w:ascii="Times New Roman" w:hAnsi="Times New Roman" w:cs="Times New Roman"/>
          <w:sz w:val="24"/>
        </w:rPr>
        <w:t>(</w:t>
      </w:r>
      <w:r w:rsidRPr="00CD1A69">
        <w:rPr>
          <w:rFonts w:ascii="Times New Roman" w:hAnsi="Times New Roman" w:cs="Times New Roman"/>
          <w:sz w:val="24"/>
        </w:rPr>
        <w:t>2016</w:t>
      </w:r>
      <w:r w:rsidR="00CD1A69">
        <w:rPr>
          <w:rFonts w:ascii="Times New Roman" w:hAnsi="Times New Roman" w:cs="Times New Roman"/>
          <w:sz w:val="24"/>
        </w:rPr>
        <w:t>)</w:t>
      </w:r>
      <w:r w:rsidRPr="00CD1A69">
        <w:rPr>
          <w:rFonts w:ascii="Times New Roman" w:hAnsi="Times New Roman" w:cs="Times New Roman"/>
          <w:sz w:val="24"/>
        </w:rPr>
        <w:t>.</w:t>
      </w:r>
    </w:p>
    <w:p w14:paraId="6A1882F9" w14:textId="77777777" w:rsidR="008957E7" w:rsidRDefault="008957E7">
      <w:pPr>
        <w:rPr>
          <w:rFonts w:ascii="Times New Roman" w:hAnsi="Times New Roman" w:cs="Times New Roman"/>
          <w:sz w:val="24"/>
        </w:rPr>
      </w:pPr>
    </w:p>
    <w:p w14:paraId="49656891" w14:textId="77777777" w:rsidR="009233D8" w:rsidRDefault="009233D8">
      <w:pPr>
        <w:rPr>
          <w:rFonts w:ascii="Times New Roman" w:hAnsi="Times New Roman" w:cs="Times New Roman"/>
          <w:sz w:val="24"/>
        </w:rPr>
      </w:pPr>
    </w:p>
    <w:p w14:paraId="526961E9" w14:textId="77777777" w:rsidR="00CD1A69" w:rsidRDefault="00CD1A69">
      <w:pPr>
        <w:rPr>
          <w:rFonts w:ascii="Times New Roman" w:hAnsi="Times New Roman" w:cs="Times New Roman"/>
          <w:sz w:val="24"/>
        </w:rPr>
      </w:pPr>
    </w:p>
    <w:p w14:paraId="2FDDFC51" w14:textId="77777777" w:rsidR="00CD1A69" w:rsidRDefault="00CD1A69">
      <w:pPr>
        <w:rPr>
          <w:rFonts w:ascii="Times New Roman" w:hAnsi="Times New Roman" w:cs="Times New Roman"/>
          <w:sz w:val="24"/>
        </w:rPr>
      </w:pPr>
    </w:p>
    <w:p w14:paraId="72256CA4" w14:textId="77777777" w:rsidR="003763A9" w:rsidRDefault="003763A9">
      <w:pPr>
        <w:rPr>
          <w:rFonts w:ascii="Times New Roman" w:hAnsi="Times New Roman" w:cs="Times New Roman"/>
          <w:sz w:val="24"/>
        </w:rPr>
      </w:pPr>
    </w:p>
    <w:p w14:paraId="20C5B8C8" w14:textId="77777777" w:rsidR="009233D8" w:rsidRPr="00C11098" w:rsidRDefault="003763A9" w:rsidP="003763A9">
      <w:pPr>
        <w:jc w:val="both"/>
        <w:rPr>
          <w:rFonts w:ascii="Times New Roman" w:hAnsi="Times New Roman" w:cs="Times New Roman"/>
          <w:b/>
          <w:sz w:val="28"/>
          <w:lang w:val="en-GB"/>
        </w:rPr>
      </w:pPr>
      <w:r w:rsidRPr="00C11098">
        <w:rPr>
          <w:rFonts w:ascii="Times New Roman" w:hAnsi="Times New Roman" w:cs="Times New Roman"/>
          <w:b/>
          <w:sz w:val="28"/>
          <w:lang w:val="en-GB"/>
        </w:rPr>
        <w:t>References:</w:t>
      </w:r>
    </w:p>
    <w:p w14:paraId="5C4E8508" w14:textId="77777777" w:rsidR="00CD1A69" w:rsidRPr="00CD1A69" w:rsidRDefault="003763A9" w:rsidP="00CD1A69">
      <w:pPr>
        <w:pStyle w:val="Literaturverzeichnis"/>
        <w:rPr>
          <w:rFonts w:ascii="Times New Roman" w:hAnsi="Times New Roman" w:cs="Times New Roman"/>
          <w:sz w:val="24"/>
        </w:rPr>
      </w:pPr>
      <w:r>
        <w:fldChar w:fldCharType="begin"/>
      </w:r>
      <w:r>
        <w:instrText xml:space="preserve"> ADDIN ZOTERO_BIBL {"uncited":[],"omitted":[],"custom":[]} CSL_BIBLIOGRAPHY </w:instrText>
      </w:r>
      <w:r>
        <w:fldChar w:fldCharType="separate"/>
      </w:r>
      <w:r w:rsidR="00CD1A69" w:rsidRPr="00CD1A69">
        <w:rPr>
          <w:rFonts w:ascii="Times New Roman" w:hAnsi="Times New Roman" w:cs="Times New Roman"/>
          <w:sz w:val="24"/>
        </w:rPr>
        <w:t>Albrecht W, Kappenberg F, Brecklinghaus T, et al (2019) Prediction of human drug-induced liver injury (DILI) in relation to oral doses and blood concentrations. Arch Toxicol 93:1609–1637. https://doi.org/10.1007/s00204-019-02492-9</w:t>
      </w:r>
    </w:p>
    <w:p w14:paraId="4B525C79"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Fisher C, Siméon S, Jamei M, et al (2019) VIVD: Virtual in vitro distribution model for the mechanistic prediction of intracellular concentrations of chemicals in in vitro toxicity assays. Toxicol In Vitro 58:42–50. https://doi.org/10.1016/j.tiv.2018.12.017</w:t>
      </w:r>
    </w:p>
    <w:p w14:paraId="31B25C42"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Ford KA, Casida JE (2006) Chloropyridinyl Neonicotinoid Insecticides:  Diverse Molecular Substituents Contribute to Facile Metabolism in Mice. Chem Res Toxicol 19:944–951. https://doi.org/10.1021/tx0600696</w:t>
      </w:r>
    </w:p>
    <w:p w14:paraId="228A22B3"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Harada KH, Tanaka K, Sakamoto H, et al (2016) Biological Monitoring of Human Exposure to Neonicotinoids Using Urine Samples, and Neonicotinoid Excretion Kinetics. PLOS ONE 11:e0146335. https://doi.org/10.1371/journal.pone.0146335</w:t>
      </w:r>
    </w:p>
    <w:p w14:paraId="2861F4E3"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Kisitu J, Hollert H, Fisher C, Leist M (2020) Chemical concentrations in cell culture compartments (C5) – free concentrations. ALTEX - Altern Anim Exp 37:693–708. https://doi.org/10.14573/altex.2008251</w:t>
      </w:r>
    </w:p>
    <w:p w14:paraId="50FC635C"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Rodgers T, Rowland M (2007) Rodgers T, Rowland M. 2006. Physiologically‐based Pharmacokinetic Modeling 2: Predicting the tissue distribution of acids, very weak bases, neutrals and zwitterions. J Pharm Sci 95:1238–1257. J Pharm Sci 96:3153–3154. https://doi.org/10.1002/jps.20857</w:t>
      </w:r>
    </w:p>
    <w:p w14:paraId="7D7C916A" w14:textId="77777777" w:rsidR="00CD1A69" w:rsidRPr="00CD1A69" w:rsidRDefault="00CD1A69" w:rsidP="00CD1A69">
      <w:pPr>
        <w:pStyle w:val="Literaturverzeichnis"/>
        <w:rPr>
          <w:rFonts w:ascii="Times New Roman" w:hAnsi="Times New Roman" w:cs="Times New Roman"/>
          <w:sz w:val="24"/>
        </w:rPr>
      </w:pPr>
      <w:r w:rsidRPr="00CD1A69">
        <w:rPr>
          <w:rFonts w:ascii="Times New Roman" w:hAnsi="Times New Roman" w:cs="Times New Roman"/>
          <w:sz w:val="24"/>
        </w:rPr>
        <w:t>Sugano K (2009) Theoretical investigation of passive intestinal membrane permeability using Monte Carlo method to generate drug-like molecule population. Int J Pharm 373:55–61. https://doi.org/10.1016/j.ijpharm.2009.02.002</w:t>
      </w:r>
    </w:p>
    <w:p w14:paraId="2EE39D46" w14:textId="77777777" w:rsidR="003763A9" w:rsidRDefault="003763A9">
      <w:pPr>
        <w:rPr>
          <w:rFonts w:ascii="Times New Roman" w:hAnsi="Times New Roman" w:cs="Times New Roman"/>
          <w:sz w:val="24"/>
        </w:rPr>
      </w:pPr>
      <w:r>
        <w:rPr>
          <w:rFonts w:ascii="Times New Roman" w:hAnsi="Times New Roman" w:cs="Times New Roman"/>
          <w:sz w:val="24"/>
        </w:rPr>
        <w:fldChar w:fldCharType="end"/>
      </w:r>
    </w:p>
    <w:p w14:paraId="6D155361" w14:textId="77777777" w:rsidR="00A219A2" w:rsidRPr="00F256A4" w:rsidRDefault="00A219A2" w:rsidP="00A95F9E">
      <w:pPr>
        <w:rPr>
          <w:rFonts w:ascii="Times New Roman" w:hAnsi="Times New Roman" w:cs="Times New Roman"/>
          <w:b/>
          <w:sz w:val="24"/>
        </w:rPr>
      </w:pPr>
    </w:p>
    <w:sectPr w:rsidR="00A219A2" w:rsidRPr="00F256A4">
      <w:headerReference w:type="default" r:id="rId29"/>
      <w:footerReference w:type="default" r:id="rId30"/>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CFCA7" w14:textId="77777777" w:rsidR="003849DB" w:rsidRDefault="003849DB">
      <w:pPr>
        <w:spacing w:after="0" w:line="240" w:lineRule="auto"/>
      </w:pPr>
      <w:r>
        <w:separator/>
      </w:r>
    </w:p>
  </w:endnote>
  <w:endnote w:type="continuationSeparator" w:id="0">
    <w:p w14:paraId="56D04CD5" w14:textId="77777777" w:rsidR="003849DB" w:rsidRDefault="0038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054252"/>
      <w:docPartObj>
        <w:docPartGallery w:val="Page Numbers (Bottom of Page)"/>
        <w:docPartUnique/>
      </w:docPartObj>
    </w:sdtPr>
    <w:sdtEndPr/>
    <w:sdtContent>
      <w:p w14:paraId="69A8B1C1" w14:textId="1549E141" w:rsidR="00A219A2" w:rsidRDefault="00B24350">
        <w:pPr>
          <w:pStyle w:val="Fuzeile"/>
          <w:jc w:val="right"/>
        </w:pPr>
        <w:r>
          <w:t xml:space="preserve">page </w:t>
        </w:r>
        <w:r>
          <w:fldChar w:fldCharType="begin"/>
        </w:r>
        <w:r>
          <w:instrText>PAGE</w:instrText>
        </w:r>
        <w:r>
          <w:fldChar w:fldCharType="separate"/>
        </w:r>
        <w:r w:rsidR="00532B27">
          <w:rPr>
            <w:noProof/>
          </w:rPr>
          <w:t>15</w:t>
        </w:r>
        <w:r>
          <w:fldChar w:fldCharType="end"/>
        </w:r>
        <w:r w:rsidR="00D36008">
          <w:t xml:space="preserve"> (of 2</w:t>
        </w:r>
        <w:r w:rsidR="00EE1B91">
          <w:t>8</w:t>
        </w:r>
        <w:r>
          <w:t>)</w:t>
        </w:r>
      </w:p>
      <w:p w14:paraId="07B831FA" w14:textId="77777777" w:rsidR="00A219A2" w:rsidRDefault="003849DB">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B1A74" w14:textId="77777777" w:rsidR="003849DB" w:rsidRDefault="003849DB">
      <w:pPr>
        <w:spacing w:after="0" w:line="240" w:lineRule="auto"/>
      </w:pPr>
      <w:r>
        <w:separator/>
      </w:r>
    </w:p>
  </w:footnote>
  <w:footnote w:type="continuationSeparator" w:id="0">
    <w:p w14:paraId="4097D8DF" w14:textId="77777777" w:rsidR="003849DB" w:rsidRDefault="00384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44625" w14:textId="77777777" w:rsidR="00A219A2" w:rsidRDefault="00BE589F">
    <w:pPr>
      <w:pStyle w:val="Kopfzeile"/>
    </w:pPr>
    <w:r>
      <w:t>Loser et al. (2021</w:t>
    </w:r>
    <w:r w:rsidR="00B24350">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A2"/>
    <w:rsid w:val="00005A41"/>
    <w:rsid w:val="00021DC5"/>
    <w:rsid w:val="000871DB"/>
    <w:rsid w:val="00091560"/>
    <w:rsid w:val="00094DC3"/>
    <w:rsid w:val="000D026C"/>
    <w:rsid w:val="000D4A6C"/>
    <w:rsid w:val="000E4AD6"/>
    <w:rsid w:val="000E6486"/>
    <w:rsid w:val="0010134E"/>
    <w:rsid w:val="00106834"/>
    <w:rsid w:val="00107314"/>
    <w:rsid w:val="00112935"/>
    <w:rsid w:val="00144330"/>
    <w:rsid w:val="00150994"/>
    <w:rsid w:val="00166359"/>
    <w:rsid w:val="00166498"/>
    <w:rsid w:val="001A7F22"/>
    <w:rsid w:val="001B06E7"/>
    <w:rsid w:val="001F249E"/>
    <w:rsid w:val="002032DC"/>
    <w:rsid w:val="0020443D"/>
    <w:rsid w:val="00220E3A"/>
    <w:rsid w:val="00273BBC"/>
    <w:rsid w:val="00281F14"/>
    <w:rsid w:val="00283FBE"/>
    <w:rsid w:val="00290212"/>
    <w:rsid w:val="002A24E8"/>
    <w:rsid w:val="002B1F92"/>
    <w:rsid w:val="002D3266"/>
    <w:rsid w:val="002E60F7"/>
    <w:rsid w:val="002E7B31"/>
    <w:rsid w:val="00305309"/>
    <w:rsid w:val="00333D23"/>
    <w:rsid w:val="00334583"/>
    <w:rsid w:val="003552D0"/>
    <w:rsid w:val="003763A9"/>
    <w:rsid w:val="00381BC9"/>
    <w:rsid w:val="003849DB"/>
    <w:rsid w:val="00393069"/>
    <w:rsid w:val="00395B88"/>
    <w:rsid w:val="003C0258"/>
    <w:rsid w:val="003C35BF"/>
    <w:rsid w:val="003C5F9C"/>
    <w:rsid w:val="003D660F"/>
    <w:rsid w:val="003D7D68"/>
    <w:rsid w:val="003F34E0"/>
    <w:rsid w:val="004403CD"/>
    <w:rsid w:val="00450ECD"/>
    <w:rsid w:val="00461D72"/>
    <w:rsid w:val="004A24E1"/>
    <w:rsid w:val="004B042D"/>
    <w:rsid w:val="004D3AFE"/>
    <w:rsid w:val="004F79BB"/>
    <w:rsid w:val="00527929"/>
    <w:rsid w:val="00530872"/>
    <w:rsid w:val="0053115C"/>
    <w:rsid w:val="00532B27"/>
    <w:rsid w:val="0055523F"/>
    <w:rsid w:val="005642EA"/>
    <w:rsid w:val="0056682B"/>
    <w:rsid w:val="00594E51"/>
    <w:rsid w:val="00595E69"/>
    <w:rsid w:val="005B318B"/>
    <w:rsid w:val="005C796D"/>
    <w:rsid w:val="005D4449"/>
    <w:rsid w:val="005D75B5"/>
    <w:rsid w:val="005E5EA7"/>
    <w:rsid w:val="005F1478"/>
    <w:rsid w:val="00604F5B"/>
    <w:rsid w:val="006330B8"/>
    <w:rsid w:val="00676A15"/>
    <w:rsid w:val="00684974"/>
    <w:rsid w:val="00684AD0"/>
    <w:rsid w:val="006850E0"/>
    <w:rsid w:val="006C5112"/>
    <w:rsid w:val="006D7669"/>
    <w:rsid w:val="006F095A"/>
    <w:rsid w:val="006F6BA2"/>
    <w:rsid w:val="00751378"/>
    <w:rsid w:val="00757269"/>
    <w:rsid w:val="007642CD"/>
    <w:rsid w:val="007666D5"/>
    <w:rsid w:val="007765F0"/>
    <w:rsid w:val="0079413C"/>
    <w:rsid w:val="007A6003"/>
    <w:rsid w:val="007B17A7"/>
    <w:rsid w:val="007C74B1"/>
    <w:rsid w:val="007D5241"/>
    <w:rsid w:val="0082154C"/>
    <w:rsid w:val="0082252E"/>
    <w:rsid w:val="008873F8"/>
    <w:rsid w:val="00891158"/>
    <w:rsid w:val="008957E7"/>
    <w:rsid w:val="008A760D"/>
    <w:rsid w:val="008F72BA"/>
    <w:rsid w:val="009233D8"/>
    <w:rsid w:val="00927B1C"/>
    <w:rsid w:val="00942864"/>
    <w:rsid w:val="0099423B"/>
    <w:rsid w:val="009A145E"/>
    <w:rsid w:val="009C170D"/>
    <w:rsid w:val="009D0185"/>
    <w:rsid w:val="009D02EA"/>
    <w:rsid w:val="009D175F"/>
    <w:rsid w:val="009D27DE"/>
    <w:rsid w:val="009D4F43"/>
    <w:rsid w:val="009F084F"/>
    <w:rsid w:val="00A06D49"/>
    <w:rsid w:val="00A076EE"/>
    <w:rsid w:val="00A103CB"/>
    <w:rsid w:val="00A219A2"/>
    <w:rsid w:val="00A35702"/>
    <w:rsid w:val="00A35928"/>
    <w:rsid w:val="00A54528"/>
    <w:rsid w:val="00A754AB"/>
    <w:rsid w:val="00A820F3"/>
    <w:rsid w:val="00A95F9E"/>
    <w:rsid w:val="00A97BAE"/>
    <w:rsid w:val="00B24350"/>
    <w:rsid w:val="00B25D86"/>
    <w:rsid w:val="00B71D73"/>
    <w:rsid w:val="00B97FBC"/>
    <w:rsid w:val="00BB02CE"/>
    <w:rsid w:val="00BE12C7"/>
    <w:rsid w:val="00BE589F"/>
    <w:rsid w:val="00C00525"/>
    <w:rsid w:val="00C11098"/>
    <w:rsid w:val="00C13F12"/>
    <w:rsid w:val="00C409EE"/>
    <w:rsid w:val="00C430F8"/>
    <w:rsid w:val="00C54D91"/>
    <w:rsid w:val="00C614B0"/>
    <w:rsid w:val="00C70A75"/>
    <w:rsid w:val="00C71B4B"/>
    <w:rsid w:val="00C775DC"/>
    <w:rsid w:val="00C949D6"/>
    <w:rsid w:val="00CC2072"/>
    <w:rsid w:val="00CC52D6"/>
    <w:rsid w:val="00CD1A69"/>
    <w:rsid w:val="00CD6433"/>
    <w:rsid w:val="00CF514B"/>
    <w:rsid w:val="00D117D4"/>
    <w:rsid w:val="00D2224C"/>
    <w:rsid w:val="00D2679D"/>
    <w:rsid w:val="00D36008"/>
    <w:rsid w:val="00DB5D50"/>
    <w:rsid w:val="00DE731C"/>
    <w:rsid w:val="00E06B52"/>
    <w:rsid w:val="00E34843"/>
    <w:rsid w:val="00E472DC"/>
    <w:rsid w:val="00E52EA6"/>
    <w:rsid w:val="00E81D5A"/>
    <w:rsid w:val="00EB20CB"/>
    <w:rsid w:val="00EB2147"/>
    <w:rsid w:val="00EC7E4D"/>
    <w:rsid w:val="00EE1B91"/>
    <w:rsid w:val="00F01816"/>
    <w:rsid w:val="00F02A8B"/>
    <w:rsid w:val="00F256A4"/>
    <w:rsid w:val="00F25ABC"/>
    <w:rsid w:val="00F55EEB"/>
    <w:rsid w:val="00F861DB"/>
    <w:rsid w:val="00FC0832"/>
    <w:rsid w:val="00FC3DE8"/>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3EAA"/>
  <w15:docId w15:val="{4B73B7FE-78B6-40B8-B73C-1C543858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lang w:val="en-US"/>
    </w:rPr>
  </w:style>
  <w:style w:type="paragraph" w:styleId="berschrift2">
    <w:name w:val="heading 2"/>
    <w:basedOn w:val="Standard"/>
    <w:next w:val="Textkrper"/>
    <w:qFormat/>
    <w:rsid w:val="001072AA"/>
    <w:pPr>
      <w:keepNext/>
      <w:spacing w:before="240" w:after="60" w:line="360" w:lineRule="auto"/>
      <w:ind w:left="567" w:hanging="567"/>
      <w:jc w:val="both"/>
      <w:outlineLvl w:val="1"/>
    </w:pPr>
    <w:rPr>
      <w:rFonts w:ascii="Arial" w:eastAsia="Times New Roman" w:hAnsi="Arial" w:cs="Times New Roman"/>
      <w:b/>
      <w:i/>
      <w:color w:val="0A32FF"/>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link w:val="Titel"/>
    <w:qFormat/>
    <w:rsid w:val="00673CE2"/>
    <w:rPr>
      <w:rFonts w:ascii="Times New Roman" w:eastAsia="Times New Roman" w:hAnsi="Times New Roman" w:cs="Times New Roman"/>
      <w:sz w:val="24"/>
      <w:szCs w:val="24"/>
      <w:lang w:val="en-US" w:eastAsia="de-DE"/>
    </w:rPr>
  </w:style>
  <w:style w:type="character" w:customStyle="1" w:styleId="UntertitelZchn">
    <w:name w:val="Untertitel Zchn"/>
    <w:basedOn w:val="Absatz-Standardschriftart"/>
    <w:link w:val="Untertitel"/>
    <w:uiPriority w:val="11"/>
    <w:qFormat/>
    <w:rsid w:val="00673CE2"/>
    <w:rPr>
      <w:rFonts w:eastAsiaTheme="minorEastAsia"/>
      <w:color w:val="5A5A5A" w:themeColor="text1" w:themeTint="A5"/>
      <w:spacing w:val="15"/>
      <w:lang w:val="en-US"/>
    </w:rPr>
  </w:style>
  <w:style w:type="character" w:customStyle="1" w:styleId="KopfzeileZchn">
    <w:name w:val="Kopfzeile Zchn"/>
    <w:basedOn w:val="Absatz-Standardschriftart"/>
    <w:link w:val="Kopfzeile"/>
    <w:uiPriority w:val="99"/>
    <w:qFormat/>
    <w:rsid w:val="00100F4F"/>
    <w:rPr>
      <w:lang w:val="en-US"/>
    </w:rPr>
  </w:style>
  <w:style w:type="character" w:customStyle="1" w:styleId="FuzeileZchn">
    <w:name w:val="Fußzeile Zchn"/>
    <w:basedOn w:val="Absatz-Standardschriftart"/>
    <w:link w:val="Fuzeile"/>
    <w:uiPriority w:val="99"/>
    <w:qFormat/>
    <w:rsid w:val="00100F4F"/>
    <w:rPr>
      <w:lang w:val="en-US"/>
    </w:rPr>
  </w:style>
  <w:style w:type="character" w:customStyle="1" w:styleId="SprechblasentextZchn">
    <w:name w:val="Sprechblasentext Zchn"/>
    <w:basedOn w:val="Absatz-Standardschriftart"/>
    <w:link w:val="Sprechblasentext"/>
    <w:uiPriority w:val="99"/>
    <w:semiHidden/>
    <w:qFormat/>
    <w:rsid w:val="002B27DF"/>
    <w:rPr>
      <w:rFonts w:ascii="Segoe UI" w:hAnsi="Segoe UI" w:cs="Segoe UI"/>
      <w:sz w:val="18"/>
      <w:szCs w:val="18"/>
      <w:lang w:val="en-US"/>
    </w:rPr>
  </w:style>
  <w:style w:type="character" w:customStyle="1" w:styleId="berschrift2Zchn">
    <w:name w:val="Überschrift 2 Zchn"/>
    <w:basedOn w:val="Absatz-Standardschriftart"/>
    <w:qFormat/>
    <w:rsid w:val="001072AA"/>
    <w:rPr>
      <w:rFonts w:ascii="Arial" w:eastAsia="Times New Roman" w:hAnsi="Arial" w:cs="Times New Roman"/>
      <w:b/>
      <w:i/>
      <w:color w:val="0A32FF"/>
      <w:sz w:val="24"/>
      <w:szCs w:val="24"/>
      <w:lang w:val="en-US" w:eastAsia="de-DE"/>
    </w:rPr>
  </w:style>
  <w:style w:type="character" w:customStyle="1" w:styleId="TextkrperZchn">
    <w:name w:val="Textkörper Zchn"/>
    <w:basedOn w:val="Absatz-Standardschriftart"/>
    <w:link w:val="Textkrper"/>
    <w:uiPriority w:val="99"/>
    <w:semiHidden/>
    <w:qFormat/>
    <w:rsid w:val="001072AA"/>
    <w:rPr>
      <w:lang w:val="en-US"/>
    </w:rPr>
  </w:style>
  <w:style w:type="paragraph" w:customStyle="1" w:styleId="Heading">
    <w:name w:val="Heading"/>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link w:val="TextkrperZchn"/>
    <w:uiPriority w:val="99"/>
    <w:semiHidden/>
    <w:unhideWhenUsed/>
    <w:rsid w:val="001072AA"/>
    <w:pPr>
      <w:spacing w:after="120"/>
    </w:pPr>
  </w:style>
  <w:style w:type="paragraph" w:styleId="Liste">
    <w:name w:val="List"/>
    <w:basedOn w:val="Textkrper"/>
    <w:rPr>
      <w:rFonts w:cs="Noto Sans Devanagari"/>
    </w:rPr>
  </w:style>
  <w:style w:type="paragraph" w:styleId="Beschriftung">
    <w:name w:val="caption"/>
    <w:basedOn w:val="Standard"/>
    <w:uiPriority w:val="35"/>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styleId="Titel">
    <w:name w:val="Title"/>
    <w:basedOn w:val="Standard"/>
    <w:next w:val="Untertitel"/>
    <w:link w:val="TitelZchn"/>
    <w:qFormat/>
    <w:rsid w:val="00673CE2"/>
    <w:pPr>
      <w:spacing w:after="0" w:line="360" w:lineRule="auto"/>
      <w:jc w:val="center"/>
    </w:pPr>
    <w:rPr>
      <w:rFonts w:ascii="Times New Roman" w:eastAsia="Times New Roman" w:hAnsi="Times New Roman" w:cs="Times New Roman"/>
      <w:sz w:val="24"/>
      <w:szCs w:val="24"/>
      <w:lang w:eastAsia="de-DE"/>
    </w:rPr>
  </w:style>
  <w:style w:type="paragraph" w:styleId="Untertitel">
    <w:name w:val="Subtitle"/>
    <w:basedOn w:val="Standard"/>
    <w:next w:val="Standard"/>
    <w:link w:val="UntertitelZchn"/>
    <w:uiPriority w:val="11"/>
    <w:qFormat/>
    <w:rsid w:val="00673CE2"/>
    <w:rPr>
      <w:rFonts w:eastAsiaTheme="minorEastAsia"/>
      <w:color w:val="5A5A5A" w:themeColor="text1" w:themeTint="A5"/>
      <w:spacing w:val="15"/>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100F4F"/>
    <w:pPr>
      <w:tabs>
        <w:tab w:val="center" w:pos="4536"/>
        <w:tab w:val="right" w:pos="9072"/>
      </w:tabs>
      <w:spacing w:after="0" w:line="240" w:lineRule="auto"/>
    </w:pPr>
  </w:style>
  <w:style w:type="paragraph" w:styleId="Fuzeile">
    <w:name w:val="footer"/>
    <w:basedOn w:val="Standard"/>
    <w:link w:val="FuzeileZchn"/>
    <w:uiPriority w:val="99"/>
    <w:unhideWhenUsed/>
    <w:rsid w:val="00100F4F"/>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B27DF"/>
    <w:pPr>
      <w:spacing w:after="0" w:line="240" w:lineRule="auto"/>
    </w:pPr>
    <w:rPr>
      <w:rFonts w:ascii="Segoe UI" w:hAnsi="Segoe UI" w:cs="Segoe UI"/>
      <w:sz w:val="18"/>
      <w:szCs w:val="18"/>
    </w:rPr>
  </w:style>
  <w:style w:type="paragraph" w:styleId="Listenabsatz">
    <w:name w:val="List Paragraph"/>
    <w:basedOn w:val="Standard"/>
    <w:uiPriority w:val="34"/>
    <w:qFormat/>
    <w:rsid w:val="004D4BA0"/>
    <w:pPr>
      <w:ind w:left="720"/>
      <w:contextualSpacing/>
    </w:pPr>
  </w:style>
  <w:style w:type="table" w:styleId="Tabellenraster">
    <w:name w:val="Table Grid"/>
    <w:basedOn w:val="NormaleTabelle"/>
    <w:uiPriority w:val="39"/>
    <w:rsid w:val="00100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103CB"/>
    <w:pPr>
      <w:suppressAutoHyphens w:val="0"/>
      <w:spacing w:before="100" w:beforeAutospacing="1" w:after="100" w:afterAutospacing="1" w:line="240" w:lineRule="auto"/>
    </w:pPr>
    <w:rPr>
      <w:rFonts w:ascii="Times New Roman" w:eastAsiaTheme="minorEastAsia" w:hAnsi="Times New Roman" w:cs="Times New Roman"/>
      <w:sz w:val="24"/>
      <w:szCs w:val="24"/>
    </w:rPr>
  </w:style>
  <w:style w:type="paragraph" w:styleId="Literaturverzeichnis">
    <w:name w:val="Bibliography"/>
    <w:basedOn w:val="Standard"/>
    <w:next w:val="Standard"/>
    <w:uiPriority w:val="37"/>
    <w:unhideWhenUsed/>
    <w:rsid w:val="003763A9"/>
    <w:pPr>
      <w:spacing w:after="240" w:line="240" w:lineRule="auto"/>
      <w:ind w:left="720" w:hanging="720"/>
    </w:pPr>
  </w:style>
  <w:style w:type="character" w:styleId="Hyperlink">
    <w:name w:val="Hyperlink"/>
    <w:basedOn w:val="Absatz-Standardschriftart"/>
    <w:semiHidden/>
    <w:unhideWhenUsed/>
    <w:rsid w:val="00D2224C"/>
    <w:rPr>
      <w:color w:val="000000"/>
      <w:u w:val="single"/>
    </w:rPr>
  </w:style>
  <w:style w:type="paragraph" w:styleId="Kommentartext">
    <w:name w:val="annotation text"/>
    <w:basedOn w:val="Standard"/>
    <w:link w:val="KommentartextZchn1"/>
    <w:uiPriority w:val="99"/>
    <w:semiHidden/>
    <w:unhideWhenUsed/>
    <w:rsid w:val="00D2224C"/>
    <w:pPr>
      <w:suppressAutoHyphens w:val="0"/>
      <w:spacing w:after="120" w:line="480" w:lineRule="auto"/>
      <w:jc w:val="both"/>
    </w:pPr>
    <w:rPr>
      <w:rFonts w:ascii="Times New Roman" w:eastAsia="Times New Roman" w:hAnsi="Times New Roman" w:cs="Times New Roman"/>
      <w:sz w:val="24"/>
      <w:szCs w:val="24"/>
      <w:lang w:eastAsia="de-DE"/>
    </w:rPr>
  </w:style>
  <w:style w:type="character" w:customStyle="1" w:styleId="KommentartextZchn">
    <w:name w:val="Kommentartext Zchn"/>
    <w:basedOn w:val="Absatz-Standardschriftart"/>
    <w:uiPriority w:val="99"/>
    <w:semiHidden/>
    <w:rsid w:val="00D2224C"/>
    <w:rPr>
      <w:sz w:val="20"/>
      <w:szCs w:val="20"/>
      <w:lang w:val="en-US"/>
    </w:rPr>
  </w:style>
  <w:style w:type="character" w:styleId="Kommentarzeichen">
    <w:name w:val="annotation reference"/>
    <w:uiPriority w:val="99"/>
    <w:semiHidden/>
    <w:unhideWhenUsed/>
    <w:rsid w:val="00D2224C"/>
    <w:rPr>
      <w:sz w:val="18"/>
      <w:szCs w:val="18"/>
    </w:rPr>
  </w:style>
  <w:style w:type="character" w:customStyle="1" w:styleId="KommentartextZchn1">
    <w:name w:val="Kommentartext Zchn1"/>
    <w:link w:val="Kommentartext"/>
    <w:uiPriority w:val="99"/>
    <w:semiHidden/>
    <w:locked/>
    <w:rsid w:val="00D2224C"/>
    <w:rPr>
      <w:rFonts w:ascii="Times New Roman" w:eastAsia="Times New Roman" w:hAnsi="Times New Roman" w:cs="Times New Roman"/>
      <w:sz w:val="24"/>
      <w:szCs w:val="24"/>
      <w:lang w:val="en-US" w:eastAsia="de-DE"/>
    </w:rPr>
  </w:style>
  <w:style w:type="paragraph" w:styleId="Kommentarthema">
    <w:name w:val="annotation subject"/>
    <w:basedOn w:val="Kommentartext"/>
    <w:next w:val="Kommentartext"/>
    <w:link w:val="KommentarthemaZchn"/>
    <w:uiPriority w:val="99"/>
    <w:semiHidden/>
    <w:unhideWhenUsed/>
    <w:rsid w:val="00E81D5A"/>
    <w:pPr>
      <w:suppressAutoHyphens/>
      <w:spacing w:after="160" w:line="240" w:lineRule="auto"/>
      <w:jc w:val="left"/>
    </w:pPr>
    <w:rPr>
      <w:rFonts w:asciiTheme="minorHAnsi" w:eastAsiaTheme="minorHAnsi" w:hAnsiTheme="minorHAnsi" w:cstheme="minorBidi"/>
      <w:b/>
      <w:bCs/>
      <w:sz w:val="20"/>
      <w:szCs w:val="20"/>
      <w:lang w:eastAsia="en-US"/>
    </w:rPr>
  </w:style>
  <w:style w:type="character" w:customStyle="1" w:styleId="KommentarthemaZchn">
    <w:name w:val="Kommentarthema Zchn"/>
    <w:basedOn w:val="KommentartextZchn1"/>
    <w:link w:val="Kommentarthema"/>
    <w:uiPriority w:val="99"/>
    <w:semiHidden/>
    <w:rsid w:val="00E81D5A"/>
    <w:rPr>
      <w:rFonts w:ascii="Times New Roman" w:eastAsia="Times New Roman" w:hAnsi="Times New Roman" w:cs="Times New Roman"/>
      <w:b/>
      <w:bCs/>
      <w:sz w:val="20"/>
      <w:szCs w:val="20"/>
      <w:lang w:val="en-US" w:eastAsia="de-DE"/>
    </w:rPr>
  </w:style>
  <w:style w:type="paragraph" w:styleId="NurText">
    <w:name w:val="Plain Text"/>
    <w:basedOn w:val="Standard"/>
    <w:link w:val="NurTextZchn"/>
    <w:uiPriority w:val="99"/>
    <w:semiHidden/>
    <w:unhideWhenUsed/>
    <w:rsid w:val="00684AD0"/>
    <w:pPr>
      <w:suppressAutoHyphens w:val="0"/>
      <w:spacing w:after="0" w:line="240" w:lineRule="auto"/>
    </w:pPr>
    <w:rPr>
      <w:rFonts w:ascii="Calibri" w:hAnsi="Calibri"/>
      <w:szCs w:val="21"/>
      <w:lang w:val="de-DE"/>
    </w:rPr>
  </w:style>
  <w:style w:type="character" w:customStyle="1" w:styleId="NurTextZchn">
    <w:name w:val="Nur Text Zchn"/>
    <w:basedOn w:val="Absatz-Standardschriftart"/>
    <w:link w:val="NurText"/>
    <w:uiPriority w:val="99"/>
    <w:semiHidden/>
    <w:rsid w:val="00684AD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7267">
      <w:bodyDiv w:val="1"/>
      <w:marLeft w:val="0"/>
      <w:marRight w:val="0"/>
      <w:marTop w:val="0"/>
      <w:marBottom w:val="0"/>
      <w:divBdr>
        <w:top w:val="none" w:sz="0" w:space="0" w:color="auto"/>
        <w:left w:val="none" w:sz="0" w:space="0" w:color="auto"/>
        <w:bottom w:val="none" w:sz="0" w:space="0" w:color="auto"/>
        <w:right w:val="none" w:sz="0" w:space="0" w:color="auto"/>
      </w:divBdr>
    </w:div>
    <w:div w:id="189030495">
      <w:bodyDiv w:val="1"/>
      <w:marLeft w:val="0"/>
      <w:marRight w:val="0"/>
      <w:marTop w:val="0"/>
      <w:marBottom w:val="0"/>
      <w:divBdr>
        <w:top w:val="none" w:sz="0" w:space="0" w:color="auto"/>
        <w:left w:val="none" w:sz="0" w:space="0" w:color="auto"/>
        <w:bottom w:val="none" w:sz="0" w:space="0" w:color="auto"/>
        <w:right w:val="none" w:sz="0" w:space="0" w:color="auto"/>
      </w:divBdr>
    </w:div>
    <w:div w:id="299579494">
      <w:bodyDiv w:val="1"/>
      <w:marLeft w:val="0"/>
      <w:marRight w:val="0"/>
      <w:marTop w:val="0"/>
      <w:marBottom w:val="0"/>
      <w:divBdr>
        <w:top w:val="none" w:sz="0" w:space="0" w:color="auto"/>
        <w:left w:val="none" w:sz="0" w:space="0" w:color="auto"/>
        <w:bottom w:val="none" w:sz="0" w:space="0" w:color="auto"/>
        <w:right w:val="none" w:sz="0" w:space="0" w:color="auto"/>
      </w:divBdr>
    </w:div>
    <w:div w:id="380980034">
      <w:bodyDiv w:val="1"/>
      <w:marLeft w:val="0"/>
      <w:marRight w:val="0"/>
      <w:marTop w:val="0"/>
      <w:marBottom w:val="0"/>
      <w:divBdr>
        <w:top w:val="none" w:sz="0" w:space="0" w:color="auto"/>
        <w:left w:val="none" w:sz="0" w:space="0" w:color="auto"/>
        <w:bottom w:val="none" w:sz="0" w:space="0" w:color="auto"/>
        <w:right w:val="none" w:sz="0" w:space="0" w:color="auto"/>
      </w:divBdr>
    </w:div>
    <w:div w:id="390032938">
      <w:bodyDiv w:val="1"/>
      <w:marLeft w:val="0"/>
      <w:marRight w:val="0"/>
      <w:marTop w:val="0"/>
      <w:marBottom w:val="0"/>
      <w:divBdr>
        <w:top w:val="none" w:sz="0" w:space="0" w:color="auto"/>
        <w:left w:val="none" w:sz="0" w:space="0" w:color="auto"/>
        <w:bottom w:val="none" w:sz="0" w:space="0" w:color="auto"/>
        <w:right w:val="none" w:sz="0" w:space="0" w:color="auto"/>
      </w:divBdr>
    </w:div>
    <w:div w:id="418141021">
      <w:bodyDiv w:val="1"/>
      <w:marLeft w:val="0"/>
      <w:marRight w:val="0"/>
      <w:marTop w:val="0"/>
      <w:marBottom w:val="0"/>
      <w:divBdr>
        <w:top w:val="none" w:sz="0" w:space="0" w:color="auto"/>
        <w:left w:val="none" w:sz="0" w:space="0" w:color="auto"/>
        <w:bottom w:val="none" w:sz="0" w:space="0" w:color="auto"/>
        <w:right w:val="none" w:sz="0" w:space="0" w:color="auto"/>
      </w:divBdr>
    </w:div>
    <w:div w:id="561326927">
      <w:bodyDiv w:val="1"/>
      <w:marLeft w:val="0"/>
      <w:marRight w:val="0"/>
      <w:marTop w:val="0"/>
      <w:marBottom w:val="0"/>
      <w:divBdr>
        <w:top w:val="none" w:sz="0" w:space="0" w:color="auto"/>
        <w:left w:val="none" w:sz="0" w:space="0" w:color="auto"/>
        <w:bottom w:val="none" w:sz="0" w:space="0" w:color="auto"/>
        <w:right w:val="none" w:sz="0" w:space="0" w:color="auto"/>
      </w:divBdr>
    </w:div>
    <w:div w:id="773674316">
      <w:bodyDiv w:val="1"/>
      <w:marLeft w:val="0"/>
      <w:marRight w:val="0"/>
      <w:marTop w:val="0"/>
      <w:marBottom w:val="0"/>
      <w:divBdr>
        <w:top w:val="none" w:sz="0" w:space="0" w:color="auto"/>
        <w:left w:val="none" w:sz="0" w:space="0" w:color="auto"/>
        <w:bottom w:val="none" w:sz="0" w:space="0" w:color="auto"/>
        <w:right w:val="none" w:sz="0" w:space="0" w:color="auto"/>
      </w:divBdr>
    </w:div>
    <w:div w:id="912157260">
      <w:bodyDiv w:val="1"/>
      <w:marLeft w:val="0"/>
      <w:marRight w:val="0"/>
      <w:marTop w:val="0"/>
      <w:marBottom w:val="0"/>
      <w:divBdr>
        <w:top w:val="none" w:sz="0" w:space="0" w:color="auto"/>
        <w:left w:val="none" w:sz="0" w:space="0" w:color="auto"/>
        <w:bottom w:val="none" w:sz="0" w:space="0" w:color="auto"/>
        <w:right w:val="none" w:sz="0" w:space="0" w:color="auto"/>
      </w:divBdr>
    </w:div>
    <w:div w:id="1097364877">
      <w:bodyDiv w:val="1"/>
      <w:marLeft w:val="0"/>
      <w:marRight w:val="0"/>
      <w:marTop w:val="0"/>
      <w:marBottom w:val="0"/>
      <w:divBdr>
        <w:top w:val="none" w:sz="0" w:space="0" w:color="auto"/>
        <w:left w:val="none" w:sz="0" w:space="0" w:color="auto"/>
        <w:bottom w:val="none" w:sz="0" w:space="0" w:color="auto"/>
        <w:right w:val="none" w:sz="0" w:space="0" w:color="auto"/>
      </w:divBdr>
    </w:div>
    <w:div w:id="1170221392">
      <w:bodyDiv w:val="1"/>
      <w:marLeft w:val="0"/>
      <w:marRight w:val="0"/>
      <w:marTop w:val="0"/>
      <w:marBottom w:val="0"/>
      <w:divBdr>
        <w:top w:val="none" w:sz="0" w:space="0" w:color="auto"/>
        <w:left w:val="none" w:sz="0" w:space="0" w:color="auto"/>
        <w:bottom w:val="none" w:sz="0" w:space="0" w:color="auto"/>
        <w:right w:val="none" w:sz="0" w:space="0" w:color="auto"/>
      </w:divBdr>
    </w:div>
    <w:div w:id="1210609117">
      <w:bodyDiv w:val="1"/>
      <w:marLeft w:val="0"/>
      <w:marRight w:val="0"/>
      <w:marTop w:val="0"/>
      <w:marBottom w:val="0"/>
      <w:divBdr>
        <w:top w:val="none" w:sz="0" w:space="0" w:color="auto"/>
        <w:left w:val="none" w:sz="0" w:space="0" w:color="auto"/>
        <w:bottom w:val="none" w:sz="0" w:space="0" w:color="auto"/>
        <w:right w:val="none" w:sz="0" w:space="0" w:color="auto"/>
      </w:divBdr>
    </w:div>
    <w:div w:id="1278952770">
      <w:bodyDiv w:val="1"/>
      <w:marLeft w:val="0"/>
      <w:marRight w:val="0"/>
      <w:marTop w:val="0"/>
      <w:marBottom w:val="0"/>
      <w:divBdr>
        <w:top w:val="none" w:sz="0" w:space="0" w:color="auto"/>
        <w:left w:val="none" w:sz="0" w:space="0" w:color="auto"/>
        <w:bottom w:val="none" w:sz="0" w:space="0" w:color="auto"/>
        <w:right w:val="none" w:sz="0" w:space="0" w:color="auto"/>
      </w:divBdr>
    </w:div>
    <w:div w:id="1344670322">
      <w:bodyDiv w:val="1"/>
      <w:marLeft w:val="0"/>
      <w:marRight w:val="0"/>
      <w:marTop w:val="0"/>
      <w:marBottom w:val="0"/>
      <w:divBdr>
        <w:top w:val="none" w:sz="0" w:space="0" w:color="auto"/>
        <w:left w:val="none" w:sz="0" w:space="0" w:color="auto"/>
        <w:bottom w:val="none" w:sz="0" w:space="0" w:color="auto"/>
        <w:right w:val="none" w:sz="0" w:space="0" w:color="auto"/>
      </w:divBdr>
    </w:div>
    <w:div w:id="1456750904">
      <w:bodyDiv w:val="1"/>
      <w:marLeft w:val="0"/>
      <w:marRight w:val="0"/>
      <w:marTop w:val="0"/>
      <w:marBottom w:val="0"/>
      <w:divBdr>
        <w:top w:val="none" w:sz="0" w:space="0" w:color="auto"/>
        <w:left w:val="none" w:sz="0" w:space="0" w:color="auto"/>
        <w:bottom w:val="none" w:sz="0" w:space="0" w:color="auto"/>
        <w:right w:val="none" w:sz="0" w:space="0" w:color="auto"/>
      </w:divBdr>
    </w:div>
    <w:div w:id="1643150905">
      <w:bodyDiv w:val="1"/>
      <w:marLeft w:val="0"/>
      <w:marRight w:val="0"/>
      <w:marTop w:val="0"/>
      <w:marBottom w:val="0"/>
      <w:divBdr>
        <w:top w:val="none" w:sz="0" w:space="0" w:color="auto"/>
        <w:left w:val="none" w:sz="0" w:space="0" w:color="auto"/>
        <w:bottom w:val="none" w:sz="0" w:space="0" w:color="auto"/>
        <w:right w:val="none" w:sz="0" w:space="0" w:color="auto"/>
      </w:divBdr>
    </w:div>
    <w:div w:id="1877037367">
      <w:bodyDiv w:val="1"/>
      <w:marLeft w:val="0"/>
      <w:marRight w:val="0"/>
      <w:marTop w:val="0"/>
      <w:marBottom w:val="0"/>
      <w:divBdr>
        <w:top w:val="none" w:sz="0" w:space="0" w:color="auto"/>
        <w:left w:val="none" w:sz="0" w:space="0" w:color="auto"/>
        <w:bottom w:val="none" w:sz="0" w:space="0" w:color="auto"/>
        <w:right w:val="none" w:sz="0" w:space="0" w:color="auto"/>
      </w:divBdr>
    </w:div>
    <w:div w:id="2069064127">
      <w:bodyDiv w:val="1"/>
      <w:marLeft w:val="0"/>
      <w:marRight w:val="0"/>
      <w:marTop w:val="0"/>
      <w:marBottom w:val="0"/>
      <w:divBdr>
        <w:top w:val="none" w:sz="0" w:space="0" w:color="auto"/>
        <w:left w:val="none" w:sz="0" w:space="0" w:color="auto"/>
        <w:bottom w:val="none" w:sz="0" w:space="0" w:color="auto"/>
        <w:right w:val="none" w:sz="0" w:space="0" w:color="auto"/>
      </w:divBdr>
    </w:div>
    <w:div w:id="2126802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CCBD8-E0C0-4D61-9DA2-4B076C61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4568</Words>
  <Characters>28782</Characters>
  <Application>Microsoft Office Word</Application>
  <DocSecurity>0</DocSecurity>
  <Lines>239</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Loser</dc:creator>
  <dc:description/>
  <cp:lastModifiedBy>Dominik Loser</cp:lastModifiedBy>
  <cp:revision>19</cp:revision>
  <dcterms:created xsi:type="dcterms:W3CDTF">2021-03-09T20:22:00Z</dcterms:created>
  <dcterms:modified xsi:type="dcterms:W3CDTF">2021-03-12T10:56:00Z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zotero-version="5.0.84"&gt;&lt;session id="Z6HmHHDH"/&gt;&lt;style id="http://www.zotero.org/styles/archives-of-toxicology" hasBibliography="1" bibliographyStyleHasBeenSet="1"/&gt;&lt;prefs&gt;&lt;pref name="fieldType" value="Field"/&gt;&lt;pref name="automaticJ</vt:lpwstr>
  </property>
  <property fmtid="{D5CDD505-2E9C-101B-9397-08002B2CF9AE}" pid="9" name="ZOTERO_PREF_2">
    <vt:lpwstr>ournalAbbreviations" value="true"/&gt;&lt;/prefs&gt;&lt;/data&gt;</vt:lpwstr>
  </property>
</Properties>
</file>