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E7D1A" w14:textId="40DA6C4D" w:rsidR="00106E51" w:rsidRPr="00B7685D" w:rsidRDefault="00106E51" w:rsidP="00B7685D">
      <w:pPr>
        <w:pStyle w:val="Manuscript"/>
        <w:jc w:val="center"/>
        <w:rPr>
          <w:b/>
          <w:bCs/>
        </w:rPr>
      </w:pPr>
      <w:r w:rsidRPr="00B7685D">
        <w:rPr>
          <w:b/>
          <w:bCs/>
        </w:rPr>
        <w:t xml:space="preserve">Supplementary </w:t>
      </w:r>
      <w:r w:rsidR="00B7685D">
        <w:rPr>
          <w:b/>
          <w:bCs/>
        </w:rPr>
        <w:t>material</w:t>
      </w:r>
    </w:p>
    <w:p w14:paraId="3F73EF14" w14:textId="3759A011" w:rsidR="00106E51" w:rsidRPr="00B7685D" w:rsidRDefault="00106E51" w:rsidP="00B7685D">
      <w:pPr>
        <w:pStyle w:val="Manuscript"/>
        <w:rPr>
          <w:b/>
          <w:bCs/>
        </w:rPr>
      </w:pPr>
      <w:r w:rsidRPr="00B7685D">
        <w:rPr>
          <w:b/>
          <w:bCs/>
        </w:rPr>
        <w:t xml:space="preserve">Next generation risk assessment of human exposure to estrogens using safe comparator compound values based on </w:t>
      </w:r>
      <w:r w:rsidRPr="00B7685D">
        <w:rPr>
          <w:b/>
          <w:bCs/>
          <w:i/>
          <w:iCs/>
        </w:rPr>
        <w:t xml:space="preserve">in vitro </w:t>
      </w:r>
      <w:r w:rsidRPr="00B7685D">
        <w:rPr>
          <w:b/>
          <w:bCs/>
        </w:rPr>
        <w:t>bioactivity assays</w:t>
      </w:r>
    </w:p>
    <w:p w14:paraId="5DA796FA" w14:textId="5B5393D9" w:rsidR="00106E51" w:rsidRPr="00D808F7" w:rsidRDefault="00106E51" w:rsidP="00106E51">
      <w:pPr>
        <w:pStyle w:val="Manuscript"/>
        <w:rPr>
          <w:vertAlign w:val="superscript"/>
          <w:lang w:val="nl-NL"/>
        </w:rPr>
      </w:pPr>
      <w:r w:rsidRPr="00D808F7">
        <w:rPr>
          <w:lang w:val="nl-NL"/>
        </w:rPr>
        <w:t>Tessa C.A. van Tongeren</w:t>
      </w:r>
      <w:r w:rsidRPr="00D808F7">
        <w:rPr>
          <w:vertAlign w:val="superscript"/>
          <w:lang w:val="nl-NL"/>
        </w:rPr>
        <w:t>1</w:t>
      </w:r>
      <w:r>
        <w:rPr>
          <w:vertAlign w:val="superscript"/>
          <w:lang w:val="nl-NL"/>
        </w:rPr>
        <w:t>*</w:t>
      </w:r>
      <w:r w:rsidRPr="00D808F7">
        <w:rPr>
          <w:lang w:val="nl-NL"/>
        </w:rPr>
        <w:t xml:space="preserve">, </w:t>
      </w:r>
      <w:r>
        <w:rPr>
          <w:lang w:val="nl-NL"/>
        </w:rPr>
        <w:t>Si Wang</w:t>
      </w:r>
      <w:r w:rsidR="00C93490">
        <w:rPr>
          <w:vertAlign w:val="superscript"/>
          <w:lang w:val="nl-NL"/>
        </w:rPr>
        <w:t>1</w:t>
      </w:r>
      <w:r>
        <w:rPr>
          <w:lang w:val="nl-NL"/>
        </w:rPr>
        <w:t xml:space="preserve">, </w:t>
      </w:r>
      <w:r w:rsidRPr="00D808F7">
        <w:rPr>
          <w:lang w:val="nl-NL"/>
        </w:rPr>
        <w:t>Paul L. Carmichael</w:t>
      </w:r>
      <w:r w:rsidR="00C93490">
        <w:rPr>
          <w:vertAlign w:val="superscript"/>
          <w:lang w:val="nl-NL"/>
        </w:rPr>
        <w:t>2</w:t>
      </w:r>
      <w:r w:rsidRPr="00D808F7">
        <w:rPr>
          <w:lang w:val="nl-NL"/>
        </w:rPr>
        <w:t>, Ivonne M.C.M. Rietjens</w:t>
      </w:r>
      <w:r>
        <w:rPr>
          <w:vertAlign w:val="superscript"/>
          <w:lang w:val="nl-NL"/>
        </w:rPr>
        <w:t>1</w:t>
      </w:r>
      <w:r w:rsidRPr="00D808F7">
        <w:rPr>
          <w:lang w:val="nl-NL"/>
        </w:rPr>
        <w:t>, Hequn Li</w:t>
      </w:r>
      <w:r w:rsidR="00C93490">
        <w:rPr>
          <w:vertAlign w:val="superscript"/>
          <w:lang w:val="nl-NL"/>
        </w:rPr>
        <w:t>2</w:t>
      </w:r>
    </w:p>
    <w:p w14:paraId="0157D4F5" w14:textId="77777777" w:rsidR="00106E51" w:rsidRDefault="00106E51" w:rsidP="00106E51">
      <w:pPr>
        <w:pStyle w:val="Manuscript"/>
      </w:pPr>
      <w:r>
        <w:rPr>
          <w:vertAlign w:val="superscript"/>
        </w:rPr>
        <w:t>1</w:t>
      </w:r>
      <w:r w:rsidRPr="00BB1E92">
        <w:t xml:space="preserve">Division of Toxicology, Wageningen University and Research, 6700 EA, Wageningen, </w:t>
      </w:r>
      <w:r>
        <w:t>NL</w:t>
      </w:r>
    </w:p>
    <w:p w14:paraId="638A5361" w14:textId="6DF01E19" w:rsidR="00106E51" w:rsidRDefault="00C93490" w:rsidP="00106E51">
      <w:pPr>
        <w:pStyle w:val="Manuscript"/>
      </w:pPr>
      <w:r>
        <w:rPr>
          <w:vertAlign w:val="superscript"/>
        </w:rPr>
        <w:t>2</w:t>
      </w:r>
      <w:r w:rsidR="00106E51" w:rsidRPr="0099720C">
        <w:t>Unilever Safety and Environmental Assurance Centre, Sharnbrook, Bedfordshire MK44 1LQ, UK</w:t>
      </w:r>
    </w:p>
    <w:p w14:paraId="4CADA96F" w14:textId="77777777" w:rsidR="00106E51" w:rsidRPr="00D808F7" w:rsidRDefault="00106E51" w:rsidP="00106E51">
      <w:pPr>
        <w:pStyle w:val="Manuscript"/>
      </w:pPr>
      <w:r>
        <w:rPr>
          <w:vertAlign w:val="superscript"/>
        </w:rPr>
        <w:t>*</w:t>
      </w:r>
      <w:r>
        <w:t xml:space="preserve">Correspondence: </w:t>
      </w:r>
      <w:r>
        <w:br/>
        <w:t xml:space="preserve">Corresponding Author </w:t>
      </w:r>
      <w:hyperlink r:id="rId5" w:history="1">
        <w:r w:rsidRPr="009038EF">
          <w:rPr>
            <w:rStyle w:val="Hyperlink"/>
          </w:rPr>
          <w:t>tessa.vantongeren@wur.nl</w:t>
        </w:r>
      </w:hyperlink>
      <w:r>
        <w:t xml:space="preserve"> </w:t>
      </w:r>
    </w:p>
    <w:p w14:paraId="45DD731D" w14:textId="77777777" w:rsidR="00106E51" w:rsidRDefault="00106E51" w:rsidP="00106E51">
      <w:pPr>
        <w:pStyle w:val="Manuscript"/>
      </w:pPr>
    </w:p>
    <w:p w14:paraId="242502B2" w14:textId="77777777" w:rsidR="00106E51" w:rsidRDefault="00106E51" w:rsidP="00106E51">
      <w:pPr>
        <w:pStyle w:val="Manuscript"/>
      </w:pPr>
    </w:p>
    <w:p w14:paraId="03DAB53A" w14:textId="77777777" w:rsidR="00106E51" w:rsidRDefault="00106E51">
      <w:pPr>
        <w:rPr>
          <w:rFonts w:asciiTheme="majorHAnsi" w:eastAsiaTheme="majorEastAsia" w:hAnsiTheme="majorHAnsi" w:cstheme="majorBidi"/>
          <w:color w:val="2F5496" w:themeColor="accent1" w:themeShade="BF"/>
          <w:sz w:val="32"/>
          <w:szCs w:val="32"/>
        </w:rPr>
      </w:pPr>
      <w:r>
        <w:br w:type="page"/>
      </w:r>
    </w:p>
    <w:p w14:paraId="06B2D660" w14:textId="41F28D25" w:rsidR="001A20CA" w:rsidRDefault="001A20CA" w:rsidP="001A20CA">
      <w:pPr>
        <w:pStyle w:val="Heading1"/>
      </w:pPr>
      <w:r w:rsidRPr="00FF6636">
        <w:lastRenderedPageBreak/>
        <w:t xml:space="preserve">Supplementary </w:t>
      </w:r>
      <w:r w:rsidR="004D036B">
        <w:t xml:space="preserve">material </w:t>
      </w:r>
      <w:r w:rsidRPr="00FF6636">
        <w:t xml:space="preserve">S1. </w:t>
      </w:r>
      <w:r w:rsidR="00B15FC8">
        <w:t>Negative e</w:t>
      </w:r>
      <w:r w:rsidR="00FE09A6">
        <w:t xml:space="preserve">xposure scenarios to GEN </w:t>
      </w:r>
    </w:p>
    <w:p w14:paraId="6679C4FF" w14:textId="68875495" w:rsidR="004D036B" w:rsidRPr="004D036B" w:rsidRDefault="004D036B" w:rsidP="004D036B">
      <w:pPr>
        <w:pStyle w:val="Manuscript"/>
      </w:pPr>
      <w:r w:rsidRPr="009B2947">
        <w:rPr>
          <w:b/>
          <w:bCs/>
        </w:rPr>
        <w:t>Supplementary Table S1.</w:t>
      </w:r>
      <w:r w:rsidRPr="00FF6636">
        <w:t xml:space="preserve"> The</w:t>
      </w:r>
      <w:r>
        <w:t xml:space="preserve"> reported</w:t>
      </w:r>
      <w:r w:rsidRPr="00FF6636">
        <w:t xml:space="preserve"> nominal</w:t>
      </w:r>
      <w:r>
        <w:t xml:space="preserve"> and transformed free</w:t>
      </w:r>
      <w:r w:rsidRPr="00FF6636">
        <w:t xml:space="preserve"> internal concentrations of GEN</w:t>
      </w:r>
      <w:r>
        <w:t>, using the f</w:t>
      </w:r>
      <w:r>
        <w:rPr>
          <w:vertAlign w:val="subscript"/>
        </w:rPr>
        <w:t xml:space="preserve">ub </w:t>
      </w:r>
      <w:r>
        <w:rPr>
          <w:i/>
          <w:iCs/>
          <w:vertAlign w:val="subscript"/>
        </w:rPr>
        <w:t>in vivo</w:t>
      </w:r>
      <w:r>
        <w:t>,</w:t>
      </w:r>
      <w:r w:rsidRPr="00FF6636">
        <w:t xml:space="preserve"> following intake of different diets</w:t>
      </w:r>
      <w:r>
        <w:t xml:space="preserve"> which are indicated to be conservative and health protective in humans</w:t>
      </w:r>
    </w:p>
    <w:p w14:paraId="0554736C" w14:textId="638882B1" w:rsidR="001A20CA" w:rsidRDefault="001A20CA">
      <w:r>
        <w:br w:type="page"/>
      </w:r>
    </w:p>
    <w:p w14:paraId="242A2273" w14:textId="77777777" w:rsidR="001A20CA" w:rsidRDefault="001A20CA">
      <w:pPr>
        <w:sectPr w:rsidR="001A20CA">
          <w:pgSz w:w="11906" w:h="16838"/>
          <w:pgMar w:top="1417" w:right="1417" w:bottom="1417" w:left="1417" w:header="720" w:footer="720" w:gutter="0"/>
          <w:cols w:space="720"/>
          <w:docGrid w:linePitch="360"/>
        </w:sectPr>
      </w:pPr>
    </w:p>
    <w:tbl>
      <w:tblPr>
        <w:tblStyle w:val="TableGrid"/>
        <w:tblpPr w:leftFromText="180" w:rightFromText="180" w:vertAnchor="page" w:horzAnchor="margin" w:tblpXSpec="right" w:tblpY="1"/>
        <w:tblW w:w="15421" w:type="dxa"/>
        <w:tblLook w:val="0600" w:firstRow="0" w:lastRow="0" w:firstColumn="0" w:lastColumn="0" w:noHBand="1" w:noVBand="1"/>
      </w:tblPr>
      <w:tblGrid>
        <w:gridCol w:w="1785"/>
        <w:gridCol w:w="1312"/>
        <w:gridCol w:w="2567"/>
        <w:gridCol w:w="2553"/>
        <w:gridCol w:w="2126"/>
        <w:gridCol w:w="992"/>
        <w:gridCol w:w="4086"/>
      </w:tblGrid>
      <w:tr w:rsidR="001A20CA" w:rsidRPr="00676B48" w14:paraId="546A8D59" w14:textId="77777777" w:rsidTr="00D83ECE">
        <w:trPr>
          <w:trHeight w:val="391"/>
        </w:trPr>
        <w:tc>
          <w:tcPr>
            <w:tcW w:w="0" w:type="auto"/>
            <w:hideMark/>
          </w:tcPr>
          <w:p w14:paraId="7F786BA4" w14:textId="77777777" w:rsidR="001A20CA" w:rsidRPr="00676B48" w:rsidRDefault="001A20CA" w:rsidP="00D83ECE">
            <w:pPr>
              <w:pStyle w:val="Manuscript"/>
              <w:jc w:val="left"/>
              <w:rPr>
                <w:rFonts w:ascii="Verdana" w:hAnsi="Verdana" w:cs="Times New Roman"/>
                <w:sz w:val="16"/>
                <w:szCs w:val="16"/>
              </w:rPr>
            </w:pPr>
            <w:r w:rsidRPr="00676B48">
              <w:rPr>
                <w:rFonts w:ascii="Verdana" w:hAnsi="Verdana" w:cs="Calibri"/>
                <w:b/>
                <w:bCs/>
                <w:color w:val="000000"/>
                <w:kern w:val="24"/>
                <w:sz w:val="16"/>
                <w:szCs w:val="16"/>
              </w:rPr>
              <w:lastRenderedPageBreak/>
              <w:t>Reference</w:t>
            </w:r>
          </w:p>
        </w:tc>
        <w:tc>
          <w:tcPr>
            <w:tcW w:w="0" w:type="auto"/>
            <w:hideMark/>
          </w:tcPr>
          <w:p w14:paraId="49C678ED" w14:textId="77777777" w:rsidR="001A20CA" w:rsidRPr="00676B48" w:rsidRDefault="001A20CA" w:rsidP="00D83ECE">
            <w:pPr>
              <w:pStyle w:val="Manuscript"/>
              <w:jc w:val="left"/>
              <w:rPr>
                <w:rFonts w:ascii="Verdana" w:hAnsi="Verdana" w:cs="Times New Roman"/>
                <w:sz w:val="16"/>
                <w:szCs w:val="16"/>
              </w:rPr>
            </w:pPr>
            <w:r w:rsidRPr="00676B48">
              <w:rPr>
                <w:rFonts w:ascii="Verdana" w:hAnsi="Verdana" w:cs="Calibri"/>
                <w:b/>
                <w:bCs/>
                <w:color w:val="000000"/>
                <w:kern w:val="24"/>
                <w:sz w:val="16"/>
                <w:szCs w:val="16"/>
              </w:rPr>
              <w:t xml:space="preserve">Diet </w:t>
            </w:r>
          </w:p>
        </w:tc>
        <w:tc>
          <w:tcPr>
            <w:tcW w:w="2567" w:type="dxa"/>
          </w:tcPr>
          <w:p w14:paraId="5E19E9CC" w14:textId="77777777" w:rsidR="001A20CA" w:rsidRPr="00676B48" w:rsidRDefault="001A20CA" w:rsidP="00D83ECE">
            <w:pPr>
              <w:pStyle w:val="Manuscript"/>
              <w:jc w:val="left"/>
              <w:rPr>
                <w:rFonts w:ascii="Verdana" w:hAnsi="Verdana" w:cs="Times New Roman"/>
                <w:sz w:val="16"/>
                <w:szCs w:val="16"/>
              </w:rPr>
            </w:pPr>
            <w:r w:rsidRPr="00676B48">
              <w:rPr>
                <w:rFonts w:ascii="Verdana" w:hAnsi="Verdana" w:cs="Calibri"/>
                <w:b/>
                <w:bCs/>
                <w:color w:val="000000"/>
                <w:kern w:val="24"/>
                <w:sz w:val="16"/>
                <w:szCs w:val="16"/>
              </w:rPr>
              <w:t>Exposure scenario(s)</w:t>
            </w:r>
          </w:p>
        </w:tc>
        <w:tc>
          <w:tcPr>
            <w:tcW w:w="2553" w:type="dxa"/>
          </w:tcPr>
          <w:p w14:paraId="232B1ED0" w14:textId="77777777" w:rsidR="001A20CA" w:rsidRPr="00676B48" w:rsidRDefault="001A20CA" w:rsidP="00D83ECE">
            <w:pPr>
              <w:pStyle w:val="Manuscript"/>
              <w:jc w:val="left"/>
              <w:rPr>
                <w:rFonts w:ascii="Verdana" w:hAnsi="Verdana" w:cs="Times New Roman"/>
                <w:sz w:val="16"/>
                <w:szCs w:val="16"/>
              </w:rPr>
            </w:pPr>
            <w:r w:rsidRPr="00676B48">
              <w:rPr>
                <w:rFonts w:ascii="Verdana" w:hAnsi="Verdana" w:cs="Calibri"/>
                <w:b/>
                <w:bCs/>
                <w:color w:val="000000"/>
                <w:kern w:val="24"/>
                <w:sz w:val="16"/>
                <w:szCs w:val="16"/>
              </w:rPr>
              <w:t>Plasma, serum, or blood concentrations reported</w:t>
            </w:r>
          </w:p>
        </w:tc>
        <w:tc>
          <w:tcPr>
            <w:tcW w:w="2126" w:type="dxa"/>
          </w:tcPr>
          <w:p w14:paraId="4849D406" w14:textId="77777777" w:rsidR="001A20CA" w:rsidRPr="00676B48" w:rsidRDefault="001A20CA" w:rsidP="00D83ECE">
            <w:pPr>
              <w:pStyle w:val="Manuscript"/>
              <w:jc w:val="left"/>
              <w:rPr>
                <w:rFonts w:ascii="Verdana" w:hAnsi="Verdana"/>
                <w:sz w:val="16"/>
                <w:szCs w:val="16"/>
                <w:vertAlign w:val="superscript"/>
              </w:rPr>
            </w:pPr>
            <w:r w:rsidRPr="00676B48">
              <w:rPr>
                <w:rFonts w:ascii="Verdana" w:hAnsi="Verdana" w:cs="Calibri"/>
                <w:b/>
                <w:bCs/>
                <w:color w:val="000000"/>
                <w:kern w:val="24"/>
                <w:sz w:val="16"/>
                <w:szCs w:val="16"/>
              </w:rPr>
              <w:t>Nominal internal concentrations (µM)</w:t>
            </w:r>
            <w:r w:rsidRPr="00676B48">
              <w:rPr>
                <w:rFonts w:ascii="Verdana" w:hAnsi="Verdana" w:cs="Calibri"/>
                <w:b/>
                <w:bCs/>
                <w:color w:val="000000"/>
                <w:kern w:val="24"/>
                <w:sz w:val="16"/>
                <w:szCs w:val="16"/>
                <w:vertAlign w:val="superscript"/>
              </w:rPr>
              <w:t>1, 2</w:t>
            </w:r>
          </w:p>
        </w:tc>
        <w:tc>
          <w:tcPr>
            <w:tcW w:w="992" w:type="dxa"/>
          </w:tcPr>
          <w:p w14:paraId="5357C870" w14:textId="77777777" w:rsidR="001A20CA" w:rsidRPr="00676B48" w:rsidRDefault="001A20CA" w:rsidP="00D83ECE">
            <w:pPr>
              <w:pStyle w:val="Manuscript"/>
              <w:jc w:val="left"/>
              <w:rPr>
                <w:rFonts w:ascii="Verdana" w:hAnsi="Verdana"/>
                <w:sz w:val="16"/>
                <w:szCs w:val="16"/>
                <w:vertAlign w:val="superscript"/>
              </w:rPr>
            </w:pPr>
            <w:r w:rsidRPr="00676B48">
              <w:rPr>
                <w:rFonts w:ascii="Verdana" w:hAnsi="Verdana" w:cs="Calibri"/>
                <w:b/>
                <w:bCs/>
                <w:color w:val="000000"/>
                <w:kern w:val="24"/>
                <w:sz w:val="16"/>
                <w:szCs w:val="16"/>
              </w:rPr>
              <w:t>F</w:t>
            </w:r>
            <w:r w:rsidRPr="00676B48">
              <w:rPr>
                <w:rFonts w:ascii="Verdana" w:hAnsi="Verdana" w:cs="Calibri"/>
                <w:b/>
                <w:bCs/>
                <w:color w:val="000000"/>
                <w:kern w:val="24"/>
                <w:sz w:val="16"/>
                <w:szCs w:val="16"/>
                <w:vertAlign w:val="subscript"/>
              </w:rPr>
              <w:t xml:space="preserve">ub </w:t>
            </w:r>
            <w:r w:rsidRPr="00676B48">
              <w:rPr>
                <w:rFonts w:ascii="Verdana" w:hAnsi="Verdana" w:cs="Calibri"/>
                <w:b/>
                <w:bCs/>
                <w:i/>
                <w:iCs/>
                <w:color w:val="000000"/>
                <w:kern w:val="24"/>
                <w:sz w:val="16"/>
                <w:szCs w:val="16"/>
                <w:vertAlign w:val="subscript"/>
              </w:rPr>
              <w:t xml:space="preserve">in vivo </w:t>
            </w:r>
          </w:p>
        </w:tc>
        <w:tc>
          <w:tcPr>
            <w:tcW w:w="4086" w:type="dxa"/>
            <w:hideMark/>
          </w:tcPr>
          <w:p w14:paraId="69B15DDB" w14:textId="77777777" w:rsidR="001A20CA" w:rsidRPr="00676B48" w:rsidRDefault="001A20CA" w:rsidP="00D83ECE">
            <w:pPr>
              <w:pStyle w:val="Manuscript"/>
              <w:jc w:val="left"/>
              <w:rPr>
                <w:rFonts w:ascii="Verdana" w:hAnsi="Verdana"/>
                <w:sz w:val="16"/>
                <w:szCs w:val="16"/>
              </w:rPr>
            </w:pPr>
            <w:r w:rsidRPr="00676B48">
              <w:rPr>
                <w:rFonts w:ascii="Verdana" w:hAnsi="Verdana" w:cs="Calibri"/>
                <w:b/>
                <w:bCs/>
                <w:color w:val="000000"/>
                <w:kern w:val="24"/>
                <w:sz w:val="16"/>
                <w:szCs w:val="16"/>
              </w:rPr>
              <w:t xml:space="preserve">Free internal plasma </w:t>
            </w:r>
            <w:r>
              <w:rPr>
                <w:rFonts w:ascii="Verdana" w:hAnsi="Verdana" w:cs="Calibri"/>
                <w:b/>
                <w:bCs/>
                <w:color w:val="000000"/>
                <w:kern w:val="24"/>
                <w:sz w:val="16"/>
                <w:szCs w:val="16"/>
              </w:rPr>
              <w:br/>
            </w:r>
            <w:r w:rsidRPr="00676B48">
              <w:rPr>
                <w:rFonts w:ascii="Verdana" w:hAnsi="Verdana" w:cs="Calibri"/>
                <w:b/>
                <w:bCs/>
                <w:color w:val="000000"/>
                <w:kern w:val="24"/>
                <w:sz w:val="16"/>
                <w:szCs w:val="16"/>
              </w:rPr>
              <w:t>concentrations (µM)</w:t>
            </w:r>
          </w:p>
        </w:tc>
      </w:tr>
      <w:tr w:rsidR="001A20CA" w:rsidRPr="00676B48" w14:paraId="6021CA9E" w14:textId="77777777" w:rsidTr="00D83ECE">
        <w:trPr>
          <w:trHeight w:val="391"/>
        </w:trPr>
        <w:tc>
          <w:tcPr>
            <w:tcW w:w="0" w:type="auto"/>
            <w:hideMark/>
          </w:tcPr>
          <w:p w14:paraId="16BD73AA" w14:textId="12609DBD"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"/>
                <w:id w:val="1326093778"/>
                <w:placeholder>
                  <w:docPart w:val="576C192B6B2C4DD89B529A8CD8E01A3D"/>
                </w:placeholder>
              </w:sdtPr>
              <w:sdtEndPr/>
              <w:sdtContent>
                <w:r w:rsidR="00BC42B9" w:rsidRPr="00BC42B9">
                  <w:rPr>
                    <w:rFonts w:ascii="Verdana" w:hAnsi="Verdana" w:cs="Calibri"/>
                    <w:color w:val="000000"/>
                    <w:kern w:val="24"/>
                    <w:sz w:val="16"/>
                    <w:szCs w:val="16"/>
                  </w:rPr>
                  <w:t>(Busby et al., 2002)</w:t>
                </w:r>
              </w:sdtContent>
            </w:sdt>
          </w:p>
        </w:tc>
        <w:tc>
          <w:tcPr>
            <w:tcW w:w="0" w:type="auto"/>
            <w:hideMark/>
          </w:tcPr>
          <w:p w14:paraId="7D0AFC8C"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Western diet</w:t>
            </w:r>
          </w:p>
        </w:tc>
        <w:tc>
          <w:tcPr>
            <w:tcW w:w="2567" w:type="dxa"/>
            <w:hideMark/>
          </w:tcPr>
          <w:p w14:paraId="2987851E"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I</w:t>
            </w:r>
            <w:r w:rsidRPr="00676B48">
              <w:rPr>
                <w:rFonts w:ascii="Verdana" w:hAnsi="Verdana" w:cs="Calibri"/>
                <w:color w:val="000000"/>
                <w:kern w:val="24"/>
                <w:sz w:val="16"/>
                <w:szCs w:val="16"/>
              </w:rPr>
              <w:t xml:space="preserve">soflavone intake of &lt; 10 mg/d </w:t>
            </w:r>
          </w:p>
        </w:tc>
        <w:tc>
          <w:tcPr>
            <w:tcW w:w="2553" w:type="dxa"/>
            <w:hideMark/>
          </w:tcPr>
          <w:p w14:paraId="4F0A85EC"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P</w:t>
            </w:r>
            <w:r w:rsidRPr="00676B48">
              <w:rPr>
                <w:rFonts w:ascii="Verdana" w:hAnsi="Verdana" w:cs="Calibri"/>
                <w:color w:val="000000"/>
                <w:kern w:val="24"/>
                <w:sz w:val="16"/>
                <w:szCs w:val="16"/>
              </w:rPr>
              <w:t>lasma</w:t>
            </w:r>
          </w:p>
        </w:tc>
        <w:tc>
          <w:tcPr>
            <w:tcW w:w="2126" w:type="dxa"/>
            <w:hideMark/>
          </w:tcPr>
          <w:p w14:paraId="61C08726"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3.80E-02</w:t>
            </w:r>
            <w:r>
              <w:rPr>
                <w:rFonts w:ascii="Verdana" w:hAnsi="Verdana" w:cs="Calibri"/>
                <w:color w:val="000000"/>
                <w:kern w:val="24"/>
                <w:sz w:val="16"/>
                <w:szCs w:val="16"/>
              </w:rPr>
              <w:t xml:space="preserve"> ± 22E-02 (mean ± SD)</w:t>
            </w:r>
          </w:p>
        </w:tc>
        <w:tc>
          <w:tcPr>
            <w:tcW w:w="992" w:type="dxa"/>
            <w:vMerge w:val="restart"/>
            <w:hideMark/>
          </w:tcPr>
          <w:p w14:paraId="320DA388"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0.07</w:t>
            </w:r>
          </w:p>
        </w:tc>
        <w:tc>
          <w:tcPr>
            <w:tcW w:w="4086" w:type="dxa"/>
            <w:hideMark/>
          </w:tcPr>
          <w:p w14:paraId="5047735E"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2.76E-03</w:t>
            </w:r>
            <w:r>
              <w:rPr>
                <w:rFonts w:ascii="Verdana" w:hAnsi="Verdana" w:cs="Calibri"/>
                <w:color w:val="000000"/>
                <w:kern w:val="24"/>
                <w:sz w:val="16"/>
                <w:szCs w:val="16"/>
              </w:rPr>
              <w:t xml:space="preserve"> ± </w:t>
            </w:r>
            <w:r w:rsidRPr="003232F2">
              <w:rPr>
                <w:rFonts w:ascii="Verdana" w:hAnsi="Verdana" w:cs="Calibri"/>
                <w:color w:val="000000"/>
                <w:kern w:val="24"/>
                <w:sz w:val="16"/>
                <w:szCs w:val="16"/>
              </w:rPr>
              <w:t>1.60E-03</w:t>
            </w:r>
            <w:r>
              <w:rPr>
                <w:rFonts w:ascii="Verdana" w:hAnsi="Verdana" w:cs="Calibri"/>
                <w:color w:val="000000"/>
                <w:kern w:val="24"/>
                <w:sz w:val="16"/>
                <w:szCs w:val="16"/>
              </w:rPr>
              <w:t xml:space="preserve"> </w:t>
            </w:r>
          </w:p>
        </w:tc>
      </w:tr>
      <w:tr w:rsidR="001A20CA" w:rsidRPr="00676B48" w14:paraId="05AC8093" w14:textId="77777777" w:rsidTr="00D83ECE">
        <w:trPr>
          <w:trHeight w:val="391"/>
        </w:trPr>
        <w:tc>
          <w:tcPr>
            <w:tcW w:w="0" w:type="auto"/>
            <w:hideMark/>
          </w:tcPr>
          <w:p w14:paraId="0B66F7B4" w14:textId="5C97B23B"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"/>
                <w:id w:val="-154526612"/>
                <w:placeholder>
                  <w:docPart w:val="576C192B6B2C4DD89B529A8CD8E01A3D"/>
                </w:placeholder>
              </w:sdtPr>
              <w:sdtEndPr/>
              <w:sdtContent>
                <w:r w:rsidR="00BC42B9" w:rsidRPr="00BC42B9">
                  <w:rPr>
                    <w:rFonts w:ascii="Verdana" w:hAnsi="Verdana" w:cs="Calibri"/>
                    <w:color w:val="000000"/>
                    <w:kern w:val="24"/>
                    <w:sz w:val="16"/>
                    <w:szCs w:val="16"/>
                  </w:rPr>
                  <w:t>(</w:t>
                </w:r>
                <w:proofErr w:type="spellStart"/>
                <w:r w:rsidR="00BC42B9" w:rsidRPr="00BC42B9">
                  <w:rPr>
                    <w:rFonts w:ascii="Verdana" w:hAnsi="Verdana" w:cs="Calibri"/>
                    <w:color w:val="000000"/>
                    <w:kern w:val="24"/>
                    <w:sz w:val="16"/>
                    <w:szCs w:val="16"/>
                  </w:rPr>
                  <w:t>Metzner</w:t>
                </w:r>
                <w:proofErr w:type="spellEnd"/>
                <w:r w:rsidR="00BC42B9" w:rsidRPr="00BC42B9">
                  <w:rPr>
                    <w:rFonts w:ascii="Verdana" w:hAnsi="Verdana" w:cs="Calibri"/>
                    <w:color w:val="000000"/>
                    <w:kern w:val="24"/>
                    <w:sz w:val="16"/>
                    <w:szCs w:val="16"/>
                  </w:rPr>
                  <w:t xml:space="preserve"> et al., 2009)</w:t>
                </w:r>
              </w:sdtContent>
            </w:sdt>
          </w:p>
        </w:tc>
        <w:tc>
          <w:tcPr>
            <w:tcW w:w="0" w:type="auto"/>
            <w:hideMark/>
          </w:tcPr>
          <w:p w14:paraId="083961E0"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Western diet</w:t>
            </w:r>
          </w:p>
        </w:tc>
        <w:tc>
          <w:tcPr>
            <w:tcW w:w="2567" w:type="dxa"/>
            <w:hideMark/>
          </w:tcPr>
          <w:p w14:paraId="1C6C8BAB"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A</w:t>
            </w:r>
            <w:r w:rsidRPr="00676B48">
              <w:rPr>
                <w:rFonts w:ascii="Verdana" w:hAnsi="Verdana" w:cs="Calibri"/>
                <w:color w:val="000000"/>
                <w:kern w:val="24"/>
                <w:sz w:val="16"/>
                <w:szCs w:val="16"/>
              </w:rPr>
              <w:t xml:space="preserve"> 14 day prohibition of soy foods and their derivatives prior to the study </w:t>
            </w:r>
          </w:p>
        </w:tc>
        <w:tc>
          <w:tcPr>
            <w:tcW w:w="2553" w:type="dxa"/>
            <w:hideMark/>
          </w:tcPr>
          <w:p w14:paraId="0B36E8EE"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P</w:t>
            </w:r>
            <w:r w:rsidRPr="00676B48">
              <w:rPr>
                <w:rFonts w:ascii="Verdana" w:hAnsi="Verdana" w:cs="Calibri"/>
                <w:color w:val="000000"/>
                <w:kern w:val="24"/>
                <w:sz w:val="16"/>
                <w:szCs w:val="16"/>
              </w:rPr>
              <w:t>lasma</w:t>
            </w:r>
          </w:p>
        </w:tc>
        <w:tc>
          <w:tcPr>
            <w:tcW w:w="2126" w:type="dxa"/>
            <w:hideMark/>
          </w:tcPr>
          <w:p w14:paraId="5492A2B7"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5.10E-03</w:t>
            </w:r>
            <w:r>
              <w:rPr>
                <w:rFonts w:ascii="Verdana" w:hAnsi="Verdana" w:cs="Calibri"/>
                <w:color w:val="000000"/>
                <w:kern w:val="24"/>
                <w:sz w:val="16"/>
                <w:szCs w:val="16"/>
              </w:rPr>
              <w:t xml:space="preserve"> ± </w:t>
            </w:r>
            <w:r w:rsidRPr="00313954">
              <w:rPr>
                <w:rFonts w:ascii="Verdana" w:hAnsi="Verdana" w:cs="Calibri"/>
                <w:color w:val="000000"/>
                <w:kern w:val="24"/>
                <w:sz w:val="16"/>
                <w:szCs w:val="16"/>
              </w:rPr>
              <w:t>6.00E-04</w:t>
            </w:r>
            <w:r>
              <w:rPr>
                <w:rFonts w:ascii="Verdana" w:hAnsi="Verdana" w:cs="Calibri"/>
                <w:color w:val="000000"/>
                <w:kern w:val="24"/>
                <w:sz w:val="16"/>
                <w:szCs w:val="16"/>
              </w:rPr>
              <w:t xml:space="preserve"> (mean ± SEM)</w:t>
            </w:r>
          </w:p>
        </w:tc>
        <w:tc>
          <w:tcPr>
            <w:tcW w:w="992" w:type="dxa"/>
            <w:vMerge/>
            <w:hideMark/>
          </w:tcPr>
          <w:p w14:paraId="18791F6C" w14:textId="77777777" w:rsidR="001A20CA" w:rsidRPr="00676B48" w:rsidRDefault="001A20CA" w:rsidP="00D83ECE">
            <w:pPr>
              <w:pStyle w:val="Manuscript"/>
              <w:jc w:val="left"/>
              <w:rPr>
                <w:rFonts w:ascii="Verdana" w:hAnsi="Verdana"/>
                <w:sz w:val="16"/>
                <w:szCs w:val="16"/>
              </w:rPr>
            </w:pPr>
          </w:p>
        </w:tc>
        <w:tc>
          <w:tcPr>
            <w:tcW w:w="4086" w:type="dxa"/>
            <w:hideMark/>
          </w:tcPr>
          <w:p w14:paraId="79B73D02"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3.70E-04</w:t>
            </w:r>
            <w:r>
              <w:rPr>
                <w:rFonts w:ascii="Verdana" w:hAnsi="Verdana" w:cs="Calibri"/>
                <w:color w:val="000000"/>
                <w:kern w:val="24"/>
                <w:sz w:val="16"/>
                <w:szCs w:val="16"/>
              </w:rPr>
              <w:t xml:space="preserve">  ± </w:t>
            </w:r>
            <w:r w:rsidRPr="008C4D19">
              <w:rPr>
                <w:rFonts w:ascii="Verdana" w:hAnsi="Verdana" w:cs="Calibri"/>
                <w:color w:val="000000"/>
                <w:kern w:val="24"/>
                <w:sz w:val="16"/>
                <w:szCs w:val="16"/>
              </w:rPr>
              <w:t>4.35E-05</w:t>
            </w:r>
            <w:r>
              <w:rPr>
                <w:rFonts w:ascii="Verdana" w:hAnsi="Verdana" w:cs="Calibri"/>
                <w:color w:val="000000"/>
                <w:kern w:val="24"/>
                <w:sz w:val="16"/>
                <w:szCs w:val="16"/>
              </w:rPr>
              <w:t xml:space="preserve"> </w:t>
            </w:r>
          </w:p>
        </w:tc>
      </w:tr>
      <w:tr w:rsidR="001A20CA" w:rsidRPr="00676B48" w14:paraId="29F7BAB0" w14:textId="77777777" w:rsidTr="00D83ECE">
        <w:trPr>
          <w:trHeight w:val="391"/>
        </w:trPr>
        <w:tc>
          <w:tcPr>
            <w:tcW w:w="0" w:type="auto"/>
            <w:hideMark/>
          </w:tcPr>
          <w:p w14:paraId="45CD2AD8" w14:textId="2AB3AA5A"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"/>
                <w:id w:val="-2056222858"/>
                <w:placeholder>
                  <w:docPart w:val="576C192B6B2C4DD89B529A8CD8E01A3D"/>
                </w:placeholder>
              </w:sdtPr>
              <w:sdtEndPr/>
              <w:sdtContent>
                <w:r w:rsidR="00BC42B9" w:rsidRPr="00BC42B9">
                  <w:rPr>
                    <w:rFonts w:ascii="Verdana" w:hAnsi="Verdana" w:cs="Calibri"/>
                    <w:color w:val="000000"/>
                    <w:kern w:val="24"/>
                    <w:sz w:val="16"/>
                    <w:szCs w:val="16"/>
                  </w:rPr>
                  <w:t>(Grace et al., 2004)</w:t>
                </w:r>
              </w:sdtContent>
            </w:sdt>
          </w:p>
        </w:tc>
        <w:tc>
          <w:tcPr>
            <w:tcW w:w="0" w:type="auto"/>
            <w:hideMark/>
          </w:tcPr>
          <w:p w14:paraId="6AF17715"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Western diet</w:t>
            </w:r>
          </w:p>
        </w:tc>
        <w:tc>
          <w:tcPr>
            <w:tcW w:w="2567" w:type="dxa"/>
            <w:hideMark/>
          </w:tcPr>
          <w:p w14:paraId="4C725FEF"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EPIC-Norfolk following information from a 7 day dietary diary</w:t>
            </w:r>
          </w:p>
        </w:tc>
        <w:tc>
          <w:tcPr>
            <w:tcW w:w="2553" w:type="dxa"/>
            <w:hideMark/>
          </w:tcPr>
          <w:p w14:paraId="5AD71EAD"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S</w:t>
            </w:r>
            <w:r w:rsidRPr="00676B48">
              <w:rPr>
                <w:rFonts w:ascii="Verdana" w:hAnsi="Verdana" w:cs="Calibri"/>
                <w:color w:val="000000"/>
                <w:kern w:val="24"/>
                <w:sz w:val="16"/>
                <w:szCs w:val="16"/>
              </w:rPr>
              <w:t>erum</w:t>
            </w:r>
          </w:p>
        </w:tc>
        <w:tc>
          <w:tcPr>
            <w:tcW w:w="2126" w:type="dxa"/>
            <w:hideMark/>
          </w:tcPr>
          <w:p w14:paraId="09C0BE4C"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4.64E-05</w:t>
            </w:r>
            <w:r>
              <w:rPr>
                <w:rFonts w:ascii="Verdana" w:hAnsi="Verdana" w:cs="Calibri"/>
                <w:color w:val="000000"/>
                <w:kern w:val="24"/>
                <w:sz w:val="16"/>
                <w:szCs w:val="16"/>
              </w:rPr>
              <w:t xml:space="preserve"> ± </w:t>
            </w:r>
            <w:r w:rsidRPr="009E3F47">
              <w:rPr>
                <w:rFonts w:ascii="Verdana" w:hAnsi="Verdana" w:cs="Calibri"/>
                <w:color w:val="000000"/>
                <w:kern w:val="24"/>
                <w:sz w:val="16"/>
                <w:szCs w:val="16"/>
              </w:rPr>
              <w:t>3.00E-05</w:t>
            </w:r>
            <w:r>
              <w:rPr>
                <w:rFonts w:ascii="Verdana" w:hAnsi="Verdana" w:cs="Calibri"/>
                <w:color w:val="000000"/>
                <w:kern w:val="24"/>
                <w:sz w:val="16"/>
                <w:szCs w:val="16"/>
              </w:rPr>
              <w:t xml:space="preserve"> (mean ± SD)</w:t>
            </w:r>
          </w:p>
        </w:tc>
        <w:tc>
          <w:tcPr>
            <w:tcW w:w="992" w:type="dxa"/>
            <w:vMerge/>
            <w:hideMark/>
          </w:tcPr>
          <w:p w14:paraId="42512F38" w14:textId="77777777" w:rsidR="001A20CA" w:rsidRPr="00676B48" w:rsidRDefault="001A20CA" w:rsidP="00D83ECE">
            <w:pPr>
              <w:pStyle w:val="Manuscript"/>
              <w:jc w:val="left"/>
              <w:rPr>
                <w:rFonts w:ascii="Verdana" w:hAnsi="Verdana"/>
                <w:sz w:val="16"/>
                <w:szCs w:val="16"/>
              </w:rPr>
            </w:pPr>
          </w:p>
        </w:tc>
        <w:tc>
          <w:tcPr>
            <w:tcW w:w="4086" w:type="dxa"/>
            <w:hideMark/>
          </w:tcPr>
          <w:p w14:paraId="3F8D475E"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3.36E-06</w:t>
            </w:r>
            <w:r>
              <w:rPr>
                <w:rFonts w:ascii="Verdana" w:hAnsi="Verdana" w:cs="Calibri"/>
                <w:color w:val="000000"/>
                <w:kern w:val="24"/>
                <w:sz w:val="16"/>
                <w:szCs w:val="16"/>
              </w:rPr>
              <w:t xml:space="preserve"> ± </w:t>
            </w:r>
            <w:r w:rsidRPr="00E9553F">
              <w:rPr>
                <w:rFonts w:ascii="Verdana" w:hAnsi="Verdana" w:cs="Calibri"/>
                <w:color w:val="000000"/>
                <w:kern w:val="24"/>
                <w:sz w:val="16"/>
                <w:szCs w:val="16"/>
              </w:rPr>
              <w:t>2.18E-06</w:t>
            </w:r>
          </w:p>
        </w:tc>
      </w:tr>
      <w:tr w:rsidR="001A20CA" w:rsidRPr="00676B48" w14:paraId="1C1E3E59" w14:textId="77777777" w:rsidTr="00D83ECE">
        <w:trPr>
          <w:trHeight w:val="391"/>
        </w:trPr>
        <w:tc>
          <w:tcPr>
            <w:tcW w:w="0" w:type="auto"/>
            <w:hideMark/>
          </w:tcPr>
          <w:p w14:paraId="1FC1CE1A" w14:textId="53AE5EFC"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"/>
                <w:id w:val="-1901673632"/>
                <w:placeholder>
                  <w:docPart w:val="576C192B6B2C4DD89B529A8CD8E01A3D"/>
                </w:placeholder>
              </w:sdtPr>
              <w:sdtEndPr/>
              <w:sdtContent>
                <w:r w:rsidR="00BC42B9" w:rsidRPr="00BC42B9">
                  <w:rPr>
                    <w:rFonts w:ascii="Verdana" w:hAnsi="Verdana" w:cs="Calibri"/>
                    <w:color w:val="000000"/>
                    <w:kern w:val="24"/>
                    <w:sz w:val="16"/>
                    <w:szCs w:val="16"/>
                  </w:rPr>
                  <w:t>(Heald et al., 2006)</w:t>
                </w:r>
              </w:sdtContent>
            </w:sdt>
          </w:p>
        </w:tc>
        <w:tc>
          <w:tcPr>
            <w:tcW w:w="0" w:type="auto"/>
            <w:hideMark/>
          </w:tcPr>
          <w:p w14:paraId="690C7EF4"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Western diet</w:t>
            </w:r>
          </w:p>
        </w:tc>
        <w:tc>
          <w:tcPr>
            <w:tcW w:w="2567" w:type="dxa"/>
            <w:hideMark/>
          </w:tcPr>
          <w:p w14:paraId="1F6F49BC"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C</w:t>
            </w:r>
            <w:r w:rsidRPr="00676B48">
              <w:rPr>
                <w:rFonts w:ascii="Verdana" w:hAnsi="Verdana" w:cs="Calibri"/>
                <w:color w:val="000000"/>
                <w:kern w:val="24"/>
                <w:sz w:val="16"/>
                <w:szCs w:val="16"/>
              </w:rPr>
              <w:t>ontrol men from a case-control study of prostate cancer</w:t>
            </w:r>
          </w:p>
        </w:tc>
        <w:tc>
          <w:tcPr>
            <w:tcW w:w="2553" w:type="dxa"/>
            <w:hideMark/>
          </w:tcPr>
          <w:p w14:paraId="0B6C64C7"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S</w:t>
            </w:r>
            <w:r w:rsidRPr="00676B48">
              <w:rPr>
                <w:rFonts w:ascii="Verdana" w:hAnsi="Verdana" w:cs="Calibri"/>
                <w:color w:val="000000"/>
                <w:kern w:val="24"/>
                <w:sz w:val="16"/>
                <w:szCs w:val="16"/>
              </w:rPr>
              <w:t>erum</w:t>
            </w:r>
          </w:p>
        </w:tc>
        <w:tc>
          <w:tcPr>
            <w:tcW w:w="2126" w:type="dxa"/>
            <w:hideMark/>
          </w:tcPr>
          <w:p w14:paraId="5862D19A" w14:textId="77777777" w:rsidR="001A20CA" w:rsidRPr="00640C4C" w:rsidRDefault="001A20CA" w:rsidP="00D83ECE">
            <w:pPr>
              <w:pStyle w:val="Manuscript"/>
              <w:jc w:val="left"/>
              <w:rPr>
                <w:rFonts w:ascii="Verdana" w:hAnsi="Verdana"/>
                <w:sz w:val="16"/>
                <w:szCs w:val="16"/>
              </w:rPr>
            </w:pPr>
            <w:r w:rsidRPr="00640C4C">
              <w:rPr>
                <w:rFonts w:ascii="Verdana" w:hAnsi="Verdana" w:cs="Calibri"/>
                <w:color w:val="000000"/>
                <w:kern w:val="24"/>
                <w:sz w:val="16"/>
                <w:szCs w:val="16"/>
              </w:rPr>
              <w:t>1.00E-04 (median) (4.00E-05</w:t>
            </w:r>
            <w:r>
              <w:rPr>
                <w:rFonts w:ascii="Verdana" w:hAnsi="Verdana" w:cs="Calibri"/>
                <w:color w:val="000000"/>
                <w:kern w:val="24"/>
                <w:sz w:val="16"/>
                <w:szCs w:val="16"/>
              </w:rPr>
              <w:t xml:space="preserve"> </w:t>
            </w:r>
            <w:r w:rsidRPr="00640C4C">
              <w:rPr>
                <w:rFonts w:ascii="Verdana" w:hAnsi="Verdana" w:cs="Calibri"/>
                <w:color w:val="000000"/>
                <w:kern w:val="24"/>
                <w:sz w:val="16"/>
                <w:szCs w:val="16"/>
              </w:rPr>
              <w:t>- 1.40E-04 (IQR))</w:t>
            </w:r>
          </w:p>
        </w:tc>
        <w:tc>
          <w:tcPr>
            <w:tcW w:w="992" w:type="dxa"/>
            <w:vMerge/>
            <w:hideMark/>
          </w:tcPr>
          <w:p w14:paraId="620FDA55" w14:textId="77777777" w:rsidR="001A20CA" w:rsidRPr="00640C4C" w:rsidRDefault="001A20CA" w:rsidP="00D83ECE">
            <w:pPr>
              <w:pStyle w:val="Manuscript"/>
              <w:jc w:val="left"/>
              <w:rPr>
                <w:rFonts w:ascii="Verdana" w:hAnsi="Verdana"/>
                <w:sz w:val="16"/>
                <w:szCs w:val="16"/>
              </w:rPr>
            </w:pPr>
          </w:p>
        </w:tc>
        <w:tc>
          <w:tcPr>
            <w:tcW w:w="4086" w:type="dxa"/>
            <w:hideMark/>
          </w:tcPr>
          <w:p w14:paraId="1537E378"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7.25E-06</w:t>
            </w:r>
            <w:r>
              <w:rPr>
                <w:rFonts w:ascii="Verdana" w:hAnsi="Verdana" w:cs="Calibri"/>
                <w:color w:val="000000"/>
                <w:kern w:val="24"/>
                <w:sz w:val="16"/>
                <w:szCs w:val="16"/>
              </w:rPr>
              <w:t xml:space="preserve"> (</w:t>
            </w:r>
            <w:r w:rsidRPr="00676B48">
              <w:rPr>
                <w:rFonts w:ascii="Verdana" w:hAnsi="Verdana" w:cs="Calibri"/>
                <w:color w:val="000000"/>
                <w:kern w:val="24"/>
                <w:sz w:val="16"/>
                <w:szCs w:val="16"/>
              </w:rPr>
              <w:t>2.90E-06</w:t>
            </w:r>
            <w:r>
              <w:rPr>
                <w:rFonts w:ascii="Verdana" w:hAnsi="Verdana" w:cs="Calibri"/>
                <w:color w:val="000000"/>
                <w:kern w:val="24"/>
                <w:sz w:val="16"/>
                <w:szCs w:val="16"/>
              </w:rPr>
              <w:t xml:space="preserve"> - </w:t>
            </w:r>
            <w:r w:rsidRPr="00676B48">
              <w:rPr>
                <w:rFonts w:ascii="Verdana" w:hAnsi="Verdana" w:cs="Calibri"/>
                <w:color w:val="000000"/>
                <w:kern w:val="24"/>
                <w:sz w:val="16"/>
                <w:szCs w:val="16"/>
              </w:rPr>
              <w:t>1.02E-05</w:t>
            </w:r>
            <w:r>
              <w:rPr>
                <w:rFonts w:ascii="Verdana" w:hAnsi="Verdana" w:cs="Calibri"/>
                <w:color w:val="000000"/>
                <w:kern w:val="24"/>
                <w:sz w:val="16"/>
                <w:szCs w:val="16"/>
              </w:rPr>
              <w:t>)</w:t>
            </w:r>
          </w:p>
        </w:tc>
      </w:tr>
      <w:tr w:rsidR="001A20CA" w:rsidRPr="00676B48" w14:paraId="4CF4BC3E" w14:textId="77777777" w:rsidTr="00D83ECE">
        <w:trPr>
          <w:trHeight w:val="391"/>
        </w:trPr>
        <w:tc>
          <w:tcPr>
            <w:tcW w:w="0" w:type="auto"/>
            <w:hideMark/>
          </w:tcPr>
          <w:p w14:paraId="4F4AA84F" w14:textId="3E6D1D71"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"/>
                <w:id w:val="522213618"/>
                <w:placeholder>
                  <w:docPart w:val="576C192B6B2C4DD89B529A8CD8E01A3D"/>
                </w:placeholder>
              </w:sdtPr>
              <w:sdtEndPr/>
              <w:sdtContent>
                <w:r w:rsidR="00BC42B9" w:rsidRPr="00BC42B9">
                  <w:rPr>
                    <w:rFonts w:ascii="Verdana" w:hAnsi="Verdana" w:cs="Calibri"/>
                    <w:color w:val="000000"/>
                    <w:kern w:val="24"/>
                    <w:sz w:val="16"/>
                    <w:szCs w:val="16"/>
                  </w:rPr>
                  <w:t>(</w:t>
                </w:r>
                <w:proofErr w:type="spellStart"/>
                <w:r w:rsidR="00BC42B9" w:rsidRPr="00BC42B9">
                  <w:rPr>
                    <w:rFonts w:ascii="Verdana" w:hAnsi="Verdana" w:cs="Calibri"/>
                    <w:color w:val="000000"/>
                    <w:kern w:val="24"/>
                    <w:sz w:val="16"/>
                    <w:szCs w:val="16"/>
                  </w:rPr>
                  <w:t>Setchell</w:t>
                </w:r>
                <w:proofErr w:type="spellEnd"/>
                <w:r w:rsidR="00BC42B9" w:rsidRPr="00BC42B9">
                  <w:rPr>
                    <w:rFonts w:ascii="Verdana" w:hAnsi="Verdana" w:cs="Calibri"/>
                    <w:color w:val="000000"/>
                    <w:kern w:val="24"/>
                    <w:sz w:val="16"/>
                    <w:szCs w:val="16"/>
                  </w:rPr>
                  <w:t xml:space="preserve"> et al., 2003)</w:t>
                </w:r>
              </w:sdtContent>
            </w:sdt>
          </w:p>
        </w:tc>
        <w:tc>
          <w:tcPr>
            <w:tcW w:w="0" w:type="auto"/>
            <w:hideMark/>
          </w:tcPr>
          <w:p w14:paraId="7E27BF94"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Western diet</w:t>
            </w:r>
          </w:p>
        </w:tc>
        <w:tc>
          <w:tcPr>
            <w:tcW w:w="2567" w:type="dxa"/>
            <w:hideMark/>
          </w:tcPr>
          <w:p w14:paraId="55ED8BA6"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C</w:t>
            </w:r>
            <w:r w:rsidRPr="00676B48">
              <w:rPr>
                <w:rFonts w:ascii="Verdana" w:hAnsi="Verdana" w:cs="Calibri"/>
                <w:color w:val="000000"/>
                <w:kern w:val="24"/>
                <w:sz w:val="16"/>
                <w:szCs w:val="16"/>
              </w:rPr>
              <w:t>onsumption a soy-deficient diet for 1 months prior</w:t>
            </w:r>
          </w:p>
        </w:tc>
        <w:tc>
          <w:tcPr>
            <w:tcW w:w="2553" w:type="dxa"/>
            <w:hideMark/>
          </w:tcPr>
          <w:p w14:paraId="151334F3"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S</w:t>
            </w:r>
            <w:r w:rsidRPr="00676B48">
              <w:rPr>
                <w:rFonts w:ascii="Verdana" w:hAnsi="Verdana" w:cs="Calibri"/>
                <w:color w:val="000000"/>
                <w:kern w:val="24"/>
                <w:sz w:val="16"/>
                <w:szCs w:val="16"/>
              </w:rPr>
              <w:t>erum</w:t>
            </w:r>
          </w:p>
        </w:tc>
        <w:tc>
          <w:tcPr>
            <w:tcW w:w="2126" w:type="dxa"/>
            <w:hideMark/>
          </w:tcPr>
          <w:p w14:paraId="1CE3195C"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1.10E-05</w:t>
            </w:r>
            <w:r>
              <w:rPr>
                <w:rFonts w:ascii="Verdana" w:hAnsi="Verdana" w:cs="Calibri"/>
                <w:color w:val="000000"/>
                <w:kern w:val="24"/>
                <w:sz w:val="16"/>
                <w:szCs w:val="16"/>
              </w:rPr>
              <w:t xml:space="preserve"> ± </w:t>
            </w:r>
            <w:r w:rsidRPr="00110997">
              <w:rPr>
                <w:rFonts w:ascii="Verdana" w:hAnsi="Verdana" w:cs="Calibri"/>
                <w:color w:val="000000"/>
                <w:kern w:val="24"/>
                <w:sz w:val="16"/>
                <w:szCs w:val="16"/>
              </w:rPr>
              <w:t>3.00E-06</w:t>
            </w:r>
            <w:r>
              <w:rPr>
                <w:rFonts w:ascii="Verdana" w:hAnsi="Verdana" w:cs="Calibri"/>
                <w:color w:val="000000"/>
                <w:kern w:val="24"/>
                <w:sz w:val="16"/>
                <w:szCs w:val="16"/>
              </w:rPr>
              <w:t xml:space="preserve"> (mean ± SEM)</w:t>
            </w:r>
          </w:p>
        </w:tc>
        <w:tc>
          <w:tcPr>
            <w:tcW w:w="992" w:type="dxa"/>
            <w:vMerge/>
            <w:hideMark/>
          </w:tcPr>
          <w:p w14:paraId="4F50920C" w14:textId="77777777" w:rsidR="001A20CA" w:rsidRPr="00676B48" w:rsidRDefault="001A20CA" w:rsidP="00D83ECE">
            <w:pPr>
              <w:pStyle w:val="Manuscript"/>
              <w:jc w:val="left"/>
              <w:rPr>
                <w:rFonts w:ascii="Verdana" w:hAnsi="Verdana"/>
                <w:sz w:val="16"/>
                <w:szCs w:val="16"/>
              </w:rPr>
            </w:pPr>
          </w:p>
        </w:tc>
        <w:tc>
          <w:tcPr>
            <w:tcW w:w="4086" w:type="dxa"/>
            <w:hideMark/>
          </w:tcPr>
          <w:p w14:paraId="60FFB5F7"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7.98E-07</w:t>
            </w:r>
            <w:r>
              <w:rPr>
                <w:rFonts w:ascii="Verdana" w:hAnsi="Verdana" w:cs="Calibri"/>
                <w:color w:val="000000"/>
                <w:kern w:val="24"/>
                <w:sz w:val="16"/>
                <w:szCs w:val="16"/>
              </w:rPr>
              <w:t xml:space="preserve"> ± </w:t>
            </w:r>
            <w:r w:rsidRPr="00C6332A">
              <w:rPr>
                <w:rFonts w:ascii="Verdana" w:hAnsi="Verdana" w:cs="Calibri"/>
                <w:color w:val="000000"/>
                <w:kern w:val="24"/>
                <w:sz w:val="16"/>
                <w:szCs w:val="16"/>
              </w:rPr>
              <w:t>2.18E-07</w:t>
            </w:r>
          </w:p>
        </w:tc>
      </w:tr>
      <w:tr w:rsidR="001A20CA" w:rsidRPr="00676B48" w14:paraId="14AFF9F8" w14:textId="77777777" w:rsidTr="00D83ECE">
        <w:trPr>
          <w:trHeight w:val="391"/>
        </w:trPr>
        <w:tc>
          <w:tcPr>
            <w:tcW w:w="0" w:type="auto"/>
            <w:hideMark/>
          </w:tcPr>
          <w:p w14:paraId="63E6657F" w14:textId="68FDF982"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"/>
                <w:id w:val="712615624"/>
                <w:placeholder>
                  <w:docPart w:val="576C192B6B2C4DD89B529A8CD8E01A3D"/>
                </w:placeholder>
              </w:sdtPr>
              <w:sdtEndPr/>
              <w:sdtContent>
                <w:r w:rsidR="00BC42B9" w:rsidRPr="00BC42B9">
                  <w:rPr>
                    <w:rFonts w:ascii="Verdana" w:hAnsi="Verdana" w:cs="Calibri"/>
                    <w:color w:val="000000"/>
                    <w:kern w:val="24"/>
                    <w:sz w:val="16"/>
                    <w:szCs w:val="16"/>
                  </w:rPr>
                  <w:t>(Yuan et al., 2012)</w:t>
                </w:r>
              </w:sdtContent>
            </w:sdt>
          </w:p>
        </w:tc>
        <w:tc>
          <w:tcPr>
            <w:tcW w:w="0" w:type="auto"/>
            <w:hideMark/>
          </w:tcPr>
          <w:p w14:paraId="18D0A436"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Asian diet</w:t>
            </w:r>
          </w:p>
        </w:tc>
        <w:tc>
          <w:tcPr>
            <w:tcW w:w="2567" w:type="dxa"/>
            <w:hideMark/>
          </w:tcPr>
          <w:p w14:paraId="173874C0"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P</w:t>
            </w:r>
            <w:r w:rsidRPr="00676B48">
              <w:rPr>
                <w:rFonts w:ascii="Verdana" w:hAnsi="Verdana" w:cs="Calibri"/>
                <w:color w:val="000000"/>
                <w:kern w:val="24"/>
                <w:sz w:val="16"/>
                <w:szCs w:val="16"/>
              </w:rPr>
              <w:t>olyphenol-free diet for 10 days prior to the study</w:t>
            </w:r>
          </w:p>
        </w:tc>
        <w:tc>
          <w:tcPr>
            <w:tcW w:w="2553" w:type="dxa"/>
            <w:hideMark/>
          </w:tcPr>
          <w:p w14:paraId="6BE3A803"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P</w:t>
            </w:r>
            <w:r w:rsidRPr="00676B48">
              <w:rPr>
                <w:rFonts w:ascii="Verdana" w:hAnsi="Verdana" w:cs="Calibri"/>
                <w:color w:val="000000"/>
                <w:kern w:val="24"/>
                <w:sz w:val="16"/>
                <w:szCs w:val="16"/>
              </w:rPr>
              <w:t>lasma</w:t>
            </w:r>
          </w:p>
        </w:tc>
        <w:tc>
          <w:tcPr>
            <w:tcW w:w="2126" w:type="dxa"/>
            <w:hideMark/>
          </w:tcPr>
          <w:p w14:paraId="17B1791F" w14:textId="77777777" w:rsidR="001A20CA" w:rsidRPr="00676B48" w:rsidRDefault="001A20CA" w:rsidP="00D83ECE">
            <w:pPr>
              <w:pStyle w:val="Manuscript"/>
              <w:jc w:val="left"/>
              <w:rPr>
                <w:rFonts w:ascii="Verdana" w:hAnsi="Verdana"/>
                <w:sz w:val="16"/>
                <w:szCs w:val="16"/>
              </w:rPr>
            </w:pPr>
            <w:r w:rsidRPr="009C0C49">
              <w:rPr>
                <w:rFonts w:ascii="Verdana" w:hAnsi="Verdana" w:cs="Calibri"/>
                <w:color w:val="000000"/>
                <w:kern w:val="24"/>
                <w:sz w:val="16"/>
                <w:szCs w:val="16"/>
              </w:rPr>
              <w:t>1.74E-03</w:t>
            </w:r>
            <w:r>
              <w:rPr>
                <w:rFonts w:ascii="Verdana" w:hAnsi="Verdana" w:cs="Calibri"/>
                <w:color w:val="000000"/>
                <w:kern w:val="24"/>
                <w:sz w:val="16"/>
                <w:szCs w:val="16"/>
              </w:rPr>
              <w:t xml:space="preserve"> ± </w:t>
            </w:r>
            <w:r w:rsidRPr="00C6332A">
              <w:rPr>
                <w:rFonts w:ascii="Verdana" w:hAnsi="Verdana" w:cs="Calibri"/>
                <w:color w:val="000000"/>
                <w:kern w:val="24"/>
                <w:sz w:val="16"/>
                <w:szCs w:val="16"/>
              </w:rPr>
              <w:t>1.36E-03</w:t>
            </w:r>
            <w:r>
              <w:rPr>
                <w:rFonts w:ascii="Verdana" w:hAnsi="Verdana" w:cs="Calibri"/>
                <w:color w:val="000000"/>
                <w:kern w:val="24"/>
                <w:sz w:val="16"/>
                <w:szCs w:val="16"/>
              </w:rPr>
              <w:t xml:space="preserve"> (mean ± SD)</w:t>
            </w:r>
          </w:p>
        </w:tc>
        <w:tc>
          <w:tcPr>
            <w:tcW w:w="992" w:type="dxa"/>
            <w:vMerge/>
            <w:hideMark/>
          </w:tcPr>
          <w:p w14:paraId="0E8061D2" w14:textId="77777777" w:rsidR="001A20CA" w:rsidRPr="00676B48" w:rsidRDefault="001A20CA" w:rsidP="00D83ECE">
            <w:pPr>
              <w:pStyle w:val="Manuscript"/>
              <w:jc w:val="left"/>
              <w:rPr>
                <w:rFonts w:ascii="Verdana" w:hAnsi="Verdana"/>
                <w:sz w:val="16"/>
                <w:szCs w:val="16"/>
              </w:rPr>
            </w:pPr>
          </w:p>
        </w:tc>
        <w:tc>
          <w:tcPr>
            <w:tcW w:w="4086" w:type="dxa"/>
            <w:hideMark/>
          </w:tcPr>
          <w:p w14:paraId="6E357AAC"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1.26E-04</w:t>
            </w:r>
            <w:r>
              <w:rPr>
                <w:rFonts w:ascii="Verdana" w:hAnsi="Verdana" w:cs="Calibri"/>
                <w:color w:val="000000"/>
                <w:kern w:val="24"/>
                <w:sz w:val="16"/>
                <w:szCs w:val="16"/>
              </w:rPr>
              <w:t xml:space="preserve"> ± </w:t>
            </w:r>
            <w:r w:rsidRPr="00A75A51">
              <w:rPr>
                <w:rFonts w:ascii="Verdana" w:hAnsi="Verdana" w:cs="Calibri"/>
                <w:color w:val="000000"/>
                <w:kern w:val="24"/>
                <w:sz w:val="16"/>
                <w:szCs w:val="16"/>
              </w:rPr>
              <w:t>9.86E-05</w:t>
            </w:r>
          </w:p>
        </w:tc>
      </w:tr>
      <w:tr w:rsidR="001A20CA" w:rsidRPr="00676B48" w14:paraId="31166EEE" w14:textId="77777777" w:rsidTr="00D83ECE">
        <w:trPr>
          <w:trHeight w:val="391"/>
        </w:trPr>
        <w:tc>
          <w:tcPr>
            <w:tcW w:w="0" w:type="auto"/>
            <w:hideMark/>
          </w:tcPr>
          <w:p w14:paraId="3E155EB5" w14:textId="78CA07EA"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"/>
                <w:id w:val="-652451030"/>
                <w:placeholder>
                  <w:docPart w:val="576C192B6B2C4DD89B529A8CD8E01A3D"/>
                </w:placeholder>
              </w:sdtPr>
              <w:sdtEndPr/>
              <w:sdtContent>
                <w:r w:rsidR="00BC42B9" w:rsidRPr="00BC42B9">
                  <w:rPr>
                    <w:rFonts w:ascii="Verdana" w:hAnsi="Verdana" w:cs="Calibri"/>
                    <w:color w:val="000000"/>
                    <w:kern w:val="24"/>
                    <w:sz w:val="16"/>
                    <w:szCs w:val="16"/>
                  </w:rPr>
                  <w:t>(</w:t>
                </w:r>
                <w:proofErr w:type="spellStart"/>
                <w:r w:rsidR="00BC42B9" w:rsidRPr="00BC42B9">
                  <w:rPr>
                    <w:rFonts w:ascii="Verdana" w:hAnsi="Verdana" w:cs="Calibri"/>
                    <w:color w:val="000000"/>
                    <w:kern w:val="24"/>
                    <w:sz w:val="16"/>
                    <w:szCs w:val="16"/>
                  </w:rPr>
                  <w:t>Setchell</w:t>
                </w:r>
                <w:proofErr w:type="spellEnd"/>
                <w:r w:rsidR="00BC42B9" w:rsidRPr="00BC42B9">
                  <w:rPr>
                    <w:rFonts w:ascii="Verdana" w:hAnsi="Verdana" w:cs="Calibri"/>
                    <w:color w:val="000000"/>
                    <w:kern w:val="24"/>
                    <w:sz w:val="16"/>
                    <w:szCs w:val="16"/>
                  </w:rPr>
                  <w:t xml:space="preserve"> et al., 2011)</w:t>
                </w:r>
              </w:sdtContent>
            </w:sdt>
          </w:p>
        </w:tc>
        <w:tc>
          <w:tcPr>
            <w:tcW w:w="0" w:type="auto"/>
            <w:hideMark/>
          </w:tcPr>
          <w:p w14:paraId="54DF27C2"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Asian diet</w:t>
            </w:r>
          </w:p>
        </w:tc>
        <w:tc>
          <w:tcPr>
            <w:tcW w:w="2567" w:type="dxa"/>
            <w:hideMark/>
          </w:tcPr>
          <w:p w14:paraId="10052DCC"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C</w:t>
            </w:r>
            <w:r w:rsidRPr="00676B48">
              <w:rPr>
                <w:rFonts w:ascii="Verdana" w:hAnsi="Verdana" w:cs="Calibri"/>
                <w:color w:val="000000"/>
                <w:kern w:val="24"/>
                <w:sz w:val="16"/>
                <w:szCs w:val="16"/>
              </w:rPr>
              <w:t>onsumption of 250 mL soy milk 2 per day for 3.5 day, equivalent to 19 mg GEN per day</w:t>
            </w:r>
          </w:p>
        </w:tc>
        <w:tc>
          <w:tcPr>
            <w:tcW w:w="2553" w:type="dxa"/>
            <w:hideMark/>
          </w:tcPr>
          <w:p w14:paraId="31BAA94D"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P</w:t>
            </w:r>
            <w:r w:rsidRPr="00676B48">
              <w:rPr>
                <w:rFonts w:ascii="Verdana" w:hAnsi="Verdana" w:cs="Calibri"/>
                <w:color w:val="000000"/>
                <w:kern w:val="24"/>
                <w:sz w:val="16"/>
                <w:szCs w:val="16"/>
              </w:rPr>
              <w:t>lasma</w:t>
            </w:r>
          </w:p>
        </w:tc>
        <w:tc>
          <w:tcPr>
            <w:tcW w:w="2126" w:type="dxa"/>
            <w:hideMark/>
          </w:tcPr>
          <w:p w14:paraId="60FDBFAB" w14:textId="77777777" w:rsidR="001A20CA" w:rsidRPr="00676B48" w:rsidRDefault="001A20CA" w:rsidP="00D83ECE">
            <w:pPr>
              <w:pStyle w:val="Manuscript"/>
              <w:jc w:val="left"/>
              <w:rPr>
                <w:rFonts w:ascii="Verdana" w:hAnsi="Verdana"/>
                <w:sz w:val="16"/>
                <w:szCs w:val="16"/>
              </w:rPr>
            </w:pPr>
            <w:r w:rsidRPr="00D623CD">
              <w:rPr>
                <w:rFonts w:ascii="Verdana" w:hAnsi="Verdana" w:cs="Calibri"/>
                <w:color w:val="000000"/>
                <w:kern w:val="24"/>
                <w:sz w:val="16"/>
                <w:szCs w:val="16"/>
              </w:rPr>
              <w:t>1.65E-03</w:t>
            </w:r>
            <w:r>
              <w:rPr>
                <w:rFonts w:ascii="Verdana" w:hAnsi="Verdana" w:cs="Calibri"/>
                <w:color w:val="000000"/>
                <w:kern w:val="24"/>
                <w:sz w:val="16"/>
                <w:szCs w:val="16"/>
              </w:rPr>
              <w:t xml:space="preserve"> ± </w:t>
            </w:r>
            <w:r w:rsidRPr="004029D1">
              <w:rPr>
                <w:rFonts w:ascii="Verdana" w:hAnsi="Verdana" w:cs="Calibri"/>
                <w:color w:val="000000"/>
                <w:kern w:val="24"/>
                <w:sz w:val="16"/>
                <w:szCs w:val="16"/>
              </w:rPr>
              <w:t>4.60E-05</w:t>
            </w:r>
            <w:r>
              <w:rPr>
                <w:rFonts w:ascii="Verdana" w:hAnsi="Verdana" w:cs="Calibri"/>
                <w:color w:val="000000"/>
                <w:kern w:val="24"/>
                <w:sz w:val="16"/>
                <w:szCs w:val="16"/>
              </w:rPr>
              <w:t xml:space="preserve"> (mean ± SD)</w:t>
            </w:r>
          </w:p>
        </w:tc>
        <w:tc>
          <w:tcPr>
            <w:tcW w:w="992" w:type="dxa"/>
            <w:vMerge/>
            <w:hideMark/>
          </w:tcPr>
          <w:p w14:paraId="01AEF504" w14:textId="77777777" w:rsidR="001A20CA" w:rsidRPr="00676B48" w:rsidRDefault="001A20CA" w:rsidP="00D83ECE">
            <w:pPr>
              <w:pStyle w:val="Manuscript"/>
              <w:jc w:val="left"/>
              <w:rPr>
                <w:rFonts w:ascii="Verdana" w:hAnsi="Verdana"/>
                <w:sz w:val="16"/>
                <w:szCs w:val="16"/>
              </w:rPr>
            </w:pPr>
          </w:p>
        </w:tc>
        <w:tc>
          <w:tcPr>
            <w:tcW w:w="4086" w:type="dxa"/>
            <w:hideMark/>
          </w:tcPr>
          <w:p w14:paraId="2FFA5187"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1.20E-04</w:t>
            </w:r>
            <w:r>
              <w:rPr>
                <w:rFonts w:ascii="Verdana" w:hAnsi="Verdana" w:cs="Calibri"/>
                <w:color w:val="000000"/>
                <w:kern w:val="24"/>
                <w:sz w:val="16"/>
                <w:szCs w:val="16"/>
              </w:rPr>
              <w:t xml:space="preserve"> ± </w:t>
            </w:r>
            <w:r w:rsidRPr="00D623CD">
              <w:rPr>
                <w:rFonts w:ascii="Verdana" w:hAnsi="Verdana" w:cs="Calibri"/>
                <w:color w:val="000000"/>
                <w:kern w:val="24"/>
                <w:sz w:val="16"/>
                <w:szCs w:val="16"/>
              </w:rPr>
              <w:t>3.34E-06</w:t>
            </w:r>
          </w:p>
        </w:tc>
      </w:tr>
      <w:tr w:rsidR="001A20CA" w:rsidRPr="00676B48" w14:paraId="70FF8358" w14:textId="77777777" w:rsidTr="00D83ECE">
        <w:trPr>
          <w:trHeight w:val="391"/>
        </w:trPr>
        <w:tc>
          <w:tcPr>
            <w:tcW w:w="0" w:type="auto"/>
            <w:hideMark/>
          </w:tcPr>
          <w:p w14:paraId="44AA647F" w14:textId="2E78197F"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"/>
                <w:id w:val="566695232"/>
                <w:placeholder>
                  <w:docPart w:val="576C192B6B2C4DD89B529A8CD8E01A3D"/>
                </w:placeholder>
              </w:sdtPr>
              <w:sdtEndPr/>
              <w:sdtContent>
                <w:r w:rsidR="00BC42B9" w:rsidRPr="00BC42B9">
                  <w:rPr>
                    <w:rFonts w:ascii="Verdana" w:hAnsi="Verdana" w:cs="Calibri"/>
                    <w:color w:val="000000"/>
                    <w:kern w:val="24"/>
                    <w:sz w:val="16"/>
                    <w:szCs w:val="16"/>
                  </w:rPr>
                  <w:t>(Arai et al., 2000)</w:t>
                </w:r>
              </w:sdtContent>
            </w:sdt>
          </w:p>
        </w:tc>
        <w:tc>
          <w:tcPr>
            <w:tcW w:w="0" w:type="auto"/>
            <w:hideMark/>
          </w:tcPr>
          <w:p w14:paraId="57DE3347"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Asian diet</w:t>
            </w:r>
          </w:p>
        </w:tc>
        <w:tc>
          <w:tcPr>
            <w:tcW w:w="2567" w:type="dxa"/>
            <w:hideMark/>
          </w:tcPr>
          <w:p w14:paraId="02620E27"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E</w:t>
            </w:r>
            <w:r w:rsidRPr="00676B48">
              <w:rPr>
                <w:rFonts w:ascii="Verdana" w:hAnsi="Verdana" w:cs="Calibri"/>
                <w:color w:val="000000"/>
                <w:kern w:val="24"/>
                <w:sz w:val="16"/>
                <w:szCs w:val="16"/>
              </w:rPr>
              <w:t>stimated dietary intake of 30.1 mg/day</w:t>
            </w:r>
          </w:p>
        </w:tc>
        <w:tc>
          <w:tcPr>
            <w:tcW w:w="2553" w:type="dxa"/>
            <w:hideMark/>
          </w:tcPr>
          <w:p w14:paraId="06C59C1A"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P</w:t>
            </w:r>
            <w:r w:rsidRPr="00676B48">
              <w:rPr>
                <w:rFonts w:ascii="Verdana" w:hAnsi="Verdana" w:cs="Calibri"/>
                <w:color w:val="000000"/>
                <w:kern w:val="24"/>
                <w:sz w:val="16"/>
                <w:szCs w:val="16"/>
              </w:rPr>
              <w:t>lasma</w:t>
            </w:r>
          </w:p>
        </w:tc>
        <w:tc>
          <w:tcPr>
            <w:tcW w:w="2126" w:type="dxa"/>
            <w:hideMark/>
          </w:tcPr>
          <w:p w14:paraId="6602522F" w14:textId="77777777" w:rsidR="001A20CA" w:rsidRPr="00676B48" w:rsidRDefault="001A20CA" w:rsidP="00D83ECE">
            <w:pPr>
              <w:pStyle w:val="Manuscript"/>
              <w:jc w:val="left"/>
              <w:rPr>
                <w:rFonts w:ascii="Verdana" w:hAnsi="Verdana"/>
                <w:sz w:val="16"/>
                <w:szCs w:val="16"/>
              </w:rPr>
            </w:pPr>
            <w:r w:rsidRPr="006223A7">
              <w:rPr>
                <w:rFonts w:ascii="Verdana" w:hAnsi="Verdana" w:cs="Calibri"/>
                <w:color w:val="000000"/>
                <w:kern w:val="24"/>
                <w:sz w:val="16"/>
                <w:szCs w:val="16"/>
              </w:rPr>
              <w:t>9.23E-04</w:t>
            </w:r>
            <w:r>
              <w:rPr>
                <w:rFonts w:ascii="Verdana" w:hAnsi="Verdana" w:cs="Calibri"/>
                <w:color w:val="000000"/>
                <w:kern w:val="24"/>
                <w:sz w:val="16"/>
                <w:szCs w:val="16"/>
              </w:rPr>
              <w:t xml:space="preserve"> (median) (</w:t>
            </w:r>
            <w:r w:rsidRPr="006223A7">
              <w:rPr>
                <w:rFonts w:ascii="Verdana" w:hAnsi="Verdana" w:cs="Calibri"/>
                <w:color w:val="000000"/>
                <w:kern w:val="24"/>
                <w:sz w:val="16"/>
                <w:szCs w:val="16"/>
              </w:rPr>
              <w:t>7.60E-05</w:t>
            </w:r>
            <w:r>
              <w:rPr>
                <w:rFonts w:ascii="Verdana" w:hAnsi="Verdana" w:cs="Calibri"/>
                <w:color w:val="000000"/>
                <w:kern w:val="24"/>
                <w:sz w:val="16"/>
                <w:szCs w:val="16"/>
              </w:rPr>
              <w:t xml:space="preserve"> - </w:t>
            </w:r>
            <w:r w:rsidRPr="00BC4F33">
              <w:rPr>
                <w:rFonts w:ascii="Verdana" w:hAnsi="Verdana" w:cs="Calibri"/>
                <w:color w:val="000000"/>
                <w:kern w:val="24"/>
                <w:sz w:val="16"/>
                <w:szCs w:val="16"/>
              </w:rPr>
              <w:t>7.40E-03</w:t>
            </w:r>
            <w:r>
              <w:rPr>
                <w:rFonts w:ascii="Verdana" w:hAnsi="Verdana" w:cs="Calibri"/>
                <w:color w:val="000000"/>
                <w:kern w:val="24"/>
                <w:sz w:val="16"/>
                <w:szCs w:val="16"/>
              </w:rPr>
              <w:t xml:space="preserve"> (range))</w:t>
            </w:r>
          </w:p>
        </w:tc>
        <w:tc>
          <w:tcPr>
            <w:tcW w:w="992" w:type="dxa"/>
            <w:vMerge/>
            <w:hideMark/>
          </w:tcPr>
          <w:p w14:paraId="0217C383" w14:textId="77777777" w:rsidR="001A20CA" w:rsidRPr="00676B48" w:rsidRDefault="001A20CA" w:rsidP="00D83ECE">
            <w:pPr>
              <w:pStyle w:val="Manuscript"/>
              <w:jc w:val="left"/>
              <w:rPr>
                <w:rFonts w:ascii="Verdana" w:hAnsi="Verdana"/>
                <w:sz w:val="16"/>
                <w:szCs w:val="16"/>
              </w:rPr>
            </w:pPr>
          </w:p>
        </w:tc>
        <w:tc>
          <w:tcPr>
            <w:tcW w:w="4086" w:type="dxa"/>
            <w:hideMark/>
          </w:tcPr>
          <w:p w14:paraId="64B4391A"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6.69E-05</w:t>
            </w:r>
            <w:r>
              <w:rPr>
                <w:rFonts w:ascii="Verdana" w:hAnsi="Verdana" w:cs="Calibri"/>
                <w:color w:val="000000"/>
                <w:kern w:val="24"/>
                <w:sz w:val="16"/>
                <w:szCs w:val="16"/>
              </w:rPr>
              <w:t xml:space="preserve"> (</w:t>
            </w:r>
            <w:r w:rsidRPr="00676B48">
              <w:rPr>
                <w:rFonts w:ascii="Verdana" w:hAnsi="Verdana" w:cs="Calibri"/>
                <w:color w:val="000000"/>
                <w:kern w:val="24"/>
                <w:sz w:val="16"/>
                <w:szCs w:val="16"/>
              </w:rPr>
              <w:t>5.51E-06</w:t>
            </w:r>
            <w:r>
              <w:rPr>
                <w:rFonts w:ascii="Verdana" w:hAnsi="Verdana" w:cs="Calibri"/>
                <w:color w:val="000000"/>
                <w:kern w:val="24"/>
                <w:sz w:val="16"/>
                <w:szCs w:val="16"/>
              </w:rPr>
              <w:t xml:space="preserve"> - </w:t>
            </w:r>
            <w:r>
              <w:rPr>
                <w:rFonts w:ascii="Verdana" w:hAnsi="Verdana" w:cs="Calibri"/>
                <w:color w:val="000000"/>
                <w:kern w:val="24"/>
                <w:sz w:val="16"/>
                <w:szCs w:val="16"/>
              </w:rPr>
              <w:br/>
            </w:r>
            <w:r w:rsidRPr="00676B48">
              <w:rPr>
                <w:rFonts w:ascii="Verdana" w:hAnsi="Verdana" w:cs="Calibri"/>
                <w:color w:val="000000"/>
                <w:kern w:val="24"/>
                <w:sz w:val="16"/>
                <w:szCs w:val="16"/>
              </w:rPr>
              <w:t>5.37E-04</w:t>
            </w:r>
            <w:r>
              <w:rPr>
                <w:rFonts w:ascii="Verdana" w:hAnsi="Verdana" w:cs="Calibri"/>
                <w:color w:val="000000"/>
                <w:kern w:val="24"/>
                <w:sz w:val="16"/>
                <w:szCs w:val="16"/>
              </w:rPr>
              <w:t>)</w:t>
            </w:r>
          </w:p>
        </w:tc>
      </w:tr>
      <w:tr w:rsidR="001A20CA" w:rsidRPr="00676B48" w14:paraId="755C5A01" w14:textId="77777777" w:rsidTr="00D83ECE">
        <w:trPr>
          <w:trHeight w:val="391"/>
        </w:trPr>
        <w:tc>
          <w:tcPr>
            <w:tcW w:w="0" w:type="auto"/>
            <w:hideMark/>
          </w:tcPr>
          <w:p w14:paraId="155EC334" w14:textId="12F7E77C"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"/>
                <w:id w:val="1094134760"/>
                <w:placeholder>
                  <w:docPart w:val="576C192B6B2C4DD89B529A8CD8E01A3D"/>
                </w:placeholder>
              </w:sdtPr>
              <w:sdtEndPr/>
              <w:sdtContent>
                <w:r w:rsidR="00BC42B9" w:rsidRPr="00BC42B9">
                  <w:rPr>
                    <w:rFonts w:ascii="Verdana" w:hAnsi="Verdana" w:cs="Calibri"/>
                    <w:color w:val="000000"/>
                    <w:kern w:val="24"/>
                    <w:sz w:val="16"/>
                    <w:szCs w:val="16"/>
                  </w:rPr>
                  <w:t>(Iwasaki et al., 2008)</w:t>
                </w:r>
              </w:sdtContent>
            </w:sdt>
          </w:p>
        </w:tc>
        <w:tc>
          <w:tcPr>
            <w:tcW w:w="0" w:type="auto"/>
            <w:hideMark/>
          </w:tcPr>
          <w:p w14:paraId="6F735BA8"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Asian diet</w:t>
            </w:r>
          </w:p>
        </w:tc>
        <w:tc>
          <w:tcPr>
            <w:tcW w:w="2567" w:type="dxa"/>
            <w:hideMark/>
          </w:tcPr>
          <w:p w14:paraId="37903DF5"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C</w:t>
            </w:r>
            <w:r w:rsidRPr="00676B48">
              <w:rPr>
                <w:rFonts w:ascii="Verdana" w:hAnsi="Verdana" w:cs="Calibri"/>
                <w:color w:val="000000"/>
                <w:kern w:val="24"/>
                <w:sz w:val="16"/>
                <w:szCs w:val="16"/>
              </w:rPr>
              <w:t xml:space="preserve">alculated GEN intake of 21.7 (16.8-26.1) mg/d from dietary assessment with a food frequency questionnaire </w:t>
            </w:r>
          </w:p>
        </w:tc>
        <w:tc>
          <w:tcPr>
            <w:tcW w:w="2553" w:type="dxa"/>
            <w:hideMark/>
          </w:tcPr>
          <w:p w14:paraId="33A5B8A5"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P</w:t>
            </w:r>
            <w:r w:rsidRPr="00676B48">
              <w:rPr>
                <w:rFonts w:ascii="Verdana" w:hAnsi="Verdana" w:cs="Calibri"/>
                <w:color w:val="000000"/>
                <w:kern w:val="24"/>
                <w:sz w:val="16"/>
                <w:szCs w:val="16"/>
              </w:rPr>
              <w:t>lasma</w:t>
            </w:r>
          </w:p>
        </w:tc>
        <w:tc>
          <w:tcPr>
            <w:tcW w:w="2126" w:type="dxa"/>
          </w:tcPr>
          <w:p w14:paraId="77A96735" w14:textId="77777777" w:rsidR="001A20CA" w:rsidRPr="00676B48" w:rsidRDefault="001A20CA" w:rsidP="00D83ECE">
            <w:pPr>
              <w:pStyle w:val="Manuscript"/>
              <w:jc w:val="left"/>
              <w:rPr>
                <w:rFonts w:ascii="Verdana" w:hAnsi="Verdana"/>
                <w:sz w:val="16"/>
                <w:szCs w:val="16"/>
              </w:rPr>
            </w:pPr>
            <w:r w:rsidRPr="00640C4C">
              <w:rPr>
                <w:rFonts w:ascii="Verdana" w:hAnsi="Verdana" w:cs="Calibri"/>
                <w:color w:val="000000"/>
                <w:kern w:val="24"/>
                <w:sz w:val="16"/>
                <w:szCs w:val="16"/>
              </w:rPr>
              <w:t xml:space="preserve"> </w:t>
            </w:r>
            <w:r w:rsidRPr="00930F31">
              <w:rPr>
                <w:rFonts w:ascii="Verdana" w:hAnsi="Verdana" w:cs="Calibri"/>
                <w:color w:val="000000"/>
                <w:kern w:val="24"/>
                <w:sz w:val="16"/>
                <w:szCs w:val="16"/>
              </w:rPr>
              <w:t xml:space="preserve">1.60E-03 </w:t>
            </w:r>
            <w:r w:rsidRPr="00640C4C">
              <w:rPr>
                <w:rFonts w:ascii="Verdana" w:hAnsi="Verdana" w:cs="Calibri"/>
                <w:color w:val="000000"/>
                <w:kern w:val="24"/>
                <w:sz w:val="16"/>
                <w:szCs w:val="16"/>
              </w:rPr>
              <w:t>(median) (</w:t>
            </w:r>
            <w:r w:rsidRPr="00930F31">
              <w:rPr>
                <w:rFonts w:ascii="Verdana" w:hAnsi="Verdana" w:cs="Calibri"/>
                <w:color w:val="000000"/>
                <w:kern w:val="24"/>
                <w:sz w:val="16"/>
                <w:szCs w:val="16"/>
              </w:rPr>
              <w:t>8.70E-04</w:t>
            </w:r>
            <w:r>
              <w:rPr>
                <w:rFonts w:ascii="Verdana" w:hAnsi="Verdana" w:cs="Calibri"/>
                <w:color w:val="000000"/>
                <w:kern w:val="24"/>
                <w:sz w:val="16"/>
                <w:szCs w:val="16"/>
              </w:rPr>
              <w:t xml:space="preserve"> </w:t>
            </w:r>
            <w:r w:rsidRPr="00640C4C">
              <w:rPr>
                <w:rFonts w:ascii="Verdana" w:hAnsi="Verdana" w:cs="Calibri"/>
                <w:color w:val="000000"/>
                <w:kern w:val="24"/>
                <w:sz w:val="16"/>
                <w:szCs w:val="16"/>
              </w:rPr>
              <w:t xml:space="preserve">- </w:t>
            </w:r>
            <w:r w:rsidRPr="00930F31">
              <w:rPr>
                <w:rFonts w:ascii="Verdana" w:hAnsi="Verdana" w:cs="Calibri"/>
                <w:color w:val="000000"/>
                <w:kern w:val="24"/>
                <w:sz w:val="16"/>
                <w:szCs w:val="16"/>
              </w:rPr>
              <w:t>2.80E-03</w:t>
            </w:r>
            <w:r w:rsidRPr="00640C4C">
              <w:rPr>
                <w:rFonts w:ascii="Verdana" w:hAnsi="Verdana" w:cs="Calibri"/>
                <w:color w:val="000000"/>
                <w:kern w:val="24"/>
                <w:sz w:val="16"/>
                <w:szCs w:val="16"/>
              </w:rPr>
              <w:t xml:space="preserve"> (IQR))</w:t>
            </w:r>
          </w:p>
        </w:tc>
        <w:tc>
          <w:tcPr>
            <w:tcW w:w="992" w:type="dxa"/>
            <w:vMerge/>
            <w:hideMark/>
          </w:tcPr>
          <w:p w14:paraId="38E95138" w14:textId="77777777" w:rsidR="001A20CA" w:rsidRPr="00676B48" w:rsidRDefault="001A20CA" w:rsidP="00D83ECE">
            <w:pPr>
              <w:pStyle w:val="Manuscript"/>
              <w:jc w:val="left"/>
              <w:rPr>
                <w:rFonts w:ascii="Verdana" w:hAnsi="Verdana"/>
                <w:sz w:val="16"/>
                <w:szCs w:val="16"/>
              </w:rPr>
            </w:pPr>
          </w:p>
        </w:tc>
        <w:tc>
          <w:tcPr>
            <w:tcW w:w="4086" w:type="dxa"/>
            <w:hideMark/>
          </w:tcPr>
          <w:p w14:paraId="69DD99A6"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1.16E-04</w:t>
            </w:r>
            <w:r>
              <w:rPr>
                <w:rFonts w:ascii="Verdana" w:hAnsi="Verdana" w:cs="Calibri"/>
                <w:color w:val="000000"/>
                <w:kern w:val="24"/>
                <w:sz w:val="16"/>
                <w:szCs w:val="16"/>
              </w:rPr>
              <w:t xml:space="preserve"> (</w:t>
            </w:r>
            <w:r w:rsidRPr="00676B48">
              <w:rPr>
                <w:rFonts w:ascii="Verdana" w:hAnsi="Verdana" w:cs="Calibri"/>
                <w:color w:val="000000"/>
                <w:kern w:val="24"/>
                <w:sz w:val="16"/>
                <w:szCs w:val="16"/>
              </w:rPr>
              <w:t>6.31E-05</w:t>
            </w:r>
            <w:r>
              <w:rPr>
                <w:rFonts w:ascii="Verdana" w:hAnsi="Verdana" w:cs="Calibri"/>
                <w:color w:val="000000"/>
                <w:kern w:val="24"/>
                <w:sz w:val="16"/>
                <w:szCs w:val="16"/>
              </w:rPr>
              <w:t xml:space="preserve"> - </w:t>
            </w:r>
            <w:r>
              <w:rPr>
                <w:rFonts w:ascii="Verdana" w:hAnsi="Verdana" w:cs="Calibri"/>
                <w:color w:val="000000"/>
                <w:kern w:val="24"/>
                <w:sz w:val="16"/>
                <w:szCs w:val="16"/>
              </w:rPr>
              <w:br/>
            </w:r>
            <w:r w:rsidRPr="00676B48">
              <w:rPr>
                <w:rFonts w:ascii="Verdana" w:hAnsi="Verdana" w:cs="Calibri"/>
                <w:color w:val="000000"/>
                <w:kern w:val="24"/>
                <w:sz w:val="16"/>
                <w:szCs w:val="16"/>
              </w:rPr>
              <w:t>2.03E-04</w:t>
            </w:r>
            <w:r>
              <w:rPr>
                <w:rFonts w:ascii="Verdana" w:hAnsi="Verdana" w:cs="Calibri"/>
                <w:color w:val="000000"/>
                <w:kern w:val="24"/>
                <w:sz w:val="16"/>
                <w:szCs w:val="16"/>
              </w:rPr>
              <w:t>)</w:t>
            </w:r>
          </w:p>
        </w:tc>
      </w:tr>
      <w:tr w:rsidR="001A20CA" w:rsidRPr="00676B48" w14:paraId="2ED5EE84" w14:textId="77777777" w:rsidTr="00D83ECE">
        <w:trPr>
          <w:trHeight w:val="391"/>
        </w:trPr>
        <w:tc>
          <w:tcPr>
            <w:tcW w:w="0" w:type="auto"/>
            <w:hideMark/>
          </w:tcPr>
          <w:p w14:paraId="72F5DD5C" w14:textId="5E8E1FA4"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"/>
                <w:id w:val="-26723585"/>
                <w:placeholder>
                  <w:docPart w:val="576C192B6B2C4DD89B529A8CD8E01A3D"/>
                </w:placeholder>
              </w:sdtPr>
              <w:sdtEndPr/>
              <w:sdtContent>
                <w:r w:rsidR="00BC42B9" w:rsidRPr="00BC42B9">
                  <w:rPr>
                    <w:rFonts w:ascii="Verdana" w:hAnsi="Verdana" w:cs="Calibri"/>
                    <w:color w:val="000000"/>
                    <w:kern w:val="24"/>
                    <w:sz w:val="16"/>
                    <w:szCs w:val="16"/>
                  </w:rPr>
                  <w:t>(Shimazu et al., 2011)</w:t>
                </w:r>
              </w:sdtContent>
            </w:sdt>
          </w:p>
        </w:tc>
        <w:tc>
          <w:tcPr>
            <w:tcW w:w="0" w:type="auto"/>
            <w:hideMark/>
          </w:tcPr>
          <w:p w14:paraId="5D39FC25"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Asian diet</w:t>
            </w:r>
          </w:p>
        </w:tc>
        <w:tc>
          <w:tcPr>
            <w:tcW w:w="2567" w:type="dxa"/>
            <w:hideMark/>
          </w:tcPr>
          <w:p w14:paraId="148AFCAC"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C</w:t>
            </w:r>
            <w:r w:rsidRPr="00676B48">
              <w:rPr>
                <w:rFonts w:ascii="Verdana" w:hAnsi="Verdana" w:cs="Calibri"/>
                <w:color w:val="000000"/>
                <w:kern w:val="24"/>
                <w:sz w:val="16"/>
                <w:szCs w:val="16"/>
              </w:rPr>
              <w:t xml:space="preserve">alculated GEN intake (not specified) from dietary assessment with a food frequency questionnaire </w:t>
            </w:r>
          </w:p>
        </w:tc>
        <w:tc>
          <w:tcPr>
            <w:tcW w:w="2553" w:type="dxa"/>
            <w:hideMark/>
          </w:tcPr>
          <w:p w14:paraId="330C152C"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P</w:t>
            </w:r>
            <w:r w:rsidRPr="00676B48">
              <w:rPr>
                <w:rFonts w:ascii="Verdana" w:hAnsi="Verdana" w:cs="Calibri"/>
                <w:color w:val="000000"/>
                <w:kern w:val="24"/>
                <w:sz w:val="16"/>
                <w:szCs w:val="16"/>
              </w:rPr>
              <w:t>lasma</w:t>
            </w:r>
          </w:p>
        </w:tc>
        <w:tc>
          <w:tcPr>
            <w:tcW w:w="2126" w:type="dxa"/>
            <w:hideMark/>
          </w:tcPr>
          <w:p w14:paraId="719505C8" w14:textId="77777777" w:rsidR="001A20CA" w:rsidRPr="00676B48" w:rsidRDefault="001A20CA" w:rsidP="00D83ECE">
            <w:pPr>
              <w:pStyle w:val="Manuscript"/>
              <w:jc w:val="left"/>
              <w:rPr>
                <w:rFonts w:ascii="Verdana" w:hAnsi="Verdana"/>
                <w:sz w:val="16"/>
                <w:szCs w:val="16"/>
              </w:rPr>
            </w:pPr>
            <w:r w:rsidRPr="00E57C52">
              <w:rPr>
                <w:rFonts w:ascii="Verdana" w:hAnsi="Verdana" w:cs="Calibri"/>
                <w:color w:val="000000"/>
                <w:kern w:val="24"/>
                <w:sz w:val="16"/>
                <w:szCs w:val="16"/>
              </w:rPr>
              <w:t>8.00E-04</w:t>
            </w:r>
            <w:r>
              <w:rPr>
                <w:rFonts w:ascii="Verdana" w:hAnsi="Verdana" w:cs="Calibri"/>
                <w:color w:val="000000"/>
                <w:kern w:val="24"/>
                <w:sz w:val="16"/>
                <w:szCs w:val="16"/>
              </w:rPr>
              <w:t xml:space="preserve"> (median)</w:t>
            </w:r>
            <w:r w:rsidRPr="00640C4C">
              <w:rPr>
                <w:rFonts w:ascii="Verdana" w:hAnsi="Verdana" w:cs="Calibri"/>
                <w:color w:val="000000"/>
                <w:kern w:val="24"/>
                <w:sz w:val="16"/>
                <w:szCs w:val="16"/>
              </w:rPr>
              <w:t xml:space="preserve"> (</w:t>
            </w:r>
            <w:r>
              <w:rPr>
                <w:rFonts w:ascii="Verdana" w:hAnsi="Verdana" w:cs="Calibri"/>
                <w:color w:val="000000"/>
                <w:kern w:val="24"/>
                <w:sz w:val="16"/>
                <w:szCs w:val="16"/>
              </w:rPr>
              <w:t>3.3</w:t>
            </w:r>
            <w:r w:rsidRPr="00930F31">
              <w:rPr>
                <w:rFonts w:ascii="Verdana" w:hAnsi="Verdana" w:cs="Calibri"/>
                <w:color w:val="000000"/>
                <w:kern w:val="24"/>
                <w:sz w:val="16"/>
                <w:szCs w:val="16"/>
              </w:rPr>
              <w:t>0E-04</w:t>
            </w:r>
            <w:r>
              <w:rPr>
                <w:rFonts w:ascii="Verdana" w:hAnsi="Verdana" w:cs="Calibri"/>
                <w:color w:val="000000"/>
                <w:kern w:val="24"/>
                <w:sz w:val="16"/>
                <w:szCs w:val="16"/>
              </w:rPr>
              <w:t xml:space="preserve"> –</w:t>
            </w:r>
            <w:r w:rsidRPr="00640C4C">
              <w:rPr>
                <w:rFonts w:ascii="Verdana" w:hAnsi="Verdana" w:cs="Calibri"/>
                <w:color w:val="000000"/>
                <w:kern w:val="24"/>
                <w:sz w:val="16"/>
                <w:szCs w:val="16"/>
              </w:rPr>
              <w:t xml:space="preserve"> </w:t>
            </w:r>
            <w:r>
              <w:rPr>
                <w:rFonts w:ascii="Verdana" w:hAnsi="Verdana" w:cs="Calibri"/>
                <w:color w:val="000000"/>
                <w:kern w:val="24"/>
                <w:sz w:val="16"/>
                <w:szCs w:val="16"/>
              </w:rPr>
              <w:t>1.4</w:t>
            </w:r>
            <w:r w:rsidRPr="00930F31">
              <w:rPr>
                <w:rFonts w:ascii="Verdana" w:hAnsi="Verdana" w:cs="Calibri"/>
                <w:color w:val="000000"/>
                <w:kern w:val="24"/>
                <w:sz w:val="16"/>
                <w:szCs w:val="16"/>
              </w:rPr>
              <w:t>0E-03</w:t>
            </w:r>
            <w:r w:rsidRPr="00640C4C">
              <w:rPr>
                <w:rFonts w:ascii="Verdana" w:hAnsi="Verdana" w:cs="Calibri"/>
                <w:color w:val="000000"/>
                <w:kern w:val="24"/>
                <w:sz w:val="16"/>
                <w:szCs w:val="16"/>
              </w:rPr>
              <w:t xml:space="preserve"> (IQR))</w:t>
            </w:r>
          </w:p>
        </w:tc>
        <w:tc>
          <w:tcPr>
            <w:tcW w:w="992" w:type="dxa"/>
            <w:vMerge/>
            <w:hideMark/>
          </w:tcPr>
          <w:p w14:paraId="7D0BD0D3" w14:textId="77777777" w:rsidR="001A20CA" w:rsidRPr="00676B48" w:rsidRDefault="001A20CA" w:rsidP="00D83ECE">
            <w:pPr>
              <w:pStyle w:val="Manuscript"/>
              <w:jc w:val="left"/>
              <w:rPr>
                <w:rFonts w:ascii="Verdana" w:hAnsi="Verdana"/>
                <w:sz w:val="16"/>
                <w:szCs w:val="16"/>
              </w:rPr>
            </w:pPr>
          </w:p>
        </w:tc>
        <w:tc>
          <w:tcPr>
            <w:tcW w:w="4086" w:type="dxa"/>
            <w:hideMark/>
          </w:tcPr>
          <w:p w14:paraId="49572291"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5.80E-05</w:t>
            </w:r>
            <w:r>
              <w:rPr>
                <w:rFonts w:ascii="Verdana" w:hAnsi="Verdana" w:cs="Calibri"/>
                <w:color w:val="000000"/>
                <w:kern w:val="24"/>
                <w:sz w:val="16"/>
                <w:szCs w:val="16"/>
              </w:rPr>
              <w:t xml:space="preserve"> (</w:t>
            </w:r>
            <w:r w:rsidRPr="00676B48">
              <w:rPr>
                <w:rFonts w:ascii="Verdana" w:hAnsi="Verdana" w:cs="Calibri"/>
                <w:color w:val="000000"/>
                <w:kern w:val="24"/>
                <w:sz w:val="16"/>
                <w:szCs w:val="16"/>
              </w:rPr>
              <w:t>2.39E-05</w:t>
            </w:r>
            <w:r>
              <w:rPr>
                <w:rFonts w:ascii="Verdana" w:hAnsi="Verdana" w:cs="Calibri"/>
                <w:color w:val="000000"/>
                <w:kern w:val="24"/>
                <w:sz w:val="16"/>
                <w:szCs w:val="16"/>
              </w:rPr>
              <w:t xml:space="preserve"> - </w:t>
            </w:r>
            <w:r>
              <w:rPr>
                <w:rFonts w:ascii="Verdana" w:hAnsi="Verdana" w:cs="Calibri"/>
                <w:color w:val="000000"/>
                <w:kern w:val="24"/>
                <w:sz w:val="16"/>
                <w:szCs w:val="16"/>
              </w:rPr>
              <w:br/>
            </w:r>
            <w:r w:rsidRPr="00676B48">
              <w:rPr>
                <w:rFonts w:ascii="Verdana" w:hAnsi="Verdana" w:cs="Calibri"/>
                <w:color w:val="000000"/>
                <w:kern w:val="24"/>
                <w:sz w:val="16"/>
                <w:szCs w:val="16"/>
              </w:rPr>
              <w:t>1.02E-04</w:t>
            </w:r>
            <w:r>
              <w:rPr>
                <w:rFonts w:ascii="Verdana" w:hAnsi="Verdana" w:cs="Calibri"/>
                <w:color w:val="000000"/>
                <w:kern w:val="24"/>
                <w:sz w:val="16"/>
                <w:szCs w:val="16"/>
              </w:rPr>
              <w:t>)</w:t>
            </w:r>
          </w:p>
        </w:tc>
      </w:tr>
      <w:tr w:rsidR="001A20CA" w:rsidRPr="00676B48" w14:paraId="4BBC054F" w14:textId="77777777" w:rsidTr="00D83ECE">
        <w:trPr>
          <w:trHeight w:val="391"/>
        </w:trPr>
        <w:tc>
          <w:tcPr>
            <w:tcW w:w="0" w:type="auto"/>
            <w:hideMark/>
          </w:tcPr>
          <w:p w14:paraId="602C0FA0" w14:textId="54D222B6"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"/>
                <w:id w:val="1772751084"/>
                <w:placeholder>
                  <w:docPart w:val="576C192B6B2C4DD89B529A8CD8E01A3D"/>
                </w:placeholder>
              </w:sdtPr>
              <w:sdtEndPr/>
              <w:sdtContent>
                <w:r w:rsidR="00BC42B9" w:rsidRPr="00BC42B9">
                  <w:rPr>
                    <w:rFonts w:ascii="Verdana" w:hAnsi="Verdana" w:cs="Calibri"/>
                    <w:color w:val="000000"/>
                    <w:kern w:val="24"/>
                    <w:sz w:val="16"/>
                    <w:szCs w:val="16"/>
                  </w:rPr>
                  <w:t>(Takashima et al., 2004)</w:t>
                </w:r>
              </w:sdtContent>
            </w:sdt>
          </w:p>
        </w:tc>
        <w:tc>
          <w:tcPr>
            <w:tcW w:w="0" w:type="auto"/>
            <w:hideMark/>
          </w:tcPr>
          <w:p w14:paraId="15604684"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Asian diet</w:t>
            </w:r>
          </w:p>
        </w:tc>
        <w:tc>
          <w:tcPr>
            <w:tcW w:w="2567" w:type="dxa"/>
            <w:hideMark/>
          </w:tcPr>
          <w:p w14:paraId="297E042E"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C</w:t>
            </w:r>
            <w:r w:rsidRPr="00676B48">
              <w:rPr>
                <w:rFonts w:ascii="Verdana" w:hAnsi="Verdana" w:cs="Calibri"/>
                <w:color w:val="000000"/>
                <w:kern w:val="24"/>
                <w:sz w:val="16"/>
                <w:szCs w:val="16"/>
              </w:rPr>
              <w:t>alculated GEN intake of 22.9 ± 15.9 mg/d from hospital diet</w:t>
            </w:r>
          </w:p>
        </w:tc>
        <w:tc>
          <w:tcPr>
            <w:tcW w:w="2553" w:type="dxa"/>
            <w:hideMark/>
          </w:tcPr>
          <w:p w14:paraId="62732476"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S</w:t>
            </w:r>
            <w:r w:rsidRPr="00676B48">
              <w:rPr>
                <w:rFonts w:ascii="Verdana" w:hAnsi="Verdana" w:cs="Calibri"/>
                <w:color w:val="000000"/>
                <w:kern w:val="24"/>
                <w:sz w:val="16"/>
                <w:szCs w:val="16"/>
              </w:rPr>
              <w:t>erum</w:t>
            </w:r>
          </w:p>
        </w:tc>
        <w:tc>
          <w:tcPr>
            <w:tcW w:w="2126" w:type="dxa"/>
            <w:hideMark/>
          </w:tcPr>
          <w:p w14:paraId="764AB534" w14:textId="77777777" w:rsidR="001A20CA" w:rsidRPr="00676B48" w:rsidRDefault="001A20CA" w:rsidP="00D83ECE">
            <w:pPr>
              <w:pStyle w:val="Manuscript"/>
              <w:jc w:val="left"/>
              <w:rPr>
                <w:rFonts w:ascii="Verdana" w:hAnsi="Verdana"/>
                <w:sz w:val="16"/>
                <w:szCs w:val="16"/>
              </w:rPr>
            </w:pPr>
            <w:r w:rsidRPr="004D51EE">
              <w:rPr>
                <w:rFonts w:ascii="Verdana" w:hAnsi="Verdana" w:cs="Calibri"/>
                <w:color w:val="000000"/>
                <w:kern w:val="24"/>
                <w:sz w:val="16"/>
                <w:szCs w:val="16"/>
              </w:rPr>
              <w:t>1.20E-03</w:t>
            </w:r>
            <w:r>
              <w:rPr>
                <w:rFonts w:ascii="Verdana" w:hAnsi="Verdana" w:cs="Calibri"/>
                <w:color w:val="000000"/>
                <w:kern w:val="24"/>
                <w:sz w:val="16"/>
                <w:szCs w:val="16"/>
              </w:rPr>
              <w:t xml:space="preserve"> ± </w:t>
            </w:r>
            <w:r w:rsidRPr="004D51EE">
              <w:rPr>
                <w:rFonts w:ascii="Verdana" w:hAnsi="Verdana" w:cs="Calibri"/>
                <w:color w:val="000000"/>
                <w:kern w:val="24"/>
                <w:sz w:val="16"/>
                <w:szCs w:val="16"/>
              </w:rPr>
              <w:t>1.26E-03</w:t>
            </w:r>
            <w:r>
              <w:rPr>
                <w:rFonts w:ascii="Verdana" w:hAnsi="Verdana" w:cs="Calibri"/>
                <w:color w:val="000000"/>
                <w:kern w:val="24"/>
                <w:sz w:val="16"/>
                <w:szCs w:val="16"/>
              </w:rPr>
              <w:t xml:space="preserve"> (mean ± SEM)</w:t>
            </w:r>
          </w:p>
        </w:tc>
        <w:tc>
          <w:tcPr>
            <w:tcW w:w="992" w:type="dxa"/>
            <w:vMerge/>
            <w:hideMark/>
          </w:tcPr>
          <w:p w14:paraId="2B169323" w14:textId="77777777" w:rsidR="001A20CA" w:rsidRPr="00676B48" w:rsidRDefault="001A20CA" w:rsidP="00D83ECE">
            <w:pPr>
              <w:pStyle w:val="Manuscript"/>
              <w:jc w:val="left"/>
              <w:rPr>
                <w:rFonts w:ascii="Verdana" w:hAnsi="Verdana"/>
                <w:sz w:val="16"/>
                <w:szCs w:val="16"/>
              </w:rPr>
            </w:pPr>
          </w:p>
        </w:tc>
        <w:tc>
          <w:tcPr>
            <w:tcW w:w="4086" w:type="dxa"/>
            <w:hideMark/>
          </w:tcPr>
          <w:p w14:paraId="1C177A50"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8.70E-05</w:t>
            </w:r>
            <w:r>
              <w:rPr>
                <w:rFonts w:ascii="Verdana" w:hAnsi="Verdana" w:cs="Calibri"/>
                <w:color w:val="000000"/>
                <w:kern w:val="24"/>
                <w:sz w:val="16"/>
                <w:szCs w:val="16"/>
              </w:rPr>
              <w:t xml:space="preserve"> ± </w:t>
            </w:r>
            <w:r w:rsidRPr="008D644B">
              <w:rPr>
                <w:rFonts w:ascii="Verdana" w:hAnsi="Verdana" w:cs="Calibri"/>
                <w:color w:val="000000"/>
                <w:kern w:val="24"/>
                <w:sz w:val="16"/>
                <w:szCs w:val="16"/>
              </w:rPr>
              <w:t>9.14E-05</w:t>
            </w:r>
          </w:p>
        </w:tc>
      </w:tr>
      <w:tr w:rsidR="001A20CA" w:rsidRPr="00676B48" w14:paraId="4ED403BC" w14:textId="77777777" w:rsidTr="00D83ECE">
        <w:trPr>
          <w:trHeight w:val="391"/>
        </w:trPr>
        <w:tc>
          <w:tcPr>
            <w:tcW w:w="0" w:type="auto"/>
            <w:hideMark/>
          </w:tcPr>
          <w:p w14:paraId="07249506" w14:textId="06E5C425"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"/>
                <w:id w:val="-52231702"/>
                <w:placeholder>
                  <w:docPart w:val="576C192B6B2C4DD89B529A8CD8E01A3D"/>
                </w:placeholder>
              </w:sdtPr>
              <w:sdtEndPr/>
              <w:sdtContent>
                <w:r w:rsidR="00BC42B9" w:rsidRPr="00BC42B9">
                  <w:rPr>
                    <w:rFonts w:ascii="Verdana" w:hAnsi="Verdana" w:cs="Calibri"/>
                    <w:color w:val="000000"/>
                    <w:kern w:val="24"/>
                    <w:sz w:val="16"/>
                    <w:szCs w:val="16"/>
                  </w:rPr>
                  <w:t>(Ritchie et al., 2004)</w:t>
                </w:r>
              </w:sdtContent>
            </w:sdt>
          </w:p>
        </w:tc>
        <w:tc>
          <w:tcPr>
            <w:tcW w:w="0" w:type="auto"/>
            <w:hideMark/>
          </w:tcPr>
          <w:p w14:paraId="2175BB2F"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Asian diet</w:t>
            </w:r>
          </w:p>
        </w:tc>
        <w:tc>
          <w:tcPr>
            <w:tcW w:w="2567" w:type="dxa"/>
            <w:hideMark/>
          </w:tcPr>
          <w:p w14:paraId="3C9AAFCC"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A</w:t>
            </w:r>
            <w:r w:rsidRPr="00676B48">
              <w:rPr>
                <w:rFonts w:ascii="Verdana" w:hAnsi="Verdana" w:cs="Calibri"/>
                <w:color w:val="000000"/>
                <w:kern w:val="24"/>
                <w:sz w:val="16"/>
                <w:szCs w:val="16"/>
              </w:rPr>
              <w:t xml:space="preserve"> specific diet was followed over a 24 hour recording period</w:t>
            </w:r>
          </w:p>
        </w:tc>
        <w:tc>
          <w:tcPr>
            <w:tcW w:w="2553" w:type="dxa"/>
            <w:hideMark/>
          </w:tcPr>
          <w:p w14:paraId="15570805"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P</w:t>
            </w:r>
            <w:r w:rsidRPr="00676B48">
              <w:rPr>
                <w:rFonts w:ascii="Verdana" w:hAnsi="Verdana" w:cs="Calibri"/>
                <w:color w:val="000000"/>
                <w:kern w:val="24"/>
                <w:sz w:val="16"/>
                <w:szCs w:val="16"/>
              </w:rPr>
              <w:t>lasma</w:t>
            </w:r>
          </w:p>
        </w:tc>
        <w:tc>
          <w:tcPr>
            <w:tcW w:w="2126" w:type="dxa"/>
          </w:tcPr>
          <w:p w14:paraId="46DB524D" w14:textId="77777777" w:rsidR="001A20CA" w:rsidRPr="00676B48" w:rsidRDefault="001A20CA" w:rsidP="00D83ECE">
            <w:pPr>
              <w:pStyle w:val="Manuscript"/>
              <w:jc w:val="left"/>
              <w:rPr>
                <w:rFonts w:ascii="Verdana" w:hAnsi="Verdana"/>
                <w:sz w:val="16"/>
                <w:szCs w:val="16"/>
              </w:rPr>
            </w:pPr>
            <w:r w:rsidRPr="00F97AF6">
              <w:rPr>
                <w:rFonts w:ascii="Verdana" w:hAnsi="Verdana"/>
                <w:sz w:val="16"/>
                <w:szCs w:val="16"/>
              </w:rPr>
              <w:t>3.80E-04</w:t>
            </w:r>
            <w:r>
              <w:rPr>
                <w:rFonts w:ascii="Verdana" w:hAnsi="Verdana"/>
                <w:sz w:val="16"/>
                <w:szCs w:val="16"/>
              </w:rPr>
              <w:t xml:space="preserve"> </w:t>
            </w:r>
            <w:r>
              <w:rPr>
                <w:rFonts w:ascii="Verdana" w:hAnsi="Verdana" w:cs="Calibri"/>
                <w:color w:val="000000"/>
                <w:kern w:val="24"/>
                <w:sz w:val="16"/>
                <w:szCs w:val="16"/>
              </w:rPr>
              <w:t xml:space="preserve">± </w:t>
            </w:r>
            <w:r w:rsidRPr="00F97AF6">
              <w:rPr>
                <w:rFonts w:ascii="Verdana" w:hAnsi="Verdana" w:cs="Calibri"/>
                <w:color w:val="000000"/>
                <w:kern w:val="24"/>
                <w:sz w:val="16"/>
                <w:szCs w:val="16"/>
              </w:rPr>
              <w:t>3.80E-05</w:t>
            </w:r>
            <w:r>
              <w:rPr>
                <w:rFonts w:ascii="Verdana" w:hAnsi="Verdana" w:cs="Calibri"/>
                <w:color w:val="000000"/>
                <w:kern w:val="24"/>
                <w:sz w:val="16"/>
                <w:szCs w:val="16"/>
              </w:rPr>
              <w:t xml:space="preserve"> (mean ± SD)</w:t>
            </w:r>
          </w:p>
        </w:tc>
        <w:tc>
          <w:tcPr>
            <w:tcW w:w="992" w:type="dxa"/>
            <w:vMerge/>
            <w:hideMark/>
          </w:tcPr>
          <w:p w14:paraId="66F12D6F" w14:textId="77777777" w:rsidR="001A20CA" w:rsidRPr="00676B48" w:rsidRDefault="001A20CA" w:rsidP="00D83ECE">
            <w:pPr>
              <w:pStyle w:val="Manuscript"/>
              <w:jc w:val="left"/>
              <w:rPr>
                <w:rFonts w:ascii="Verdana" w:hAnsi="Verdana"/>
                <w:sz w:val="16"/>
                <w:szCs w:val="16"/>
              </w:rPr>
            </w:pPr>
          </w:p>
        </w:tc>
        <w:tc>
          <w:tcPr>
            <w:tcW w:w="4086" w:type="dxa"/>
            <w:hideMark/>
          </w:tcPr>
          <w:p w14:paraId="4D68F6E1"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2.76E-05</w:t>
            </w:r>
            <w:r>
              <w:rPr>
                <w:rFonts w:ascii="Verdana" w:hAnsi="Verdana" w:cs="Calibri"/>
                <w:color w:val="000000"/>
                <w:kern w:val="24"/>
                <w:sz w:val="16"/>
                <w:szCs w:val="16"/>
              </w:rPr>
              <w:t xml:space="preserve"> ± </w:t>
            </w:r>
            <w:r w:rsidRPr="00C6164B">
              <w:rPr>
                <w:rFonts w:ascii="Verdana" w:hAnsi="Verdana" w:cs="Calibri"/>
                <w:color w:val="000000"/>
                <w:kern w:val="24"/>
                <w:sz w:val="16"/>
                <w:szCs w:val="16"/>
              </w:rPr>
              <w:t>2.76E-06</w:t>
            </w:r>
          </w:p>
        </w:tc>
      </w:tr>
      <w:tr w:rsidR="001A20CA" w:rsidRPr="00676B48" w14:paraId="239087DD" w14:textId="77777777" w:rsidTr="00D83ECE">
        <w:trPr>
          <w:trHeight w:val="391"/>
        </w:trPr>
        <w:tc>
          <w:tcPr>
            <w:tcW w:w="0" w:type="auto"/>
            <w:hideMark/>
          </w:tcPr>
          <w:p w14:paraId="36A00FA6" w14:textId="70305B3F"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"/>
                <w:id w:val="-1797599857"/>
                <w:placeholder>
                  <w:docPart w:val="576C192B6B2C4DD89B529A8CD8E01A3D"/>
                </w:placeholder>
              </w:sdtPr>
              <w:sdtEndPr/>
              <w:sdtContent>
                <w:r w:rsidR="00BC42B9" w:rsidRPr="00BC42B9">
                  <w:rPr>
                    <w:rFonts w:ascii="Verdana" w:hAnsi="Verdana" w:cs="Calibri"/>
                    <w:color w:val="000000"/>
                    <w:kern w:val="24"/>
                    <w:sz w:val="16"/>
                    <w:szCs w:val="16"/>
                  </w:rPr>
                  <w:t>(Busby et al., 2002)</w:t>
                </w:r>
              </w:sdtContent>
            </w:sdt>
            <w:r w:rsidR="001A20CA">
              <w:rPr>
                <w:rFonts w:ascii="Verdana" w:hAnsi="Verdana" w:cs="Calibri"/>
                <w:color w:val="000000"/>
                <w:kern w:val="24"/>
                <w:sz w:val="16"/>
                <w:szCs w:val="16"/>
              </w:rPr>
              <w:t xml:space="preserve">, </w:t>
            </w:r>
            <w:r w:rsidR="001A20CA" w:rsidRPr="00676B48">
              <w:rPr>
                <w:rFonts w:ascii="Verdana" w:hAnsi="Verdana" w:cs="Calibri"/>
                <w:color w:val="000000"/>
                <w:kern w:val="24"/>
                <w:sz w:val="16"/>
                <w:szCs w:val="16"/>
              </w:rPr>
              <w:t xml:space="preserve"> Form</w:t>
            </w:r>
            <w:r w:rsidR="001A20CA">
              <w:rPr>
                <w:rFonts w:ascii="Verdana" w:hAnsi="Verdana" w:cs="Calibri"/>
                <w:color w:val="000000"/>
                <w:kern w:val="24"/>
                <w:sz w:val="16"/>
                <w:szCs w:val="16"/>
              </w:rPr>
              <w:t>ulation</w:t>
            </w:r>
            <w:r w:rsidR="001A20CA" w:rsidRPr="00676B48">
              <w:rPr>
                <w:rFonts w:ascii="Verdana" w:hAnsi="Verdana" w:cs="Calibri"/>
                <w:color w:val="000000"/>
                <w:kern w:val="24"/>
                <w:sz w:val="16"/>
                <w:szCs w:val="16"/>
              </w:rPr>
              <w:t xml:space="preserve"> A</w:t>
            </w:r>
          </w:p>
        </w:tc>
        <w:tc>
          <w:tcPr>
            <w:tcW w:w="0" w:type="auto"/>
            <w:hideMark/>
          </w:tcPr>
          <w:p w14:paraId="358530AB"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Supplement intake</w:t>
            </w:r>
          </w:p>
        </w:tc>
        <w:tc>
          <w:tcPr>
            <w:tcW w:w="2567" w:type="dxa"/>
            <w:hideMark/>
          </w:tcPr>
          <w:p w14:paraId="51A8D009"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S</w:t>
            </w:r>
            <w:r w:rsidRPr="00676B48">
              <w:rPr>
                <w:rFonts w:ascii="Verdana" w:hAnsi="Verdana" w:cs="Calibri"/>
                <w:color w:val="000000"/>
                <w:kern w:val="24"/>
                <w:sz w:val="16"/>
                <w:szCs w:val="16"/>
              </w:rPr>
              <w:t xml:space="preserve">ingle oral dose of 8 mg/kg </w:t>
            </w:r>
            <w:proofErr w:type="spellStart"/>
            <w:r w:rsidRPr="00676B48">
              <w:rPr>
                <w:rFonts w:ascii="Verdana" w:hAnsi="Verdana" w:cs="Calibri"/>
                <w:color w:val="000000"/>
                <w:kern w:val="24"/>
                <w:sz w:val="16"/>
                <w:szCs w:val="16"/>
              </w:rPr>
              <w:t>bw</w:t>
            </w:r>
            <w:proofErr w:type="spellEnd"/>
            <w:r w:rsidRPr="00676B48">
              <w:rPr>
                <w:rFonts w:ascii="Verdana" w:hAnsi="Verdana" w:cs="Calibri"/>
                <w:color w:val="000000"/>
                <w:kern w:val="24"/>
                <w:sz w:val="16"/>
                <w:szCs w:val="16"/>
              </w:rPr>
              <w:t xml:space="preserve"> of a 90% GEN formulation</w:t>
            </w:r>
          </w:p>
        </w:tc>
        <w:tc>
          <w:tcPr>
            <w:tcW w:w="2553" w:type="dxa"/>
            <w:hideMark/>
          </w:tcPr>
          <w:p w14:paraId="5441C0C9"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P</w:t>
            </w:r>
            <w:r w:rsidRPr="00676B48">
              <w:rPr>
                <w:rFonts w:ascii="Verdana" w:hAnsi="Verdana" w:cs="Calibri"/>
                <w:color w:val="000000"/>
                <w:kern w:val="24"/>
                <w:sz w:val="16"/>
                <w:szCs w:val="16"/>
              </w:rPr>
              <w:t>lasma</w:t>
            </w:r>
          </w:p>
        </w:tc>
        <w:tc>
          <w:tcPr>
            <w:tcW w:w="2126" w:type="dxa"/>
            <w:hideMark/>
          </w:tcPr>
          <w:p w14:paraId="798DBEDA"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0.13</w:t>
            </w:r>
            <w:r>
              <w:rPr>
                <w:rFonts w:ascii="Verdana" w:hAnsi="Verdana" w:cs="Calibri"/>
                <w:color w:val="000000"/>
                <w:kern w:val="24"/>
                <w:sz w:val="16"/>
                <w:szCs w:val="16"/>
              </w:rPr>
              <w:t xml:space="preserve"> ± 0.02 (mean ± SD)</w:t>
            </w:r>
          </w:p>
        </w:tc>
        <w:tc>
          <w:tcPr>
            <w:tcW w:w="992" w:type="dxa"/>
            <w:vMerge/>
            <w:hideMark/>
          </w:tcPr>
          <w:p w14:paraId="4DDF973F" w14:textId="77777777" w:rsidR="001A20CA" w:rsidRPr="00676B48" w:rsidRDefault="001A20CA" w:rsidP="00D83ECE">
            <w:pPr>
              <w:pStyle w:val="Manuscript"/>
              <w:jc w:val="left"/>
              <w:rPr>
                <w:rFonts w:ascii="Verdana" w:hAnsi="Verdana"/>
                <w:sz w:val="16"/>
                <w:szCs w:val="16"/>
              </w:rPr>
            </w:pPr>
          </w:p>
        </w:tc>
        <w:tc>
          <w:tcPr>
            <w:tcW w:w="4086" w:type="dxa"/>
            <w:hideMark/>
          </w:tcPr>
          <w:p w14:paraId="15BA3504"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9.50E-03</w:t>
            </w:r>
            <w:r>
              <w:rPr>
                <w:rFonts w:ascii="Verdana" w:hAnsi="Verdana" w:cs="Calibri"/>
                <w:color w:val="000000"/>
                <w:kern w:val="24"/>
                <w:sz w:val="16"/>
                <w:szCs w:val="16"/>
              </w:rPr>
              <w:t xml:space="preserve"> ± </w:t>
            </w:r>
            <w:r w:rsidRPr="00B91159">
              <w:rPr>
                <w:rFonts w:ascii="Verdana" w:hAnsi="Verdana" w:cs="Calibri"/>
                <w:color w:val="000000"/>
                <w:kern w:val="24"/>
                <w:sz w:val="16"/>
                <w:szCs w:val="16"/>
              </w:rPr>
              <w:t>1.52E-03</w:t>
            </w:r>
          </w:p>
        </w:tc>
      </w:tr>
      <w:tr w:rsidR="001A20CA" w:rsidRPr="00676B48" w14:paraId="380E217B" w14:textId="77777777" w:rsidTr="00D83ECE">
        <w:trPr>
          <w:trHeight w:val="391"/>
        </w:trPr>
        <w:tc>
          <w:tcPr>
            <w:tcW w:w="0" w:type="auto"/>
            <w:hideMark/>
          </w:tcPr>
          <w:p w14:paraId="7AB8DF9B" w14:textId="766D4484"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"/>
                <w:id w:val="576721761"/>
                <w:placeholder>
                  <w:docPart w:val="576C192B6B2C4DD89B529A8CD8E01A3D"/>
                </w:placeholder>
              </w:sdtPr>
              <w:sdtEndPr/>
              <w:sdtContent>
                <w:r w:rsidR="00BC42B9" w:rsidRPr="00BC42B9">
                  <w:rPr>
                    <w:rFonts w:ascii="Verdana" w:hAnsi="Verdana" w:cs="Calibri"/>
                    <w:color w:val="000000"/>
                    <w:kern w:val="24"/>
                    <w:sz w:val="16"/>
                    <w:szCs w:val="16"/>
                  </w:rPr>
                  <w:t>(Busby et al., 2002)</w:t>
                </w:r>
              </w:sdtContent>
            </w:sdt>
            <w:r w:rsidR="001A20CA">
              <w:rPr>
                <w:rFonts w:ascii="Verdana" w:hAnsi="Verdana" w:cs="Calibri"/>
                <w:color w:val="000000"/>
                <w:kern w:val="24"/>
                <w:sz w:val="16"/>
                <w:szCs w:val="16"/>
              </w:rPr>
              <w:t xml:space="preserve">, </w:t>
            </w:r>
            <w:r w:rsidR="001A20CA" w:rsidRPr="00676B48">
              <w:rPr>
                <w:rFonts w:ascii="Verdana" w:hAnsi="Verdana" w:cs="Calibri"/>
                <w:color w:val="000000"/>
                <w:kern w:val="24"/>
                <w:sz w:val="16"/>
                <w:szCs w:val="16"/>
              </w:rPr>
              <w:t xml:space="preserve"> Form</w:t>
            </w:r>
            <w:r w:rsidR="001A20CA">
              <w:rPr>
                <w:rFonts w:ascii="Verdana" w:hAnsi="Verdana" w:cs="Calibri"/>
                <w:color w:val="000000"/>
                <w:kern w:val="24"/>
                <w:sz w:val="16"/>
                <w:szCs w:val="16"/>
              </w:rPr>
              <w:t>ulation</w:t>
            </w:r>
            <w:r w:rsidR="001A20CA" w:rsidRPr="00676B48">
              <w:rPr>
                <w:rFonts w:ascii="Verdana" w:hAnsi="Verdana" w:cs="Calibri"/>
                <w:color w:val="000000"/>
                <w:kern w:val="24"/>
                <w:sz w:val="16"/>
                <w:szCs w:val="16"/>
              </w:rPr>
              <w:t xml:space="preserve"> B</w:t>
            </w:r>
          </w:p>
        </w:tc>
        <w:tc>
          <w:tcPr>
            <w:tcW w:w="0" w:type="auto"/>
            <w:hideMark/>
          </w:tcPr>
          <w:p w14:paraId="21673199"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Supplement intake</w:t>
            </w:r>
          </w:p>
        </w:tc>
        <w:tc>
          <w:tcPr>
            <w:tcW w:w="2567" w:type="dxa"/>
            <w:hideMark/>
          </w:tcPr>
          <w:p w14:paraId="0EE690D4"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S</w:t>
            </w:r>
            <w:r w:rsidRPr="00676B48">
              <w:rPr>
                <w:rFonts w:ascii="Verdana" w:hAnsi="Verdana" w:cs="Calibri"/>
                <w:color w:val="000000"/>
                <w:kern w:val="24"/>
                <w:sz w:val="16"/>
                <w:szCs w:val="16"/>
              </w:rPr>
              <w:t xml:space="preserve">ingle oral dose of 8 mg/kg </w:t>
            </w:r>
            <w:proofErr w:type="spellStart"/>
            <w:r w:rsidRPr="00676B48">
              <w:rPr>
                <w:rFonts w:ascii="Verdana" w:hAnsi="Verdana" w:cs="Calibri"/>
                <w:color w:val="000000"/>
                <w:kern w:val="24"/>
                <w:sz w:val="16"/>
                <w:szCs w:val="16"/>
              </w:rPr>
              <w:t>bw</w:t>
            </w:r>
            <w:proofErr w:type="spellEnd"/>
            <w:r w:rsidRPr="00676B48">
              <w:rPr>
                <w:rFonts w:ascii="Verdana" w:hAnsi="Verdana" w:cs="Calibri"/>
                <w:color w:val="000000"/>
                <w:kern w:val="24"/>
                <w:sz w:val="16"/>
                <w:szCs w:val="16"/>
              </w:rPr>
              <w:t xml:space="preserve"> of a 45% GEN formulation</w:t>
            </w:r>
          </w:p>
        </w:tc>
        <w:tc>
          <w:tcPr>
            <w:tcW w:w="2553" w:type="dxa"/>
            <w:hideMark/>
          </w:tcPr>
          <w:p w14:paraId="3E4ECB1D"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P</w:t>
            </w:r>
            <w:r w:rsidRPr="00676B48">
              <w:rPr>
                <w:rFonts w:ascii="Verdana" w:hAnsi="Verdana" w:cs="Calibri"/>
                <w:color w:val="000000"/>
                <w:kern w:val="24"/>
                <w:sz w:val="16"/>
                <w:szCs w:val="16"/>
              </w:rPr>
              <w:t>lasma</w:t>
            </w:r>
          </w:p>
        </w:tc>
        <w:tc>
          <w:tcPr>
            <w:tcW w:w="2126" w:type="dxa"/>
            <w:hideMark/>
          </w:tcPr>
          <w:p w14:paraId="6FD2F6EB"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0.26</w:t>
            </w:r>
            <w:r>
              <w:rPr>
                <w:rFonts w:ascii="Verdana" w:hAnsi="Verdana" w:cs="Calibri"/>
                <w:color w:val="000000"/>
                <w:kern w:val="24"/>
                <w:sz w:val="16"/>
                <w:szCs w:val="16"/>
              </w:rPr>
              <w:t xml:space="preserve"> ± 0.16 (mean ± SD)</w:t>
            </w:r>
          </w:p>
        </w:tc>
        <w:tc>
          <w:tcPr>
            <w:tcW w:w="992" w:type="dxa"/>
            <w:vMerge/>
            <w:hideMark/>
          </w:tcPr>
          <w:p w14:paraId="0B5777FB" w14:textId="77777777" w:rsidR="001A20CA" w:rsidRPr="00676B48" w:rsidRDefault="001A20CA" w:rsidP="00D83ECE">
            <w:pPr>
              <w:pStyle w:val="Manuscript"/>
              <w:jc w:val="left"/>
              <w:rPr>
                <w:rFonts w:ascii="Verdana" w:hAnsi="Verdana"/>
                <w:sz w:val="16"/>
                <w:szCs w:val="16"/>
              </w:rPr>
            </w:pPr>
          </w:p>
        </w:tc>
        <w:tc>
          <w:tcPr>
            <w:tcW w:w="4086" w:type="dxa"/>
            <w:hideMark/>
          </w:tcPr>
          <w:p w14:paraId="35A28D29"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1.89E-02</w:t>
            </w:r>
            <w:r>
              <w:rPr>
                <w:rFonts w:ascii="Verdana" w:hAnsi="Verdana" w:cs="Calibri"/>
                <w:color w:val="000000"/>
                <w:kern w:val="24"/>
                <w:sz w:val="16"/>
                <w:szCs w:val="16"/>
              </w:rPr>
              <w:t xml:space="preserve"> ± </w:t>
            </w:r>
            <w:r w:rsidRPr="00C56818">
              <w:rPr>
                <w:rFonts w:ascii="Verdana" w:hAnsi="Verdana" w:cs="Calibri"/>
                <w:color w:val="000000"/>
                <w:kern w:val="24"/>
                <w:sz w:val="16"/>
                <w:szCs w:val="16"/>
              </w:rPr>
              <w:t>1.16E-02</w:t>
            </w:r>
          </w:p>
        </w:tc>
      </w:tr>
      <w:tr w:rsidR="001A20CA" w:rsidRPr="00676B48" w14:paraId="1530781D" w14:textId="77777777" w:rsidTr="00D83ECE">
        <w:trPr>
          <w:trHeight w:val="391"/>
        </w:trPr>
        <w:tc>
          <w:tcPr>
            <w:tcW w:w="0" w:type="auto"/>
            <w:hideMark/>
          </w:tcPr>
          <w:p w14:paraId="11273F62" w14:textId="03594711"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"/>
                <w:id w:val="1869715862"/>
                <w:placeholder>
                  <w:docPart w:val="576C192B6B2C4DD89B529A8CD8E01A3D"/>
                </w:placeholder>
              </w:sdtPr>
              <w:sdtEndPr/>
              <w:sdtContent>
                <w:r w:rsidR="00BC42B9" w:rsidRPr="00BC42B9">
                  <w:rPr>
                    <w:rFonts w:ascii="Verdana" w:hAnsi="Verdana" w:cs="Calibri"/>
                    <w:color w:val="000000"/>
                    <w:kern w:val="24"/>
                    <w:sz w:val="16"/>
                    <w:szCs w:val="16"/>
                  </w:rPr>
                  <w:t>(</w:t>
                </w:r>
                <w:proofErr w:type="spellStart"/>
                <w:r w:rsidR="00BC42B9" w:rsidRPr="00BC42B9">
                  <w:rPr>
                    <w:rFonts w:ascii="Verdana" w:hAnsi="Verdana" w:cs="Calibri"/>
                    <w:color w:val="000000"/>
                    <w:kern w:val="24"/>
                    <w:sz w:val="16"/>
                    <w:szCs w:val="16"/>
                  </w:rPr>
                  <w:t>Metzner</w:t>
                </w:r>
                <w:proofErr w:type="spellEnd"/>
                <w:r w:rsidR="00BC42B9" w:rsidRPr="00BC42B9">
                  <w:rPr>
                    <w:rFonts w:ascii="Verdana" w:hAnsi="Verdana" w:cs="Calibri"/>
                    <w:color w:val="000000"/>
                    <w:kern w:val="24"/>
                    <w:sz w:val="16"/>
                    <w:szCs w:val="16"/>
                  </w:rPr>
                  <w:t xml:space="preserve"> et al., 2009)</w:t>
                </w:r>
              </w:sdtContent>
            </w:sdt>
          </w:p>
        </w:tc>
        <w:tc>
          <w:tcPr>
            <w:tcW w:w="0" w:type="auto"/>
            <w:hideMark/>
          </w:tcPr>
          <w:p w14:paraId="29B741F5"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Supplement intake</w:t>
            </w:r>
          </w:p>
        </w:tc>
        <w:tc>
          <w:tcPr>
            <w:tcW w:w="2567" w:type="dxa"/>
            <w:hideMark/>
          </w:tcPr>
          <w:p w14:paraId="766A260C"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R</w:t>
            </w:r>
            <w:r w:rsidRPr="00676B48">
              <w:rPr>
                <w:rFonts w:ascii="Verdana" w:hAnsi="Verdana" w:cs="Calibri"/>
                <w:color w:val="000000"/>
                <w:kern w:val="24"/>
                <w:sz w:val="16"/>
                <w:szCs w:val="16"/>
              </w:rPr>
              <w:t>epeated dose of 30 mg GEN per day for 7 days</w:t>
            </w:r>
          </w:p>
        </w:tc>
        <w:tc>
          <w:tcPr>
            <w:tcW w:w="2553" w:type="dxa"/>
            <w:hideMark/>
          </w:tcPr>
          <w:p w14:paraId="61429697"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P</w:t>
            </w:r>
            <w:r w:rsidRPr="00676B48">
              <w:rPr>
                <w:rFonts w:ascii="Verdana" w:hAnsi="Verdana" w:cs="Calibri"/>
                <w:color w:val="000000"/>
                <w:kern w:val="24"/>
                <w:sz w:val="16"/>
                <w:szCs w:val="16"/>
              </w:rPr>
              <w:t>lasma</w:t>
            </w:r>
          </w:p>
        </w:tc>
        <w:tc>
          <w:tcPr>
            <w:tcW w:w="2126" w:type="dxa"/>
            <w:hideMark/>
          </w:tcPr>
          <w:p w14:paraId="5297FEFD"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2.24E-02</w:t>
            </w:r>
            <w:r>
              <w:rPr>
                <w:rFonts w:ascii="Verdana" w:hAnsi="Verdana" w:cs="Calibri"/>
                <w:color w:val="000000"/>
                <w:kern w:val="24"/>
                <w:sz w:val="16"/>
                <w:szCs w:val="16"/>
              </w:rPr>
              <w:t xml:space="preserve"> ± </w:t>
            </w:r>
            <w:r w:rsidRPr="009935B1">
              <w:rPr>
                <w:rFonts w:ascii="Verdana" w:hAnsi="Verdana" w:cs="Calibri"/>
                <w:color w:val="000000"/>
                <w:kern w:val="24"/>
                <w:sz w:val="16"/>
                <w:szCs w:val="16"/>
              </w:rPr>
              <w:t>9.00E-03</w:t>
            </w:r>
            <w:r>
              <w:rPr>
                <w:rFonts w:ascii="Verdana" w:hAnsi="Verdana" w:cs="Calibri"/>
                <w:color w:val="000000"/>
                <w:kern w:val="24"/>
                <w:sz w:val="16"/>
                <w:szCs w:val="16"/>
              </w:rPr>
              <w:t xml:space="preserve"> (mean ± SEM)</w:t>
            </w:r>
          </w:p>
        </w:tc>
        <w:tc>
          <w:tcPr>
            <w:tcW w:w="992" w:type="dxa"/>
            <w:vMerge/>
            <w:hideMark/>
          </w:tcPr>
          <w:p w14:paraId="2C1E0B79" w14:textId="77777777" w:rsidR="001A20CA" w:rsidRPr="00676B48" w:rsidRDefault="001A20CA" w:rsidP="00D83ECE">
            <w:pPr>
              <w:pStyle w:val="Manuscript"/>
              <w:jc w:val="left"/>
              <w:rPr>
                <w:rFonts w:ascii="Verdana" w:hAnsi="Verdana"/>
                <w:sz w:val="16"/>
                <w:szCs w:val="16"/>
              </w:rPr>
            </w:pPr>
          </w:p>
        </w:tc>
        <w:tc>
          <w:tcPr>
            <w:tcW w:w="4086" w:type="dxa"/>
            <w:hideMark/>
          </w:tcPr>
          <w:p w14:paraId="17AAF973"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1.62E-03</w:t>
            </w:r>
            <w:r>
              <w:rPr>
                <w:rFonts w:ascii="Verdana" w:hAnsi="Verdana" w:cs="Calibri"/>
                <w:color w:val="000000"/>
                <w:kern w:val="24"/>
                <w:sz w:val="16"/>
                <w:szCs w:val="16"/>
              </w:rPr>
              <w:t xml:space="preserve"> ± </w:t>
            </w:r>
            <w:r w:rsidRPr="00862B93">
              <w:rPr>
                <w:rFonts w:ascii="Verdana" w:hAnsi="Verdana" w:cs="Calibri"/>
                <w:color w:val="000000"/>
                <w:kern w:val="24"/>
                <w:sz w:val="16"/>
                <w:szCs w:val="16"/>
              </w:rPr>
              <w:t>6.53E-04</w:t>
            </w:r>
          </w:p>
        </w:tc>
      </w:tr>
      <w:tr w:rsidR="001A20CA" w:rsidRPr="00676B48" w14:paraId="22B35F35" w14:textId="77777777" w:rsidTr="00D83ECE">
        <w:trPr>
          <w:trHeight w:val="391"/>
        </w:trPr>
        <w:tc>
          <w:tcPr>
            <w:tcW w:w="0" w:type="auto"/>
            <w:hideMark/>
          </w:tcPr>
          <w:p w14:paraId="7F7CA103" w14:textId="5D1E50AA"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"/>
                <w:id w:val="1871177923"/>
                <w:placeholder>
                  <w:docPart w:val="576C192B6B2C4DD89B529A8CD8E01A3D"/>
                </w:placeholder>
              </w:sdtPr>
              <w:sdtEndPr/>
              <w:sdtContent>
                <w:r w:rsidR="00BC42B9" w:rsidRPr="00BC42B9">
                  <w:rPr>
                    <w:rFonts w:ascii="Verdana" w:hAnsi="Verdana" w:cs="Calibri"/>
                    <w:color w:val="000000"/>
                    <w:kern w:val="24"/>
                    <w:sz w:val="16"/>
                    <w:szCs w:val="16"/>
                  </w:rPr>
                  <w:t>(Yuan et al., 2012)</w:t>
                </w:r>
              </w:sdtContent>
            </w:sdt>
          </w:p>
        </w:tc>
        <w:tc>
          <w:tcPr>
            <w:tcW w:w="0" w:type="auto"/>
            <w:hideMark/>
          </w:tcPr>
          <w:p w14:paraId="6B39DDEF"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Supplement intake</w:t>
            </w:r>
          </w:p>
        </w:tc>
        <w:tc>
          <w:tcPr>
            <w:tcW w:w="2567" w:type="dxa"/>
            <w:hideMark/>
          </w:tcPr>
          <w:p w14:paraId="2603FEC1"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 xml:space="preserve">4 </w:t>
            </w:r>
            <w:r>
              <w:rPr>
                <w:rFonts w:ascii="Verdana" w:hAnsi="Verdana" w:cs="Calibri"/>
                <w:color w:val="000000"/>
                <w:kern w:val="24"/>
                <w:sz w:val="16"/>
                <w:szCs w:val="16"/>
              </w:rPr>
              <w:t>m</w:t>
            </w:r>
            <w:r w:rsidRPr="00676B48">
              <w:rPr>
                <w:rFonts w:ascii="Verdana" w:hAnsi="Verdana" w:cs="Calibri"/>
                <w:color w:val="000000"/>
                <w:kern w:val="24"/>
                <w:sz w:val="16"/>
                <w:szCs w:val="16"/>
              </w:rPr>
              <w:t xml:space="preserve">g GEN twice per day for 7 days </w:t>
            </w:r>
          </w:p>
        </w:tc>
        <w:tc>
          <w:tcPr>
            <w:tcW w:w="2553" w:type="dxa"/>
            <w:hideMark/>
          </w:tcPr>
          <w:p w14:paraId="0250FF5E"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P</w:t>
            </w:r>
            <w:r w:rsidRPr="00676B48">
              <w:rPr>
                <w:rFonts w:ascii="Verdana" w:hAnsi="Verdana" w:cs="Calibri"/>
                <w:color w:val="000000"/>
                <w:kern w:val="24"/>
                <w:sz w:val="16"/>
                <w:szCs w:val="16"/>
              </w:rPr>
              <w:t>lasma</w:t>
            </w:r>
          </w:p>
        </w:tc>
        <w:tc>
          <w:tcPr>
            <w:tcW w:w="2126" w:type="dxa"/>
            <w:hideMark/>
          </w:tcPr>
          <w:p w14:paraId="78617709"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4.31E-03</w:t>
            </w:r>
            <w:r>
              <w:rPr>
                <w:rFonts w:ascii="Verdana" w:hAnsi="Verdana" w:cs="Calibri"/>
                <w:color w:val="000000"/>
                <w:kern w:val="24"/>
                <w:sz w:val="16"/>
                <w:szCs w:val="16"/>
              </w:rPr>
              <w:t xml:space="preserve"> ± </w:t>
            </w:r>
            <w:r w:rsidRPr="00862B93">
              <w:rPr>
                <w:rFonts w:ascii="Verdana" w:hAnsi="Verdana" w:cs="Calibri"/>
                <w:color w:val="000000"/>
                <w:kern w:val="24"/>
                <w:sz w:val="16"/>
                <w:szCs w:val="16"/>
              </w:rPr>
              <w:t>1.44E-03</w:t>
            </w:r>
            <w:r>
              <w:rPr>
                <w:rFonts w:ascii="Verdana" w:hAnsi="Verdana" w:cs="Calibri"/>
                <w:color w:val="000000"/>
                <w:kern w:val="24"/>
                <w:sz w:val="16"/>
                <w:szCs w:val="16"/>
              </w:rPr>
              <w:t xml:space="preserve"> (mean ± SD)</w:t>
            </w:r>
          </w:p>
        </w:tc>
        <w:tc>
          <w:tcPr>
            <w:tcW w:w="992" w:type="dxa"/>
            <w:vMerge/>
            <w:hideMark/>
          </w:tcPr>
          <w:p w14:paraId="4E2095D3" w14:textId="77777777" w:rsidR="001A20CA" w:rsidRPr="00676B48" w:rsidRDefault="001A20CA" w:rsidP="00D83ECE">
            <w:pPr>
              <w:pStyle w:val="Manuscript"/>
              <w:jc w:val="left"/>
              <w:rPr>
                <w:rFonts w:ascii="Verdana" w:hAnsi="Verdana"/>
                <w:sz w:val="16"/>
                <w:szCs w:val="16"/>
              </w:rPr>
            </w:pPr>
          </w:p>
        </w:tc>
        <w:tc>
          <w:tcPr>
            <w:tcW w:w="4086" w:type="dxa"/>
            <w:hideMark/>
          </w:tcPr>
          <w:p w14:paraId="53208C4E"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3.13E-04</w:t>
            </w:r>
            <w:r>
              <w:rPr>
                <w:rFonts w:ascii="Verdana" w:hAnsi="Verdana" w:cs="Calibri"/>
                <w:color w:val="000000"/>
                <w:kern w:val="24"/>
                <w:sz w:val="16"/>
                <w:szCs w:val="16"/>
              </w:rPr>
              <w:t xml:space="preserve"> ± </w:t>
            </w:r>
            <w:r w:rsidRPr="00441800">
              <w:rPr>
                <w:rFonts w:ascii="Verdana" w:hAnsi="Verdana" w:cs="Calibri"/>
                <w:color w:val="000000"/>
                <w:kern w:val="24"/>
                <w:sz w:val="16"/>
                <w:szCs w:val="16"/>
              </w:rPr>
              <w:t>1.04E-04</w:t>
            </w:r>
          </w:p>
        </w:tc>
      </w:tr>
      <w:tr w:rsidR="001A20CA" w:rsidRPr="00676B48" w14:paraId="3DF98387" w14:textId="77777777" w:rsidTr="00D83ECE">
        <w:trPr>
          <w:trHeight w:val="391"/>
        </w:trPr>
        <w:tc>
          <w:tcPr>
            <w:tcW w:w="0" w:type="auto"/>
            <w:hideMark/>
          </w:tcPr>
          <w:p w14:paraId="56584A0C" w14:textId="7C0CB258"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"/>
                <w:id w:val="-986401402"/>
                <w:placeholder>
                  <w:docPart w:val="576C192B6B2C4DD89B529A8CD8E01A3D"/>
                </w:placeholder>
              </w:sdtPr>
              <w:sdtEndPr/>
              <w:sdtContent>
                <w:r w:rsidR="00BC42B9" w:rsidRPr="00BC42B9">
                  <w:rPr>
                    <w:rFonts w:ascii="Verdana" w:hAnsi="Verdana" w:cs="Calibri"/>
                    <w:color w:val="000000"/>
                    <w:kern w:val="24"/>
                    <w:sz w:val="16"/>
                    <w:szCs w:val="16"/>
                  </w:rPr>
                  <w:t>(</w:t>
                </w:r>
                <w:proofErr w:type="spellStart"/>
                <w:r w:rsidR="00BC42B9" w:rsidRPr="00BC42B9">
                  <w:rPr>
                    <w:rFonts w:ascii="Verdana" w:hAnsi="Verdana" w:cs="Calibri"/>
                    <w:color w:val="000000"/>
                    <w:kern w:val="24"/>
                    <w:sz w:val="16"/>
                    <w:szCs w:val="16"/>
                  </w:rPr>
                  <w:t>Setchell</w:t>
                </w:r>
                <w:proofErr w:type="spellEnd"/>
                <w:r w:rsidR="00BC42B9" w:rsidRPr="00BC42B9">
                  <w:rPr>
                    <w:rFonts w:ascii="Verdana" w:hAnsi="Verdana" w:cs="Calibri"/>
                    <w:color w:val="000000"/>
                    <w:kern w:val="24"/>
                    <w:sz w:val="16"/>
                    <w:szCs w:val="16"/>
                  </w:rPr>
                  <w:t xml:space="preserve"> et al., 2003)</w:t>
                </w:r>
              </w:sdtContent>
            </w:sdt>
            <w:r w:rsidR="001A20CA" w:rsidRPr="00676B48">
              <w:rPr>
                <w:rFonts w:ascii="Verdana" w:hAnsi="Verdana" w:cs="Calibri"/>
                <w:color w:val="000000"/>
                <w:kern w:val="24"/>
                <w:sz w:val="16"/>
                <w:szCs w:val="16"/>
              </w:rPr>
              <w:t xml:space="preserve"> (low dose)</w:t>
            </w:r>
          </w:p>
        </w:tc>
        <w:tc>
          <w:tcPr>
            <w:tcW w:w="0" w:type="auto"/>
            <w:hideMark/>
          </w:tcPr>
          <w:p w14:paraId="141D8761"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Supplement intake</w:t>
            </w:r>
          </w:p>
        </w:tc>
        <w:tc>
          <w:tcPr>
            <w:tcW w:w="2567" w:type="dxa"/>
            <w:hideMark/>
          </w:tcPr>
          <w:p w14:paraId="4BDF3F9F"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A</w:t>
            </w:r>
            <w:r w:rsidRPr="00676B48">
              <w:rPr>
                <w:rFonts w:ascii="Verdana" w:hAnsi="Verdana" w:cs="Calibri"/>
                <w:color w:val="000000"/>
                <w:kern w:val="24"/>
                <w:sz w:val="16"/>
                <w:szCs w:val="16"/>
              </w:rPr>
              <w:t xml:space="preserve"> single dose of 0.4 mg/kg </w:t>
            </w:r>
            <w:proofErr w:type="spellStart"/>
            <w:r w:rsidRPr="00676B48">
              <w:rPr>
                <w:rFonts w:ascii="Verdana" w:hAnsi="Verdana" w:cs="Calibri"/>
                <w:color w:val="000000"/>
                <w:kern w:val="24"/>
                <w:sz w:val="16"/>
                <w:szCs w:val="16"/>
              </w:rPr>
              <w:t>bw</w:t>
            </w:r>
            <w:proofErr w:type="spellEnd"/>
            <w:r w:rsidRPr="00676B48">
              <w:rPr>
                <w:rFonts w:ascii="Verdana" w:hAnsi="Verdana" w:cs="Calibri"/>
                <w:color w:val="000000"/>
                <w:kern w:val="24"/>
                <w:sz w:val="16"/>
                <w:szCs w:val="16"/>
              </w:rPr>
              <w:t xml:space="preserve"> </w:t>
            </w:r>
          </w:p>
        </w:tc>
        <w:tc>
          <w:tcPr>
            <w:tcW w:w="2553" w:type="dxa"/>
            <w:hideMark/>
          </w:tcPr>
          <w:p w14:paraId="4E98971E"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S</w:t>
            </w:r>
            <w:r w:rsidRPr="00676B48">
              <w:rPr>
                <w:rFonts w:ascii="Verdana" w:hAnsi="Verdana" w:cs="Calibri"/>
                <w:color w:val="000000"/>
                <w:kern w:val="24"/>
                <w:sz w:val="16"/>
                <w:szCs w:val="16"/>
              </w:rPr>
              <w:t>erum</w:t>
            </w:r>
          </w:p>
        </w:tc>
        <w:tc>
          <w:tcPr>
            <w:tcW w:w="2126" w:type="dxa"/>
            <w:hideMark/>
          </w:tcPr>
          <w:p w14:paraId="4EEA4A5D"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4.95E-04</w:t>
            </w:r>
            <w:r>
              <w:rPr>
                <w:rFonts w:ascii="Verdana" w:hAnsi="Verdana" w:cs="Calibri"/>
                <w:color w:val="000000"/>
                <w:kern w:val="24"/>
                <w:sz w:val="16"/>
                <w:szCs w:val="16"/>
              </w:rPr>
              <w:t xml:space="preserve"> ± </w:t>
            </w:r>
            <w:r w:rsidRPr="00821B8B">
              <w:rPr>
                <w:rFonts w:ascii="Verdana" w:hAnsi="Verdana" w:cs="Calibri"/>
                <w:color w:val="000000"/>
                <w:kern w:val="24"/>
                <w:sz w:val="16"/>
                <w:szCs w:val="16"/>
              </w:rPr>
              <w:t>8.10E-05</w:t>
            </w:r>
            <w:r>
              <w:rPr>
                <w:rFonts w:ascii="Verdana" w:hAnsi="Verdana" w:cs="Calibri"/>
                <w:color w:val="000000"/>
                <w:kern w:val="24"/>
                <w:sz w:val="16"/>
                <w:szCs w:val="16"/>
              </w:rPr>
              <w:t xml:space="preserve"> (mean ± SEM)</w:t>
            </w:r>
          </w:p>
        </w:tc>
        <w:tc>
          <w:tcPr>
            <w:tcW w:w="992" w:type="dxa"/>
            <w:vMerge/>
            <w:hideMark/>
          </w:tcPr>
          <w:p w14:paraId="0D33C447" w14:textId="77777777" w:rsidR="001A20CA" w:rsidRPr="00676B48" w:rsidRDefault="001A20CA" w:rsidP="00D83ECE">
            <w:pPr>
              <w:pStyle w:val="Manuscript"/>
              <w:jc w:val="left"/>
              <w:rPr>
                <w:rFonts w:ascii="Verdana" w:hAnsi="Verdana"/>
                <w:sz w:val="16"/>
                <w:szCs w:val="16"/>
              </w:rPr>
            </w:pPr>
          </w:p>
        </w:tc>
        <w:tc>
          <w:tcPr>
            <w:tcW w:w="4086" w:type="dxa"/>
            <w:hideMark/>
          </w:tcPr>
          <w:p w14:paraId="15FDA040"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3.59E-05</w:t>
            </w:r>
            <w:r>
              <w:rPr>
                <w:rFonts w:ascii="Verdana" w:hAnsi="Verdana" w:cs="Calibri"/>
                <w:color w:val="000000"/>
                <w:kern w:val="24"/>
                <w:sz w:val="16"/>
                <w:szCs w:val="16"/>
              </w:rPr>
              <w:t xml:space="preserve"> ± </w:t>
            </w:r>
            <w:r w:rsidRPr="00B92670">
              <w:rPr>
                <w:rFonts w:ascii="Verdana" w:hAnsi="Verdana" w:cs="Calibri"/>
                <w:color w:val="000000"/>
                <w:kern w:val="24"/>
                <w:sz w:val="16"/>
                <w:szCs w:val="16"/>
              </w:rPr>
              <w:t>5.87E-06</w:t>
            </w:r>
          </w:p>
        </w:tc>
      </w:tr>
      <w:tr w:rsidR="001A20CA" w:rsidRPr="00676B48" w14:paraId="015BC9DB" w14:textId="77777777" w:rsidTr="00D83ECE">
        <w:trPr>
          <w:trHeight w:val="391"/>
        </w:trPr>
        <w:tc>
          <w:tcPr>
            <w:tcW w:w="0" w:type="auto"/>
            <w:hideMark/>
          </w:tcPr>
          <w:p w14:paraId="2837A870" w14:textId="5FA38950"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"/>
                <w:id w:val="-778563954"/>
                <w:placeholder>
                  <w:docPart w:val="576C192B6B2C4DD89B529A8CD8E01A3D"/>
                </w:placeholder>
              </w:sdtPr>
              <w:sdtEndPr/>
              <w:sdtContent>
                <w:r w:rsidR="00BC42B9" w:rsidRPr="00BC42B9">
                  <w:rPr>
                    <w:rFonts w:ascii="Verdana" w:hAnsi="Verdana" w:cs="Calibri"/>
                    <w:color w:val="000000"/>
                    <w:kern w:val="24"/>
                    <w:sz w:val="16"/>
                    <w:szCs w:val="16"/>
                  </w:rPr>
                  <w:t>(</w:t>
                </w:r>
                <w:proofErr w:type="spellStart"/>
                <w:r w:rsidR="00BC42B9" w:rsidRPr="00BC42B9">
                  <w:rPr>
                    <w:rFonts w:ascii="Verdana" w:hAnsi="Verdana" w:cs="Calibri"/>
                    <w:color w:val="000000"/>
                    <w:kern w:val="24"/>
                    <w:sz w:val="16"/>
                    <w:szCs w:val="16"/>
                  </w:rPr>
                  <w:t>Setchell</w:t>
                </w:r>
                <w:proofErr w:type="spellEnd"/>
                <w:r w:rsidR="00BC42B9" w:rsidRPr="00BC42B9">
                  <w:rPr>
                    <w:rFonts w:ascii="Verdana" w:hAnsi="Verdana" w:cs="Calibri"/>
                    <w:color w:val="000000"/>
                    <w:kern w:val="24"/>
                    <w:sz w:val="16"/>
                    <w:szCs w:val="16"/>
                  </w:rPr>
                  <w:t xml:space="preserve"> et al., 2003)</w:t>
                </w:r>
              </w:sdtContent>
            </w:sdt>
            <w:r w:rsidR="001A20CA" w:rsidRPr="00676B48">
              <w:rPr>
                <w:rFonts w:ascii="Verdana" w:hAnsi="Verdana" w:cs="Calibri"/>
                <w:color w:val="000000"/>
                <w:kern w:val="24"/>
                <w:sz w:val="16"/>
                <w:szCs w:val="16"/>
              </w:rPr>
              <w:t xml:space="preserve"> (low dose repeat)</w:t>
            </w:r>
          </w:p>
        </w:tc>
        <w:tc>
          <w:tcPr>
            <w:tcW w:w="0" w:type="auto"/>
            <w:hideMark/>
          </w:tcPr>
          <w:p w14:paraId="7A4594B8"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Supplement intake</w:t>
            </w:r>
          </w:p>
        </w:tc>
        <w:tc>
          <w:tcPr>
            <w:tcW w:w="2567" w:type="dxa"/>
            <w:hideMark/>
          </w:tcPr>
          <w:p w14:paraId="5A675459"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T</w:t>
            </w:r>
            <w:r w:rsidRPr="00676B48">
              <w:rPr>
                <w:rFonts w:ascii="Verdana" w:hAnsi="Verdana" w:cs="Calibri"/>
                <w:color w:val="000000"/>
                <w:kern w:val="24"/>
                <w:sz w:val="16"/>
                <w:szCs w:val="16"/>
              </w:rPr>
              <w:t xml:space="preserve">wice a dose of 0.4 mg/kg </w:t>
            </w:r>
            <w:proofErr w:type="spellStart"/>
            <w:r w:rsidRPr="00676B48">
              <w:rPr>
                <w:rFonts w:ascii="Verdana" w:hAnsi="Verdana" w:cs="Calibri"/>
                <w:color w:val="000000"/>
                <w:kern w:val="24"/>
                <w:sz w:val="16"/>
                <w:szCs w:val="16"/>
              </w:rPr>
              <w:t>bw</w:t>
            </w:r>
            <w:proofErr w:type="spellEnd"/>
            <w:r w:rsidRPr="00676B48">
              <w:rPr>
                <w:rFonts w:ascii="Verdana" w:hAnsi="Verdana" w:cs="Calibri"/>
                <w:color w:val="000000"/>
                <w:kern w:val="24"/>
                <w:sz w:val="16"/>
                <w:szCs w:val="16"/>
              </w:rPr>
              <w:t xml:space="preserve"> </w:t>
            </w:r>
          </w:p>
        </w:tc>
        <w:tc>
          <w:tcPr>
            <w:tcW w:w="2553" w:type="dxa"/>
            <w:hideMark/>
          </w:tcPr>
          <w:p w14:paraId="491BBDC3"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S</w:t>
            </w:r>
            <w:r w:rsidRPr="00676B48">
              <w:rPr>
                <w:rFonts w:ascii="Verdana" w:hAnsi="Verdana" w:cs="Calibri"/>
                <w:color w:val="000000"/>
                <w:kern w:val="24"/>
                <w:sz w:val="16"/>
                <w:szCs w:val="16"/>
              </w:rPr>
              <w:t>erum</w:t>
            </w:r>
          </w:p>
        </w:tc>
        <w:tc>
          <w:tcPr>
            <w:tcW w:w="2126" w:type="dxa"/>
          </w:tcPr>
          <w:p w14:paraId="484BBD1A"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3.69E-04</w:t>
            </w:r>
            <w:r>
              <w:rPr>
                <w:rFonts w:ascii="Verdana" w:hAnsi="Verdana" w:cs="Calibri"/>
                <w:color w:val="000000"/>
                <w:kern w:val="24"/>
                <w:sz w:val="16"/>
                <w:szCs w:val="16"/>
              </w:rPr>
              <w:t xml:space="preserve"> ± </w:t>
            </w:r>
            <w:r w:rsidRPr="003F4C60">
              <w:rPr>
                <w:rFonts w:ascii="Verdana" w:hAnsi="Verdana" w:cs="Calibri"/>
                <w:color w:val="000000"/>
                <w:kern w:val="24"/>
                <w:sz w:val="16"/>
                <w:szCs w:val="16"/>
              </w:rPr>
              <w:t>5.40E-05</w:t>
            </w:r>
            <w:r>
              <w:rPr>
                <w:rFonts w:ascii="Verdana" w:hAnsi="Verdana" w:cs="Calibri"/>
                <w:color w:val="000000"/>
                <w:kern w:val="24"/>
                <w:sz w:val="16"/>
                <w:szCs w:val="16"/>
              </w:rPr>
              <w:t xml:space="preserve"> (mean ± SEM)</w:t>
            </w:r>
          </w:p>
        </w:tc>
        <w:tc>
          <w:tcPr>
            <w:tcW w:w="992" w:type="dxa"/>
            <w:vMerge/>
            <w:hideMark/>
          </w:tcPr>
          <w:p w14:paraId="1CA2716E" w14:textId="77777777" w:rsidR="001A20CA" w:rsidRPr="00676B48" w:rsidRDefault="001A20CA" w:rsidP="00D83ECE">
            <w:pPr>
              <w:pStyle w:val="Manuscript"/>
              <w:jc w:val="left"/>
              <w:rPr>
                <w:rFonts w:ascii="Verdana" w:hAnsi="Verdana"/>
                <w:sz w:val="16"/>
                <w:szCs w:val="16"/>
              </w:rPr>
            </w:pPr>
          </w:p>
        </w:tc>
        <w:tc>
          <w:tcPr>
            <w:tcW w:w="4086" w:type="dxa"/>
          </w:tcPr>
          <w:p w14:paraId="1EE63A6A"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2.68E-05</w:t>
            </w:r>
            <w:r>
              <w:rPr>
                <w:rFonts w:ascii="Verdana" w:hAnsi="Verdana" w:cs="Calibri"/>
                <w:color w:val="000000"/>
                <w:kern w:val="24"/>
                <w:sz w:val="16"/>
                <w:szCs w:val="16"/>
              </w:rPr>
              <w:t xml:space="preserve"> ± </w:t>
            </w:r>
            <w:r w:rsidRPr="006A301A">
              <w:rPr>
                <w:rFonts w:ascii="Verdana" w:hAnsi="Verdana" w:cs="Calibri"/>
                <w:color w:val="000000"/>
                <w:kern w:val="24"/>
                <w:sz w:val="16"/>
                <w:szCs w:val="16"/>
              </w:rPr>
              <w:t>3.92E-06</w:t>
            </w:r>
          </w:p>
        </w:tc>
      </w:tr>
      <w:tr w:rsidR="001A20CA" w:rsidRPr="00676B48" w14:paraId="40722D1B" w14:textId="77777777" w:rsidTr="00D83ECE">
        <w:trPr>
          <w:trHeight w:val="391"/>
        </w:trPr>
        <w:tc>
          <w:tcPr>
            <w:tcW w:w="0" w:type="auto"/>
            <w:hideMark/>
          </w:tcPr>
          <w:p w14:paraId="395B85C4" w14:textId="5C254B82"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"/>
                <w:id w:val="-1227992115"/>
                <w:placeholder>
                  <w:docPart w:val="576C192B6B2C4DD89B529A8CD8E01A3D"/>
                </w:placeholder>
              </w:sdtPr>
              <w:sdtEndPr/>
              <w:sdtContent>
                <w:r w:rsidR="00BC42B9" w:rsidRPr="00BC42B9">
                  <w:rPr>
                    <w:rFonts w:ascii="Verdana" w:hAnsi="Verdana" w:cs="Calibri"/>
                    <w:color w:val="000000"/>
                    <w:kern w:val="24"/>
                    <w:sz w:val="16"/>
                    <w:szCs w:val="16"/>
                  </w:rPr>
                  <w:t>(</w:t>
                </w:r>
                <w:proofErr w:type="spellStart"/>
                <w:r w:rsidR="00BC42B9" w:rsidRPr="00BC42B9">
                  <w:rPr>
                    <w:rFonts w:ascii="Verdana" w:hAnsi="Verdana" w:cs="Calibri"/>
                    <w:color w:val="000000"/>
                    <w:kern w:val="24"/>
                    <w:sz w:val="16"/>
                    <w:szCs w:val="16"/>
                  </w:rPr>
                  <w:t>Setchell</w:t>
                </w:r>
                <w:proofErr w:type="spellEnd"/>
                <w:r w:rsidR="00BC42B9" w:rsidRPr="00BC42B9">
                  <w:rPr>
                    <w:rFonts w:ascii="Verdana" w:hAnsi="Verdana" w:cs="Calibri"/>
                    <w:color w:val="000000"/>
                    <w:kern w:val="24"/>
                    <w:sz w:val="16"/>
                    <w:szCs w:val="16"/>
                  </w:rPr>
                  <w:t xml:space="preserve"> et al., 2003)</w:t>
                </w:r>
              </w:sdtContent>
            </w:sdt>
            <w:r w:rsidR="001A20CA" w:rsidRPr="00676B48">
              <w:rPr>
                <w:rFonts w:ascii="Verdana" w:hAnsi="Verdana" w:cs="Calibri"/>
                <w:color w:val="000000"/>
                <w:kern w:val="24"/>
                <w:sz w:val="16"/>
                <w:szCs w:val="16"/>
              </w:rPr>
              <w:t xml:space="preserve"> (low dose after food)</w:t>
            </w:r>
          </w:p>
        </w:tc>
        <w:tc>
          <w:tcPr>
            <w:tcW w:w="0" w:type="auto"/>
            <w:hideMark/>
          </w:tcPr>
          <w:p w14:paraId="07277451"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Supplement intake</w:t>
            </w:r>
          </w:p>
        </w:tc>
        <w:tc>
          <w:tcPr>
            <w:tcW w:w="2567" w:type="dxa"/>
            <w:hideMark/>
          </w:tcPr>
          <w:p w14:paraId="0FA60AA4"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A</w:t>
            </w:r>
            <w:r w:rsidRPr="00676B48">
              <w:rPr>
                <w:rFonts w:ascii="Verdana" w:hAnsi="Verdana" w:cs="Calibri"/>
                <w:color w:val="000000"/>
                <w:kern w:val="24"/>
                <w:sz w:val="16"/>
                <w:szCs w:val="16"/>
              </w:rPr>
              <w:t xml:space="preserve"> single dose of 0.4 mg/kg </w:t>
            </w:r>
            <w:proofErr w:type="spellStart"/>
            <w:r w:rsidRPr="00676B48">
              <w:rPr>
                <w:rFonts w:ascii="Verdana" w:hAnsi="Verdana" w:cs="Calibri"/>
                <w:color w:val="000000"/>
                <w:kern w:val="24"/>
                <w:sz w:val="16"/>
                <w:szCs w:val="16"/>
              </w:rPr>
              <w:t>bw</w:t>
            </w:r>
            <w:proofErr w:type="spellEnd"/>
            <w:r w:rsidRPr="00676B48">
              <w:rPr>
                <w:rFonts w:ascii="Verdana" w:hAnsi="Verdana" w:cs="Calibri"/>
                <w:color w:val="000000"/>
                <w:kern w:val="24"/>
                <w:sz w:val="16"/>
                <w:szCs w:val="16"/>
              </w:rPr>
              <w:t xml:space="preserve"> and another low dose after 1 week of daily soymilk consumption containing 50 mg natural isoflavones </w:t>
            </w:r>
          </w:p>
        </w:tc>
        <w:tc>
          <w:tcPr>
            <w:tcW w:w="2553" w:type="dxa"/>
            <w:hideMark/>
          </w:tcPr>
          <w:p w14:paraId="6FF2E66E"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S</w:t>
            </w:r>
            <w:r w:rsidRPr="00676B48">
              <w:rPr>
                <w:rFonts w:ascii="Verdana" w:hAnsi="Verdana" w:cs="Calibri"/>
                <w:color w:val="000000"/>
                <w:kern w:val="24"/>
                <w:sz w:val="16"/>
                <w:szCs w:val="16"/>
              </w:rPr>
              <w:t>erum</w:t>
            </w:r>
          </w:p>
        </w:tc>
        <w:tc>
          <w:tcPr>
            <w:tcW w:w="2126" w:type="dxa"/>
          </w:tcPr>
          <w:p w14:paraId="547EF449"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3.87E-04</w:t>
            </w:r>
            <w:r>
              <w:rPr>
                <w:rFonts w:ascii="Verdana" w:hAnsi="Verdana" w:cs="Calibri"/>
                <w:color w:val="000000"/>
                <w:kern w:val="24"/>
                <w:sz w:val="16"/>
                <w:szCs w:val="16"/>
              </w:rPr>
              <w:t xml:space="preserve"> ± </w:t>
            </w:r>
            <w:r w:rsidRPr="003F4C60">
              <w:rPr>
                <w:rFonts w:ascii="Verdana" w:hAnsi="Verdana" w:cs="Calibri"/>
                <w:color w:val="000000"/>
                <w:kern w:val="24"/>
                <w:sz w:val="16"/>
                <w:szCs w:val="16"/>
              </w:rPr>
              <w:t>6.30E-05</w:t>
            </w:r>
            <w:r>
              <w:rPr>
                <w:rFonts w:ascii="Verdana" w:hAnsi="Verdana" w:cs="Calibri"/>
                <w:color w:val="000000"/>
                <w:kern w:val="24"/>
                <w:sz w:val="16"/>
                <w:szCs w:val="16"/>
              </w:rPr>
              <w:t xml:space="preserve"> (mean ± SEM)</w:t>
            </w:r>
          </w:p>
        </w:tc>
        <w:tc>
          <w:tcPr>
            <w:tcW w:w="992" w:type="dxa"/>
            <w:vMerge/>
            <w:hideMark/>
          </w:tcPr>
          <w:p w14:paraId="256E64C5" w14:textId="77777777" w:rsidR="001A20CA" w:rsidRPr="00676B48" w:rsidRDefault="001A20CA" w:rsidP="00D83ECE">
            <w:pPr>
              <w:pStyle w:val="Manuscript"/>
              <w:jc w:val="left"/>
              <w:rPr>
                <w:rFonts w:ascii="Verdana" w:hAnsi="Verdana"/>
                <w:sz w:val="16"/>
                <w:szCs w:val="16"/>
              </w:rPr>
            </w:pPr>
          </w:p>
        </w:tc>
        <w:tc>
          <w:tcPr>
            <w:tcW w:w="4086" w:type="dxa"/>
          </w:tcPr>
          <w:p w14:paraId="171CA1A6"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2.81E-05</w:t>
            </w:r>
            <w:r>
              <w:rPr>
                <w:rFonts w:ascii="Verdana" w:hAnsi="Verdana" w:cs="Calibri"/>
                <w:color w:val="000000"/>
                <w:kern w:val="24"/>
                <w:sz w:val="16"/>
                <w:szCs w:val="16"/>
              </w:rPr>
              <w:t xml:space="preserve"> ± </w:t>
            </w:r>
            <w:r w:rsidRPr="006A301A">
              <w:rPr>
                <w:rFonts w:ascii="Verdana" w:hAnsi="Verdana" w:cs="Calibri"/>
                <w:color w:val="000000"/>
                <w:kern w:val="24"/>
                <w:sz w:val="16"/>
                <w:szCs w:val="16"/>
              </w:rPr>
              <w:t>4.57E-06</w:t>
            </w:r>
          </w:p>
        </w:tc>
      </w:tr>
      <w:tr w:rsidR="001A20CA" w:rsidRPr="00676B48" w14:paraId="0309A4C5" w14:textId="77777777" w:rsidTr="00D83ECE">
        <w:trPr>
          <w:trHeight w:val="391"/>
        </w:trPr>
        <w:tc>
          <w:tcPr>
            <w:tcW w:w="0" w:type="auto"/>
            <w:hideMark/>
          </w:tcPr>
          <w:p w14:paraId="77392971" w14:textId="58C20F60"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"/>
                <w:id w:val="1098607138"/>
                <w:placeholder>
                  <w:docPart w:val="576C192B6B2C4DD89B529A8CD8E01A3D"/>
                </w:placeholder>
              </w:sdtPr>
              <w:sdtEndPr/>
              <w:sdtContent>
                <w:r w:rsidR="00BC42B9" w:rsidRPr="00BC42B9">
                  <w:rPr>
                    <w:rFonts w:ascii="Verdana" w:hAnsi="Verdana" w:cs="Calibri"/>
                    <w:color w:val="000000"/>
                    <w:kern w:val="24"/>
                    <w:sz w:val="16"/>
                    <w:szCs w:val="16"/>
                  </w:rPr>
                  <w:t>(</w:t>
                </w:r>
                <w:proofErr w:type="spellStart"/>
                <w:r w:rsidR="00BC42B9" w:rsidRPr="00BC42B9">
                  <w:rPr>
                    <w:rFonts w:ascii="Verdana" w:hAnsi="Verdana" w:cs="Calibri"/>
                    <w:color w:val="000000"/>
                    <w:kern w:val="24"/>
                    <w:sz w:val="16"/>
                    <w:szCs w:val="16"/>
                  </w:rPr>
                  <w:t>Setchell</w:t>
                </w:r>
                <w:proofErr w:type="spellEnd"/>
                <w:r w:rsidR="00BC42B9" w:rsidRPr="00BC42B9">
                  <w:rPr>
                    <w:rFonts w:ascii="Verdana" w:hAnsi="Verdana" w:cs="Calibri"/>
                    <w:color w:val="000000"/>
                    <w:kern w:val="24"/>
                    <w:sz w:val="16"/>
                    <w:szCs w:val="16"/>
                  </w:rPr>
                  <w:t xml:space="preserve"> et al., 2003)</w:t>
                </w:r>
              </w:sdtContent>
            </w:sdt>
            <w:r w:rsidR="001A20CA" w:rsidRPr="00676B48">
              <w:rPr>
                <w:rFonts w:ascii="Verdana" w:hAnsi="Verdana" w:cs="Calibri"/>
                <w:color w:val="000000"/>
                <w:kern w:val="24"/>
                <w:sz w:val="16"/>
                <w:szCs w:val="16"/>
              </w:rPr>
              <w:t xml:space="preserve"> (moderate dose)</w:t>
            </w:r>
          </w:p>
        </w:tc>
        <w:tc>
          <w:tcPr>
            <w:tcW w:w="0" w:type="auto"/>
            <w:hideMark/>
          </w:tcPr>
          <w:p w14:paraId="66F7BC93"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Supplement intake</w:t>
            </w:r>
          </w:p>
        </w:tc>
        <w:tc>
          <w:tcPr>
            <w:tcW w:w="2567" w:type="dxa"/>
            <w:hideMark/>
          </w:tcPr>
          <w:p w14:paraId="490A3C3A"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A</w:t>
            </w:r>
            <w:r w:rsidRPr="00676B48">
              <w:rPr>
                <w:rFonts w:ascii="Verdana" w:hAnsi="Verdana" w:cs="Calibri"/>
                <w:color w:val="000000"/>
                <w:kern w:val="24"/>
                <w:sz w:val="16"/>
                <w:szCs w:val="16"/>
              </w:rPr>
              <w:t xml:space="preserve"> single dose of 0.8 mg/kg </w:t>
            </w:r>
          </w:p>
        </w:tc>
        <w:tc>
          <w:tcPr>
            <w:tcW w:w="2553" w:type="dxa"/>
            <w:hideMark/>
          </w:tcPr>
          <w:p w14:paraId="28B55B55"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S</w:t>
            </w:r>
            <w:r w:rsidRPr="00676B48">
              <w:rPr>
                <w:rFonts w:ascii="Verdana" w:hAnsi="Verdana" w:cs="Calibri"/>
                <w:color w:val="000000"/>
                <w:kern w:val="24"/>
                <w:sz w:val="16"/>
                <w:szCs w:val="16"/>
              </w:rPr>
              <w:t>erum</w:t>
            </w:r>
          </w:p>
        </w:tc>
        <w:tc>
          <w:tcPr>
            <w:tcW w:w="2126" w:type="dxa"/>
            <w:hideMark/>
          </w:tcPr>
          <w:p w14:paraId="507D92AF"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7.83E-04</w:t>
            </w:r>
            <w:r>
              <w:rPr>
                <w:rFonts w:ascii="Verdana" w:hAnsi="Verdana" w:cs="Calibri"/>
                <w:color w:val="000000"/>
                <w:kern w:val="24"/>
                <w:sz w:val="16"/>
                <w:szCs w:val="16"/>
              </w:rPr>
              <w:t xml:space="preserve"> ± </w:t>
            </w:r>
            <w:r w:rsidRPr="003F4C60">
              <w:rPr>
                <w:rFonts w:ascii="Verdana" w:hAnsi="Verdana" w:cs="Calibri"/>
                <w:color w:val="000000"/>
                <w:kern w:val="24"/>
                <w:sz w:val="16"/>
                <w:szCs w:val="16"/>
              </w:rPr>
              <w:t xml:space="preserve">1.26E-04 </w:t>
            </w:r>
            <w:r>
              <w:rPr>
                <w:rFonts w:ascii="Verdana" w:hAnsi="Verdana" w:cs="Calibri"/>
                <w:color w:val="000000"/>
                <w:kern w:val="24"/>
                <w:sz w:val="16"/>
                <w:szCs w:val="16"/>
              </w:rPr>
              <w:t>(mean ± SEM)</w:t>
            </w:r>
          </w:p>
        </w:tc>
        <w:tc>
          <w:tcPr>
            <w:tcW w:w="992" w:type="dxa"/>
            <w:vMerge/>
            <w:hideMark/>
          </w:tcPr>
          <w:p w14:paraId="7C71365C" w14:textId="77777777" w:rsidR="001A20CA" w:rsidRPr="00676B48" w:rsidRDefault="001A20CA" w:rsidP="00D83ECE">
            <w:pPr>
              <w:pStyle w:val="Manuscript"/>
              <w:jc w:val="left"/>
              <w:rPr>
                <w:rFonts w:ascii="Verdana" w:hAnsi="Verdana"/>
                <w:sz w:val="16"/>
                <w:szCs w:val="16"/>
              </w:rPr>
            </w:pPr>
          </w:p>
        </w:tc>
        <w:tc>
          <w:tcPr>
            <w:tcW w:w="4086" w:type="dxa"/>
            <w:hideMark/>
          </w:tcPr>
          <w:p w14:paraId="1E3F721E"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5.68E-05</w:t>
            </w:r>
            <w:r>
              <w:rPr>
                <w:rFonts w:ascii="Verdana" w:hAnsi="Verdana" w:cs="Calibri"/>
                <w:color w:val="000000"/>
                <w:kern w:val="24"/>
                <w:sz w:val="16"/>
                <w:szCs w:val="16"/>
              </w:rPr>
              <w:t xml:space="preserve"> ± </w:t>
            </w:r>
            <w:r w:rsidRPr="00647807">
              <w:rPr>
                <w:rFonts w:ascii="Verdana" w:hAnsi="Verdana" w:cs="Calibri"/>
                <w:color w:val="000000"/>
                <w:kern w:val="24"/>
                <w:sz w:val="16"/>
                <w:szCs w:val="16"/>
              </w:rPr>
              <w:t>9.14E-06</w:t>
            </w:r>
          </w:p>
        </w:tc>
      </w:tr>
      <w:tr w:rsidR="001A20CA" w:rsidRPr="00676B48" w14:paraId="6BADE26E" w14:textId="77777777" w:rsidTr="00D83ECE">
        <w:trPr>
          <w:trHeight w:val="391"/>
        </w:trPr>
        <w:tc>
          <w:tcPr>
            <w:tcW w:w="0" w:type="auto"/>
            <w:hideMark/>
          </w:tcPr>
          <w:p w14:paraId="2402D210" w14:textId="3BBE8881" w:rsidR="001A20CA" w:rsidRPr="00676B48" w:rsidRDefault="009028D0" w:rsidP="00D83ECE">
            <w:pPr>
              <w:pStyle w:val="Manuscript"/>
              <w:jc w:val="left"/>
              <w:rPr>
                <w:rFonts w:ascii="Verdana" w:hAnsi="Verdana"/>
                <w:sz w:val="16"/>
                <w:szCs w:val="16"/>
              </w:rPr>
            </w:pPr>
            <w:sdt>
              <w:sdtPr>
                <w:rPr>
                  <w:rFonts w:ascii="Verdana" w:hAnsi="Verdana" w:cs="Calibri"/>
                  <w:color w:val="000000"/>
                  <w:kern w:val="24"/>
                  <w:sz w:val="16"/>
                  <w:szCs w:val="16"/>
                </w:rPr>
                <w:tag w:val="MENDELEY_CITATION_v3_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"/>
                <w:id w:val="1130057691"/>
                <w:placeholder>
                  <w:docPart w:val="576C192B6B2C4DD89B529A8CD8E01A3D"/>
                </w:placeholder>
              </w:sdtPr>
              <w:sdtEndPr/>
              <w:sdtContent>
                <w:r w:rsidR="00BC42B9" w:rsidRPr="00BC42B9">
                  <w:rPr>
                    <w:rFonts w:ascii="Verdana" w:hAnsi="Verdana" w:cs="Calibri"/>
                    <w:color w:val="000000"/>
                    <w:kern w:val="24"/>
                    <w:sz w:val="16"/>
                    <w:szCs w:val="16"/>
                  </w:rPr>
                  <w:t>(</w:t>
                </w:r>
                <w:proofErr w:type="spellStart"/>
                <w:r w:rsidR="00BC42B9" w:rsidRPr="00BC42B9">
                  <w:rPr>
                    <w:rFonts w:ascii="Verdana" w:hAnsi="Verdana" w:cs="Calibri"/>
                    <w:color w:val="000000"/>
                    <w:kern w:val="24"/>
                    <w:sz w:val="16"/>
                    <w:szCs w:val="16"/>
                  </w:rPr>
                  <w:t>Setchell</w:t>
                </w:r>
                <w:proofErr w:type="spellEnd"/>
                <w:r w:rsidR="00BC42B9" w:rsidRPr="00BC42B9">
                  <w:rPr>
                    <w:rFonts w:ascii="Verdana" w:hAnsi="Verdana" w:cs="Calibri"/>
                    <w:color w:val="000000"/>
                    <w:kern w:val="24"/>
                    <w:sz w:val="16"/>
                    <w:szCs w:val="16"/>
                  </w:rPr>
                  <w:t xml:space="preserve"> et al., 2011)</w:t>
                </w:r>
              </w:sdtContent>
            </w:sdt>
          </w:p>
        </w:tc>
        <w:tc>
          <w:tcPr>
            <w:tcW w:w="0" w:type="auto"/>
            <w:hideMark/>
          </w:tcPr>
          <w:p w14:paraId="1B418802"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Supplement intake</w:t>
            </w:r>
          </w:p>
        </w:tc>
        <w:tc>
          <w:tcPr>
            <w:tcW w:w="2567" w:type="dxa"/>
            <w:hideMark/>
          </w:tcPr>
          <w:p w14:paraId="3C0B7730"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A</w:t>
            </w:r>
            <w:r w:rsidRPr="00676B48">
              <w:rPr>
                <w:rFonts w:ascii="Verdana" w:hAnsi="Verdana" w:cs="Calibri"/>
                <w:color w:val="000000"/>
                <w:kern w:val="24"/>
                <w:sz w:val="16"/>
                <w:szCs w:val="16"/>
              </w:rPr>
              <w:t xml:space="preserve"> single oral dose of 50 mg GEN</w:t>
            </w:r>
          </w:p>
        </w:tc>
        <w:tc>
          <w:tcPr>
            <w:tcW w:w="2553" w:type="dxa"/>
            <w:hideMark/>
          </w:tcPr>
          <w:p w14:paraId="1EE84AB3" w14:textId="77777777" w:rsidR="001A20CA" w:rsidRPr="00676B48" w:rsidRDefault="001A20CA" w:rsidP="00D83ECE">
            <w:pPr>
              <w:pStyle w:val="Manuscript"/>
              <w:jc w:val="left"/>
              <w:rPr>
                <w:rFonts w:ascii="Verdana" w:hAnsi="Verdana"/>
                <w:sz w:val="16"/>
                <w:szCs w:val="16"/>
              </w:rPr>
            </w:pPr>
            <w:r>
              <w:rPr>
                <w:rFonts w:ascii="Verdana" w:hAnsi="Verdana" w:cs="Calibri"/>
                <w:color w:val="000000"/>
                <w:kern w:val="24"/>
                <w:sz w:val="16"/>
                <w:szCs w:val="16"/>
              </w:rPr>
              <w:t>P</w:t>
            </w:r>
            <w:r w:rsidRPr="00676B48">
              <w:rPr>
                <w:rFonts w:ascii="Verdana" w:hAnsi="Verdana" w:cs="Calibri"/>
                <w:color w:val="000000"/>
                <w:kern w:val="24"/>
                <w:sz w:val="16"/>
                <w:szCs w:val="16"/>
              </w:rPr>
              <w:t>lasma</w:t>
            </w:r>
          </w:p>
        </w:tc>
        <w:tc>
          <w:tcPr>
            <w:tcW w:w="2126" w:type="dxa"/>
          </w:tcPr>
          <w:p w14:paraId="50867BD5"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1.92E-02</w:t>
            </w:r>
            <w:r>
              <w:rPr>
                <w:rFonts w:ascii="Verdana" w:hAnsi="Verdana" w:cs="Calibri"/>
                <w:color w:val="000000"/>
                <w:kern w:val="24"/>
                <w:sz w:val="16"/>
                <w:szCs w:val="16"/>
              </w:rPr>
              <w:t xml:space="preserve"> ± </w:t>
            </w:r>
            <w:r w:rsidRPr="006A301A">
              <w:rPr>
                <w:rFonts w:ascii="Verdana" w:hAnsi="Verdana" w:cs="Calibri"/>
                <w:color w:val="000000"/>
                <w:kern w:val="24"/>
                <w:sz w:val="16"/>
                <w:szCs w:val="16"/>
              </w:rPr>
              <w:t>2.96E-03</w:t>
            </w:r>
            <w:r>
              <w:rPr>
                <w:rFonts w:ascii="Verdana" w:hAnsi="Verdana" w:cs="Calibri"/>
                <w:color w:val="000000"/>
                <w:kern w:val="24"/>
                <w:sz w:val="16"/>
                <w:szCs w:val="16"/>
              </w:rPr>
              <w:t>(mean ± SEM)</w:t>
            </w:r>
          </w:p>
        </w:tc>
        <w:tc>
          <w:tcPr>
            <w:tcW w:w="992" w:type="dxa"/>
            <w:vMerge/>
            <w:hideMark/>
          </w:tcPr>
          <w:p w14:paraId="52498D2B" w14:textId="77777777" w:rsidR="001A20CA" w:rsidRPr="00676B48" w:rsidRDefault="001A20CA" w:rsidP="00D83ECE">
            <w:pPr>
              <w:pStyle w:val="Manuscript"/>
              <w:jc w:val="left"/>
              <w:rPr>
                <w:rFonts w:ascii="Verdana" w:hAnsi="Verdana"/>
                <w:sz w:val="16"/>
                <w:szCs w:val="16"/>
              </w:rPr>
            </w:pPr>
          </w:p>
        </w:tc>
        <w:tc>
          <w:tcPr>
            <w:tcW w:w="4086" w:type="dxa"/>
            <w:hideMark/>
          </w:tcPr>
          <w:p w14:paraId="6AB98EF3" w14:textId="77777777" w:rsidR="001A20CA" w:rsidRPr="00676B48" w:rsidRDefault="001A20CA" w:rsidP="00D83ECE">
            <w:pPr>
              <w:pStyle w:val="Manuscript"/>
              <w:jc w:val="left"/>
              <w:rPr>
                <w:rFonts w:ascii="Verdana" w:hAnsi="Verdana"/>
                <w:sz w:val="16"/>
                <w:szCs w:val="16"/>
              </w:rPr>
            </w:pPr>
            <w:r w:rsidRPr="00676B48">
              <w:rPr>
                <w:rFonts w:ascii="Verdana" w:hAnsi="Verdana" w:cs="Calibri"/>
                <w:color w:val="000000"/>
                <w:kern w:val="24"/>
                <w:sz w:val="16"/>
                <w:szCs w:val="16"/>
              </w:rPr>
              <w:t>1.39E-03</w:t>
            </w:r>
            <w:r>
              <w:rPr>
                <w:rFonts w:ascii="Verdana" w:hAnsi="Verdana" w:cs="Calibri"/>
                <w:color w:val="000000"/>
                <w:kern w:val="24"/>
                <w:sz w:val="16"/>
                <w:szCs w:val="16"/>
              </w:rPr>
              <w:t xml:space="preserve"> ± </w:t>
            </w:r>
            <w:r w:rsidRPr="00647807">
              <w:rPr>
                <w:rFonts w:ascii="Verdana" w:hAnsi="Verdana" w:cs="Calibri"/>
                <w:color w:val="000000"/>
                <w:kern w:val="24"/>
                <w:sz w:val="16"/>
                <w:szCs w:val="16"/>
              </w:rPr>
              <w:t>2.15E-04</w:t>
            </w:r>
          </w:p>
        </w:tc>
      </w:tr>
    </w:tbl>
    <w:p w14:paraId="070AA0D0" w14:textId="19EF9398" w:rsidR="004A0125" w:rsidRDefault="004A0125"/>
    <w:p w14:paraId="2367FFC8" w14:textId="7178879E" w:rsidR="00886106" w:rsidRPr="00676B48" w:rsidRDefault="00886106" w:rsidP="00886106">
      <w:pPr>
        <w:pStyle w:val="Manuscript"/>
        <w:jc w:val="left"/>
        <w:rPr>
          <w:rFonts w:ascii="Verdana" w:hAnsi="Verdana"/>
          <w:sz w:val="16"/>
          <w:szCs w:val="16"/>
        </w:rPr>
      </w:pPr>
      <w:r w:rsidRPr="00676B48">
        <w:rPr>
          <w:rFonts w:ascii="Verdana" w:hAnsi="Verdana"/>
          <w:sz w:val="16"/>
          <w:szCs w:val="16"/>
          <w:vertAlign w:val="superscript"/>
        </w:rPr>
        <w:t xml:space="preserve">1 </w:t>
      </w:r>
      <w:r w:rsidRPr="007B65EB">
        <w:t xml:space="preserve">As derived from </w:t>
      </w:r>
      <w:sdt>
        <w:sdtPr>
          <w:rPr>
            <w:color w:val="000000"/>
          </w:rPr>
          <w:tag w:val="MENDELEY_CITATION_v3_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"/>
          <w:id w:val="-1739546129"/>
          <w:placeholder>
            <w:docPart w:val="DefaultPlaceholder_-1854013440"/>
          </w:placeholder>
        </w:sdtPr>
        <w:sdtEndPr/>
        <w:sdtContent>
          <w:r w:rsidR="00BC42B9" w:rsidRPr="00BC42B9">
            <w:rPr>
              <w:color w:val="000000"/>
            </w:rPr>
            <w:t>(Becker et al., 2015)</w:t>
          </w:r>
        </w:sdtContent>
      </w:sdt>
      <w:r w:rsidRPr="007B65EB">
        <w:t>.</w:t>
      </w:r>
    </w:p>
    <w:p w14:paraId="67CC592C" w14:textId="77777777" w:rsidR="00886106" w:rsidRDefault="00886106" w:rsidP="00886106">
      <w:pPr>
        <w:pStyle w:val="Manuscript"/>
        <w:jc w:val="left"/>
        <w:rPr>
          <w:rFonts w:ascii="Verdana" w:hAnsi="Verdana"/>
          <w:sz w:val="16"/>
          <w:szCs w:val="16"/>
        </w:rPr>
      </w:pPr>
      <w:r w:rsidRPr="00676B48">
        <w:rPr>
          <w:rFonts w:ascii="Verdana" w:hAnsi="Verdana"/>
          <w:sz w:val="16"/>
          <w:szCs w:val="16"/>
          <w:vertAlign w:val="superscript"/>
        </w:rPr>
        <w:t xml:space="preserve">2 </w:t>
      </w:r>
      <w:r w:rsidRPr="00FF6636">
        <w:t xml:space="preserve">Serum concentration were assumed to be equal to plasma </w:t>
      </w:r>
      <w:r w:rsidRPr="007B65EB">
        <w:t>concentrations</w:t>
      </w:r>
      <w:r w:rsidRPr="00FF6636">
        <w:t>.</w:t>
      </w:r>
      <w:r w:rsidRPr="00676B48">
        <w:rPr>
          <w:rFonts w:ascii="Verdana" w:hAnsi="Verdana"/>
          <w:sz w:val="16"/>
          <w:szCs w:val="16"/>
        </w:rPr>
        <w:t xml:space="preserve"> </w:t>
      </w:r>
    </w:p>
    <w:p w14:paraId="16FDDD94" w14:textId="0F3BDDD8" w:rsidR="001A20CA" w:rsidRDefault="001A20CA">
      <w:r>
        <w:br w:type="page"/>
      </w:r>
    </w:p>
    <w:p w14:paraId="084791D6" w14:textId="77777777" w:rsidR="001A20CA" w:rsidRDefault="001A20CA">
      <w:pPr>
        <w:sectPr w:rsidR="001A20CA" w:rsidSect="001A20CA">
          <w:pgSz w:w="16838" w:h="11906" w:orient="landscape"/>
          <w:pgMar w:top="1418" w:right="1418" w:bottom="1418" w:left="1418" w:header="720" w:footer="720" w:gutter="0"/>
          <w:cols w:space="720"/>
          <w:docGrid w:linePitch="360"/>
        </w:sectPr>
      </w:pPr>
    </w:p>
    <w:p w14:paraId="06BA510F" w14:textId="67268492" w:rsidR="001A20CA" w:rsidRDefault="001A20CA"/>
    <w:p w14:paraId="72542A76" w14:textId="32576BB4" w:rsidR="001A20CA" w:rsidRDefault="001A20CA" w:rsidP="001A20CA">
      <w:pPr>
        <w:pStyle w:val="Heading1"/>
      </w:pPr>
      <w:r>
        <w:t xml:space="preserve">Supplementary </w:t>
      </w:r>
      <w:r w:rsidR="00410211">
        <w:t>material</w:t>
      </w:r>
      <w:r>
        <w:t xml:space="preserve"> S2. BMC analysis </w:t>
      </w:r>
    </w:p>
    <w:p w14:paraId="21EDE3E2" w14:textId="7EDC6109" w:rsidR="001A20CA" w:rsidRDefault="001A20CA" w:rsidP="001A20CA">
      <w:pPr>
        <w:pStyle w:val="Report"/>
        <w:spacing w:line="480" w:lineRule="auto"/>
        <w:jc w:val="both"/>
      </w:pPr>
      <w:r>
        <w:t xml:space="preserve">The benchmark concentration (BMC) analysis of GEN was performed based on the </w:t>
      </w:r>
      <w:r w:rsidRPr="007A1329">
        <w:rPr>
          <w:i/>
          <w:iCs/>
        </w:rPr>
        <w:t>in vitro</w:t>
      </w:r>
      <w:r>
        <w:rPr>
          <w:i/>
          <w:iCs/>
        </w:rPr>
        <w:t xml:space="preserve"> </w:t>
      </w:r>
      <w:r>
        <w:t>concentration response data reported by Wang et al.</w:t>
      </w:r>
      <w:r w:rsidR="00DF794E">
        <w:t xml:space="preserve"> (2014</w:t>
      </w:r>
      <w:r>
        <w:t>)</w:t>
      </w:r>
      <w:r>
        <w:rPr>
          <w:rFonts w:eastAsia="Calibri"/>
        </w:rPr>
        <w:t>,</w:t>
      </w:r>
      <w:r>
        <w:t xml:space="preserve"> using BMDS3.2.1 software (U.S. EPA). The benchmark response (BMR) was defined as a 5% extra response (BMR</w:t>
      </w:r>
      <w:r>
        <w:rPr>
          <w:sz w:val="15"/>
          <w:szCs w:val="15"/>
        </w:rPr>
        <w:t>05</w:t>
      </w:r>
      <w:r>
        <w:t xml:space="preserve">). </w:t>
      </w:r>
      <w:r w:rsidRPr="005F4C3F">
        <w:rPr>
          <w:rFonts w:eastAsia="Calibri"/>
        </w:rPr>
        <w:t>The BMC</w:t>
      </w:r>
      <w:r w:rsidRPr="005F4C3F">
        <w:rPr>
          <w:rFonts w:eastAsia="Calibri"/>
          <w:sz w:val="13"/>
          <w:szCs w:val="13"/>
        </w:rPr>
        <w:t>05</w:t>
      </w:r>
      <w:r w:rsidRPr="005F4C3F">
        <w:rPr>
          <w:rFonts w:eastAsia="Calibri"/>
        </w:rPr>
        <w:t xml:space="preserve"> and its upper (BMCU</w:t>
      </w:r>
      <w:r w:rsidRPr="005F4C3F">
        <w:rPr>
          <w:rFonts w:eastAsia="Calibri"/>
          <w:sz w:val="13"/>
          <w:szCs w:val="13"/>
        </w:rPr>
        <w:t>05</w:t>
      </w:r>
      <w:r w:rsidRPr="005F4C3F">
        <w:rPr>
          <w:rFonts w:eastAsia="Calibri"/>
        </w:rPr>
        <w:t>) and lower (BMCL</w:t>
      </w:r>
      <w:r w:rsidRPr="005F4C3F">
        <w:rPr>
          <w:rFonts w:eastAsia="Calibri"/>
          <w:sz w:val="13"/>
          <w:szCs w:val="13"/>
        </w:rPr>
        <w:t>05</w:t>
      </w:r>
      <w:r w:rsidRPr="005F4C3F">
        <w:rPr>
          <w:rFonts w:eastAsia="Calibri"/>
        </w:rPr>
        <w:t xml:space="preserve">) 95% confidence interval were </w:t>
      </w:r>
      <w:r>
        <w:rPr>
          <w:rFonts w:eastAsia="Calibri"/>
        </w:rPr>
        <w:t xml:space="preserve">also </w:t>
      </w:r>
      <w:r w:rsidRPr="005F4C3F">
        <w:rPr>
          <w:rFonts w:eastAsia="Calibri"/>
        </w:rPr>
        <w:t>determined.</w:t>
      </w:r>
      <w:r>
        <w:t xml:space="preserve"> The model was accepted when the fitted model had a p-value &gt; 0.01, a</w:t>
      </w:r>
      <w:r w:rsidRPr="00DF1B03">
        <w:t xml:space="preserve"> </w:t>
      </w:r>
      <w:r>
        <w:t>BMDU</w:t>
      </w:r>
      <w:r>
        <w:rPr>
          <w:vertAlign w:val="subscript"/>
        </w:rPr>
        <w:t>05</w:t>
      </w:r>
      <w:r>
        <w:t>: BMDL</w:t>
      </w:r>
      <w:r>
        <w:rPr>
          <w:vertAlign w:val="subscript"/>
        </w:rPr>
        <w:t xml:space="preserve">05 </w:t>
      </w:r>
      <w:r>
        <w:t>ratio (precision factor)</w:t>
      </w:r>
      <w:r w:rsidRPr="00CA1DAA">
        <w:t xml:space="preserve"> </w:t>
      </w:r>
      <w:r>
        <w:t>below 3, or the lowest AIC, indicating support for a concentration response.</w:t>
      </w:r>
      <w:r w:rsidRPr="00ED7CE9">
        <w:rPr>
          <w:rFonts w:eastAsia="Calibri"/>
        </w:rPr>
        <w:t xml:space="preserve"> </w:t>
      </w:r>
    </w:p>
    <w:p w14:paraId="3E4C280C" w14:textId="454DEC74" w:rsidR="001A20CA" w:rsidRPr="00B63A76" w:rsidRDefault="001A20CA" w:rsidP="001A20CA">
      <w:pPr>
        <w:pStyle w:val="Heading2"/>
      </w:pPr>
      <w:r>
        <w:t xml:space="preserve">Supplementary </w:t>
      </w:r>
      <w:r w:rsidR="00410211">
        <w:t>m</w:t>
      </w:r>
      <w:r w:rsidR="0031706C">
        <w:t>aterial</w:t>
      </w:r>
      <w:r>
        <w:t xml:space="preserve"> S2.1 BMC modelling of </w:t>
      </w:r>
      <w:r w:rsidRPr="007A1329">
        <w:rPr>
          <w:i/>
          <w:iCs/>
        </w:rPr>
        <w:t>in vitro</w:t>
      </w:r>
      <w:r>
        <w:rPr>
          <w:i/>
        </w:rPr>
        <w:t xml:space="preserve"> </w:t>
      </w:r>
      <w:r>
        <w:t>concentration response data of GEN in the MCF-7/Bos proliferation assay</w:t>
      </w:r>
    </w:p>
    <w:p w14:paraId="0AA93120" w14:textId="5AA282F0" w:rsidR="001A20CA" w:rsidRPr="00337216" w:rsidRDefault="001A20CA" w:rsidP="001A20CA">
      <w:pPr>
        <w:pStyle w:val="Report"/>
        <w:spacing w:line="480" w:lineRule="auto"/>
      </w:pPr>
      <w:r w:rsidRPr="00337216">
        <w:rPr>
          <w:b/>
        </w:rPr>
        <w:t>Supplementary Table S</w:t>
      </w:r>
      <w:r>
        <w:rPr>
          <w:b/>
        </w:rPr>
        <w:t>2</w:t>
      </w:r>
      <w:r w:rsidRPr="00337216">
        <w:rPr>
          <w:b/>
        </w:rPr>
        <w:t>.1.1.</w:t>
      </w:r>
      <w:r w:rsidRPr="00337216">
        <w:t xml:space="preserve"> Input values of the </w:t>
      </w:r>
      <w:r w:rsidRPr="007A1329">
        <w:rPr>
          <w:i/>
          <w:iCs/>
        </w:rPr>
        <w:t>in vitro</w:t>
      </w:r>
      <w:r w:rsidRPr="00154A2F">
        <w:rPr>
          <w:iCs/>
        </w:rPr>
        <w:t xml:space="preserve"> </w:t>
      </w:r>
      <w:r w:rsidRPr="00337216">
        <w:t xml:space="preserve">concentration response data of </w:t>
      </w:r>
      <w:r>
        <w:t>GEN in the MCF-7/Bos proliferation assay</w:t>
      </w:r>
      <w:r w:rsidRPr="00337216">
        <w:t xml:space="preserve"> </w:t>
      </w:r>
      <w:sdt>
        <w:sdtPr>
          <w:rPr>
            <w:color w:val="000000"/>
          </w:rPr>
          <w:tag w:val="MENDELEY_CITATION_v3_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"/>
          <w:id w:val="1632832520"/>
          <w:placeholder>
            <w:docPart w:val="DefaultPlaceholder_-1854013440"/>
          </w:placeholder>
        </w:sdtPr>
        <w:sdtEndPr/>
        <w:sdtContent>
          <w:r w:rsidR="00BC42B9" w:rsidRPr="00BC42B9">
            <w:rPr>
              <w:color w:val="000000"/>
            </w:rPr>
            <w:t>(Wang et al., 2014)</w:t>
          </w:r>
        </w:sdtContent>
      </w:sdt>
    </w:p>
    <w:tbl>
      <w:tblPr>
        <w:tblStyle w:val="TableGrid"/>
        <w:tblW w:w="9175" w:type="dxa"/>
        <w:tblLook w:val="04A0" w:firstRow="1" w:lastRow="0" w:firstColumn="1" w:lastColumn="0" w:noHBand="0" w:noVBand="1"/>
      </w:tblPr>
      <w:tblGrid>
        <w:gridCol w:w="2097"/>
        <w:gridCol w:w="1442"/>
        <w:gridCol w:w="2928"/>
        <w:gridCol w:w="2708"/>
      </w:tblGrid>
      <w:tr w:rsidR="001A20CA" w:rsidRPr="00337216" w14:paraId="5B275F92" w14:textId="77777777" w:rsidTr="00D83ECE">
        <w:trPr>
          <w:trHeight w:val="290"/>
        </w:trPr>
        <w:tc>
          <w:tcPr>
            <w:tcW w:w="2097" w:type="dxa"/>
            <w:noWrap/>
          </w:tcPr>
          <w:p w14:paraId="17CE4729" w14:textId="77777777" w:rsidR="001A20CA" w:rsidRPr="00337216" w:rsidRDefault="001A20CA" w:rsidP="00D83ECE">
            <w:pPr>
              <w:spacing w:line="480" w:lineRule="auto"/>
              <w:jc w:val="center"/>
              <w:rPr>
                <w:rFonts w:ascii="Arial" w:eastAsia="Times New Roman" w:hAnsi="Arial" w:cs="Arial"/>
                <w:b/>
                <w:color w:val="000000"/>
                <w:sz w:val="20"/>
                <w:szCs w:val="20"/>
                <w:lang w:eastAsia="en-GB"/>
              </w:rPr>
            </w:pPr>
            <w:r w:rsidRPr="00337216">
              <w:rPr>
                <w:rFonts w:ascii="Arial" w:eastAsia="Times New Roman" w:hAnsi="Arial" w:cs="Arial"/>
                <w:b/>
                <w:color w:val="000000"/>
                <w:sz w:val="20"/>
                <w:szCs w:val="20"/>
                <w:lang w:eastAsia="en-GB"/>
              </w:rPr>
              <w:t>Concentration (µM)</w:t>
            </w:r>
          </w:p>
        </w:tc>
        <w:tc>
          <w:tcPr>
            <w:tcW w:w="1442" w:type="dxa"/>
            <w:noWrap/>
          </w:tcPr>
          <w:p w14:paraId="5F8C9BA7" w14:textId="77777777" w:rsidR="001A20CA" w:rsidRPr="00337216" w:rsidRDefault="001A20CA" w:rsidP="00D83ECE">
            <w:pPr>
              <w:spacing w:line="480" w:lineRule="auto"/>
              <w:jc w:val="center"/>
              <w:rPr>
                <w:rFonts w:ascii="Arial" w:eastAsia="Times New Roman" w:hAnsi="Arial" w:cs="Arial"/>
                <w:b/>
                <w:color w:val="000000"/>
                <w:sz w:val="20"/>
                <w:szCs w:val="20"/>
                <w:lang w:eastAsia="en-GB"/>
              </w:rPr>
            </w:pPr>
            <w:r w:rsidRPr="00337216">
              <w:rPr>
                <w:rFonts w:ascii="Arial" w:eastAsia="Times New Roman" w:hAnsi="Arial" w:cs="Arial"/>
                <w:b/>
                <w:color w:val="000000"/>
                <w:sz w:val="20"/>
                <w:szCs w:val="20"/>
                <w:lang w:eastAsia="en-GB"/>
              </w:rPr>
              <w:t>n</w:t>
            </w:r>
          </w:p>
        </w:tc>
        <w:tc>
          <w:tcPr>
            <w:tcW w:w="2928" w:type="dxa"/>
            <w:noWrap/>
          </w:tcPr>
          <w:p w14:paraId="303C3281" w14:textId="77777777" w:rsidR="001A20CA" w:rsidRPr="00337216" w:rsidRDefault="001A20CA" w:rsidP="00D83ECE">
            <w:pPr>
              <w:spacing w:line="480" w:lineRule="auto"/>
              <w:jc w:val="center"/>
              <w:rPr>
                <w:rFonts w:ascii="Arial" w:eastAsia="Times New Roman" w:hAnsi="Arial" w:cs="Arial"/>
                <w:b/>
                <w:color w:val="000000"/>
                <w:sz w:val="20"/>
                <w:szCs w:val="20"/>
                <w:vertAlign w:val="superscript"/>
                <w:lang w:eastAsia="en-GB"/>
              </w:rPr>
            </w:pPr>
            <w:r>
              <w:rPr>
                <w:rFonts w:ascii="Arial" w:eastAsia="Times New Roman" w:hAnsi="Arial" w:cs="Arial"/>
                <w:b/>
                <w:color w:val="000000"/>
                <w:sz w:val="20"/>
                <w:szCs w:val="20"/>
                <w:lang w:eastAsia="en-GB"/>
              </w:rPr>
              <w:t>Response</w:t>
            </w:r>
          </w:p>
        </w:tc>
        <w:tc>
          <w:tcPr>
            <w:tcW w:w="2708" w:type="dxa"/>
            <w:noWrap/>
          </w:tcPr>
          <w:p w14:paraId="106A5ABB" w14:textId="77777777" w:rsidR="001A20CA" w:rsidRPr="00337216" w:rsidRDefault="001A20CA" w:rsidP="00D83ECE">
            <w:pPr>
              <w:spacing w:line="480" w:lineRule="auto"/>
              <w:jc w:val="center"/>
              <w:rPr>
                <w:rFonts w:ascii="Arial" w:eastAsia="Times New Roman" w:hAnsi="Arial" w:cs="Arial"/>
                <w:b/>
                <w:color w:val="000000"/>
                <w:sz w:val="20"/>
                <w:szCs w:val="20"/>
                <w:lang w:eastAsia="en-GB"/>
              </w:rPr>
            </w:pPr>
            <w:r>
              <w:rPr>
                <w:rFonts w:ascii="Arial" w:eastAsia="Times New Roman" w:hAnsi="Arial" w:cs="Arial"/>
                <w:b/>
                <w:color w:val="000000"/>
                <w:sz w:val="20"/>
                <w:szCs w:val="20"/>
                <w:lang w:eastAsia="en-GB"/>
              </w:rPr>
              <w:t>SEM</w:t>
            </w:r>
          </w:p>
        </w:tc>
      </w:tr>
      <w:tr w:rsidR="001A20CA" w:rsidRPr="00337216" w14:paraId="2EFC35FF" w14:textId="77777777" w:rsidTr="00D83ECE">
        <w:trPr>
          <w:trHeight w:val="290"/>
        </w:trPr>
        <w:tc>
          <w:tcPr>
            <w:tcW w:w="2097" w:type="dxa"/>
            <w:noWrap/>
            <w:hideMark/>
          </w:tcPr>
          <w:p w14:paraId="108A4141"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337216">
              <w:rPr>
                <w:rFonts w:ascii="Arial" w:eastAsia="Times New Roman" w:hAnsi="Arial" w:cs="Arial"/>
                <w:color w:val="000000"/>
                <w:sz w:val="20"/>
                <w:szCs w:val="20"/>
                <w:lang w:eastAsia="en-GB"/>
              </w:rPr>
              <w:t>0.00</w:t>
            </w:r>
            <w:r>
              <w:rPr>
                <w:rFonts w:ascii="Arial" w:eastAsia="Times New Roman" w:hAnsi="Arial" w:cs="Arial"/>
                <w:color w:val="000000"/>
                <w:sz w:val="20"/>
                <w:szCs w:val="20"/>
                <w:lang w:eastAsia="en-GB"/>
              </w:rPr>
              <w:t>6</w:t>
            </w:r>
          </w:p>
        </w:tc>
        <w:tc>
          <w:tcPr>
            <w:tcW w:w="1442" w:type="dxa"/>
            <w:noWrap/>
            <w:hideMark/>
          </w:tcPr>
          <w:p w14:paraId="22F60C98"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337216">
              <w:rPr>
                <w:rFonts w:ascii="Arial" w:eastAsia="Times New Roman" w:hAnsi="Arial" w:cs="Arial"/>
                <w:color w:val="000000"/>
                <w:sz w:val="20"/>
                <w:szCs w:val="20"/>
                <w:lang w:eastAsia="en-GB"/>
              </w:rPr>
              <w:t>3</w:t>
            </w:r>
          </w:p>
        </w:tc>
        <w:tc>
          <w:tcPr>
            <w:tcW w:w="2928" w:type="dxa"/>
            <w:noWrap/>
            <w:vAlign w:val="bottom"/>
            <w:hideMark/>
          </w:tcPr>
          <w:p w14:paraId="544DDC9D"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kern w:val="24"/>
                <w:sz w:val="22"/>
              </w:rPr>
              <w:t>0.05</w:t>
            </w:r>
          </w:p>
        </w:tc>
        <w:tc>
          <w:tcPr>
            <w:tcW w:w="2708" w:type="dxa"/>
            <w:noWrap/>
            <w:vAlign w:val="bottom"/>
            <w:hideMark/>
          </w:tcPr>
          <w:p w14:paraId="4A15521E"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kern w:val="24"/>
                <w:sz w:val="22"/>
              </w:rPr>
              <w:t>0.02</w:t>
            </w:r>
          </w:p>
        </w:tc>
      </w:tr>
      <w:tr w:rsidR="001A20CA" w:rsidRPr="00337216" w14:paraId="4E6A14EF" w14:textId="77777777" w:rsidTr="00D83ECE">
        <w:trPr>
          <w:trHeight w:val="290"/>
        </w:trPr>
        <w:tc>
          <w:tcPr>
            <w:tcW w:w="2097" w:type="dxa"/>
            <w:noWrap/>
            <w:hideMark/>
          </w:tcPr>
          <w:p w14:paraId="1CB03D19"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337216">
              <w:rPr>
                <w:rFonts w:ascii="Arial" w:eastAsia="Times New Roman" w:hAnsi="Arial" w:cs="Arial"/>
                <w:color w:val="000000"/>
                <w:sz w:val="20"/>
                <w:szCs w:val="20"/>
                <w:lang w:eastAsia="en-GB"/>
              </w:rPr>
              <w:t>0.0</w:t>
            </w:r>
            <w:r>
              <w:rPr>
                <w:rFonts w:ascii="Arial" w:eastAsia="Times New Roman" w:hAnsi="Arial" w:cs="Arial"/>
                <w:color w:val="000000"/>
                <w:sz w:val="20"/>
                <w:szCs w:val="20"/>
                <w:lang w:eastAsia="en-GB"/>
              </w:rPr>
              <w:t>2</w:t>
            </w:r>
          </w:p>
        </w:tc>
        <w:tc>
          <w:tcPr>
            <w:tcW w:w="1442" w:type="dxa"/>
            <w:noWrap/>
            <w:hideMark/>
          </w:tcPr>
          <w:p w14:paraId="3024AA2C"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337216">
              <w:rPr>
                <w:rFonts w:ascii="Arial" w:eastAsia="Times New Roman" w:hAnsi="Arial" w:cs="Arial"/>
                <w:color w:val="000000"/>
                <w:sz w:val="20"/>
                <w:szCs w:val="20"/>
                <w:lang w:eastAsia="en-GB"/>
              </w:rPr>
              <w:t>3</w:t>
            </w:r>
          </w:p>
        </w:tc>
        <w:tc>
          <w:tcPr>
            <w:tcW w:w="2928" w:type="dxa"/>
            <w:noWrap/>
            <w:vAlign w:val="bottom"/>
            <w:hideMark/>
          </w:tcPr>
          <w:p w14:paraId="09A11568"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kern w:val="24"/>
                <w:sz w:val="22"/>
              </w:rPr>
              <w:t>0.17</w:t>
            </w:r>
          </w:p>
        </w:tc>
        <w:tc>
          <w:tcPr>
            <w:tcW w:w="2708" w:type="dxa"/>
            <w:noWrap/>
            <w:vAlign w:val="bottom"/>
            <w:hideMark/>
          </w:tcPr>
          <w:p w14:paraId="03BEEBD6"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kern w:val="24"/>
                <w:sz w:val="22"/>
              </w:rPr>
              <w:t>0.02</w:t>
            </w:r>
          </w:p>
        </w:tc>
      </w:tr>
      <w:tr w:rsidR="001A20CA" w:rsidRPr="00337216" w14:paraId="0CCB5770" w14:textId="77777777" w:rsidTr="00D83ECE">
        <w:trPr>
          <w:trHeight w:val="290"/>
        </w:trPr>
        <w:tc>
          <w:tcPr>
            <w:tcW w:w="2097" w:type="dxa"/>
            <w:noWrap/>
            <w:hideMark/>
          </w:tcPr>
          <w:p w14:paraId="56B1E466"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337216">
              <w:rPr>
                <w:rFonts w:ascii="Arial" w:eastAsia="Times New Roman" w:hAnsi="Arial" w:cs="Arial"/>
                <w:color w:val="000000"/>
                <w:sz w:val="20"/>
                <w:szCs w:val="20"/>
                <w:lang w:eastAsia="en-GB"/>
              </w:rPr>
              <w:t>0.0</w:t>
            </w:r>
            <w:r>
              <w:rPr>
                <w:rFonts w:ascii="Arial" w:eastAsia="Times New Roman" w:hAnsi="Arial" w:cs="Arial"/>
                <w:color w:val="000000"/>
                <w:sz w:val="20"/>
                <w:szCs w:val="20"/>
                <w:lang w:eastAsia="en-GB"/>
              </w:rPr>
              <w:t>6</w:t>
            </w:r>
          </w:p>
        </w:tc>
        <w:tc>
          <w:tcPr>
            <w:tcW w:w="1442" w:type="dxa"/>
            <w:noWrap/>
            <w:hideMark/>
          </w:tcPr>
          <w:p w14:paraId="0193F327"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337216">
              <w:rPr>
                <w:rFonts w:ascii="Arial" w:eastAsia="Times New Roman" w:hAnsi="Arial" w:cs="Arial"/>
                <w:color w:val="000000"/>
                <w:sz w:val="20"/>
                <w:szCs w:val="20"/>
                <w:lang w:eastAsia="en-GB"/>
              </w:rPr>
              <w:t>3</w:t>
            </w:r>
          </w:p>
        </w:tc>
        <w:tc>
          <w:tcPr>
            <w:tcW w:w="2928" w:type="dxa"/>
            <w:noWrap/>
            <w:vAlign w:val="bottom"/>
            <w:hideMark/>
          </w:tcPr>
          <w:p w14:paraId="23E3C755"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kern w:val="24"/>
                <w:sz w:val="22"/>
              </w:rPr>
              <w:t>0.35</w:t>
            </w:r>
          </w:p>
        </w:tc>
        <w:tc>
          <w:tcPr>
            <w:tcW w:w="2708" w:type="dxa"/>
            <w:noWrap/>
            <w:vAlign w:val="bottom"/>
            <w:hideMark/>
          </w:tcPr>
          <w:p w14:paraId="7462C924"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kern w:val="24"/>
                <w:sz w:val="22"/>
              </w:rPr>
              <w:t>0.02</w:t>
            </w:r>
          </w:p>
        </w:tc>
      </w:tr>
      <w:tr w:rsidR="001A20CA" w:rsidRPr="00337216" w14:paraId="7F86CA3E" w14:textId="77777777" w:rsidTr="00D83ECE">
        <w:trPr>
          <w:trHeight w:val="290"/>
        </w:trPr>
        <w:tc>
          <w:tcPr>
            <w:tcW w:w="2097" w:type="dxa"/>
            <w:noWrap/>
            <w:hideMark/>
          </w:tcPr>
          <w:p w14:paraId="6FE62E63"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337216">
              <w:rPr>
                <w:rFonts w:ascii="Arial" w:eastAsia="Times New Roman" w:hAnsi="Arial" w:cs="Arial"/>
                <w:color w:val="000000"/>
                <w:sz w:val="20"/>
                <w:szCs w:val="20"/>
                <w:lang w:eastAsia="en-GB"/>
              </w:rPr>
              <w:t>0.</w:t>
            </w:r>
            <w:r>
              <w:rPr>
                <w:rFonts w:ascii="Arial" w:eastAsia="Times New Roman" w:hAnsi="Arial" w:cs="Arial"/>
                <w:color w:val="000000"/>
                <w:sz w:val="20"/>
                <w:szCs w:val="20"/>
                <w:lang w:eastAsia="en-GB"/>
              </w:rPr>
              <w:t>2</w:t>
            </w:r>
          </w:p>
        </w:tc>
        <w:tc>
          <w:tcPr>
            <w:tcW w:w="1442" w:type="dxa"/>
            <w:noWrap/>
            <w:hideMark/>
          </w:tcPr>
          <w:p w14:paraId="6C8E8FD6"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337216">
              <w:rPr>
                <w:rFonts w:ascii="Arial" w:eastAsia="Times New Roman" w:hAnsi="Arial" w:cs="Arial"/>
                <w:color w:val="000000"/>
                <w:sz w:val="20"/>
                <w:szCs w:val="20"/>
                <w:lang w:eastAsia="en-GB"/>
              </w:rPr>
              <w:t>3</w:t>
            </w:r>
          </w:p>
        </w:tc>
        <w:tc>
          <w:tcPr>
            <w:tcW w:w="2928" w:type="dxa"/>
            <w:noWrap/>
            <w:vAlign w:val="bottom"/>
            <w:hideMark/>
          </w:tcPr>
          <w:p w14:paraId="3430F8F5"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kern w:val="24"/>
                <w:sz w:val="22"/>
              </w:rPr>
              <w:t>0.55</w:t>
            </w:r>
          </w:p>
        </w:tc>
        <w:tc>
          <w:tcPr>
            <w:tcW w:w="2708" w:type="dxa"/>
            <w:noWrap/>
            <w:vAlign w:val="bottom"/>
            <w:hideMark/>
          </w:tcPr>
          <w:p w14:paraId="55CB9E5A"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kern w:val="24"/>
                <w:sz w:val="22"/>
              </w:rPr>
              <w:t>0.04</w:t>
            </w:r>
          </w:p>
        </w:tc>
      </w:tr>
      <w:tr w:rsidR="001A20CA" w:rsidRPr="00337216" w14:paraId="0057A9D0" w14:textId="77777777" w:rsidTr="00D83ECE">
        <w:trPr>
          <w:trHeight w:val="290"/>
        </w:trPr>
        <w:tc>
          <w:tcPr>
            <w:tcW w:w="2097" w:type="dxa"/>
            <w:noWrap/>
            <w:hideMark/>
          </w:tcPr>
          <w:p w14:paraId="7109ADC6"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337216">
              <w:rPr>
                <w:rFonts w:ascii="Arial" w:eastAsia="Times New Roman" w:hAnsi="Arial" w:cs="Arial"/>
                <w:color w:val="000000"/>
                <w:sz w:val="20"/>
                <w:szCs w:val="20"/>
                <w:lang w:eastAsia="en-GB"/>
              </w:rPr>
              <w:t>0.</w:t>
            </w:r>
            <w:r>
              <w:rPr>
                <w:rFonts w:ascii="Arial" w:eastAsia="Times New Roman" w:hAnsi="Arial" w:cs="Arial"/>
                <w:color w:val="000000"/>
                <w:sz w:val="20"/>
                <w:szCs w:val="20"/>
                <w:lang w:eastAsia="en-GB"/>
              </w:rPr>
              <w:t>6</w:t>
            </w:r>
          </w:p>
        </w:tc>
        <w:tc>
          <w:tcPr>
            <w:tcW w:w="1442" w:type="dxa"/>
            <w:noWrap/>
            <w:hideMark/>
          </w:tcPr>
          <w:p w14:paraId="1B5C6B82"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337216">
              <w:rPr>
                <w:rFonts w:ascii="Arial" w:eastAsia="Times New Roman" w:hAnsi="Arial" w:cs="Arial"/>
                <w:color w:val="000000"/>
                <w:sz w:val="20"/>
                <w:szCs w:val="20"/>
                <w:lang w:eastAsia="en-GB"/>
              </w:rPr>
              <w:t>3</w:t>
            </w:r>
          </w:p>
        </w:tc>
        <w:tc>
          <w:tcPr>
            <w:tcW w:w="2928" w:type="dxa"/>
            <w:noWrap/>
            <w:vAlign w:val="bottom"/>
            <w:hideMark/>
          </w:tcPr>
          <w:p w14:paraId="43952754"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kern w:val="24"/>
                <w:sz w:val="22"/>
              </w:rPr>
              <w:t>0.64</w:t>
            </w:r>
          </w:p>
        </w:tc>
        <w:tc>
          <w:tcPr>
            <w:tcW w:w="2708" w:type="dxa"/>
            <w:noWrap/>
            <w:vAlign w:val="bottom"/>
            <w:hideMark/>
          </w:tcPr>
          <w:p w14:paraId="4C1297D5"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kern w:val="24"/>
                <w:sz w:val="22"/>
              </w:rPr>
              <w:t>0.02</w:t>
            </w:r>
          </w:p>
        </w:tc>
      </w:tr>
      <w:tr w:rsidR="001A20CA" w:rsidRPr="00337216" w14:paraId="0E2547E2" w14:textId="77777777" w:rsidTr="00D83ECE">
        <w:trPr>
          <w:trHeight w:val="290"/>
        </w:trPr>
        <w:tc>
          <w:tcPr>
            <w:tcW w:w="2097" w:type="dxa"/>
            <w:noWrap/>
            <w:hideMark/>
          </w:tcPr>
          <w:p w14:paraId="3E1A4576"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w:t>
            </w:r>
          </w:p>
        </w:tc>
        <w:tc>
          <w:tcPr>
            <w:tcW w:w="1442" w:type="dxa"/>
            <w:noWrap/>
            <w:hideMark/>
          </w:tcPr>
          <w:p w14:paraId="10E7A2DA"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337216">
              <w:rPr>
                <w:rFonts w:ascii="Arial" w:eastAsia="Times New Roman" w:hAnsi="Arial" w:cs="Arial"/>
                <w:color w:val="000000"/>
                <w:sz w:val="20"/>
                <w:szCs w:val="20"/>
                <w:lang w:eastAsia="en-GB"/>
              </w:rPr>
              <w:t>3</w:t>
            </w:r>
          </w:p>
        </w:tc>
        <w:tc>
          <w:tcPr>
            <w:tcW w:w="2928" w:type="dxa"/>
            <w:noWrap/>
            <w:vAlign w:val="bottom"/>
            <w:hideMark/>
          </w:tcPr>
          <w:p w14:paraId="215F4509"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kern w:val="24"/>
                <w:sz w:val="22"/>
              </w:rPr>
              <w:t>0.63</w:t>
            </w:r>
          </w:p>
        </w:tc>
        <w:tc>
          <w:tcPr>
            <w:tcW w:w="2708" w:type="dxa"/>
            <w:noWrap/>
            <w:vAlign w:val="bottom"/>
            <w:hideMark/>
          </w:tcPr>
          <w:p w14:paraId="5EE83AD1"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kern w:val="24"/>
                <w:sz w:val="22"/>
              </w:rPr>
              <w:t>0.08</w:t>
            </w:r>
          </w:p>
        </w:tc>
      </w:tr>
      <w:tr w:rsidR="001A20CA" w:rsidRPr="00337216" w14:paraId="3C57697C" w14:textId="77777777" w:rsidTr="00D83ECE">
        <w:trPr>
          <w:trHeight w:val="290"/>
        </w:trPr>
        <w:tc>
          <w:tcPr>
            <w:tcW w:w="2097" w:type="dxa"/>
            <w:noWrap/>
            <w:hideMark/>
          </w:tcPr>
          <w:p w14:paraId="4743686A"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c>
          <w:tcPr>
            <w:tcW w:w="1442" w:type="dxa"/>
            <w:noWrap/>
            <w:hideMark/>
          </w:tcPr>
          <w:p w14:paraId="00099702"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337216">
              <w:rPr>
                <w:rFonts w:ascii="Arial" w:eastAsia="Times New Roman" w:hAnsi="Arial" w:cs="Arial"/>
                <w:color w:val="000000"/>
                <w:sz w:val="20"/>
                <w:szCs w:val="20"/>
                <w:lang w:eastAsia="en-GB"/>
              </w:rPr>
              <w:t>3</w:t>
            </w:r>
          </w:p>
        </w:tc>
        <w:tc>
          <w:tcPr>
            <w:tcW w:w="2928" w:type="dxa"/>
            <w:noWrap/>
            <w:vAlign w:val="bottom"/>
            <w:hideMark/>
          </w:tcPr>
          <w:p w14:paraId="0AF2DBCE"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kern w:val="24"/>
                <w:sz w:val="22"/>
              </w:rPr>
              <w:t>0.54</w:t>
            </w:r>
          </w:p>
        </w:tc>
        <w:tc>
          <w:tcPr>
            <w:tcW w:w="2708" w:type="dxa"/>
            <w:noWrap/>
            <w:vAlign w:val="bottom"/>
            <w:hideMark/>
          </w:tcPr>
          <w:p w14:paraId="21E72A88"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kern w:val="24"/>
                <w:sz w:val="22"/>
              </w:rPr>
              <w:t>0.06</w:t>
            </w:r>
          </w:p>
        </w:tc>
      </w:tr>
    </w:tbl>
    <w:p w14:paraId="007685A7" w14:textId="409ED090" w:rsidR="001A20CA" w:rsidRPr="00446EF0" w:rsidRDefault="001A20CA" w:rsidP="001A20CA">
      <w:pPr>
        <w:pStyle w:val="Report"/>
        <w:spacing w:line="480" w:lineRule="auto"/>
      </w:pPr>
      <w:r w:rsidRPr="00446EF0">
        <w:rPr>
          <w:b/>
        </w:rPr>
        <w:t>Supplementary Table S</w:t>
      </w:r>
      <w:r>
        <w:rPr>
          <w:b/>
        </w:rPr>
        <w:t>2</w:t>
      </w:r>
      <w:r w:rsidRPr="00446EF0">
        <w:rPr>
          <w:b/>
        </w:rPr>
        <w:t>.1.2.</w:t>
      </w:r>
      <w:r w:rsidRPr="00446EF0">
        <w:t xml:space="preserve"> BMC analysis </w:t>
      </w:r>
      <w:r w:rsidRPr="00446EF0">
        <w:rPr>
          <w:iCs/>
        </w:rPr>
        <w:t xml:space="preserve">of </w:t>
      </w:r>
      <w:r w:rsidRPr="00337216">
        <w:t xml:space="preserve">the </w:t>
      </w:r>
      <w:r w:rsidRPr="007A1329">
        <w:rPr>
          <w:i/>
          <w:iCs/>
        </w:rPr>
        <w:t>in vitro</w:t>
      </w:r>
      <w:r w:rsidRPr="00154A2F">
        <w:rPr>
          <w:iCs/>
        </w:rPr>
        <w:t xml:space="preserve"> </w:t>
      </w:r>
      <w:r w:rsidRPr="00337216">
        <w:t xml:space="preserve">concentration response data of </w:t>
      </w:r>
      <w:r>
        <w:t>GEN in the MCF-7/Bos proliferation assay</w:t>
      </w:r>
      <w:r w:rsidR="004C0DEF" w:rsidRPr="004C0DEF">
        <w:rPr>
          <w:color w:val="000000"/>
        </w:rPr>
        <w:t xml:space="preserve"> </w:t>
      </w:r>
      <w:sdt>
        <w:sdtPr>
          <w:rPr>
            <w:color w:val="000000"/>
          </w:rPr>
          <w:tag w:val="MENDELEY_CITATION_v3_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"/>
          <w:id w:val="-500125689"/>
          <w:placeholder>
            <w:docPart w:val="2BE837C484B8424E88B9672796AC8B8C"/>
          </w:placeholder>
        </w:sdtPr>
        <w:sdtEndPr/>
        <w:sdtContent>
          <w:r w:rsidR="00BC42B9" w:rsidRPr="00BC42B9">
            <w:rPr>
              <w:color w:val="000000"/>
            </w:rPr>
            <w:t>(Wang et al., 2014).</w:t>
          </w:r>
        </w:sdtContent>
      </w:sdt>
      <w:r w:rsidRPr="00446EF0">
        <w:t xml:space="preserve"> BMC</w:t>
      </w:r>
      <w:r w:rsidRPr="00446EF0">
        <w:rPr>
          <w:vertAlign w:val="subscript"/>
        </w:rPr>
        <w:t>05</w:t>
      </w:r>
      <w:r w:rsidRPr="00446EF0">
        <w:t xml:space="preserve"> and BMCL</w:t>
      </w:r>
      <w:r w:rsidRPr="00446EF0">
        <w:rPr>
          <w:vertAlign w:val="subscript"/>
        </w:rPr>
        <w:t xml:space="preserve">05 </w:t>
      </w:r>
      <w:r w:rsidRPr="00446EF0">
        <w:t xml:space="preserve">values </w:t>
      </w:r>
      <w:r>
        <w:t xml:space="preserve">were </w:t>
      </w:r>
      <w:r w:rsidRPr="00446EF0">
        <w:t>obtained using BMDS software version 3.</w:t>
      </w:r>
      <w:r>
        <w:t>2.</w:t>
      </w:r>
      <w:r w:rsidRPr="00446EF0">
        <w:t xml:space="preserve">1, </w:t>
      </w:r>
      <w:r>
        <w:t>at a BMC</w:t>
      </w:r>
      <w:r w:rsidRPr="00446EF0">
        <w:t xml:space="preserve"> of 5% extra risk</w:t>
      </w:r>
      <w:r>
        <w:t xml:space="preserve">, BMR type Hybrid model-extra risk with normal distribution and constant variance. </w:t>
      </w:r>
    </w:p>
    <w:tbl>
      <w:tblPr>
        <w:tblStyle w:val="TableGrid"/>
        <w:tblW w:w="9686" w:type="dxa"/>
        <w:shd w:val="clear" w:color="auto" w:fill="FFFFFF" w:themeFill="background1"/>
        <w:tblLayout w:type="fixed"/>
        <w:tblLook w:val="04A0" w:firstRow="1" w:lastRow="0" w:firstColumn="1" w:lastColumn="0" w:noHBand="0" w:noVBand="1"/>
      </w:tblPr>
      <w:tblGrid>
        <w:gridCol w:w="1383"/>
        <w:gridCol w:w="1384"/>
        <w:gridCol w:w="1384"/>
        <w:gridCol w:w="1383"/>
        <w:gridCol w:w="1384"/>
        <w:gridCol w:w="1384"/>
        <w:gridCol w:w="1384"/>
      </w:tblGrid>
      <w:tr w:rsidR="001A20CA" w:rsidRPr="00ED7CE9" w14:paraId="5FEE3594" w14:textId="77777777" w:rsidTr="00D83ECE">
        <w:trPr>
          <w:trHeight w:val="1020"/>
        </w:trPr>
        <w:tc>
          <w:tcPr>
            <w:tcW w:w="1383" w:type="dxa"/>
            <w:shd w:val="clear" w:color="auto" w:fill="FFFFFF" w:themeFill="background1"/>
            <w:noWrap/>
            <w:hideMark/>
          </w:tcPr>
          <w:p w14:paraId="5DF215B5" w14:textId="77777777" w:rsidR="001A20CA" w:rsidRPr="00337216" w:rsidRDefault="001A20CA" w:rsidP="00D83ECE">
            <w:pPr>
              <w:pStyle w:val="Report"/>
              <w:spacing w:line="480" w:lineRule="auto"/>
              <w:jc w:val="center"/>
              <w:rPr>
                <w:b/>
              </w:rPr>
            </w:pPr>
            <w:r w:rsidRPr="00337216">
              <w:rPr>
                <w:b/>
              </w:rPr>
              <w:lastRenderedPageBreak/>
              <w:t>Model</w:t>
            </w:r>
          </w:p>
        </w:tc>
        <w:tc>
          <w:tcPr>
            <w:tcW w:w="1384" w:type="dxa"/>
            <w:shd w:val="clear" w:color="auto" w:fill="FFFFFF" w:themeFill="background1"/>
            <w:noWrap/>
            <w:hideMark/>
          </w:tcPr>
          <w:p w14:paraId="2B37A9E2" w14:textId="77777777" w:rsidR="001A20CA" w:rsidRPr="00337216" w:rsidRDefault="001A20CA" w:rsidP="00D83ECE">
            <w:pPr>
              <w:pStyle w:val="Report"/>
              <w:spacing w:line="480" w:lineRule="auto"/>
              <w:jc w:val="center"/>
              <w:rPr>
                <w:b/>
                <w:color w:val="000000"/>
              </w:rPr>
            </w:pPr>
            <w:r w:rsidRPr="00337216">
              <w:rPr>
                <w:b/>
                <w:color w:val="000000"/>
              </w:rPr>
              <w:t>BMC (µM)</w:t>
            </w:r>
          </w:p>
        </w:tc>
        <w:tc>
          <w:tcPr>
            <w:tcW w:w="1384" w:type="dxa"/>
            <w:shd w:val="clear" w:color="auto" w:fill="FFFFFF" w:themeFill="background1"/>
            <w:noWrap/>
            <w:hideMark/>
          </w:tcPr>
          <w:p w14:paraId="117CFBFA" w14:textId="77777777" w:rsidR="001A20CA" w:rsidRPr="00337216" w:rsidRDefault="001A20CA" w:rsidP="00D83ECE">
            <w:pPr>
              <w:pStyle w:val="Report"/>
              <w:spacing w:line="480" w:lineRule="auto"/>
              <w:jc w:val="center"/>
              <w:rPr>
                <w:b/>
                <w:color w:val="000000"/>
              </w:rPr>
            </w:pPr>
            <w:r w:rsidRPr="00337216">
              <w:rPr>
                <w:b/>
                <w:color w:val="000000"/>
              </w:rPr>
              <w:t>BMCL (µM)</w:t>
            </w:r>
          </w:p>
        </w:tc>
        <w:tc>
          <w:tcPr>
            <w:tcW w:w="1383" w:type="dxa"/>
            <w:shd w:val="clear" w:color="auto" w:fill="FFFFFF" w:themeFill="background1"/>
            <w:noWrap/>
            <w:hideMark/>
          </w:tcPr>
          <w:p w14:paraId="02DB5421" w14:textId="77777777" w:rsidR="001A20CA" w:rsidRPr="00337216" w:rsidRDefault="001A20CA" w:rsidP="00D83ECE">
            <w:pPr>
              <w:pStyle w:val="Report"/>
              <w:spacing w:line="480" w:lineRule="auto"/>
              <w:jc w:val="center"/>
              <w:rPr>
                <w:b/>
                <w:color w:val="000000"/>
              </w:rPr>
            </w:pPr>
            <w:r w:rsidRPr="00337216">
              <w:rPr>
                <w:b/>
                <w:color w:val="000000"/>
              </w:rPr>
              <w:t>BMCU (µM)</w:t>
            </w:r>
          </w:p>
        </w:tc>
        <w:tc>
          <w:tcPr>
            <w:tcW w:w="1384" w:type="dxa"/>
            <w:shd w:val="clear" w:color="auto" w:fill="FFFFFF" w:themeFill="background1"/>
            <w:hideMark/>
          </w:tcPr>
          <w:p w14:paraId="33373335" w14:textId="77777777" w:rsidR="001A20CA" w:rsidRPr="00337216" w:rsidRDefault="001A20CA" w:rsidP="00D83ECE">
            <w:pPr>
              <w:pStyle w:val="Report"/>
              <w:spacing w:line="480" w:lineRule="auto"/>
              <w:jc w:val="center"/>
              <w:rPr>
                <w:b/>
                <w:color w:val="000000"/>
              </w:rPr>
            </w:pPr>
            <w:r w:rsidRPr="00337216">
              <w:rPr>
                <w:b/>
                <w:color w:val="000000"/>
              </w:rPr>
              <w:t>Test 4 P</w:t>
            </w:r>
            <w:r w:rsidRPr="00337216">
              <w:rPr>
                <w:b/>
                <w:color w:val="000000"/>
              </w:rPr>
              <w:noBreakHyphen/>
              <w:t>Value</w:t>
            </w:r>
          </w:p>
        </w:tc>
        <w:tc>
          <w:tcPr>
            <w:tcW w:w="1384" w:type="dxa"/>
            <w:shd w:val="clear" w:color="auto" w:fill="FFFFFF" w:themeFill="background1"/>
            <w:noWrap/>
            <w:hideMark/>
          </w:tcPr>
          <w:p w14:paraId="67B43B17" w14:textId="77777777" w:rsidR="001A20CA" w:rsidRPr="00337216" w:rsidRDefault="001A20CA" w:rsidP="00D83ECE">
            <w:pPr>
              <w:pStyle w:val="Report"/>
              <w:spacing w:line="480" w:lineRule="auto"/>
              <w:jc w:val="center"/>
              <w:rPr>
                <w:b/>
                <w:color w:val="000000"/>
              </w:rPr>
            </w:pPr>
            <w:r w:rsidRPr="00337216">
              <w:rPr>
                <w:b/>
                <w:color w:val="000000"/>
              </w:rPr>
              <w:t>AIC</w:t>
            </w:r>
          </w:p>
        </w:tc>
        <w:tc>
          <w:tcPr>
            <w:tcW w:w="1384" w:type="dxa"/>
            <w:shd w:val="clear" w:color="auto" w:fill="FFFFFF" w:themeFill="background1"/>
          </w:tcPr>
          <w:p w14:paraId="084BD31A" w14:textId="77777777" w:rsidR="001A20CA" w:rsidRPr="00337216" w:rsidRDefault="001A20CA" w:rsidP="00D83ECE">
            <w:pPr>
              <w:pStyle w:val="Report"/>
              <w:spacing w:line="480" w:lineRule="auto"/>
              <w:jc w:val="center"/>
              <w:rPr>
                <w:b/>
                <w:color w:val="000000"/>
              </w:rPr>
            </w:pPr>
            <w:r w:rsidRPr="00337216">
              <w:rPr>
                <w:b/>
                <w:color w:val="000000"/>
              </w:rPr>
              <w:t>Accepted</w:t>
            </w:r>
          </w:p>
        </w:tc>
      </w:tr>
      <w:tr w:rsidR="001A20CA" w:rsidRPr="00ED7CE9" w14:paraId="73CB179D" w14:textId="77777777" w:rsidTr="00D83ECE">
        <w:trPr>
          <w:trHeight w:val="600"/>
        </w:trPr>
        <w:tc>
          <w:tcPr>
            <w:tcW w:w="1383" w:type="dxa"/>
            <w:shd w:val="clear" w:color="auto" w:fill="FFFFFF" w:themeFill="background1"/>
            <w:hideMark/>
          </w:tcPr>
          <w:p w14:paraId="508A6441" w14:textId="77777777" w:rsidR="001A20CA" w:rsidRPr="00337216" w:rsidRDefault="009028D0" w:rsidP="00D83ECE">
            <w:pPr>
              <w:pStyle w:val="Report"/>
              <w:spacing w:line="480" w:lineRule="auto"/>
              <w:jc w:val="center"/>
            </w:pPr>
            <w:hyperlink r:id="rId6" w:anchor="'freq-exp2-rest-opt1'!A1" w:history="1">
              <w:r w:rsidR="001A20CA" w:rsidRPr="00337216">
                <w:t>Exponential 2 (CV - normal)</w:t>
              </w:r>
            </w:hyperlink>
          </w:p>
        </w:tc>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834E442" w14:textId="77777777" w:rsidR="001A20CA" w:rsidRPr="00337216" w:rsidRDefault="001A20CA" w:rsidP="00D83ECE">
            <w:pPr>
              <w:pStyle w:val="Report"/>
              <w:spacing w:line="480" w:lineRule="auto"/>
              <w:jc w:val="center"/>
              <w:rPr>
                <w:color w:val="000000"/>
              </w:rPr>
            </w:pPr>
            <w:r w:rsidRPr="00574A30">
              <w:t>4.31</w:t>
            </w:r>
          </w:p>
        </w:tc>
        <w:tc>
          <w:tcPr>
            <w:tcW w:w="1384" w:type="dxa"/>
            <w:tcBorders>
              <w:top w:val="single" w:sz="4" w:space="0" w:color="auto"/>
              <w:left w:val="nil"/>
              <w:bottom w:val="single" w:sz="4" w:space="0" w:color="auto"/>
              <w:right w:val="single" w:sz="4" w:space="0" w:color="auto"/>
            </w:tcBorders>
            <w:shd w:val="clear" w:color="auto" w:fill="FFFFFF" w:themeFill="background1"/>
            <w:noWrap/>
            <w:hideMark/>
          </w:tcPr>
          <w:p w14:paraId="50259F3A" w14:textId="77777777" w:rsidR="001A20CA" w:rsidRPr="00337216" w:rsidRDefault="001A20CA" w:rsidP="00D83ECE">
            <w:pPr>
              <w:pStyle w:val="Report"/>
              <w:spacing w:line="480" w:lineRule="auto"/>
              <w:jc w:val="center"/>
              <w:rPr>
                <w:color w:val="000000"/>
              </w:rPr>
            </w:pPr>
            <w:r w:rsidRPr="00574A30">
              <w:t>2.66</w:t>
            </w:r>
          </w:p>
        </w:tc>
        <w:tc>
          <w:tcPr>
            <w:tcW w:w="1383" w:type="dxa"/>
            <w:tcBorders>
              <w:top w:val="single" w:sz="4" w:space="0" w:color="auto"/>
              <w:left w:val="nil"/>
              <w:bottom w:val="single" w:sz="4" w:space="0" w:color="auto"/>
              <w:right w:val="single" w:sz="4" w:space="0" w:color="auto"/>
            </w:tcBorders>
            <w:shd w:val="clear" w:color="auto" w:fill="FFFFFF" w:themeFill="background1"/>
            <w:noWrap/>
            <w:hideMark/>
          </w:tcPr>
          <w:p w14:paraId="4E5A5973" w14:textId="77777777" w:rsidR="001A20CA" w:rsidRPr="00337216" w:rsidRDefault="001A20CA" w:rsidP="00D83ECE">
            <w:pPr>
              <w:pStyle w:val="Report"/>
              <w:spacing w:line="480" w:lineRule="auto"/>
              <w:jc w:val="center"/>
              <w:rPr>
                <w:color w:val="000000"/>
              </w:rPr>
            </w:pPr>
            <w:r w:rsidRPr="00574A30">
              <w:t>33.91</w:t>
            </w:r>
          </w:p>
        </w:tc>
        <w:tc>
          <w:tcPr>
            <w:tcW w:w="1384" w:type="dxa"/>
            <w:tcBorders>
              <w:top w:val="single" w:sz="4" w:space="0" w:color="auto"/>
              <w:left w:val="nil"/>
              <w:bottom w:val="single" w:sz="4" w:space="0" w:color="auto"/>
              <w:right w:val="single" w:sz="4" w:space="0" w:color="auto"/>
            </w:tcBorders>
            <w:shd w:val="clear" w:color="auto" w:fill="FFFFFF" w:themeFill="background1"/>
            <w:noWrap/>
            <w:hideMark/>
          </w:tcPr>
          <w:p w14:paraId="7B266166" w14:textId="77777777" w:rsidR="001A20CA" w:rsidRPr="00337216" w:rsidRDefault="001A20CA" w:rsidP="00D83ECE">
            <w:pPr>
              <w:pStyle w:val="Report"/>
              <w:spacing w:line="480" w:lineRule="auto"/>
              <w:jc w:val="center"/>
              <w:rPr>
                <w:color w:val="000000"/>
              </w:rPr>
            </w:pPr>
            <w:r w:rsidRPr="00574A30">
              <w:t>&lt;0.0001</w:t>
            </w:r>
          </w:p>
        </w:tc>
        <w:tc>
          <w:tcPr>
            <w:tcW w:w="1384" w:type="dxa"/>
            <w:tcBorders>
              <w:top w:val="single" w:sz="4" w:space="0" w:color="auto"/>
              <w:left w:val="nil"/>
              <w:bottom w:val="single" w:sz="4" w:space="0" w:color="auto"/>
              <w:right w:val="single" w:sz="4" w:space="0" w:color="auto"/>
            </w:tcBorders>
            <w:shd w:val="clear" w:color="auto" w:fill="FFFFFF" w:themeFill="background1"/>
            <w:noWrap/>
            <w:hideMark/>
          </w:tcPr>
          <w:p w14:paraId="0A7370FB" w14:textId="77777777" w:rsidR="001A20CA" w:rsidRPr="00337216" w:rsidRDefault="001A20CA" w:rsidP="00D83ECE">
            <w:pPr>
              <w:pStyle w:val="Report"/>
              <w:spacing w:line="480" w:lineRule="auto"/>
              <w:jc w:val="center"/>
              <w:rPr>
                <w:color w:val="000000"/>
              </w:rPr>
            </w:pPr>
            <w:r w:rsidRPr="00574A30">
              <w:t>-1.24</w:t>
            </w:r>
          </w:p>
        </w:tc>
        <w:tc>
          <w:tcPr>
            <w:tcW w:w="1384" w:type="dxa"/>
            <w:shd w:val="clear" w:color="auto" w:fill="FFFFFF" w:themeFill="background1"/>
          </w:tcPr>
          <w:p w14:paraId="09C20875" w14:textId="77777777" w:rsidR="001A20CA" w:rsidRPr="00337216" w:rsidRDefault="001A20CA" w:rsidP="00D83ECE">
            <w:pPr>
              <w:pStyle w:val="Report"/>
              <w:spacing w:line="480" w:lineRule="auto"/>
              <w:jc w:val="center"/>
              <w:rPr>
                <w:color w:val="000000"/>
              </w:rPr>
            </w:pPr>
            <w:r w:rsidRPr="00337216">
              <w:rPr>
                <w:color w:val="000000"/>
              </w:rPr>
              <w:t>No</w:t>
            </w:r>
          </w:p>
        </w:tc>
      </w:tr>
      <w:tr w:rsidR="001A20CA" w:rsidRPr="00ED7CE9" w14:paraId="559FD0CB" w14:textId="77777777" w:rsidTr="00D83ECE">
        <w:trPr>
          <w:trHeight w:val="600"/>
        </w:trPr>
        <w:tc>
          <w:tcPr>
            <w:tcW w:w="1383" w:type="dxa"/>
            <w:shd w:val="clear" w:color="auto" w:fill="FFFFFF" w:themeFill="background1"/>
            <w:hideMark/>
          </w:tcPr>
          <w:p w14:paraId="5155DB32" w14:textId="77777777" w:rsidR="001A20CA" w:rsidRPr="00337216" w:rsidRDefault="009028D0" w:rsidP="00D83ECE">
            <w:pPr>
              <w:pStyle w:val="Report"/>
              <w:spacing w:line="480" w:lineRule="auto"/>
              <w:jc w:val="center"/>
            </w:pPr>
            <w:hyperlink r:id="rId7" w:anchor="'freq-exp3-rest-opt1'!A1" w:history="1">
              <w:r w:rsidR="001A20CA" w:rsidRPr="00337216">
                <w:t>Exponential 3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65C6DC10" w14:textId="77777777" w:rsidR="001A20CA" w:rsidRPr="00337216" w:rsidRDefault="001A20CA" w:rsidP="00D83ECE">
            <w:pPr>
              <w:pStyle w:val="Report"/>
              <w:spacing w:line="480" w:lineRule="auto"/>
              <w:jc w:val="center"/>
              <w:rPr>
                <w:color w:val="000000"/>
              </w:rPr>
            </w:pPr>
            <w:r w:rsidRPr="00574A30">
              <w:t>4.31</w:t>
            </w:r>
          </w:p>
        </w:tc>
        <w:tc>
          <w:tcPr>
            <w:tcW w:w="1384" w:type="dxa"/>
            <w:tcBorders>
              <w:top w:val="nil"/>
              <w:left w:val="nil"/>
              <w:bottom w:val="single" w:sz="4" w:space="0" w:color="auto"/>
              <w:right w:val="single" w:sz="4" w:space="0" w:color="auto"/>
            </w:tcBorders>
            <w:shd w:val="clear" w:color="auto" w:fill="FFFFFF" w:themeFill="background1"/>
            <w:noWrap/>
            <w:hideMark/>
          </w:tcPr>
          <w:p w14:paraId="18F535EB" w14:textId="77777777" w:rsidR="001A20CA" w:rsidRPr="00337216" w:rsidRDefault="001A20CA" w:rsidP="00D83ECE">
            <w:pPr>
              <w:pStyle w:val="Report"/>
              <w:spacing w:line="480" w:lineRule="auto"/>
              <w:jc w:val="center"/>
              <w:rPr>
                <w:color w:val="000000"/>
              </w:rPr>
            </w:pPr>
            <w:r w:rsidRPr="00574A30">
              <w:t>2.66</w:t>
            </w:r>
          </w:p>
        </w:tc>
        <w:tc>
          <w:tcPr>
            <w:tcW w:w="1383" w:type="dxa"/>
            <w:tcBorders>
              <w:top w:val="nil"/>
              <w:left w:val="nil"/>
              <w:bottom w:val="single" w:sz="4" w:space="0" w:color="auto"/>
              <w:right w:val="single" w:sz="4" w:space="0" w:color="auto"/>
            </w:tcBorders>
            <w:shd w:val="clear" w:color="auto" w:fill="FFFFFF" w:themeFill="background1"/>
            <w:noWrap/>
            <w:hideMark/>
          </w:tcPr>
          <w:p w14:paraId="122245A0" w14:textId="77777777" w:rsidR="001A20CA" w:rsidRPr="00337216" w:rsidRDefault="001A20CA" w:rsidP="00D83ECE">
            <w:pPr>
              <w:pStyle w:val="Report"/>
              <w:spacing w:line="480" w:lineRule="auto"/>
              <w:jc w:val="center"/>
              <w:rPr>
                <w:color w:val="000000"/>
              </w:rPr>
            </w:pPr>
            <w:r w:rsidRPr="00574A30">
              <w:t>33.91</w:t>
            </w:r>
          </w:p>
        </w:tc>
        <w:tc>
          <w:tcPr>
            <w:tcW w:w="1384" w:type="dxa"/>
            <w:tcBorders>
              <w:top w:val="nil"/>
              <w:left w:val="nil"/>
              <w:bottom w:val="single" w:sz="4" w:space="0" w:color="auto"/>
              <w:right w:val="single" w:sz="4" w:space="0" w:color="auto"/>
            </w:tcBorders>
            <w:shd w:val="clear" w:color="auto" w:fill="FFFFFF" w:themeFill="background1"/>
            <w:noWrap/>
            <w:hideMark/>
          </w:tcPr>
          <w:p w14:paraId="47D5C904" w14:textId="77777777" w:rsidR="001A20CA" w:rsidRPr="00337216" w:rsidRDefault="001A20CA" w:rsidP="00D83ECE">
            <w:pPr>
              <w:pStyle w:val="Report"/>
              <w:spacing w:line="480" w:lineRule="auto"/>
              <w:jc w:val="center"/>
              <w:rPr>
                <w:color w:val="000000"/>
              </w:rPr>
            </w:pPr>
            <w:r w:rsidRPr="00574A30">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6F8D79A3" w14:textId="77777777" w:rsidR="001A20CA" w:rsidRPr="00337216" w:rsidRDefault="001A20CA" w:rsidP="00D83ECE">
            <w:pPr>
              <w:pStyle w:val="Report"/>
              <w:spacing w:line="480" w:lineRule="auto"/>
              <w:jc w:val="center"/>
              <w:rPr>
                <w:color w:val="000000"/>
              </w:rPr>
            </w:pPr>
            <w:r w:rsidRPr="00574A30">
              <w:t>-1.24</w:t>
            </w:r>
          </w:p>
        </w:tc>
        <w:tc>
          <w:tcPr>
            <w:tcW w:w="1384" w:type="dxa"/>
            <w:shd w:val="clear" w:color="auto" w:fill="FFFFFF" w:themeFill="background1"/>
          </w:tcPr>
          <w:p w14:paraId="21806498" w14:textId="77777777" w:rsidR="001A20CA" w:rsidRPr="00337216" w:rsidRDefault="001A20CA" w:rsidP="00D83ECE">
            <w:pPr>
              <w:pStyle w:val="Report"/>
              <w:spacing w:line="480" w:lineRule="auto"/>
              <w:jc w:val="center"/>
              <w:rPr>
                <w:color w:val="000000"/>
              </w:rPr>
            </w:pPr>
            <w:r w:rsidRPr="00337216">
              <w:rPr>
                <w:color w:val="000000"/>
              </w:rPr>
              <w:t>No</w:t>
            </w:r>
          </w:p>
        </w:tc>
      </w:tr>
      <w:tr w:rsidR="001A20CA" w:rsidRPr="00ED7CE9" w14:paraId="68A9C181" w14:textId="77777777" w:rsidTr="00D83ECE">
        <w:trPr>
          <w:trHeight w:val="600"/>
        </w:trPr>
        <w:tc>
          <w:tcPr>
            <w:tcW w:w="1383" w:type="dxa"/>
            <w:shd w:val="clear" w:color="auto" w:fill="FFFFFF" w:themeFill="background1"/>
            <w:hideMark/>
          </w:tcPr>
          <w:p w14:paraId="6F19D0B6" w14:textId="77777777" w:rsidR="001A20CA" w:rsidRPr="00337216" w:rsidRDefault="009028D0" w:rsidP="00D83ECE">
            <w:pPr>
              <w:pStyle w:val="Report"/>
              <w:spacing w:line="480" w:lineRule="auto"/>
              <w:jc w:val="center"/>
              <w:rPr>
                <w:bCs/>
              </w:rPr>
            </w:pPr>
            <w:hyperlink r:id="rId8" w:anchor="'freq-exp4-rest-opt1'!A1" w:history="1">
              <w:r w:rsidR="001A20CA" w:rsidRPr="00337216">
                <w:rPr>
                  <w:bCs/>
                </w:rPr>
                <w:t>Exponential 4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4C68D592" w14:textId="77777777" w:rsidR="001A20CA" w:rsidRPr="00337216" w:rsidRDefault="001A20CA" w:rsidP="00D83ECE">
            <w:pPr>
              <w:pStyle w:val="Report"/>
              <w:spacing w:line="480" w:lineRule="auto"/>
              <w:jc w:val="center"/>
              <w:rPr>
                <w:bCs/>
                <w:color w:val="000000"/>
              </w:rPr>
            </w:pPr>
            <w:r w:rsidRPr="00574A30">
              <w:t>0.06</w:t>
            </w:r>
          </w:p>
        </w:tc>
        <w:tc>
          <w:tcPr>
            <w:tcW w:w="1384" w:type="dxa"/>
            <w:tcBorders>
              <w:top w:val="nil"/>
              <w:left w:val="nil"/>
              <w:bottom w:val="single" w:sz="4" w:space="0" w:color="auto"/>
              <w:right w:val="single" w:sz="4" w:space="0" w:color="auto"/>
            </w:tcBorders>
            <w:shd w:val="clear" w:color="auto" w:fill="FFFFFF" w:themeFill="background1"/>
            <w:noWrap/>
            <w:hideMark/>
          </w:tcPr>
          <w:p w14:paraId="6CD61AD4" w14:textId="77777777" w:rsidR="001A20CA" w:rsidRPr="00337216" w:rsidRDefault="001A20CA" w:rsidP="00D83ECE">
            <w:pPr>
              <w:pStyle w:val="Report"/>
              <w:spacing w:line="480" w:lineRule="auto"/>
              <w:jc w:val="center"/>
              <w:rPr>
                <w:bCs/>
                <w:color w:val="000000"/>
              </w:rPr>
            </w:pPr>
            <w:r w:rsidRPr="00574A30">
              <w:t>0.05</w:t>
            </w:r>
          </w:p>
        </w:tc>
        <w:tc>
          <w:tcPr>
            <w:tcW w:w="1383" w:type="dxa"/>
            <w:tcBorders>
              <w:top w:val="nil"/>
              <w:left w:val="nil"/>
              <w:bottom w:val="single" w:sz="4" w:space="0" w:color="auto"/>
              <w:right w:val="single" w:sz="4" w:space="0" w:color="auto"/>
            </w:tcBorders>
            <w:shd w:val="clear" w:color="auto" w:fill="FFFFFF" w:themeFill="background1"/>
            <w:noWrap/>
            <w:hideMark/>
          </w:tcPr>
          <w:p w14:paraId="6CD01A38" w14:textId="77777777" w:rsidR="001A20CA" w:rsidRPr="00337216" w:rsidRDefault="001A20CA" w:rsidP="00D83ECE">
            <w:pPr>
              <w:pStyle w:val="Report"/>
              <w:spacing w:line="480" w:lineRule="auto"/>
              <w:jc w:val="center"/>
              <w:rPr>
                <w:bCs/>
                <w:color w:val="000000"/>
              </w:rPr>
            </w:pPr>
            <w:r w:rsidRPr="00574A30">
              <w:t>0.10</w:t>
            </w:r>
          </w:p>
        </w:tc>
        <w:tc>
          <w:tcPr>
            <w:tcW w:w="1384" w:type="dxa"/>
            <w:tcBorders>
              <w:top w:val="nil"/>
              <w:left w:val="nil"/>
              <w:bottom w:val="single" w:sz="4" w:space="0" w:color="auto"/>
              <w:right w:val="single" w:sz="4" w:space="0" w:color="auto"/>
            </w:tcBorders>
            <w:shd w:val="clear" w:color="auto" w:fill="FFFFFF" w:themeFill="background1"/>
            <w:noWrap/>
            <w:hideMark/>
          </w:tcPr>
          <w:p w14:paraId="068AC312" w14:textId="77777777" w:rsidR="001A20CA" w:rsidRPr="00337216" w:rsidRDefault="001A20CA" w:rsidP="00D83ECE">
            <w:pPr>
              <w:pStyle w:val="Report"/>
              <w:spacing w:line="480" w:lineRule="auto"/>
              <w:jc w:val="center"/>
              <w:rPr>
                <w:bCs/>
                <w:color w:val="000000"/>
              </w:rPr>
            </w:pPr>
            <w:r w:rsidRPr="00574A30">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146A2C3C" w14:textId="77777777" w:rsidR="001A20CA" w:rsidRPr="00337216" w:rsidRDefault="001A20CA" w:rsidP="00D83ECE">
            <w:pPr>
              <w:pStyle w:val="Report"/>
              <w:spacing w:line="480" w:lineRule="auto"/>
              <w:jc w:val="center"/>
              <w:rPr>
                <w:bCs/>
                <w:color w:val="000000"/>
              </w:rPr>
            </w:pPr>
            <w:r w:rsidRPr="00574A30">
              <w:t>-26.06</w:t>
            </w:r>
          </w:p>
        </w:tc>
        <w:tc>
          <w:tcPr>
            <w:tcW w:w="1384" w:type="dxa"/>
            <w:shd w:val="clear" w:color="auto" w:fill="FFFFFF" w:themeFill="background1"/>
          </w:tcPr>
          <w:p w14:paraId="482FB118" w14:textId="77777777" w:rsidR="001A20CA" w:rsidRPr="00337216" w:rsidRDefault="001A20CA" w:rsidP="00D83ECE">
            <w:pPr>
              <w:pStyle w:val="Report"/>
              <w:spacing w:line="480" w:lineRule="auto"/>
              <w:jc w:val="center"/>
              <w:rPr>
                <w:bCs/>
                <w:color w:val="000000"/>
              </w:rPr>
            </w:pPr>
            <w:r>
              <w:rPr>
                <w:bCs/>
                <w:color w:val="000000"/>
              </w:rPr>
              <w:t>No</w:t>
            </w:r>
          </w:p>
        </w:tc>
      </w:tr>
      <w:tr w:rsidR="001A20CA" w:rsidRPr="00ED7CE9" w14:paraId="60DF8C4D" w14:textId="77777777" w:rsidTr="00D83ECE">
        <w:trPr>
          <w:trHeight w:val="600"/>
        </w:trPr>
        <w:tc>
          <w:tcPr>
            <w:tcW w:w="1383" w:type="dxa"/>
            <w:shd w:val="clear" w:color="auto" w:fill="FFFFFF" w:themeFill="background1"/>
            <w:hideMark/>
          </w:tcPr>
          <w:p w14:paraId="53715F42" w14:textId="77777777" w:rsidR="001A20CA" w:rsidRPr="00337216" w:rsidRDefault="009028D0" w:rsidP="00D83ECE">
            <w:pPr>
              <w:pStyle w:val="Report"/>
              <w:spacing w:line="480" w:lineRule="auto"/>
              <w:jc w:val="center"/>
            </w:pPr>
            <w:hyperlink r:id="rId9" w:anchor="'freq-exp5-rest-opt1'!A1" w:history="1">
              <w:r w:rsidR="001A20CA" w:rsidRPr="00337216">
                <w:t>Exponential 5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3F60484F" w14:textId="77777777" w:rsidR="001A20CA" w:rsidRPr="00337216" w:rsidRDefault="001A20CA" w:rsidP="00D83ECE">
            <w:pPr>
              <w:pStyle w:val="Report"/>
              <w:spacing w:line="480" w:lineRule="auto"/>
              <w:jc w:val="center"/>
              <w:rPr>
                <w:color w:val="000000"/>
              </w:rPr>
            </w:pPr>
            <w:r w:rsidRPr="00574A30">
              <w:t>0.06</w:t>
            </w:r>
          </w:p>
        </w:tc>
        <w:tc>
          <w:tcPr>
            <w:tcW w:w="1384" w:type="dxa"/>
            <w:tcBorders>
              <w:top w:val="nil"/>
              <w:left w:val="nil"/>
              <w:bottom w:val="single" w:sz="4" w:space="0" w:color="auto"/>
              <w:right w:val="single" w:sz="4" w:space="0" w:color="auto"/>
            </w:tcBorders>
            <w:shd w:val="clear" w:color="auto" w:fill="FFFFFF" w:themeFill="background1"/>
            <w:noWrap/>
            <w:hideMark/>
          </w:tcPr>
          <w:p w14:paraId="6BC2D6AA" w14:textId="77777777" w:rsidR="001A20CA" w:rsidRPr="00337216" w:rsidRDefault="001A20CA" w:rsidP="00D83ECE">
            <w:pPr>
              <w:pStyle w:val="Report"/>
              <w:spacing w:line="480" w:lineRule="auto"/>
              <w:jc w:val="center"/>
              <w:rPr>
                <w:color w:val="000000"/>
              </w:rPr>
            </w:pPr>
            <w:r w:rsidRPr="00574A30">
              <w:t>0.05</w:t>
            </w:r>
          </w:p>
        </w:tc>
        <w:tc>
          <w:tcPr>
            <w:tcW w:w="1383" w:type="dxa"/>
            <w:tcBorders>
              <w:top w:val="nil"/>
              <w:left w:val="nil"/>
              <w:bottom w:val="single" w:sz="4" w:space="0" w:color="auto"/>
              <w:right w:val="single" w:sz="4" w:space="0" w:color="auto"/>
            </w:tcBorders>
            <w:shd w:val="clear" w:color="auto" w:fill="FFFFFF" w:themeFill="background1"/>
            <w:noWrap/>
            <w:hideMark/>
          </w:tcPr>
          <w:p w14:paraId="2CB21B0A" w14:textId="77777777" w:rsidR="001A20CA" w:rsidRPr="00337216" w:rsidRDefault="001A20CA" w:rsidP="00D83ECE">
            <w:pPr>
              <w:pStyle w:val="Report"/>
              <w:spacing w:line="480" w:lineRule="auto"/>
              <w:jc w:val="center"/>
              <w:rPr>
                <w:color w:val="000000"/>
              </w:rPr>
            </w:pPr>
            <w:r w:rsidRPr="00574A30">
              <w:t>0.12</w:t>
            </w:r>
          </w:p>
        </w:tc>
        <w:tc>
          <w:tcPr>
            <w:tcW w:w="1384" w:type="dxa"/>
            <w:tcBorders>
              <w:top w:val="nil"/>
              <w:left w:val="nil"/>
              <w:bottom w:val="single" w:sz="4" w:space="0" w:color="auto"/>
              <w:right w:val="single" w:sz="4" w:space="0" w:color="auto"/>
            </w:tcBorders>
            <w:shd w:val="clear" w:color="auto" w:fill="FFFFFF" w:themeFill="background1"/>
            <w:noWrap/>
            <w:hideMark/>
          </w:tcPr>
          <w:p w14:paraId="47C41C09" w14:textId="77777777" w:rsidR="001A20CA" w:rsidRPr="00337216" w:rsidRDefault="001A20CA" w:rsidP="00D83ECE">
            <w:pPr>
              <w:pStyle w:val="Report"/>
              <w:spacing w:line="480" w:lineRule="auto"/>
              <w:jc w:val="center"/>
              <w:rPr>
                <w:color w:val="000000"/>
              </w:rPr>
            </w:pPr>
            <w:r w:rsidRPr="00574A30">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49745119" w14:textId="77777777" w:rsidR="001A20CA" w:rsidRPr="00337216" w:rsidRDefault="001A20CA" w:rsidP="00D83ECE">
            <w:pPr>
              <w:pStyle w:val="Report"/>
              <w:spacing w:line="480" w:lineRule="auto"/>
              <w:jc w:val="center"/>
              <w:rPr>
                <w:color w:val="000000"/>
              </w:rPr>
            </w:pPr>
            <w:r w:rsidRPr="00574A30">
              <w:t>-26.06</w:t>
            </w:r>
          </w:p>
        </w:tc>
        <w:tc>
          <w:tcPr>
            <w:tcW w:w="1384" w:type="dxa"/>
            <w:shd w:val="clear" w:color="auto" w:fill="FFFFFF" w:themeFill="background1"/>
          </w:tcPr>
          <w:p w14:paraId="0E57FF08"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4DC3DD3F" w14:textId="77777777" w:rsidTr="00D83ECE">
        <w:trPr>
          <w:trHeight w:val="600"/>
        </w:trPr>
        <w:tc>
          <w:tcPr>
            <w:tcW w:w="1383" w:type="dxa"/>
            <w:shd w:val="clear" w:color="auto" w:fill="FFFFFF" w:themeFill="background1"/>
            <w:hideMark/>
          </w:tcPr>
          <w:p w14:paraId="7B16613A" w14:textId="77777777" w:rsidR="001A20CA" w:rsidRPr="00337216" w:rsidRDefault="009028D0" w:rsidP="00D83ECE">
            <w:pPr>
              <w:pStyle w:val="Report"/>
              <w:spacing w:line="480" w:lineRule="auto"/>
              <w:jc w:val="center"/>
            </w:pPr>
            <w:hyperlink r:id="rId10" w:anchor="'freq-hil-rest-opt1'!A1" w:history="1">
              <w:r w:rsidR="001A20CA" w:rsidRPr="00337216">
                <w:t>Hill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249CE68F" w14:textId="77777777" w:rsidR="001A20CA" w:rsidRPr="00337216" w:rsidRDefault="001A20CA" w:rsidP="00D83ECE">
            <w:pPr>
              <w:pStyle w:val="Report"/>
              <w:spacing w:line="480" w:lineRule="auto"/>
              <w:jc w:val="center"/>
              <w:rPr>
                <w:color w:val="000000"/>
              </w:rPr>
            </w:pPr>
            <w:r w:rsidRPr="00574A30">
              <w:t>0.01</w:t>
            </w:r>
          </w:p>
        </w:tc>
        <w:tc>
          <w:tcPr>
            <w:tcW w:w="1384" w:type="dxa"/>
            <w:tcBorders>
              <w:top w:val="nil"/>
              <w:left w:val="nil"/>
              <w:bottom w:val="single" w:sz="4" w:space="0" w:color="auto"/>
              <w:right w:val="single" w:sz="4" w:space="0" w:color="auto"/>
            </w:tcBorders>
            <w:shd w:val="clear" w:color="auto" w:fill="FFFFFF" w:themeFill="background1"/>
            <w:noWrap/>
            <w:hideMark/>
          </w:tcPr>
          <w:p w14:paraId="3245B26C" w14:textId="77777777" w:rsidR="001A20CA" w:rsidRPr="00337216" w:rsidRDefault="001A20CA" w:rsidP="00D83ECE">
            <w:pPr>
              <w:pStyle w:val="Report"/>
              <w:spacing w:line="480" w:lineRule="auto"/>
              <w:jc w:val="center"/>
              <w:rPr>
                <w:color w:val="000000"/>
              </w:rPr>
            </w:pPr>
            <w:r>
              <w:t>3.48E-03</w:t>
            </w:r>
          </w:p>
        </w:tc>
        <w:tc>
          <w:tcPr>
            <w:tcW w:w="1383" w:type="dxa"/>
            <w:tcBorders>
              <w:top w:val="nil"/>
              <w:left w:val="nil"/>
              <w:bottom w:val="single" w:sz="4" w:space="0" w:color="auto"/>
              <w:right w:val="single" w:sz="4" w:space="0" w:color="auto"/>
            </w:tcBorders>
            <w:shd w:val="clear" w:color="auto" w:fill="FFFFFF" w:themeFill="background1"/>
            <w:noWrap/>
            <w:hideMark/>
          </w:tcPr>
          <w:p w14:paraId="36DAB519" w14:textId="77777777" w:rsidR="001A20CA" w:rsidRPr="00337216" w:rsidRDefault="001A20CA" w:rsidP="00D83ECE">
            <w:pPr>
              <w:pStyle w:val="Report"/>
              <w:spacing w:line="480" w:lineRule="auto"/>
              <w:jc w:val="center"/>
              <w:rPr>
                <w:color w:val="000000"/>
              </w:rPr>
            </w:pPr>
            <w:r w:rsidRPr="00574A30">
              <w:t>0.02</w:t>
            </w:r>
          </w:p>
        </w:tc>
        <w:tc>
          <w:tcPr>
            <w:tcW w:w="1384" w:type="dxa"/>
            <w:tcBorders>
              <w:top w:val="nil"/>
              <w:left w:val="nil"/>
              <w:bottom w:val="single" w:sz="4" w:space="0" w:color="auto"/>
              <w:right w:val="single" w:sz="4" w:space="0" w:color="auto"/>
            </w:tcBorders>
            <w:shd w:val="clear" w:color="auto" w:fill="FFFFFF" w:themeFill="background1"/>
            <w:noWrap/>
            <w:hideMark/>
          </w:tcPr>
          <w:p w14:paraId="7F624E14" w14:textId="77777777" w:rsidR="001A20CA" w:rsidRPr="00337216" w:rsidRDefault="001A20CA" w:rsidP="00D83ECE">
            <w:pPr>
              <w:pStyle w:val="Report"/>
              <w:spacing w:line="480" w:lineRule="auto"/>
              <w:jc w:val="center"/>
              <w:rPr>
                <w:color w:val="000000"/>
              </w:rPr>
            </w:pPr>
            <w:r w:rsidRPr="00574A30">
              <w:t>0.01</w:t>
            </w:r>
          </w:p>
        </w:tc>
        <w:tc>
          <w:tcPr>
            <w:tcW w:w="1384" w:type="dxa"/>
            <w:tcBorders>
              <w:top w:val="nil"/>
              <w:left w:val="nil"/>
              <w:bottom w:val="single" w:sz="4" w:space="0" w:color="auto"/>
              <w:right w:val="single" w:sz="4" w:space="0" w:color="auto"/>
            </w:tcBorders>
            <w:shd w:val="clear" w:color="auto" w:fill="FFFFFF" w:themeFill="background1"/>
            <w:noWrap/>
            <w:hideMark/>
          </w:tcPr>
          <w:p w14:paraId="795A58D6" w14:textId="77777777" w:rsidR="001A20CA" w:rsidRPr="00337216" w:rsidRDefault="001A20CA" w:rsidP="00D83ECE">
            <w:pPr>
              <w:pStyle w:val="Report"/>
              <w:spacing w:line="480" w:lineRule="auto"/>
              <w:jc w:val="center"/>
              <w:rPr>
                <w:color w:val="000000"/>
              </w:rPr>
            </w:pPr>
            <w:r w:rsidRPr="00574A30">
              <w:t>-57.35</w:t>
            </w:r>
          </w:p>
        </w:tc>
        <w:tc>
          <w:tcPr>
            <w:tcW w:w="1384" w:type="dxa"/>
            <w:shd w:val="clear" w:color="auto" w:fill="FFFFFF" w:themeFill="background1"/>
          </w:tcPr>
          <w:p w14:paraId="1A0F0873" w14:textId="77777777" w:rsidR="001A20CA" w:rsidRPr="00337216" w:rsidRDefault="001A20CA" w:rsidP="00D83ECE">
            <w:pPr>
              <w:pStyle w:val="Report"/>
              <w:spacing w:line="480" w:lineRule="auto"/>
              <w:jc w:val="center"/>
              <w:rPr>
                <w:color w:val="000000"/>
              </w:rPr>
            </w:pPr>
            <w:r w:rsidRPr="00337216">
              <w:rPr>
                <w:color w:val="000000"/>
              </w:rPr>
              <w:t>Yes</w:t>
            </w:r>
          </w:p>
        </w:tc>
      </w:tr>
      <w:tr w:rsidR="001A20CA" w:rsidRPr="00ED7CE9" w14:paraId="2DDB0F1D" w14:textId="77777777" w:rsidTr="00D83ECE">
        <w:trPr>
          <w:trHeight w:val="600"/>
        </w:trPr>
        <w:tc>
          <w:tcPr>
            <w:tcW w:w="1383" w:type="dxa"/>
            <w:shd w:val="clear" w:color="auto" w:fill="FFFFFF" w:themeFill="background1"/>
            <w:hideMark/>
          </w:tcPr>
          <w:p w14:paraId="6E0B9FF0" w14:textId="77777777" w:rsidR="001A20CA" w:rsidRPr="00337216" w:rsidRDefault="009028D0" w:rsidP="00D83ECE">
            <w:pPr>
              <w:pStyle w:val="Report"/>
              <w:spacing w:line="480" w:lineRule="auto"/>
              <w:jc w:val="center"/>
            </w:pPr>
            <w:hyperlink r:id="rId11" w:anchor="'freq-ply6-rest-opt1'!A1" w:history="1">
              <w:r w:rsidR="001A20CA" w:rsidRPr="00337216">
                <w:t xml:space="preserve">Polynomial Degree 6 </w:t>
              </w:r>
              <w:r w:rsidR="001A20CA" w:rsidRPr="00337216">
                <w:lastRenderedPageBreak/>
                <w:t>(CV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4F03A329" w14:textId="77777777" w:rsidR="001A20CA" w:rsidRPr="00337216" w:rsidRDefault="001A20CA" w:rsidP="00D83ECE">
            <w:pPr>
              <w:pStyle w:val="Report"/>
              <w:spacing w:line="480" w:lineRule="auto"/>
              <w:jc w:val="center"/>
              <w:rPr>
                <w:color w:val="000000"/>
              </w:rPr>
            </w:pPr>
            <w:r w:rsidRPr="00574A30">
              <w:lastRenderedPageBreak/>
              <w:t>3.42</w:t>
            </w:r>
          </w:p>
        </w:tc>
        <w:tc>
          <w:tcPr>
            <w:tcW w:w="1384" w:type="dxa"/>
            <w:tcBorders>
              <w:top w:val="nil"/>
              <w:left w:val="nil"/>
              <w:bottom w:val="single" w:sz="4" w:space="0" w:color="auto"/>
              <w:right w:val="single" w:sz="4" w:space="0" w:color="auto"/>
            </w:tcBorders>
            <w:shd w:val="clear" w:color="auto" w:fill="FFFFFF" w:themeFill="background1"/>
            <w:noWrap/>
            <w:hideMark/>
          </w:tcPr>
          <w:p w14:paraId="5997482A" w14:textId="77777777" w:rsidR="001A20CA" w:rsidRPr="00337216" w:rsidRDefault="001A20CA" w:rsidP="00D83ECE">
            <w:pPr>
              <w:pStyle w:val="Report"/>
              <w:spacing w:line="480" w:lineRule="auto"/>
              <w:jc w:val="center"/>
              <w:rPr>
                <w:color w:val="000000"/>
              </w:rPr>
            </w:pPr>
            <w:r w:rsidRPr="00574A30">
              <w:t>1.87</w:t>
            </w:r>
          </w:p>
        </w:tc>
        <w:tc>
          <w:tcPr>
            <w:tcW w:w="1383" w:type="dxa"/>
            <w:tcBorders>
              <w:top w:val="nil"/>
              <w:left w:val="nil"/>
              <w:bottom w:val="single" w:sz="4" w:space="0" w:color="auto"/>
              <w:right w:val="single" w:sz="4" w:space="0" w:color="auto"/>
            </w:tcBorders>
            <w:shd w:val="clear" w:color="auto" w:fill="FFFFFF" w:themeFill="background1"/>
            <w:noWrap/>
            <w:hideMark/>
          </w:tcPr>
          <w:p w14:paraId="1BB85F28" w14:textId="77777777" w:rsidR="001A20CA" w:rsidRPr="00337216" w:rsidRDefault="001A20CA" w:rsidP="00D83ECE">
            <w:pPr>
              <w:pStyle w:val="Report"/>
              <w:spacing w:line="480" w:lineRule="auto"/>
              <w:jc w:val="center"/>
              <w:rPr>
                <w:color w:val="000000"/>
              </w:rPr>
            </w:pPr>
            <w:r w:rsidRPr="00574A30">
              <w:t>19.43</w:t>
            </w:r>
          </w:p>
        </w:tc>
        <w:tc>
          <w:tcPr>
            <w:tcW w:w="1384" w:type="dxa"/>
            <w:tcBorders>
              <w:top w:val="nil"/>
              <w:left w:val="nil"/>
              <w:bottom w:val="single" w:sz="4" w:space="0" w:color="auto"/>
              <w:right w:val="single" w:sz="4" w:space="0" w:color="auto"/>
            </w:tcBorders>
            <w:shd w:val="clear" w:color="auto" w:fill="FFFFFF" w:themeFill="background1"/>
            <w:noWrap/>
            <w:hideMark/>
          </w:tcPr>
          <w:p w14:paraId="0B274A97" w14:textId="77777777" w:rsidR="001A20CA" w:rsidRPr="00337216" w:rsidRDefault="001A20CA" w:rsidP="00D83ECE">
            <w:pPr>
              <w:pStyle w:val="Report"/>
              <w:spacing w:line="480" w:lineRule="auto"/>
              <w:jc w:val="center"/>
            </w:pPr>
            <w:r w:rsidRPr="00574A30">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7D653A26" w14:textId="77777777" w:rsidR="001A20CA" w:rsidRPr="00337216" w:rsidRDefault="001A20CA" w:rsidP="00D83ECE">
            <w:pPr>
              <w:pStyle w:val="Report"/>
              <w:spacing w:line="480" w:lineRule="auto"/>
              <w:jc w:val="center"/>
              <w:rPr>
                <w:color w:val="000000"/>
              </w:rPr>
            </w:pPr>
            <w:r w:rsidRPr="00574A30">
              <w:t>-1.86</w:t>
            </w:r>
          </w:p>
        </w:tc>
        <w:tc>
          <w:tcPr>
            <w:tcW w:w="1384" w:type="dxa"/>
            <w:shd w:val="clear" w:color="auto" w:fill="FFFFFF" w:themeFill="background1"/>
          </w:tcPr>
          <w:p w14:paraId="2F74C5F5"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4AC8E3CF" w14:textId="77777777" w:rsidTr="00D83ECE">
        <w:trPr>
          <w:trHeight w:val="600"/>
        </w:trPr>
        <w:tc>
          <w:tcPr>
            <w:tcW w:w="1383" w:type="dxa"/>
            <w:shd w:val="clear" w:color="auto" w:fill="FFFFFF" w:themeFill="background1"/>
            <w:hideMark/>
          </w:tcPr>
          <w:p w14:paraId="47DF8D79" w14:textId="77777777" w:rsidR="001A20CA" w:rsidRPr="00337216" w:rsidRDefault="009028D0" w:rsidP="00D83ECE">
            <w:pPr>
              <w:pStyle w:val="Report"/>
              <w:spacing w:line="480" w:lineRule="auto"/>
              <w:jc w:val="center"/>
            </w:pPr>
            <w:hyperlink r:id="rId12" w:anchor="'freq-ply5-rest-opt1'!A1" w:history="1">
              <w:r w:rsidR="001A20CA" w:rsidRPr="00337216">
                <w:t>Polynomial Degree 5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66432ECD" w14:textId="77777777" w:rsidR="001A20CA" w:rsidRPr="00337216" w:rsidRDefault="001A20CA" w:rsidP="00D83ECE">
            <w:pPr>
              <w:pStyle w:val="Report"/>
              <w:spacing w:line="480" w:lineRule="auto"/>
              <w:jc w:val="center"/>
              <w:rPr>
                <w:color w:val="000000"/>
              </w:rPr>
            </w:pPr>
            <w:r w:rsidRPr="00574A30">
              <w:t>3.42</w:t>
            </w:r>
          </w:p>
        </w:tc>
        <w:tc>
          <w:tcPr>
            <w:tcW w:w="1384" w:type="dxa"/>
            <w:tcBorders>
              <w:top w:val="nil"/>
              <w:left w:val="nil"/>
              <w:bottom w:val="single" w:sz="4" w:space="0" w:color="auto"/>
              <w:right w:val="single" w:sz="4" w:space="0" w:color="auto"/>
            </w:tcBorders>
            <w:shd w:val="clear" w:color="auto" w:fill="FFFFFF" w:themeFill="background1"/>
            <w:noWrap/>
            <w:hideMark/>
          </w:tcPr>
          <w:p w14:paraId="3A675221" w14:textId="77777777" w:rsidR="001A20CA" w:rsidRPr="00337216" w:rsidRDefault="001A20CA" w:rsidP="00D83ECE">
            <w:pPr>
              <w:pStyle w:val="Report"/>
              <w:spacing w:line="480" w:lineRule="auto"/>
              <w:jc w:val="center"/>
              <w:rPr>
                <w:color w:val="000000"/>
              </w:rPr>
            </w:pPr>
            <w:r w:rsidRPr="00574A30">
              <w:t>1.87</w:t>
            </w:r>
          </w:p>
        </w:tc>
        <w:tc>
          <w:tcPr>
            <w:tcW w:w="1383" w:type="dxa"/>
            <w:tcBorders>
              <w:top w:val="nil"/>
              <w:left w:val="nil"/>
              <w:bottom w:val="single" w:sz="4" w:space="0" w:color="auto"/>
              <w:right w:val="single" w:sz="4" w:space="0" w:color="auto"/>
            </w:tcBorders>
            <w:shd w:val="clear" w:color="auto" w:fill="FFFFFF" w:themeFill="background1"/>
            <w:noWrap/>
            <w:hideMark/>
          </w:tcPr>
          <w:p w14:paraId="28C685CB" w14:textId="77777777" w:rsidR="001A20CA" w:rsidRPr="00337216" w:rsidRDefault="001A20CA" w:rsidP="00D83ECE">
            <w:pPr>
              <w:pStyle w:val="Report"/>
              <w:spacing w:line="480" w:lineRule="auto"/>
              <w:jc w:val="center"/>
              <w:rPr>
                <w:color w:val="000000"/>
              </w:rPr>
            </w:pPr>
            <w:r w:rsidRPr="00574A30">
              <w:t>19.43</w:t>
            </w:r>
          </w:p>
        </w:tc>
        <w:tc>
          <w:tcPr>
            <w:tcW w:w="1384" w:type="dxa"/>
            <w:tcBorders>
              <w:top w:val="nil"/>
              <w:left w:val="nil"/>
              <w:bottom w:val="single" w:sz="4" w:space="0" w:color="auto"/>
              <w:right w:val="single" w:sz="4" w:space="0" w:color="auto"/>
            </w:tcBorders>
            <w:shd w:val="clear" w:color="auto" w:fill="FFFFFF" w:themeFill="background1"/>
            <w:noWrap/>
            <w:hideMark/>
          </w:tcPr>
          <w:p w14:paraId="6307935D" w14:textId="77777777" w:rsidR="001A20CA" w:rsidRPr="00337216" w:rsidRDefault="001A20CA" w:rsidP="00D83ECE">
            <w:pPr>
              <w:pStyle w:val="Report"/>
              <w:spacing w:line="480" w:lineRule="auto"/>
              <w:jc w:val="center"/>
            </w:pPr>
            <w:r w:rsidRPr="00574A30">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34AD2FBA" w14:textId="77777777" w:rsidR="001A20CA" w:rsidRPr="00337216" w:rsidRDefault="001A20CA" w:rsidP="00D83ECE">
            <w:pPr>
              <w:pStyle w:val="Report"/>
              <w:spacing w:line="480" w:lineRule="auto"/>
              <w:jc w:val="center"/>
              <w:rPr>
                <w:color w:val="000000"/>
              </w:rPr>
            </w:pPr>
            <w:r w:rsidRPr="00574A30">
              <w:t>-1.86</w:t>
            </w:r>
          </w:p>
        </w:tc>
        <w:tc>
          <w:tcPr>
            <w:tcW w:w="1384" w:type="dxa"/>
            <w:shd w:val="clear" w:color="auto" w:fill="FFFFFF" w:themeFill="background1"/>
          </w:tcPr>
          <w:p w14:paraId="730CBD59"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107B9D50" w14:textId="77777777" w:rsidTr="00D83ECE">
        <w:trPr>
          <w:trHeight w:val="600"/>
        </w:trPr>
        <w:tc>
          <w:tcPr>
            <w:tcW w:w="1383" w:type="dxa"/>
            <w:shd w:val="clear" w:color="auto" w:fill="FFFFFF" w:themeFill="background1"/>
            <w:hideMark/>
          </w:tcPr>
          <w:p w14:paraId="17D86C5F" w14:textId="77777777" w:rsidR="001A20CA" w:rsidRPr="00337216" w:rsidRDefault="009028D0" w:rsidP="00D83ECE">
            <w:pPr>
              <w:pStyle w:val="Report"/>
              <w:spacing w:line="480" w:lineRule="auto"/>
              <w:jc w:val="center"/>
            </w:pPr>
            <w:hyperlink r:id="rId13" w:anchor="'freq-ply4-rest-opt1'!A1" w:history="1">
              <w:r w:rsidR="001A20CA" w:rsidRPr="00337216">
                <w:t>Polynomial Degree 4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64C228C3" w14:textId="77777777" w:rsidR="001A20CA" w:rsidRPr="00337216" w:rsidRDefault="001A20CA" w:rsidP="00D83ECE">
            <w:pPr>
              <w:pStyle w:val="Report"/>
              <w:spacing w:line="480" w:lineRule="auto"/>
              <w:jc w:val="center"/>
              <w:rPr>
                <w:color w:val="000000"/>
              </w:rPr>
            </w:pPr>
            <w:r w:rsidRPr="00574A30">
              <w:t>3.42</w:t>
            </w:r>
          </w:p>
        </w:tc>
        <w:tc>
          <w:tcPr>
            <w:tcW w:w="1384" w:type="dxa"/>
            <w:tcBorders>
              <w:top w:val="nil"/>
              <w:left w:val="nil"/>
              <w:bottom w:val="single" w:sz="4" w:space="0" w:color="auto"/>
              <w:right w:val="single" w:sz="4" w:space="0" w:color="auto"/>
            </w:tcBorders>
            <w:shd w:val="clear" w:color="auto" w:fill="FFFFFF" w:themeFill="background1"/>
            <w:noWrap/>
            <w:hideMark/>
          </w:tcPr>
          <w:p w14:paraId="07A2C026" w14:textId="77777777" w:rsidR="001A20CA" w:rsidRPr="00337216" w:rsidRDefault="001A20CA" w:rsidP="00D83ECE">
            <w:pPr>
              <w:pStyle w:val="Report"/>
              <w:spacing w:line="480" w:lineRule="auto"/>
              <w:jc w:val="center"/>
              <w:rPr>
                <w:color w:val="000000"/>
              </w:rPr>
            </w:pPr>
            <w:r w:rsidRPr="00574A30">
              <w:t>1.87</w:t>
            </w:r>
          </w:p>
        </w:tc>
        <w:tc>
          <w:tcPr>
            <w:tcW w:w="1383" w:type="dxa"/>
            <w:tcBorders>
              <w:top w:val="nil"/>
              <w:left w:val="nil"/>
              <w:bottom w:val="single" w:sz="4" w:space="0" w:color="auto"/>
              <w:right w:val="single" w:sz="4" w:space="0" w:color="auto"/>
            </w:tcBorders>
            <w:shd w:val="clear" w:color="auto" w:fill="FFFFFF" w:themeFill="background1"/>
            <w:noWrap/>
            <w:hideMark/>
          </w:tcPr>
          <w:p w14:paraId="09B21639" w14:textId="77777777" w:rsidR="001A20CA" w:rsidRPr="00337216" w:rsidRDefault="001A20CA" w:rsidP="00D83ECE">
            <w:pPr>
              <w:pStyle w:val="Report"/>
              <w:spacing w:line="480" w:lineRule="auto"/>
              <w:jc w:val="center"/>
              <w:rPr>
                <w:color w:val="000000"/>
              </w:rPr>
            </w:pPr>
            <w:r w:rsidRPr="00574A30">
              <w:t>19.43</w:t>
            </w:r>
          </w:p>
        </w:tc>
        <w:tc>
          <w:tcPr>
            <w:tcW w:w="1384" w:type="dxa"/>
            <w:tcBorders>
              <w:top w:val="nil"/>
              <w:left w:val="nil"/>
              <w:bottom w:val="single" w:sz="4" w:space="0" w:color="auto"/>
              <w:right w:val="single" w:sz="4" w:space="0" w:color="auto"/>
            </w:tcBorders>
            <w:shd w:val="clear" w:color="auto" w:fill="FFFFFF" w:themeFill="background1"/>
            <w:noWrap/>
            <w:hideMark/>
          </w:tcPr>
          <w:p w14:paraId="100B46D3" w14:textId="77777777" w:rsidR="001A20CA" w:rsidRPr="00337216" w:rsidRDefault="001A20CA" w:rsidP="00D83ECE">
            <w:pPr>
              <w:pStyle w:val="Report"/>
              <w:spacing w:line="480" w:lineRule="auto"/>
              <w:jc w:val="center"/>
            </w:pPr>
            <w:r w:rsidRPr="00574A30">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1BA8D662" w14:textId="77777777" w:rsidR="001A20CA" w:rsidRPr="00337216" w:rsidRDefault="001A20CA" w:rsidP="00D83ECE">
            <w:pPr>
              <w:pStyle w:val="Report"/>
              <w:spacing w:line="480" w:lineRule="auto"/>
              <w:jc w:val="center"/>
              <w:rPr>
                <w:color w:val="000000"/>
              </w:rPr>
            </w:pPr>
            <w:r w:rsidRPr="00574A30">
              <w:t>-1.86</w:t>
            </w:r>
          </w:p>
        </w:tc>
        <w:tc>
          <w:tcPr>
            <w:tcW w:w="1384" w:type="dxa"/>
            <w:shd w:val="clear" w:color="auto" w:fill="FFFFFF" w:themeFill="background1"/>
          </w:tcPr>
          <w:p w14:paraId="37353D40"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0F048591" w14:textId="77777777" w:rsidTr="00D83ECE">
        <w:trPr>
          <w:trHeight w:val="600"/>
        </w:trPr>
        <w:tc>
          <w:tcPr>
            <w:tcW w:w="1383" w:type="dxa"/>
            <w:shd w:val="clear" w:color="auto" w:fill="FFFFFF" w:themeFill="background1"/>
            <w:hideMark/>
          </w:tcPr>
          <w:p w14:paraId="714ED077" w14:textId="77777777" w:rsidR="001A20CA" w:rsidRPr="00337216" w:rsidRDefault="009028D0" w:rsidP="00D83ECE">
            <w:pPr>
              <w:pStyle w:val="Report"/>
              <w:spacing w:line="480" w:lineRule="auto"/>
              <w:jc w:val="center"/>
            </w:pPr>
            <w:hyperlink r:id="rId14" w:anchor="'freq-ply3-rest-opt1'!A1" w:history="1">
              <w:r w:rsidR="001A20CA" w:rsidRPr="00337216">
                <w:t>Polynomial Degree 3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77A04D3A" w14:textId="77777777" w:rsidR="001A20CA" w:rsidRPr="00337216" w:rsidRDefault="001A20CA" w:rsidP="00D83ECE">
            <w:pPr>
              <w:pStyle w:val="Report"/>
              <w:spacing w:line="480" w:lineRule="auto"/>
              <w:jc w:val="center"/>
              <w:rPr>
                <w:color w:val="000000"/>
              </w:rPr>
            </w:pPr>
            <w:r w:rsidRPr="00574A30">
              <w:t>3.42</w:t>
            </w:r>
          </w:p>
        </w:tc>
        <w:tc>
          <w:tcPr>
            <w:tcW w:w="1384" w:type="dxa"/>
            <w:tcBorders>
              <w:top w:val="nil"/>
              <w:left w:val="nil"/>
              <w:bottom w:val="single" w:sz="4" w:space="0" w:color="auto"/>
              <w:right w:val="single" w:sz="4" w:space="0" w:color="auto"/>
            </w:tcBorders>
            <w:shd w:val="clear" w:color="auto" w:fill="FFFFFF" w:themeFill="background1"/>
            <w:noWrap/>
            <w:hideMark/>
          </w:tcPr>
          <w:p w14:paraId="5BBFAEC4" w14:textId="77777777" w:rsidR="001A20CA" w:rsidRPr="00337216" w:rsidRDefault="001A20CA" w:rsidP="00D83ECE">
            <w:pPr>
              <w:pStyle w:val="Report"/>
              <w:spacing w:line="480" w:lineRule="auto"/>
              <w:jc w:val="center"/>
              <w:rPr>
                <w:color w:val="000000"/>
              </w:rPr>
            </w:pPr>
            <w:r w:rsidRPr="00574A30">
              <w:t>1.87</w:t>
            </w:r>
          </w:p>
        </w:tc>
        <w:tc>
          <w:tcPr>
            <w:tcW w:w="1383" w:type="dxa"/>
            <w:tcBorders>
              <w:top w:val="nil"/>
              <w:left w:val="nil"/>
              <w:bottom w:val="single" w:sz="4" w:space="0" w:color="auto"/>
              <w:right w:val="single" w:sz="4" w:space="0" w:color="auto"/>
            </w:tcBorders>
            <w:shd w:val="clear" w:color="auto" w:fill="FFFFFF" w:themeFill="background1"/>
            <w:noWrap/>
            <w:hideMark/>
          </w:tcPr>
          <w:p w14:paraId="63A0896A" w14:textId="77777777" w:rsidR="001A20CA" w:rsidRPr="00337216" w:rsidRDefault="001A20CA" w:rsidP="00D83ECE">
            <w:pPr>
              <w:pStyle w:val="Report"/>
              <w:spacing w:line="480" w:lineRule="auto"/>
              <w:jc w:val="center"/>
              <w:rPr>
                <w:color w:val="000000"/>
              </w:rPr>
            </w:pPr>
            <w:r w:rsidRPr="00574A30">
              <w:t>19.43</w:t>
            </w:r>
          </w:p>
        </w:tc>
        <w:tc>
          <w:tcPr>
            <w:tcW w:w="1384" w:type="dxa"/>
            <w:tcBorders>
              <w:top w:val="nil"/>
              <w:left w:val="nil"/>
              <w:bottom w:val="single" w:sz="4" w:space="0" w:color="auto"/>
              <w:right w:val="single" w:sz="4" w:space="0" w:color="auto"/>
            </w:tcBorders>
            <w:shd w:val="clear" w:color="auto" w:fill="FFFFFF" w:themeFill="background1"/>
            <w:noWrap/>
            <w:hideMark/>
          </w:tcPr>
          <w:p w14:paraId="20C49D26" w14:textId="77777777" w:rsidR="001A20CA" w:rsidRPr="00337216" w:rsidRDefault="001A20CA" w:rsidP="00D83ECE">
            <w:pPr>
              <w:pStyle w:val="Report"/>
              <w:spacing w:line="480" w:lineRule="auto"/>
              <w:jc w:val="center"/>
            </w:pPr>
            <w:r w:rsidRPr="00574A30">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31CD7506" w14:textId="77777777" w:rsidR="001A20CA" w:rsidRPr="00337216" w:rsidRDefault="001A20CA" w:rsidP="00D83ECE">
            <w:pPr>
              <w:pStyle w:val="Report"/>
              <w:spacing w:line="480" w:lineRule="auto"/>
              <w:jc w:val="center"/>
              <w:rPr>
                <w:color w:val="000000"/>
              </w:rPr>
            </w:pPr>
            <w:r w:rsidRPr="00574A30">
              <w:t>-1.86</w:t>
            </w:r>
          </w:p>
        </w:tc>
        <w:tc>
          <w:tcPr>
            <w:tcW w:w="1384" w:type="dxa"/>
            <w:shd w:val="clear" w:color="auto" w:fill="FFFFFF" w:themeFill="background1"/>
          </w:tcPr>
          <w:p w14:paraId="320F4631"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046128ED" w14:textId="77777777" w:rsidTr="00D83ECE">
        <w:trPr>
          <w:trHeight w:val="600"/>
        </w:trPr>
        <w:tc>
          <w:tcPr>
            <w:tcW w:w="1383" w:type="dxa"/>
            <w:shd w:val="clear" w:color="auto" w:fill="FFFFFF" w:themeFill="background1"/>
            <w:hideMark/>
          </w:tcPr>
          <w:p w14:paraId="3B84D542" w14:textId="77777777" w:rsidR="001A20CA" w:rsidRPr="00337216" w:rsidRDefault="009028D0" w:rsidP="00D83ECE">
            <w:pPr>
              <w:pStyle w:val="Report"/>
              <w:spacing w:line="480" w:lineRule="auto"/>
              <w:jc w:val="center"/>
            </w:pPr>
            <w:hyperlink r:id="rId15" w:anchor="'freq-ply2-rest-opt1'!A1" w:history="1">
              <w:r w:rsidR="001A20CA" w:rsidRPr="00337216">
                <w:t>Polynomial Degree 2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71F606B0" w14:textId="77777777" w:rsidR="001A20CA" w:rsidRPr="00337216" w:rsidRDefault="001A20CA" w:rsidP="00D83ECE">
            <w:pPr>
              <w:pStyle w:val="Report"/>
              <w:spacing w:line="480" w:lineRule="auto"/>
              <w:jc w:val="center"/>
              <w:rPr>
                <w:color w:val="000000"/>
              </w:rPr>
            </w:pPr>
            <w:r w:rsidRPr="00574A30">
              <w:t>3.42</w:t>
            </w:r>
          </w:p>
        </w:tc>
        <w:tc>
          <w:tcPr>
            <w:tcW w:w="1384" w:type="dxa"/>
            <w:tcBorders>
              <w:top w:val="nil"/>
              <w:left w:val="nil"/>
              <w:bottom w:val="single" w:sz="4" w:space="0" w:color="auto"/>
              <w:right w:val="single" w:sz="4" w:space="0" w:color="auto"/>
            </w:tcBorders>
            <w:shd w:val="clear" w:color="auto" w:fill="FFFFFF" w:themeFill="background1"/>
            <w:noWrap/>
            <w:hideMark/>
          </w:tcPr>
          <w:p w14:paraId="066B733F" w14:textId="77777777" w:rsidR="001A20CA" w:rsidRPr="00337216" w:rsidRDefault="001A20CA" w:rsidP="00D83ECE">
            <w:pPr>
              <w:pStyle w:val="Report"/>
              <w:spacing w:line="480" w:lineRule="auto"/>
              <w:jc w:val="center"/>
              <w:rPr>
                <w:color w:val="000000"/>
              </w:rPr>
            </w:pPr>
            <w:r w:rsidRPr="00574A30">
              <w:t>1.87</w:t>
            </w:r>
          </w:p>
        </w:tc>
        <w:tc>
          <w:tcPr>
            <w:tcW w:w="1383" w:type="dxa"/>
            <w:tcBorders>
              <w:top w:val="nil"/>
              <w:left w:val="nil"/>
              <w:bottom w:val="single" w:sz="4" w:space="0" w:color="auto"/>
              <w:right w:val="single" w:sz="4" w:space="0" w:color="auto"/>
            </w:tcBorders>
            <w:shd w:val="clear" w:color="auto" w:fill="FFFFFF" w:themeFill="background1"/>
            <w:noWrap/>
            <w:hideMark/>
          </w:tcPr>
          <w:p w14:paraId="6330DB2D" w14:textId="77777777" w:rsidR="001A20CA" w:rsidRPr="00337216" w:rsidRDefault="001A20CA" w:rsidP="00D83ECE">
            <w:pPr>
              <w:pStyle w:val="Report"/>
              <w:spacing w:line="480" w:lineRule="auto"/>
              <w:jc w:val="center"/>
              <w:rPr>
                <w:color w:val="000000"/>
              </w:rPr>
            </w:pPr>
            <w:r w:rsidRPr="00574A30">
              <w:t>19.43</w:t>
            </w:r>
          </w:p>
        </w:tc>
        <w:tc>
          <w:tcPr>
            <w:tcW w:w="1384" w:type="dxa"/>
            <w:tcBorders>
              <w:top w:val="nil"/>
              <w:left w:val="nil"/>
              <w:bottom w:val="single" w:sz="4" w:space="0" w:color="auto"/>
              <w:right w:val="single" w:sz="4" w:space="0" w:color="auto"/>
            </w:tcBorders>
            <w:shd w:val="clear" w:color="auto" w:fill="FFFFFF" w:themeFill="background1"/>
            <w:noWrap/>
            <w:hideMark/>
          </w:tcPr>
          <w:p w14:paraId="64553C64" w14:textId="77777777" w:rsidR="001A20CA" w:rsidRPr="00337216" w:rsidRDefault="001A20CA" w:rsidP="00D83ECE">
            <w:pPr>
              <w:pStyle w:val="Report"/>
              <w:spacing w:line="480" w:lineRule="auto"/>
              <w:jc w:val="center"/>
            </w:pPr>
            <w:r w:rsidRPr="00574A30">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34FAA983" w14:textId="77777777" w:rsidR="001A20CA" w:rsidRPr="00337216" w:rsidRDefault="001A20CA" w:rsidP="00D83ECE">
            <w:pPr>
              <w:pStyle w:val="Report"/>
              <w:spacing w:line="480" w:lineRule="auto"/>
              <w:jc w:val="center"/>
              <w:rPr>
                <w:color w:val="000000"/>
              </w:rPr>
            </w:pPr>
            <w:r w:rsidRPr="00574A30">
              <w:t>-1.86</w:t>
            </w:r>
          </w:p>
        </w:tc>
        <w:tc>
          <w:tcPr>
            <w:tcW w:w="1384" w:type="dxa"/>
            <w:shd w:val="clear" w:color="auto" w:fill="FFFFFF" w:themeFill="background1"/>
          </w:tcPr>
          <w:p w14:paraId="0F45D09F"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078EB214" w14:textId="77777777" w:rsidTr="00D83ECE">
        <w:trPr>
          <w:trHeight w:val="600"/>
        </w:trPr>
        <w:tc>
          <w:tcPr>
            <w:tcW w:w="1383" w:type="dxa"/>
            <w:shd w:val="clear" w:color="auto" w:fill="FFFFFF" w:themeFill="background1"/>
            <w:hideMark/>
          </w:tcPr>
          <w:p w14:paraId="1E6BB250" w14:textId="77777777" w:rsidR="001A20CA" w:rsidRPr="00337216" w:rsidRDefault="009028D0" w:rsidP="00D83ECE">
            <w:pPr>
              <w:pStyle w:val="Report"/>
              <w:spacing w:line="480" w:lineRule="auto"/>
              <w:jc w:val="center"/>
            </w:pPr>
            <w:hyperlink r:id="rId16" w:anchor="'freq-pow-rest-opt1'!A1" w:history="1">
              <w:r w:rsidR="001A20CA" w:rsidRPr="00337216">
                <w:t>Power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24A472F8" w14:textId="77777777" w:rsidR="001A20CA" w:rsidRPr="00337216" w:rsidRDefault="001A20CA" w:rsidP="00D83ECE">
            <w:pPr>
              <w:pStyle w:val="Report"/>
              <w:spacing w:line="480" w:lineRule="auto"/>
              <w:jc w:val="center"/>
              <w:rPr>
                <w:color w:val="000000"/>
              </w:rPr>
            </w:pPr>
            <w:r w:rsidRPr="00574A30">
              <w:t>3.42</w:t>
            </w:r>
          </w:p>
        </w:tc>
        <w:tc>
          <w:tcPr>
            <w:tcW w:w="1384" w:type="dxa"/>
            <w:tcBorders>
              <w:top w:val="nil"/>
              <w:left w:val="nil"/>
              <w:bottom w:val="single" w:sz="4" w:space="0" w:color="auto"/>
              <w:right w:val="single" w:sz="4" w:space="0" w:color="auto"/>
            </w:tcBorders>
            <w:shd w:val="clear" w:color="auto" w:fill="FFFFFF" w:themeFill="background1"/>
            <w:noWrap/>
            <w:hideMark/>
          </w:tcPr>
          <w:p w14:paraId="53DB47A5" w14:textId="77777777" w:rsidR="001A20CA" w:rsidRPr="00337216" w:rsidRDefault="001A20CA" w:rsidP="00D83ECE">
            <w:pPr>
              <w:pStyle w:val="Report"/>
              <w:spacing w:line="480" w:lineRule="auto"/>
              <w:jc w:val="center"/>
              <w:rPr>
                <w:color w:val="000000"/>
              </w:rPr>
            </w:pPr>
            <w:r w:rsidRPr="00574A30">
              <w:t>1.87</w:t>
            </w:r>
          </w:p>
        </w:tc>
        <w:tc>
          <w:tcPr>
            <w:tcW w:w="1383" w:type="dxa"/>
            <w:tcBorders>
              <w:top w:val="nil"/>
              <w:left w:val="nil"/>
              <w:bottom w:val="single" w:sz="4" w:space="0" w:color="auto"/>
              <w:right w:val="single" w:sz="4" w:space="0" w:color="auto"/>
            </w:tcBorders>
            <w:shd w:val="clear" w:color="auto" w:fill="FFFFFF" w:themeFill="background1"/>
            <w:noWrap/>
            <w:hideMark/>
          </w:tcPr>
          <w:p w14:paraId="1E585D95" w14:textId="77777777" w:rsidR="001A20CA" w:rsidRPr="00337216" w:rsidRDefault="001A20CA" w:rsidP="00D83ECE">
            <w:pPr>
              <w:pStyle w:val="Report"/>
              <w:spacing w:line="480" w:lineRule="auto"/>
              <w:jc w:val="center"/>
              <w:rPr>
                <w:color w:val="000000"/>
              </w:rPr>
            </w:pPr>
            <w:r w:rsidRPr="00574A30">
              <w:t>19.43</w:t>
            </w:r>
          </w:p>
        </w:tc>
        <w:tc>
          <w:tcPr>
            <w:tcW w:w="1384" w:type="dxa"/>
            <w:tcBorders>
              <w:top w:val="nil"/>
              <w:left w:val="nil"/>
              <w:bottom w:val="single" w:sz="4" w:space="0" w:color="auto"/>
              <w:right w:val="single" w:sz="4" w:space="0" w:color="auto"/>
            </w:tcBorders>
            <w:shd w:val="clear" w:color="auto" w:fill="FFFFFF" w:themeFill="background1"/>
            <w:noWrap/>
            <w:hideMark/>
          </w:tcPr>
          <w:p w14:paraId="3F0AF266" w14:textId="77777777" w:rsidR="001A20CA" w:rsidRPr="00337216" w:rsidRDefault="001A20CA" w:rsidP="00D83ECE">
            <w:pPr>
              <w:pStyle w:val="Report"/>
              <w:spacing w:line="480" w:lineRule="auto"/>
              <w:jc w:val="center"/>
            </w:pPr>
            <w:r w:rsidRPr="00574A30">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220201A8" w14:textId="77777777" w:rsidR="001A20CA" w:rsidRPr="00337216" w:rsidRDefault="001A20CA" w:rsidP="00D83ECE">
            <w:pPr>
              <w:pStyle w:val="Report"/>
              <w:spacing w:line="480" w:lineRule="auto"/>
              <w:jc w:val="center"/>
              <w:rPr>
                <w:color w:val="000000"/>
              </w:rPr>
            </w:pPr>
            <w:r w:rsidRPr="00574A30">
              <w:t>-1.86</w:t>
            </w:r>
          </w:p>
        </w:tc>
        <w:tc>
          <w:tcPr>
            <w:tcW w:w="1384" w:type="dxa"/>
            <w:shd w:val="clear" w:color="auto" w:fill="FFFFFF" w:themeFill="background1"/>
          </w:tcPr>
          <w:p w14:paraId="42065243"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2499CCD8" w14:textId="77777777" w:rsidTr="00D83ECE">
        <w:trPr>
          <w:trHeight w:val="600"/>
        </w:trPr>
        <w:tc>
          <w:tcPr>
            <w:tcW w:w="1383" w:type="dxa"/>
            <w:shd w:val="clear" w:color="auto" w:fill="FFFFFF" w:themeFill="background1"/>
            <w:hideMark/>
          </w:tcPr>
          <w:p w14:paraId="085265A9" w14:textId="77777777" w:rsidR="001A20CA" w:rsidRPr="00337216" w:rsidRDefault="009028D0" w:rsidP="00D83ECE">
            <w:pPr>
              <w:pStyle w:val="Report"/>
              <w:spacing w:line="480" w:lineRule="auto"/>
              <w:jc w:val="center"/>
            </w:pPr>
            <w:hyperlink r:id="rId17" w:anchor="'freq-lin-unrest-opt1'!A1" w:history="1">
              <w:r w:rsidR="001A20CA" w:rsidRPr="00337216">
                <w:t>Linear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5C12C74E" w14:textId="77777777" w:rsidR="001A20CA" w:rsidRPr="00337216" w:rsidRDefault="001A20CA" w:rsidP="00D83ECE">
            <w:pPr>
              <w:pStyle w:val="Report"/>
              <w:spacing w:line="480" w:lineRule="auto"/>
              <w:jc w:val="center"/>
              <w:rPr>
                <w:color w:val="000000"/>
              </w:rPr>
            </w:pPr>
            <w:r w:rsidRPr="00574A30">
              <w:t>3.42</w:t>
            </w:r>
          </w:p>
        </w:tc>
        <w:tc>
          <w:tcPr>
            <w:tcW w:w="1384" w:type="dxa"/>
            <w:tcBorders>
              <w:top w:val="nil"/>
              <w:left w:val="nil"/>
              <w:bottom w:val="single" w:sz="4" w:space="0" w:color="auto"/>
              <w:right w:val="single" w:sz="4" w:space="0" w:color="auto"/>
            </w:tcBorders>
            <w:shd w:val="clear" w:color="auto" w:fill="FFFFFF" w:themeFill="background1"/>
            <w:noWrap/>
            <w:hideMark/>
          </w:tcPr>
          <w:p w14:paraId="5774DD0B" w14:textId="77777777" w:rsidR="001A20CA" w:rsidRPr="00337216" w:rsidRDefault="001A20CA" w:rsidP="00D83ECE">
            <w:pPr>
              <w:pStyle w:val="Report"/>
              <w:spacing w:line="480" w:lineRule="auto"/>
              <w:jc w:val="center"/>
              <w:rPr>
                <w:color w:val="000000"/>
              </w:rPr>
            </w:pPr>
            <w:r w:rsidRPr="00574A30">
              <w:t>1.87</w:t>
            </w:r>
          </w:p>
        </w:tc>
        <w:tc>
          <w:tcPr>
            <w:tcW w:w="1383" w:type="dxa"/>
            <w:tcBorders>
              <w:top w:val="nil"/>
              <w:left w:val="nil"/>
              <w:bottom w:val="single" w:sz="4" w:space="0" w:color="auto"/>
              <w:right w:val="single" w:sz="4" w:space="0" w:color="auto"/>
            </w:tcBorders>
            <w:shd w:val="clear" w:color="auto" w:fill="FFFFFF" w:themeFill="background1"/>
            <w:noWrap/>
            <w:hideMark/>
          </w:tcPr>
          <w:p w14:paraId="3950C371" w14:textId="77777777" w:rsidR="001A20CA" w:rsidRPr="00337216" w:rsidRDefault="001A20CA" w:rsidP="00D83ECE">
            <w:pPr>
              <w:pStyle w:val="Report"/>
              <w:spacing w:line="480" w:lineRule="auto"/>
              <w:jc w:val="center"/>
              <w:rPr>
                <w:color w:val="000000"/>
              </w:rPr>
            </w:pPr>
            <w:r w:rsidRPr="00574A30">
              <w:t>19.43</w:t>
            </w:r>
          </w:p>
        </w:tc>
        <w:tc>
          <w:tcPr>
            <w:tcW w:w="1384" w:type="dxa"/>
            <w:tcBorders>
              <w:top w:val="nil"/>
              <w:left w:val="nil"/>
              <w:bottom w:val="single" w:sz="4" w:space="0" w:color="auto"/>
              <w:right w:val="single" w:sz="4" w:space="0" w:color="auto"/>
            </w:tcBorders>
            <w:shd w:val="clear" w:color="auto" w:fill="FFFFFF" w:themeFill="background1"/>
            <w:noWrap/>
            <w:hideMark/>
          </w:tcPr>
          <w:p w14:paraId="6A6694B9" w14:textId="77777777" w:rsidR="001A20CA" w:rsidRPr="00337216" w:rsidRDefault="001A20CA" w:rsidP="00D83ECE">
            <w:pPr>
              <w:pStyle w:val="Report"/>
              <w:spacing w:line="480" w:lineRule="auto"/>
              <w:jc w:val="center"/>
            </w:pPr>
            <w:r w:rsidRPr="00574A30">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7C6472C4" w14:textId="77777777" w:rsidR="001A20CA" w:rsidRPr="00337216" w:rsidRDefault="001A20CA" w:rsidP="00D83ECE">
            <w:pPr>
              <w:pStyle w:val="Report"/>
              <w:spacing w:line="480" w:lineRule="auto"/>
              <w:jc w:val="center"/>
              <w:rPr>
                <w:color w:val="000000"/>
              </w:rPr>
            </w:pPr>
            <w:r w:rsidRPr="00574A30">
              <w:t>-1.86</w:t>
            </w:r>
          </w:p>
        </w:tc>
        <w:tc>
          <w:tcPr>
            <w:tcW w:w="1384" w:type="dxa"/>
            <w:shd w:val="clear" w:color="auto" w:fill="FFFFFF" w:themeFill="background1"/>
          </w:tcPr>
          <w:p w14:paraId="3493C92F" w14:textId="77777777" w:rsidR="001A20CA" w:rsidRPr="00337216" w:rsidRDefault="001A20CA" w:rsidP="00D83ECE">
            <w:pPr>
              <w:pStyle w:val="Report"/>
              <w:spacing w:line="480" w:lineRule="auto"/>
              <w:jc w:val="center"/>
              <w:rPr>
                <w:color w:val="000000"/>
              </w:rPr>
            </w:pPr>
            <w:r w:rsidRPr="00337216">
              <w:rPr>
                <w:color w:val="000000"/>
              </w:rPr>
              <w:t>Yes</w:t>
            </w:r>
          </w:p>
        </w:tc>
      </w:tr>
    </w:tbl>
    <w:p w14:paraId="3B5439DC" w14:textId="77777777" w:rsidR="001A20CA" w:rsidRDefault="001A20CA" w:rsidP="001A20CA">
      <w:pPr>
        <w:pStyle w:val="Manuscript"/>
      </w:pPr>
    </w:p>
    <w:p w14:paraId="293C7A06" w14:textId="77777777" w:rsidR="001A20CA" w:rsidRPr="00B63A76" w:rsidRDefault="001A20CA" w:rsidP="001A20CA">
      <w:pPr>
        <w:pStyle w:val="Heading2"/>
      </w:pPr>
      <w:r>
        <w:t xml:space="preserve">Supplementary material S2.2 BMC modelling of </w:t>
      </w:r>
      <w:r w:rsidRPr="007A1329">
        <w:rPr>
          <w:i/>
          <w:iCs/>
        </w:rPr>
        <w:t>in vitro</w:t>
      </w:r>
      <w:r>
        <w:rPr>
          <w:i/>
        </w:rPr>
        <w:t xml:space="preserve"> </w:t>
      </w:r>
      <w:r>
        <w:t>concentration response data of GEN in the T47D ER-CALUX assay</w:t>
      </w:r>
    </w:p>
    <w:p w14:paraId="10220E80" w14:textId="49FC8EFA" w:rsidR="001A20CA" w:rsidRPr="00337216" w:rsidRDefault="001A20CA" w:rsidP="001A20CA">
      <w:pPr>
        <w:pStyle w:val="Report"/>
        <w:spacing w:line="480" w:lineRule="auto"/>
      </w:pPr>
      <w:r w:rsidRPr="00337216">
        <w:rPr>
          <w:b/>
        </w:rPr>
        <w:t>Supplementary Table S</w:t>
      </w:r>
      <w:r>
        <w:rPr>
          <w:b/>
        </w:rPr>
        <w:t>2</w:t>
      </w:r>
      <w:r w:rsidRPr="00337216">
        <w:rPr>
          <w:b/>
        </w:rPr>
        <w:t>.</w:t>
      </w:r>
      <w:r>
        <w:rPr>
          <w:b/>
        </w:rPr>
        <w:t>2</w:t>
      </w:r>
      <w:r w:rsidRPr="00337216">
        <w:rPr>
          <w:b/>
        </w:rPr>
        <w:t>.1.</w:t>
      </w:r>
      <w:r w:rsidRPr="00337216">
        <w:t xml:space="preserve"> Input values of the </w:t>
      </w:r>
      <w:r w:rsidRPr="007A1329">
        <w:rPr>
          <w:i/>
          <w:iCs/>
        </w:rPr>
        <w:t>in vitro</w:t>
      </w:r>
      <w:r w:rsidRPr="00154A2F">
        <w:rPr>
          <w:iCs/>
        </w:rPr>
        <w:t xml:space="preserve"> </w:t>
      </w:r>
      <w:r w:rsidRPr="00337216">
        <w:t xml:space="preserve">concentration response data of </w:t>
      </w:r>
      <w:r>
        <w:t>GEN in the T47D ER-CALUX assay</w:t>
      </w:r>
      <w:r w:rsidRPr="00337216">
        <w:t xml:space="preserve"> </w:t>
      </w:r>
      <w:sdt>
        <w:sdtPr>
          <w:rPr>
            <w:color w:val="000000"/>
          </w:rPr>
          <w:tag w:val="MENDELEY_CITATION_v3_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"/>
          <w:id w:val="-1727904744"/>
          <w:placeholder>
            <w:docPart w:val="DCFE633DFFF242D591F36D3DAE04D9DF"/>
          </w:placeholder>
        </w:sdtPr>
        <w:sdtEndPr/>
        <w:sdtContent>
          <w:r w:rsidR="00BC42B9" w:rsidRPr="00BC42B9">
            <w:rPr>
              <w:color w:val="000000"/>
            </w:rPr>
            <w:t>(Wang et al., 2014)</w:t>
          </w:r>
        </w:sdtContent>
      </w:sdt>
    </w:p>
    <w:tbl>
      <w:tblPr>
        <w:tblStyle w:val="TableGrid"/>
        <w:tblW w:w="9175" w:type="dxa"/>
        <w:tblLook w:val="04A0" w:firstRow="1" w:lastRow="0" w:firstColumn="1" w:lastColumn="0" w:noHBand="0" w:noVBand="1"/>
      </w:tblPr>
      <w:tblGrid>
        <w:gridCol w:w="2097"/>
        <w:gridCol w:w="1442"/>
        <w:gridCol w:w="2928"/>
        <w:gridCol w:w="2708"/>
      </w:tblGrid>
      <w:tr w:rsidR="001A20CA" w:rsidRPr="00337216" w14:paraId="0BC4E6E8" w14:textId="77777777" w:rsidTr="00D83ECE">
        <w:trPr>
          <w:trHeight w:val="290"/>
        </w:trPr>
        <w:tc>
          <w:tcPr>
            <w:tcW w:w="2097" w:type="dxa"/>
            <w:noWrap/>
          </w:tcPr>
          <w:p w14:paraId="05930192" w14:textId="77777777" w:rsidR="001A20CA" w:rsidRPr="00337216" w:rsidRDefault="001A20CA" w:rsidP="00D83ECE">
            <w:pPr>
              <w:spacing w:line="480" w:lineRule="auto"/>
              <w:jc w:val="center"/>
              <w:rPr>
                <w:rFonts w:ascii="Arial" w:eastAsia="Times New Roman" w:hAnsi="Arial" w:cs="Arial"/>
                <w:b/>
                <w:color w:val="000000"/>
                <w:sz w:val="20"/>
                <w:szCs w:val="20"/>
                <w:lang w:eastAsia="en-GB"/>
              </w:rPr>
            </w:pPr>
            <w:r w:rsidRPr="00337216">
              <w:rPr>
                <w:rFonts w:ascii="Arial" w:eastAsia="Times New Roman" w:hAnsi="Arial" w:cs="Arial"/>
                <w:b/>
                <w:color w:val="000000"/>
                <w:sz w:val="20"/>
                <w:szCs w:val="20"/>
                <w:lang w:eastAsia="en-GB"/>
              </w:rPr>
              <w:t>Concentration (µM)</w:t>
            </w:r>
          </w:p>
        </w:tc>
        <w:tc>
          <w:tcPr>
            <w:tcW w:w="1442" w:type="dxa"/>
            <w:noWrap/>
          </w:tcPr>
          <w:p w14:paraId="73AFF2F0" w14:textId="77777777" w:rsidR="001A20CA" w:rsidRPr="00337216" w:rsidRDefault="001A20CA" w:rsidP="00D83ECE">
            <w:pPr>
              <w:spacing w:line="480" w:lineRule="auto"/>
              <w:jc w:val="center"/>
              <w:rPr>
                <w:rFonts w:ascii="Arial" w:eastAsia="Times New Roman" w:hAnsi="Arial" w:cs="Arial"/>
                <w:b/>
                <w:color w:val="000000"/>
                <w:sz w:val="20"/>
                <w:szCs w:val="20"/>
                <w:lang w:eastAsia="en-GB"/>
              </w:rPr>
            </w:pPr>
            <w:r w:rsidRPr="00337216">
              <w:rPr>
                <w:rFonts w:ascii="Arial" w:eastAsia="Times New Roman" w:hAnsi="Arial" w:cs="Arial"/>
                <w:b/>
                <w:color w:val="000000"/>
                <w:sz w:val="20"/>
                <w:szCs w:val="20"/>
                <w:lang w:eastAsia="en-GB"/>
              </w:rPr>
              <w:t>n</w:t>
            </w:r>
          </w:p>
        </w:tc>
        <w:tc>
          <w:tcPr>
            <w:tcW w:w="2928" w:type="dxa"/>
            <w:noWrap/>
          </w:tcPr>
          <w:p w14:paraId="4007C42B" w14:textId="77777777" w:rsidR="001A20CA" w:rsidRPr="00337216" w:rsidRDefault="001A20CA" w:rsidP="00D83ECE">
            <w:pPr>
              <w:spacing w:line="480" w:lineRule="auto"/>
              <w:jc w:val="center"/>
              <w:rPr>
                <w:rFonts w:ascii="Arial" w:eastAsia="Times New Roman" w:hAnsi="Arial" w:cs="Arial"/>
                <w:b/>
                <w:color w:val="000000"/>
                <w:sz w:val="20"/>
                <w:szCs w:val="20"/>
                <w:vertAlign w:val="superscript"/>
                <w:lang w:eastAsia="en-GB"/>
              </w:rPr>
            </w:pPr>
            <w:r>
              <w:rPr>
                <w:rFonts w:ascii="Arial" w:eastAsia="Times New Roman" w:hAnsi="Arial" w:cs="Arial"/>
                <w:b/>
                <w:color w:val="000000"/>
                <w:sz w:val="20"/>
                <w:szCs w:val="20"/>
                <w:lang w:eastAsia="en-GB"/>
              </w:rPr>
              <w:t>Response</w:t>
            </w:r>
          </w:p>
        </w:tc>
        <w:tc>
          <w:tcPr>
            <w:tcW w:w="2708" w:type="dxa"/>
            <w:noWrap/>
          </w:tcPr>
          <w:p w14:paraId="04FD7D84" w14:textId="77777777" w:rsidR="001A20CA" w:rsidRPr="00337216" w:rsidRDefault="001A20CA" w:rsidP="00D83ECE">
            <w:pPr>
              <w:spacing w:line="480" w:lineRule="auto"/>
              <w:jc w:val="center"/>
              <w:rPr>
                <w:rFonts w:ascii="Arial" w:eastAsia="Times New Roman" w:hAnsi="Arial" w:cs="Arial"/>
                <w:b/>
                <w:color w:val="000000"/>
                <w:sz w:val="20"/>
                <w:szCs w:val="20"/>
                <w:lang w:eastAsia="en-GB"/>
              </w:rPr>
            </w:pPr>
            <w:r>
              <w:rPr>
                <w:rFonts w:ascii="Arial" w:eastAsia="Times New Roman" w:hAnsi="Arial" w:cs="Arial"/>
                <w:b/>
                <w:color w:val="000000"/>
                <w:sz w:val="20"/>
                <w:szCs w:val="20"/>
                <w:lang w:eastAsia="en-GB"/>
              </w:rPr>
              <w:t>SEM</w:t>
            </w:r>
          </w:p>
        </w:tc>
      </w:tr>
      <w:tr w:rsidR="001A20CA" w:rsidRPr="00337216" w14:paraId="6056D6C0" w14:textId="77777777" w:rsidTr="00D83ECE">
        <w:trPr>
          <w:trHeight w:val="290"/>
        </w:trPr>
        <w:tc>
          <w:tcPr>
            <w:tcW w:w="2097" w:type="dxa"/>
            <w:noWrap/>
            <w:hideMark/>
          </w:tcPr>
          <w:p w14:paraId="1BDAFD5E"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t>0.0003</w:t>
            </w:r>
          </w:p>
        </w:tc>
        <w:tc>
          <w:tcPr>
            <w:tcW w:w="1442" w:type="dxa"/>
            <w:noWrap/>
            <w:hideMark/>
          </w:tcPr>
          <w:p w14:paraId="3B36C3A2"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164369">
              <w:t>3</w:t>
            </w:r>
          </w:p>
        </w:tc>
        <w:tc>
          <w:tcPr>
            <w:tcW w:w="29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FBF871"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sz w:val="22"/>
              </w:rPr>
              <w:t>-10.00</w:t>
            </w:r>
          </w:p>
        </w:tc>
        <w:tc>
          <w:tcPr>
            <w:tcW w:w="270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376D1AD"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sz w:val="22"/>
              </w:rPr>
              <w:t>6.25</w:t>
            </w:r>
          </w:p>
        </w:tc>
      </w:tr>
      <w:tr w:rsidR="001A20CA" w:rsidRPr="00337216" w14:paraId="546E490C" w14:textId="77777777" w:rsidTr="00D83ECE">
        <w:trPr>
          <w:trHeight w:val="290"/>
        </w:trPr>
        <w:tc>
          <w:tcPr>
            <w:tcW w:w="2097" w:type="dxa"/>
            <w:noWrap/>
            <w:hideMark/>
          </w:tcPr>
          <w:p w14:paraId="7E797C15"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0.001</w:t>
            </w:r>
          </w:p>
        </w:tc>
        <w:tc>
          <w:tcPr>
            <w:tcW w:w="1442" w:type="dxa"/>
            <w:noWrap/>
            <w:hideMark/>
          </w:tcPr>
          <w:p w14:paraId="159A26E5"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164369">
              <w:t>3</w:t>
            </w:r>
          </w:p>
        </w:tc>
        <w:tc>
          <w:tcPr>
            <w:tcW w:w="29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5D2DD02"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sz w:val="22"/>
              </w:rPr>
              <w:t>-15.37</w:t>
            </w:r>
          </w:p>
        </w:tc>
        <w:tc>
          <w:tcPr>
            <w:tcW w:w="2708" w:type="dxa"/>
            <w:tcBorders>
              <w:top w:val="nil"/>
              <w:left w:val="nil"/>
              <w:bottom w:val="single" w:sz="4" w:space="0" w:color="auto"/>
              <w:right w:val="single" w:sz="4" w:space="0" w:color="auto"/>
            </w:tcBorders>
            <w:shd w:val="clear" w:color="auto" w:fill="FFFFFF" w:themeFill="background1"/>
            <w:noWrap/>
            <w:vAlign w:val="bottom"/>
            <w:hideMark/>
          </w:tcPr>
          <w:p w14:paraId="157569F3"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sz w:val="22"/>
              </w:rPr>
              <w:t>4.91</w:t>
            </w:r>
          </w:p>
        </w:tc>
      </w:tr>
      <w:tr w:rsidR="001A20CA" w:rsidRPr="00337216" w14:paraId="223171D3" w14:textId="77777777" w:rsidTr="00D83ECE">
        <w:trPr>
          <w:trHeight w:val="290"/>
        </w:trPr>
        <w:tc>
          <w:tcPr>
            <w:tcW w:w="2097" w:type="dxa"/>
            <w:noWrap/>
            <w:hideMark/>
          </w:tcPr>
          <w:p w14:paraId="25F52CEC"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0.003</w:t>
            </w:r>
          </w:p>
        </w:tc>
        <w:tc>
          <w:tcPr>
            <w:tcW w:w="1442" w:type="dxa"/>
            <w:noWrap/>
            <w:hideMark/>
          </w:tcPr>
          <w:p w14:paraId="49C93239"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164369">
              <w:t>3</w:t>
            </w:r>
          </w:p>
        </w:tc>
        <w:tc>
          <w:tcPr>
            <w:tcW w:w="29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698A267"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sz w:val="22"/>
              </w:rPr>
              <w:t>-9.58</w:t>
            </w:r>
          </w:p>
        </w:tc>
        <w:tc>
          <w:tcPr>
            <w:tcW w:w="2708" w:type="dxa"/>
            <w:tcBorders>
              <w:top w:val="nil"/>
              <w:left w:val="nil"/>
              <w:bottom w:val="single" w:sz="4" w:space="0" w:color="auto"/>
              <w:right w:val="single" w:sz="4" w:space="0" w:color="auto"/>
            </w:tcBorders>
            <w:shd w:val="clear" w:color="auto" w:fill="FFFFFF" w:themeFill="background1"/>
            <w:noWrap/>
            <w:vAlign w:val="bottom"/>
            <w:hideMark/>
          </w:tcPr>
          <w:p w14:paraId="689B2042"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sz w:val="22"/>
              </w:rPr>
              <w:t>2.01</w:t>
            </w:r>
          </w:p>
        </w:tc>
      </w:tr>
      <w:tr w:rsidR="001A20CA" w:rsidRPr="00337216" w14:paraId="1DAB1384" w14:textId="77777777" w:rsidTr="00D83ECE">
        <w:trPr>
          <w:trHeight w:val="290"/>
        </w:trPr>
        <w:tc>
          <w:tcPr>
            <w:tcW w:w="2097" w:type="dxa"/>
            <w:noWrap/>
            <w:hideMark/>
          </w:tcPr>
          <w:p w14:paraId="5DE86A11"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0.01</w:t>
            </w:r>
          </w:p>
        </w:tc>
        <w:tc>
          <w:tcPr>
            <w:tcW w:w="1442" w:type="dxa"/>
            <w:noWrap/>
            <w:hideMark/>
          </w:tcPr>
          <w:p w14:paraId="3839F3C8"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164369">
              <w:t>3</w:t>
            </w:r>
          </w:p>
        </w:tc>
        <w:tc>
          <w:tcPr>
            <w:tcW w:w="29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249FED3"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sz w:val="22"/>
              </w:rPr>
              <w:t>6.47</w:t>
            </w:r>
          </w:p>
        </w:tc>
        <w:tc>
          <w:tcPr>
            <w:tcW w:w="2708" w:type="dxa"/>
            <w:tcBorders>
              <w:top w:val="nil"/>
              <w:left w:val="nil"/>
              <w:bottom w:val="single" w:sz="4" w:space="0" w:color="auto"/>
              <w:right w:val="single" w:sz="4" w:space="0" w:color="auto"/>
            </w:tcBorders>
            <w:shd w:val="clear" w:color="auto" w:fill="FFFFFF" w:themeFill="background1"/>
            <w:noWrap/>
            <w:vAlign w:val="bottom"/>
            <w:hideMark/>
          </w:tcPr>
          <w:p w14:paraId="0BC19CDA"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sz w:val="22"/>
              </w:rPr>
              <w:t>1.79</w:t>
            </w:r>
          </w:p>
        </w:tc>
      </w:tr>
      <w:tr w:rsidR="001A20CA" w:rsidRPr="00337216" w14:paraId="3C95FD46" w14:textId="77777777" w:rsidTr="00D83ECE">
        <w:trPr>
          <w:trHeight w:val="290"/>
        </w:trPr>
        <w:tc>
          <w:tcPr>
            <w:tcW w:w="2097" w:type="dxa"/>
            <w:noWrap/>
            <w:hideMark/>
          </w:tcPr>
          <w:p w14:paraId="47186AE5"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0.03</w:t>
            </w:r>
          </w:p>
        </w:tc>
        <w:tc>
          <w:tcPr>
            <w:tcW w:w="1442" w:type="dxa"/>
            <w:noWrap/>
            <w:hideMark/>
          </w:tcPr>
          <w:p w14:paraId="0EC9B906"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164369">
              <w:t>3</w:t>
            </w:r>
          </w:p>
        </w:tc>
        <w:tc>
          <w:tcPr>
            <w:tcW w:w="29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BCBC8E2"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sz w:val="22"/>
              </w:rPr>
              <w:t>67.17</w:t>
            </w:r>
          </w:p>
        </w:tc>
        <w:tc>
          <w:tcPr>
            <w:tcW w:w="2708" w:type="dxa"/>
            <w:tcBorders>
              <w:top w:val="nil"/>
              <w:left w:val="nil"/>
              <w:bottom w:val="single" w:sz="4" w:space="0" w:color="auto"/>
              <w:right w:val="single" w:sz="4" w:space="0" w:color="auto"/>
            </w:tcBorders>
            <w:shd w:val="clear" w:color="auto" w:fill="FFFFFF" w:themeFill="background1"/>
            <w:noWrap/>
            <w:vAlign w:val="bottom"/>
            <w:hideMark/>
          </w:tcPr>
          <w:p w14:paraId="03E67EAA"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sz w:val="22"/>
              </w:rPr>
              <w:t>0.89</w:t>
            </w:r>
          </w:p>
        </w:tc>
      </w:tr>
      <w:tr w:rsidR="001A20CA" w:rsidRPr="00337216" w14:paraId="0722F8C2" w14:textId="77777777" w:rsidTr="00D83ECE">
        <w:trPr>
          <w:trHeight w:val="290"/>
        </w:trPr>
        <w:tc>
          <w:tcPr>
            <w:tcW w:w="2097" w:type="dxa"/>
            <w:noWrap/>
            <w:hideMark/>
          </w:tcPr>
          <w:p w14:paraId="61224523"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0.1</w:t>
            </w:r>
          </w:p>
        </w:tc>
        <w:tc>
          <w:tcPr>
            <w:tcW w:w="1442" w:type="dxa"/>
            <w:noWrap/>
            <w:hideMark/>
          </w:tcPr>
          <w:p w14:paraId="7AC34054"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164369">
              <w:t>3</w:t>
            </w:r>
          </w:p>
        </w:tc>
        <w:tc>
          <w:tcPr>
            <w:tcW w:w="29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F87D6F2"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sz w:val="22"/>
              </w:rPr>
              <w:t>107.11</w:t>
            </w:r>
          </w:p>
        </w:tc>
        <w:tc>
          <w:tcPr>
            <w:tcW w:w="2708" w:type="dxa"/>
            <w:tcBorders>
              <w:top w:val="nil"/>
              <w:left w:val="nil"/>
              <w:bottom w:val="single" w:sz="4" w:space="0" w:color="auto"/>
              <w:right w:val="single" w:sz="4" w:space="0" w:color="auto"/>
            </w:tcBorders>
            <w:shd w:val="clear" w:color="auto" w:fill="FFFFFF" w:themeFill="background1"/>
            <w:noWrap/>
            <w:vAlign w:val="bottom"/>
            <w:hideMark/>
          </w:tcPr>
          <w:p w14:paraId="094DC248"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sz w:val="22"/>
              </w:rPr>
              <w:t>9.15</w:t>
            </w:r>
          </w:p>
        </w:tc>
      </w:tr>
      <w:tr w:rsidR="001A20CA" w:rsidRPr="00337216" w14:paraId="56B01994" w14:textId="77777777" w:rsidTr="00D83ECE">
        <w:trPr>
          <w:trHeight w:val="290"/>
        </w:trPr>
        <w:tc>
          <w:tcPr>
            <w:tcW w:w="2097" w:type="dxa"/>
            <w:noWrap/>
            <w:hideMark/>
          </w:tcPr>
          <w:p w14:paraId="63ADF195"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0.3</w:t>
            </w:r>
          </w:p>
        </w:tc>
        <w:tc>
          <w:tcPr>
            <w:tcW w:w="1442" w:type="dxa"/>
            <w:noWrap/>
            <w:hideMark/>
          </w:tcPr>
          <w:p w14:paraId="2319C96E"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164369">
              <w:t>3</w:t>
            </w:r>
          </w:p>
        </w:tc>
        <w:tc>
          <w:tcPr>
            <w:tcW w:w="29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F5154CF"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sz w:val="22"/>
              </w:rPr>
              <w:t>129.64</w:t>
            </w:r>
          </w:p>
        </w:tc>
        <w:tc>
          <w:tcPr>
            <w:tcW w:w="2708" w:type="dxa"/>
            <w:tcBorders>
              <w:top w:val="nil"/>
              <w:left w:val="nil"/>
              <w:bottom w:val="single" w:sz="4" w:space="0" w:color="auto"/>
              <w:right w:val="single" w:sz="4" w:space="0" w:color="auto"/>
            </w:tcBorders>
            <w:shd w:val="clear" w:color="auto" w:fill="FFFFFF" w:themeFill="background1"/>
            <w:noWrap/>
            <w:vAlign w:val="bottom"/>
            <w:hideMark/>
          </w:tcPr>
          <w:p w14:paraId="5E2F467D"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Calibri" w:hAnsi="Calibri" w:cs="Calibri"/>
                <w:color w:val="000000"/>
                <w:sz w:val="22"/>
              </w:rPr>
              <w:t>6.03</w:t>
            </w:r>
          </w:p>
        </w:tc>
      </w:tr>
      <w:tr w:rsidR="001A20CA" w:rsidRPr="00337216" w14:paraId="1D3BD960" w14:textId="77777777" w:rsidTr="00D83ECE">
        <w:trPr>
          <w:trHeight w:val="290"/>
        </w:trPr>
        <w:tc>
          <w:tcPr>
            <w:tcW w:w="2097" w:type="dxa"/>
            <w:noWrap/>
          </w:tcPr>
          <w:p w14:paraId="3CD21962" w14:textId="77777777" w:rsidR="001A20CA" w:rsidRPr="00164369" w:rsidRDefault="001A20CA" w:rsidP="00D83ECE">
            <w:pPr>
              <w:spacing w:line="480" w:lineRule="auto"/>
              <w:jc w:val="center"/>
            </w:pPr>
            <w:r>
              <w:t>1</w:t>
            </w:r>
          </w:p>
        </w:tc>
        <w:tc>
          <w:tcPr>
            <w:tcW w:w="1442" w:type="dxa"/>
            <w:noWrap/>
          </w:tcPr>
          <w:p w14:paraId="63249D8A" w14:textId="77777777" w:rsidR="001A20CA" w:rsidRPr="00164369" w:rsidRDefault="001A20CA" w:rsidP="00D83ECE">
            <w:pPr>
              <w:spacing w:line="480" w:lineRule="auto"/>
              <w:jc w:val="center"/>
            </w:pPr>
            <w:r>
              <w:t>3</w:t>
            </w:r>
          </w:p>
        </w:tc>
        <w:tc>
          <w:tcPr>
            <w:tcW w:w="2928" w:type="dxa"/>
            <w:tcBorders>
              <w:top w:val="nil"/>
              <w:left w:val="single" w:sz="4" w:space="0" w:color="auto"/>
              <w:bottom w:val="single" w:sz="4" w:space="0" w:color="auto"/>
              <w:right w:val="single" w:sz="4" w:space="0" w:color="auto"/>
            </w:tcBorders>
            <w:shd w:val="clear" w:color="auto" w:fill="FFFFFF" w:themeFill="background1"/>
            <w:noWrap/>
            <w:vAlign w:val="bottom"/>
          </w:tcPr>
          <w:p w14:paraId="0EBCA847" w14:textId="77777777" w:rsidR="001A20CA" w:rsidRPr="00164369" w:rsidRDefault="001A20CA" w:rsidP="00D83ECE">
            <w:pPr>
              <w:spacing w:line="480" w:lineRule="auto"/>
              <w:jc w:val="center"/>
            </w:pPr>
            <w:r>
              <w:rPr>
                <w:rFonts w:ascii="Calibri" w:hAnsi="Calibri" w:cs="Calibri"/>
                <w:color w:val="000000"/>
                <w:sz w:val="22"/>
              </w:rPr>
              <w:t>210.20</w:t>
            </w:r>
          </w:p>
        </w:tc>
        <w:tc>
          <w:tcPr>
            <w:tcW w:w="2708" w:type="dxa"/>
            <w:tcBorders>
              <w:top w:val="nil"/>
              <w:left w:val="nil"/>
              <w:bottom w:val="single" w:sz="4" w:space="0" w:color="auto"/>
              <w:right w:val="single" w:sz="4" w:space="0" w:color="auto"/>
            </w:tcBorders>
            <w:shd w:val="clear" w:color="auto" w:fill="FFFFFF" w:themeFill="background1"/>
            <w:noWrap/>
            <w:vAlign w:val="bottom"/>
          </w:tcPr>
          <w:p w14:paraId="769069E8" w14:textId="77777777" w:rsidR="001A20CA" w:rsidRPr="00164369" w:rsidRDefault="001A20CA" w:rsidP="00D83ECE">
            <w:pPr>
              <w:spacing w:line="480" w:lineRule="auto"/>
              <w:jc w:val="center"/>
            </w:pPr>
            <w:r>
              <w:rPr>
                <w:rFonts w:ascii="Calibri" w:hAnsi="Calibri" w:cs="Calibri"/>
                <w:color w:val="000000"/>
                <w:sz w:val="22"/>
              </w:rPr>
              <w:t>6.70</w:t>
            </w:r>
          </w:p>
        </w:tc>
      </w:tr>
    </w:tbl>
    <w:p w14:paraId="1C0F0787" w14:textId="48FFBFEC" w:rsidR="001A20CA" w:rsidRPr="00446EF0" w:rsidRDefault="001A20CA" w:rsidP="001A20CA">
      <w:pPr>
        <w:pStyle w:val="Report"/>
        <w:spacing w:line="480" w:lineRule="auto"/>
      </w:pPr>
      <w:r w:rsidRPr="00446EF0">
        <w:rPr>
          <w:b/>
        </w:rPr>
        <w:t>Supplementary Table S</w:t>
      </w:r>
      <w:r>
        <w:rPr>
          <w:b/>
        </w:rPr>
        <w:t>2</w:t>
      </w:r>
      <w:r w:rsidRPr="00446EF0">
        <w:rPr>
          <w:b/>
        </w:rPr>
        <w:t>.</w:t>
      </w:r>
      <w:r>
        <w:rPr>
          <w:b/>
        </w:rPr>
        <w:t>2</w:t>
      </w:r>
      <w:r w:rsidRPr="00446EF0">
        <w:rPr>
          <w:b/>
        </w:rPr>
        <w:t>.</w:t>
      </w:r>
      <w:r>
        <w:rPr>
          <w:b/>
        </w:rPr>
        <w:t>2</w:t>
      </w:r>
      <w:r w:rsidRPr="00446EF0">
        <w:rPr>
          <w:b/>
        </w:rPr>
        <w:t>.</w:t>
      </w:r>
      <w:r w:rsidRPr="00446EF0">
        <w:t xml:space="preserve"> BMC analysis </w:t>
      </w:r>
      <w:r w:rsidRPr="00446EF0">
        <w:rPr>
          <w:iCs/>
        </w:rPr>
        <w:t xml:space="preserve">of </w:t>
      </w:r>
      <w:r w:rsidRPr="00337216">
        <w:t xml:space="preserve">the </w:t>
      </w:r>
      <w:r w:rsidRPr="007A1329">
        <w:rPr>
          <w:i/>
          <w:iCs/>
        </w:rPr>
        <w:t>in vitro</w:t>
      </w:r>
      <w:r w:rsidRPr="00154A2F">
        <w:rPr>
          <w:iCs/>
        </w:rPr>
        <w:t xml:space="preserve"> </w:t>
      </w:r>
      <w:r w:rsidRPr="00337216">
        <w:t xml:space="preserve">concentration response data of </w:t>
      </w:r>
      <w:r>
        <w:t>GEN in the T47D ER-CALUX assay</w:t>
      </w:r>
      <w:r w:rsidRPr="00337216">
        <w:t xml:space="preserve"> (</w:t>
      </w:r>
      <w:r>
        <w:t>Wang</w:t>
      </w:r>
      <w:r w:rsidRPr="00337216">
        <w:t xml:space="preserve"> </w:t>
      </w:r>
      <w:r>
        <w:t>et al.</w:t>
      </w:r>
      <w:r w:rsidR="00E7009B">
        <w:t xml:space="preserve"> 2014</w:t>
      </w:r>
      <w:r w:rsidRPr="00337216">
        <w:t>)</w:t>
      </w:r>
      <w:r>
        <w:t>.</w:t>
      </w:r>
      <w:r w:rsidRPr="00446EF0">
        <w:t xml:space="preserve"> BMC</w:t>
      </w:r>
      <w:r w:rsidRPr="00446EF0">
        <w:rPr>
          <w:vertAlign w:val="subscript"/>
        </w:rPr>
        <w:t>05</w:t>
      </w:r>
      <w:r w:rsidRPr="00446EF0">
        <w:t xml:space="preserve"> and BMCL</w:t>
      </w:r>
      <w:r w:rsidRPr="00446EF0">
        <w:rPr>
          <w:vertAlign w:val="subscript"/>
        </w:rPr>
        <w:t xml:space="preserve">05 </w:t>
      </w:r>
      <w:r w:rsidRPr="00446EF0">
        <w:t xml:space="preserve">values </w:t>
      </w:r>
      <w:r>
        <w:t xml:space="preserve">were </w:t>
      </w:r>
      <w:r w:rsidRPr="00446EF0">
        <w:t>obtained using BMDS software version 3.</w:t>
      </w:r>
      <w:r>
        <w:t>2.</w:t>
      </w:r>
      <w:r w:rsidRPr="00446EF0">
        <w:t xml:space="preserve">1, </w:t>
      </w:r>
      <w:r>
        <w:t>at a BMC</w:t>
      </w:r>
      <w:r w:rsidRPr="00446EF0">
        <w:t xml:space="preserve"> of 5% extra risk</w:t>
      </w:r>
      <w:r>
        <w:t xml:space="preserve">, BMR type Hybrid model-extra risk with normal distribution and constant variance. </w:t>
      </w:r>
    </w:p>
    <w:tbl>
      <w:tblPr>
        <w:tblStyle w:val="TableGrid"/>
        <w:tblW w:w="9686" w:type="dxa"/>
        <w:shd w:val="clear" w:color="auto" w:fill="FFFFFF" w:themeFill="background1"/>
        <w:tblLayout w:type="fixed"/>
        <w:tblLook w:val="04A0" w:firstRow="1" w:lastRow="0" w:firstColumn="1" w:lastColumn="0" w:noHBand="0" w:noVBand="1"/>
      </w:tblPr>
      <w:tblGrid>
        <w:gridCol w:w="1383"/>
        <w:gridCol w:w="1384"/>
        <w:gridCol w:w="1384"/>
        <w:gridCol w:w="1383"/>
        <w:gridCol w:w="1384"/>
        <w:gridCol w:w="1384"/>
        <w:gridCol w:w="1384"/>
      </w:tblGrid>
      <w:tr w:rsidR="001A20CA" w:rsidRPr="00ED7CE9" w14:paraId="2ABF1BE2" w14:textId="77777777" w:rsidTr="00D83ECE">
        <w:trPr>
          <w:trHeight w:val="1020"/>
        </w:trPr>
        <w:tc>
          <w:tcPr>
            <w:tcW w:w="1383" w:type="dxa"/>
            <w:shd w:val="clear" w:color="auto" w:fill="FFFFFF" w:themeFill="background1"/>
            <w:noWrap/>
            <w:hideMark/>
          </w:tcPr>
          <w:p w14:paraId="07A07CBF" w14:textId="77777777" w:rsidR="001A20CA" w:rsidRPr="00337216" w:rsidRDefault="001A20CA" w:rsidP="00D83ECE">
            <w:pPr>
              <w:pStyle w:val="Report"/>
              <w:spacing w:line="480" w:lineRule="auto"/>
              <w:jc w:val="center"/>
              <w:rPr>
                <w:b/>
              </w:rPr>
            </w:pPr>
            <w:r w:rsidRPr="00337216">
              <w:rPr>
                <w:b/>
              </w:rPr>
              <w:lastRenderedPageBreak/>
              <w:t>Model</w:t>
            </w:r>
          </w:p>
        </w:tc>
        <w:tc>
          <w:tcPr>
            <w:tcW w:w="1384" w:type="dxa"/>
            <w:shd w:val="clear" w:color="auto" w:fill="FFFFFF" w:themeFill="background1"/>
            <w:noWrap/>
            <w:hideMark/>
          </w:tcPr>
          <w:p w14:paraId="32DE4F6E" w14:textId="77777777" w:rsidR="001A20CA" w:rsidRPr="00337216" w:rsidRDefault="001A20CA" w:rsidP="00D83ECE">
            <w:pPr>
              <w:pStyle w:val="Report"/>
              <w:spacing w:line="480" w:lineRule="auto"/>
              <w:jc w:val="center"/>
              <w:rPr>
                <w:b/>
                <w:color w:val="000000"/>
              </w:rPr>
            </w:pPr>
            <w:r w:rsidRPr="00337216">
              <w:rPr>
                <w:b/>
                <w:color w:val="000000"/>
              </w:rPr>
              <w:t>BMC (µM)</w:t>
            </w:r>
          </w:p>
        </w:tc>
        <w:tc>
          <w:tcPr>
            <w:tcW w:w="1384" w:type="dxa"/>
            <w:shd w:val="clear" w:color="auto" w:fill="FFFFFF" w:themeFill="background1"/>
            <w:noWrap/>
            <w:hideMark/>
          </w:tcPr>
          <w:p w14:paraId="1599F09A" w14:textId="77777777" w:rsidR="001A20CA" w:rsidRPr="00337216" w:rsidRDefault="001A20CA" w:rsidP="00D83ECE">
            <w:pPr>
              <w:pStyle w:val="Report"/>
              <w:spacing w:line="480" w:lineRule="auto"/>
              <w:jc w:val="center"/>
              <w:rPr>
                <w:b/>
                <w:color w:val="000000"/>
              </w:rPr>
            </w:pPr>
            <w:r w:rsidRPr="00337216">
              <w:rPr>
                <w:b/>
                <w:color w:val="000000"/>
              </w:rPr>
              <w:t>BMCL (µM)</w:t>
            </w:r>
          </w:p>
        </w:tc>
        <w:tc>
          <w:tcPr>
            <w:tcW w:w="1383" w:type="dxa"/>
            <w:shd w:val="clear" w:color="auto" w:fill="FFFFFF" w:themeFill="background1"/>
            <w:noWrap/>
            <w:hideMark/>
          </w:tcPr>
          <w:p w14:paraId="4DAFFBEB" w14:textId="77777777" w:rsidR="001A20CA" w:rsidRPr="00337216" w:rsidRDefault="001A20CA" w:rsidP="00D83ECE">
            <w:pPr>
              <w:pStyle w:val="Report"/>
              <w:spacing w:line="480" w:lineRule="auto"/>
              <w:jc w:val="center"/>
              <w:rPr>
                <w:b/>
                <w:color w:val="000000"/>
              </w:rPr>
            </w:pPr>
            <w:r w:rsidRPr="00337216">
              <w:rPr>
                <w:b/>
                <w:color w:val="000000"/>
              </w:rPr>
              <w:t>BMCU (µM)</w:t>
            </w:r>
          </w:p>
        </w:tc>
        <w:tc>
          <w:tcPr>
            <w:tcW w:w="1384" w:type="dxa"/>
            <w:shd w:val="clear" w:color="auto" w:fill="FFFFFF" w:themeFill="background1"/>
            <w:hideMark/>
          </w:tcPr>
          <w:p w14:paraId="73603425" w14:textId="77777777" w:rsidR="001A20CA" w:rsidRPr="00337216" w:rsidRDefault="001A20CA" w:rsidP="00D83ECE">
            <w:pPr>
              <w:pStyle w:val="Report"/>
              <w:spacing w:line="480" w:lineRule="auto"/>
              <w:jc w:val="center"/>
              <w:rPr>
                <w:b/>
                <w:color w:val="000000"/>
              </w:rPr>
            </w:pPr>
            <w:r w:rsidRPr="00337216">
              <w:rPr>
                <w:b/>
                <w:color w:val="000000"/>
              </w:rPr>
              <w:t>Test 4 P</w:t>
            </w:r>
            <w:r w:rsidRPr="00337216">
              <w:rPr>
                <w:b/>
                <w:color w:val="000000"/>
              </w:rPr>
              <w:noBreakHyphen/>
              <w:t>Value</w:t>
            </w:r>
          </w:p>
        </w:tc>
        <w:tc>
          <w:tcPr>
            <w:tcW w:w="1384" w:type="dxa"/>
            <w:shd w:val="clear" w:color="auto" w:fill="FFFFFF" w:themeFill="background1"/>
            <w:noWrap/>
            <w:hideMark/>
          </w:tcPr>
          <w:p w14:paraId="4CBD5E1C" w14:textId="77777777" w:rsidR="001A20CA" w:rsidRPr="00337216" w:rsidRDefault="001A20CA" w:rsidP="00D83ECE">
            <w:pPr>
              <w:pStyle w:val="Report"/>
              <w:spacing w:line="480" w:lineRule="auto"/>
              <w:jc w:val="center"/>
              <w:rPr>
                <w:b/>
                <w:color w:val="000000"/>
              </w:rPr>
            </w:pPr>
            <w:r w:rsidRPr="00337216">
              <w:rPr>
                <w:b/>
                <w:color w:val="000000"/>
              </w:rPr>
              <w:t>AIC</w:t>
            </w:r>
          </w:p>
        </w:tc>
        <w:tc>
          <w:tcPr>
            <w:tcW w:w="1384" w:type="dxa"/>
            <w:shd w:val="clear" w:color="auto" w:fill="FFFFFF" w:themeFill="background1"/>
          </w:tcPr>
          <w:p w14:paraId="17D03CF4" w14:textId="77777777" w:rsidR="001A20CA" w:rsidRPr="00337216" w:rsidRDefault="001A20CA" w:rsidP="00D83ECE">
            <w:pPr>
              <w:pStyle w:val="Report"/>
              <w:spacing w:line="480" w:lineRule="auto"/>
              <w:jc w:val="center"/>
              <w:rPr>
                <w:b/>
                <w:color w:val="000000"/>
              </w:rPr>
            </w:pPr>
            <w:r w:rsidRPr="00337216">
              <w:rPr>
                <w:b/>
                <w:color w:val="000000"/>
              </w:rPr>
              <w:t>Accepted</w:t>
            </w:r>
          </w:p>
        </w:tc>
      </w:tr>
      <w:tr w:rsidR="001A20CA" w:rsidRPr="00ED7CE9" w14:paraId="63C87DB6" w14:textId="77777777" w:rsidTr="00D83ECE">
        <w:trPr>
          <w:trHeight w:val="600"/>
        </w:trPr>
        <w:tc>
          <w:tcPr>
            <w:tcW w:w="1383" w:type="dxa"/>
            <w:shd w:val="clear" w:color="auto" w:fill="FFFFFF" w:themeFill="background1"/>
            <w:hideMark/>
          </w:tcPr>
          <w:p w14:paraId="009D6C45" w14:textId="77777777" w:rsidR="001A20CA" w:rsidRPr="00337216" w:rsidRDefault="009028D0" w:rsidP="00D83ECE">
            <w:pPr>
              <w:pStyle w:val="Report"/>
              <w:spacing w:line="480" w:lineRule="auto"/>
              <w:jc w:val="center"/>
            </w:pPr>
            <w:hyperlink r:id="rId18" w:anchor="'freq-exp2-rest-opt1'!A1" w:history="1">
              <w:r w:rsidR="001A20CA" w:rsidRPr="00337216">
                <w:t>Exponential 2 (CV - normal)</w:t>
              </w:r>
            </w:hyperlink>
          </w:p>
        </w:tc>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24F4B44" w14:textId="77777777" w:rsidR="001A20CA" w:rsidRPr="00337216" w:rsidRDefault="001A20CA" w:rsidP="00D83ECE">
            <w:pPr>
              <w:pStyle w:val="Report"/>
              <w:spacing w:line="480" w:lineRule="auto"/>
              <w:jc w:val="center"/>
              <w:rPr>
                <w:color w:val="000000"/>
              </w:rPr>
            </w:pPr>
            <w:r w:rsidRPr="00FA5EFF">
              <w:t>-9999</w:t>
            </w:r>
          </w:p>
        </w:tc>
        <w:tc>
          <w:tcPr>
            <w:tcW w:w="1384" w:type="dxa"/>
            <w:tcBorders>
              <w:top w:val="single" w:sz="4" w:space="0" w:color="auto"/>
              <w:left w:val="nil"/>
              <w:bottom w:val="single" w:sz="4" w:space="0" w:color="auto"/>
              <w:right w:val="single" w:sz="4" w:space="0" w:color="auto"/>
            </w:tcBorders>
            <w:shd w:val="clear" w:color="auto" w:fill="FFFFFF" w:themeFill="background1"/>
            <w:noWrap/>
            <w:hideMark/>
          </w:tcPr>
          <w:p w14:paraId="27072C06" w14:textId="77777777" w:rsidR="001A20CA" w:rsidRPr="00337216" w:rsidRDefault="001A20CA" w:rsidP="00D83ECE">
            <w:pPr>
              <w:pStyle w:val="Report"/>
              <w:spacing w:line="480" w:lineRule="auto"/>
              <w:jc w:val="center"/>
              <w:rPr>
                <w:color w:val="000000"/>
              </w:rPr>
            </w:pPr>
            <w:r w:rsidRPr="00BA101A">
              <w:t>0.00</w:t>
            </w:r>
          </w:p>
        </w:tc>
        <w:tc>
          <w:tcPr>
            <w:tcW w:w="1383" w:type="dxa"/>
            <w:tcBorders>
              <w:top w:val="single" w:sz="4" w:space="0" w:color="auto"/>
              <w:left w:val="nil"/>
              <w:bottom w:val="single" w:sz="4" w:space="0" w:color="auto"/>
              <w:right w:val="single" w:sz="4" w:space="0" w:color="auto"/>
            </w:tcBorders>
            <w:shd w:val="clear" w:color="auto" w:fill="FFFFFF" w:themeFill="background1"/>
            <w:noWrap/>
            <w:hideMark/>
          </w:tcPr>
          <w:p w14:paraId="5930A99F" w14:textId="77777777" w:rsidR="001A20CA" w:rsidRPr="00337216" w:rsidRDefault="001A20CA" w:rsidP="00D83ECE">
            <w:pPr>
              <w:pStyle w:val="Report"/>
              <w:spacing w:line="480" w:lineRule="auto"/>
              <w:jc w:val="center"/>
              <w:rPr>
                <w:color w:val="000000"/>
              </w:rPr>
            </w:pPr>
            <w:r w:rsidRPr="00DC54AD">
              <w:t>Infinity</w:t>
            </w:r>
          </w:p>
        </w:tc>
        <w:tc>
          <w:tcPr>
            <w:tcW w:w="1384" w:type="dxa"/>
            <w:tcBorders>
              <w:top w:val="single" w:sz="4" w:space="0" w:color="auto"/>
              <w:left w:val="nil"/>
              <w:bottom w:val="single" w:sz="4" w:space="0" w:color="auto"/>
              <w:right w:val="single" w:sz="4" w:space="0" w:color="auto"/>
            </w:tcBorders>
            <w:shd w:val="clear" w:color="auto" w:fill="FFFFFF" w:themeFill="background1"/>
            <w:noWrap/>
            <w:hideMark/>
          </w:tcPr>
          <w:p w14:paraId="3AE82D3D" w14:textId="77777777" w:rsidR="001A20CA" w:rsidRPr="00337216" w:rsidRDefault="001A20CA" w:rsidP="00D83ECE">
            <w:pPr>
              <w:pStyle w:val="Report"/>
              <w:spacing w:line="480" w:lineRule="auto"/>
              <w:jc w:val="center"/>
              <w:rPr>
                <w:color w:val="000000"/>
              </w:rPr>
            </w:pPr>
            <w:r w:rsidRPr="00B442BF">
              <w:t>&lt;0.0001</w:t>
            </w:r>
          </w:p>
        </w:tc>
        <w:tc>
          <w:tcPr>
            <w:tcW w:w="1384" w:type="dxa"/>
            <w:tcBorders>
              <w:top w:val="single" w:sz="4" w:space="0" w:color="auto"/>
              <w:left w:val="nil"/>
              <w:bottom w:val="single" w:sz="4" w:space="0" w:color="auto"/>
              <w:right w:val="single" w:sz="4" w:space="0" w:color="auto"/>
            </w:tcBorders>
            <w:shd w:val="clear" w:color="auto" w:fill="FFFFFF" w:themeFill="background1"/>
            <w:noWrap/>
            <w:hideMark/>
          </w:tcPr>
          <w:p w14:paraId="781C51AD" w14:textId="77777777" w:rsidR="001A20CA" w:rsidRPr="00337216" w:rsidRDefault="001A20CA" w:rsidP="00D83ECE">
            <w:pPr>
              <w:pStyle w:val="Report"/>
              <w:spacing w:line="480" w:lineRule="auto"/>
              <w:jc w:val="center"/>
              <w:rPr>
                <w:color w:val="000000"/>
              </w:rPr>
            </w:pPr>
            <w:r w:rsidRPr="00B442BF">
              <w:t>292.43</w:t>
            </w:r>
          </w:p>
        </w:tc>
        <w:tc>
          <w:tcPr>
            <w:tcW w:w="1384" w:type="dxa"/>
            <w:shd w:val="clear" w:color="auto" w:fill="FFFFFF" w:themeFill="background1"/>
          </w:tcPr>
          <w:p w14:paraId="717655DA" w14:textId="77777777" w:rsidR="001A20CA" w:rsidRPr="00337216" w:rsidRDefault="001A20CA" w:rsidP="00D83ECE">
            <w:pPr>
              <w:pStyle w:val="Report"/>
              <w:spacing w:line="480" w:lineRule="auto"/>
              <w:jc w:val="center"/>
              <w:rPr>
                <w:color w:val="000000"/>
              </w:rPr>
            </w:pPr>
            <w:r w:rsidRPr="00337216">
              <w:rPr>
                <w:color w:val="000000"/>
              </w:rPr>
              <w:t>No</w:t>
            </w:r>
          </w:p>
        </w:tc>
      </w:tr>
      <w:tr w:rsidR="001A20CA" w:rsidRPr="00ED7CE9" w14:paraId="330C9CDD" w14:textId="77777777" w:rsidTr="00D83ECE">
        <w:trPr>
          <w:trHeight w:val="600"/>
        </w:trPr>
        <w:tc>
          <w:tcPr>
            <w:tcW w:w="1383" w:type="dxa"/>
            <w:shd w:val="clear" w:color="auto" w:fill="FFFFFF" w:themeFill="background1"/>
            <w:hideMark/>
          </w:tcPr>
          <w:p w14:paraId="1D8B9027" w14:textId="77777777" w:rsidR="001A20CA" w:rsidRPr="00337216" w:rsidRDefault="009028D0" w:rsidP="00D83ECE">
            <w:pPr>
              <w:pStyle w:val="Report"/>
              <w:spacing w:line="480" w:lineRule="auto"/>
              <w:jc w:val="center"/>
            </w:pPr>
            <w:hyperlink r:id="rId19" w:anchor="'freq-exp3-rest-opt1'!A1" w:history="1">
              <w:r w:rsidR="001A20CA" w:rsidRPr="00337216">
                <w:t>Exponential 3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0E25E444" w14:textId="77777777" w:rsidR="001A20CA" w:rsidRPr="00337216" w:rsidRDefault="001A20CA" w:rsidP="00D83ECE">
            <w:pPr>
              <w:pStyle w:val="Report"/>
              <w:spacing w:line="480" w:lineRule="auto"/>
              <w:jc w:val="center"/>
              <w:rPr>
                <w:color w:val="000000"/>
              </w:rPr>
            </w:pPr>
            <w:r w:rsidRPr="00FA5EFF">
              <w:t>-9999</w:t>
            </w:r>
          </w:p>
        </w:tc>
        <w:tc>
          <w:tcPr>
            <w:tcW w:w="1384" w:type="dxa"/>
            <w:tcBorders>
              <w:top w:val="nil"/>
              <w:left w:val="nil"/>
              <w:bottom w:val="single" w:sz="4" w:space="0" w:color="auto"/>
              <w:right w:val="single" w:sz="4" w:space="0" w:color="auto"/>
            </w:tcBorders>
            <w:shd w:val="clear" w:color="auto" w:fill="FFFFFF" w:themeFill="background1"/>
            <w:noWrap/>
            <w:hideMark/>
          </w:tcPr>
          <w:p w14:paraId="5EB2ABBD" w14:textId="77777777" w:rsidR="001A20CA" w:rsidRPr="00337216" w:rsidRDefault="001A20CA" w:rsidP="00D83ECE">
            <w:pPr>
              <w:pStyle w:val="Report"/>
              <w:spacing w:line="480" w:lineRule="auto"/>
              <w:jc w:val="center"/>
              <w:rPr>
                <w:color w:val="000000"/>
              </w:rPr>
            </w:pPr>
            <w:r w:rsidRPr="00BA101A">
              <w:t>0.00</w:t>
            </w:r>
          </w:p>
        </w:tc>
        <w:tc>
          <w:tcPr>
            <w:tcW w:w="1383" w:type="dxa"/>
            <w:tcBorders>
              <w:top w:val="nil"/>
              <w:left w:val="nil"/>
              <w:bottom w:val="single" w:sz="4" w:space="0" w:color="auto"/>
              <w:right w:val="single" w:sz="4" w:space="0" w:color="auto"/>
            </w:tcBorders>
            <w:shd w:val="clear" w:color="auto" w:fill="FFFFFF" w:themeFill="background1"/>
            <w:noWrap/>
            <w:hideMark/>
          </w:tcPr>
          <w:p w14:paraId="077363DB" w14:textId="77777777" w:rsidR="001A20CA" w:rsidRPr="00337216" w:rsidRDefault="001A20CA" w:rsidP="00D83ECE">
            <w:pPr>
              <w:pStyle w:val="Report"/>
              <w:spacing w:line="480" w:lineRule="auto"/>
              <w:jc w:val="center"/>
              <w:rPr>
                <w:color w:val="000000"/>
              </w:rPr>
            </w:pPr>
            <w:r w:rsidRPr="00DC54AD">
              <w:t>Infinity</w:t>
            </w:r>
          </w:p>
        </w:tc>
        <w:tc>
          <w:tcPr>
            <w:tcW w:w="1384" w:type="dxa"/>
            <w:tcBorders>
              <w:top w:val="nil"/>
              <w:left w:val="nil"/>
              <w:bottom w:val="single" w:sz="4" w:space="0" w:color="auto"/>
              <w:right w:val="single" w:sz="4" w:space="0" w:color="auto"/>
            </w:tcBorders>
            <w:shd w:val="clear" w:color="auto" w:fill="FFFFFF" w:themeFill="background1"/>
            <w:noWrap/>
            <w:hideMark/>
          </w:tcPr>
          <w:p w14:paraId="70CA7523" w14:textId="77777777" w:rsidR="001A20CA" w:rsidRPr="00337216" w:rsidRDefault="001A20CA" w:rsidP="00D83ECE">
            <w:pPr>
              <w:pStyle w:val="Report"/>
              <w:spacing w:line="480" w:lineRule="auto"/>
              <w:jc w:val="center"/>
              <w:rPr>
                <w:color w:val="000000"/>
              </w:rPr>
            </w:pPr>
            <w:r w:rsidRPr="00B442BF">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21FCC2D7" w14:textId="77777777" w:rsidR="001A20CA" w:rsidRPr="00337216" w:rsidRDefault="001A20CA" w:rsidP="00D83ECE">
            <w:pPr>
              <w:pStyle w:val="Report"/>
              <w:spacing w:line="480" w:lineRule="auto"/>
              <w:jc w:val="center"/>
              <w:rPr>
                <w:color w:val="000000"/>
              </w:rPr>
            </w:pPr>
            <w:r w:rsidRPr="00B442BF">
              <w:t>294.43</w:t>
            </w:r>
          </w:p>
        </w:tc>
        <w:tc>
          <w:tcPr>
            <w:tcW w:w="1384" w:type="dxa"/>
            <w:shd w:val="clear" w:color="auto" w:fill="FFFFFF" w:themeFill="background1"/>
          </w:tcPr>
          <w:p w14:paraId="78CB8725" w14:textId="77777777" w:rsidR="001A20CA" w:rsidRPr="00337216" w:rsidRDefault="001A20CA" w:rsidP="00D83ECE">
            <w:pPr>
              <w:pStyle w:val="Report"/>
              <w:spacing w:line="480" w:lineRule="auto"/>
              <w:jc w:val="center"/>
              <w:rPr>
                <w:color w:val="000000"/>
              </w:rPr>
            </w:pPr>
            <w:r w:rsidRPr="00337216">
              <w:rPr>
                <w:color w:val="000000"/>
              </w:rPr>
              <w:t>No</w:t>
            </w:r>
          </w:p>
        </w:tc>
      </w:tr>
      <w:tr w:rsidR="001A20CA" w:rsidRPr="00ED7CE9" w14:paraId="7EAB9542" w14:textId="77777777" w:rsidTr="00D83ECE">
        <w:trPr>
          <w:trHeight w:val="600"/>
        </w:trPr>
        <w:tc>
          <w:tcPr>
            <w:tcW w:w="1383" w:type="dxa"/>
            <w:shd w:val="clear" w:color="auto" w:fill="FFFFFF" w:themeFill="background1"/>
            <w:hideMark/>
          </w:tcPr>
          <w:p w14:paraId="05EA9F08" w14:textId="77777777" w:rsidR="001A20CA" w:rsidRPr="00337216" w:rsidRDefault="009028D0" w:rsidP="00D83ECE">
            <w:pPr>
              <w:pStyle w:val="Report"/>
              <w:spacing w:line="480" w:lineRule="auto"/>
              <w:jc w:val="center"/>
              <w:rPr>
                <w:bCs/>
              </w:rPr>
            </w:pPr>
            <w:hyperlink r:id="rId20" w:anchor="'freq-exp4-rest-opt1'!A1" w:history="1">
              <w:r w:rsidR="001A20CA" w:rsidRPr="00337216">
                <w:rPr>
                  <w:bCs/>
                </w:rPr>
                <w:t>Exponential 4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14E3BA18" w14:textId="77777777" w:rsidR="001A20CA" w:rsidRPr="00337216" w:rsidRDefault="001A20CA" w:rsidP="00D83ECE">
            <w:pPr>
              <w:pStyle w:val="Report"/>
              <w:spacing w:line="480" w:lineRule="auto"/>
              <w:jc w:val="center"/>
              <w:rPr>
                <w:bCs/>
                <w:color w:val="000000"/>
              </w:rPr>
            </w:pPr>
            <w:r w:rsidRPr="00FA5EFF">
              <w:t>-9999</w:t>
            </w:r>
          </w:p>
        </w:tc>
        <w:tc>
          <w:tcPr>
            <w:tcW w:w="1384" w:type="dxa"/>
            <w:tcBorders>
              <w:top w:val="nil"/>
              <w:left w:val="nil"/>
              <w:bottom w:val="single" w:sz="4" w:space="0" w:color="auto"/>
              <w:right w:val="single" w:sz="4" w:space="0" w:color="auto"/>
            </w:tcBorders>
            <w:shd w:val="clear" w:color="auto" w:fill="FFFFFF" w:themeFill="background1"/>
            <w:noWrap/>
            <w:hideMark/>
          </w:tcPr>
          <w:p w14:paraId="7F66E96E" w14:textId="77777777" w:rsidR="001A20CA" w:rsidRPr="00337216" w:rsidRDefault="001A20CA" w:rsidP="00D83ECE">
            <w:pPr>
              <w:pStyle w:val="Report"/>
              <w:spacing w:line="480" w:lineRule="auto"/>
              <w:jc w:val="center"/>
              <w:rPr>
                <w:bCs/>
                <w:color w:val="000000"/>
              </w:rPr>
            </w:pPr>
            <w:r w:rsidRPr="00BA101A">
              <w:t>0.00</w:t>
            </w:r>
          </w:p>
        </w:tc>
        <w:tc>
          <w:tcPr>
            <w:tcW w:w="1383" w:type="dxa"/>
            <w:tcBorders>
              <w:top w:val="nil"/>
              <w:left w:val="nil"/>
              <w:bottom w:val="single" w:sz="4" w:space="0" w:color="auto"/>
              <w:right w:val="single" w:sz="4" w:space="0" w:color="auto"/>
            </w:tcBorders>
            <w:shd w:val="clear" w:color="auto" w:fill="FFFFFF" w:themeFill="background1"/>
            <w:noWrap/>
            <w:hideMark/>
          </w:tcPr>
          <w:p w14:paraId="2A162270" w14:textId="77777777" w:rsidR="001A20CA" w:rsidRPr="00337216" w:rsidRDefault="001A20CA" w:rsidP="00D83ECE">
            <w:pPr>
              <w:pStyle w:val="Report"/>
              <w:spacing w:line="480" w:lineRule="auto"/>
              <w:jc w:val="center"/>
              <w:rPr>
                <w:bCs/>
                <w:color w:val="000000"/>
              </w:rPr>
            </w:pPr>
            <w:r w:rsidRPr="00DC54AD">
              <w:t>Infinity</w:t>
            </w:r>
          </w:p>
        </w:tc>
        <w:tc>
          <w:tcPr>
            <w:tcW w:w="1384" w:type="dxa"/>
            <w:tcBorders>
              <w:top w:val="nil"/>
              <w:left w:val="nil"/>
              <w:bottom w:val="single" w:sz="4" w:space="0" w:color="auto"/>
              <w:right w:val="single" w:sz="4" w:space="0" w:color="auto"/>
            </w:tcBorders>
            <w:shd w:val="clear" w:color="auto" w:fill="FFFFFF" w:themeFill="background1"/>
            <w:noWrap/>
            <w:hideMark/>
          </w:tcPr>
          <w:p w14:paraId="2E33F7BC" w14:textId="77777777" w:rsidR="001A20CA" w:rsidRPr="00337216" w:rsidRDefault="001A20CA" w:rsidP="00D83ECE">
            <w:pPr>
              <w:pStyle w:val="Report"/>
              <w:spacing w:line="480" w:lineRule="auto"/>
              <w:jc w:val="center"/>
              <w:rPr>
                <w:bCs/>
                <w:color w:val="000000"/>
              </w:rPr>
            </w:pPr>
            <w:r w:rsidRPr="00B442BF">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1AB3A0FF" w14:textId="77777777" w:rsidR="001A20CA" w:rsidRPr="00337216" w:rsidRDefault="001A20CA" w:rsidP="00D83ECE">
            <w:pPr>
              <w:pStyle w:val="Report"/>
              <w:spacing w:line="480" w:lineRule="auto"/>
              <w:jc w:val="center"/>
              <w:rPr>
                <w:bCs/>
                <w:color w:val="000000"/>
              </w:rPr>
            </w:pPr>
            <w:r w:rsidRPr="00B442BF">
              <w:t>294.43</w:t>
            </w:r>
          </w:p>
        </w:tc>
        <w:tc>
          <w:tcPr>
            <w:tcW w:w="1384" w:type="dxa"/>
            <w:shd w:val="clear" w:color="auto" w:fill="FFFFFF" w:themeFill="background1"/>
          </w:tcPr>
          <w:p w14:paraId="783404DD" w14:textId="77777777" w:rsidR="001A20CA" w:rsidRPr="00337216" w:rsidRDefault="001A20CA" w:rsidP="00D83ECE">
            <w:pPr>
              <w:pStyle w:val="Report"/>
              <w:spacing w:line="480" w:lineRule="auto"/>
              <w:jc w:val="center"/>
              <w:rPr>
                <w:bCs/>
                <w:color w:val="000000"/>
              </w:rPr>
            </w:pPr>
            <w:r>
              <w:rPr>
                <w:bCs/>
                <w:color w:val="000000"/>
              </w:rPr>
              <w:t>No</w:t>
            </w:r>
          </w:p>
        </w:tc>
      </w:tr>
      <w:tr w:rsidR="001A20CA" w:rsidRPr="00ED7CE9" w14:paraId="6FCEA3FD" w14:textId="77777777" w:rsidTr="00D83ECE">
        <w:trPr>
          <w:trHeight w:val="600"/>
        </w:trPr>
        <w:tc>
          <w:tcPr>
            <w:tcW w:w="1383" w:type="dxa"/>
            <w:shd w:val="clear" w:color="auto" w:fill="FFFFFF" w:themeFill="background1"/>
            <w:hideMark/>
          </w:tcPr>
          <w:p w14:paraId="1789F24D" w14:textId="77777777" w:rsidR="001A20CA" w:rsidRPr="00337216" w:rsidRDefault="009028D0" w:rsidP="00D83ECE">
            <w:pPr>
              <w:pStyle w:val="Report"/>
              <w:spacing w:line="480" w:lineRule="auto"/>
              <w:jc w:val="center"/>
            </w:pPr>
            <w:hyperlink r:id="rId21" w:anchor="'freq-exp5-rest-opt1'!A1" w:history="1">
              <w:r w:rsidR="001A20CA" w:rsidRPr="00337216">
                <w:t>Exponential 5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2221280D" w14:textId="77777777" w:rsidR="001A20CA" w:rsidRPr="00337216" w:rsidRDefault="001A20CA" w:rsidP="00D83ECE">
            <w:pPr>
              <w:pStyle w:val="Report"/>
              <w:spacing w:line="480" w:lineRule="auto"/>
              <w:jc w:val="center"/>
              <w:rPr>
                <w:color w:val="000000"/>
              </w:rPr>
            </w:pPr>
            <w:r w:rsidRPr="00FA5EFF">
              <w:t>-9999</w:t>
            </w:r>
          </w:p>
        </w:tc>
        <w:tc>
          <w:tcPr>
            <w:tcW w:w="1384" w:type="dxa"/>
            <w:tcBorders>
              <w:top w:val="nil"/>
              <w:left w:val="nil"/>
              <w:bottom w:val="single" w:sz="4" w:space="0" w:color="auto"/>
              <w:right w:val="single" w:sz="4" w:space="0" w:color="auto"/>
            </w:tcBorders>
            <w:shd w:val="clear" w:color="auto" w:fill="FFFFFF" w:themeFill="background1"/>
            <w:noWrap/>
            <w:hideMark/>
          </w:tcPr>
          <w:p w14:paraId="6D0A376A" w14:textId="77777777" w:rsidR="001A20CA" w:rsidRPr="00337216" w:rsidRDefault="001A20CA" w:rsidP="00D83ECE">
            <w:pPr>
              <w:pStyle w:val="Report"/>
              <w:spacing w:line="480" w:lineRule="auto"/>
              <w:jc w:val="center"/>
              <w:rPr>
                <w:color w:val="000000"/>
              </w:rPr>
            </w:pPr>
            <w:r w:rsidRPr="00BA101A">
              <w:t>0.00</w:t>
            </w:r>
          </w:p>
        </w:tc>
        <w:tc>
          <w:tcPr>
            <w:tcW w:w="1383" w:type="dxa"/>
            <w:tcBorders>
              <w:top w:val="nil"/>
              <w:left w:val="nil"/>
              <w:bottom w:val="single" w:sz="4" w:space="0" w:color="auto"/>
              <w:right w:val="single" w:sz="4" w:space="0" w:color="auto"/>
            </w:tcBorders>
            <w:shd w:val="clear" w:color="auto" w:fill="FFFFFF" w:themeFill="background1"/>
            <w:noWrap/>
            <w:hideMark/>
          </w:tcPr>
          <w:p w14:paraId="3BFCBC4B" w14:textId="77777777" w:rsidR="001A20CA" w:rsidRPr="00337216" w:rsidRDefault="001A20CA" w:rsidP="00D83ECE">
            <w:pPr>
              <w:pStyle w:val="Report"/>
              <w:spacing w:line="480" w:lineRule="auto"/>
              <w:jc w:val="center"/>
              <w:rPr>
                <w:color w:val="000000"/>
              </w:rPr>
            </w:pPr>
            <w:r w:rsidRPr="00DC54AD">
              <w:t>Infinity</w:t>
            </w:r>
          </w:p>
        </w:tc>
        <w:tc>
          <w:tcPr>
            <w:tcW w:w="1384" w:type="dxa"/>
            <w:tcBorders>
              <w:top w:val="nil"/>
              <w:left w:val="nil"/>
              <w:bottom w:val="single" w:sz="4" w:space="0" w:color="auto"/>
              <w:right w:val="single" w:sz="4" w:space="0" w:color="auto"/>
            </w:tcBorders>
            <w:shd w:val="clear" w:color="auto" w:fill="FFFFFF" w:themeFill="background1"/>
            <w:noWrap/>
            <w:hideMark/>
          </w:tcPr>
          <w:p w14:paraId="69D05A8B" w14:textId="77777777" w:rsidR="001A20CA" w:rsidRPr="00337216" w:rsidRDefault="001A20CA" w:rsidP="00D83ECE">
            <w:pPr>
              <w:pStyle w:val="Report"/>
              <w:spacing w:line="480" w:lineRule="auto"/>
              <w:jc w:val="center"/>
              <w:rPr>
                <w:color w:val="000000"/>
              </w:rPr>
            </w:pPr>
            <w:r w:rsidRPr="00B442BF">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792E6367" w14:textId="77777777" w:rsidR="001A20CA" w:rsidRPr="00337216" w:rsidRDefault="001A20CA" w:rsidP="00D83ECE">
            <w:pPr>
              <w:pStyle w:val="Report"/>
              <w:spacing w:line="480" w:lineRule="auto"/>
              <w:jc w:val="center"/>
              <w:rPr>
                <w:color w:val="000000"/>
              </w:rPr>
            </w:pPr>
            <w:r w:rsidRPr="00B442BF">
              <w:t>296.43</w:t>
            </w:r>
          </w:p>
        </w:tc>
        <w:tc>
          <w:tcPr>
            <w:tcW w:w="1384" w:type="dxa"/>
            <w:shd w:val="clear" w:color="auto" w:fill="FFFFFF" w:themeFill="background1"/>
          </w:tcPr>
          <w:p w14:paraId="03A86F9E"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262BC635" w14:textId="77777777" w:rsidTr="00D83ECE">
        <w:trPr>
          <w:trHeight w:val="600"/>
        </w:trPr>
        <w:tc>
          <w:tcPr>
            <w:tcW w:w="1383" w:type="dxa"/>
            <w:shd w:val="clear" w:color="auto" w:fill="FFFFFF" w:themeFill="background1"/>
            <w:hideMark/>
          </w:tcPr>
          <w:p w14:paraId="65760576" w14:textId="77777777" w:rsidR="001A20CA" w:rsidRPr="00337216" w:rsidRDefault="009028D0" w:rsidP="00D83ECE">
            <w:pPr>
              <w:pStyle w:val="Report"/>
              <w:spacing w:line="480" w:lineRule="auto"/>
              <w:jc w:val="center"/>
            </w:pPr>
            <w:hyperlink r:id="rId22" w:anchor="'freq-hil-rest-opt1'!A1" w:history="1">
              <w:r w:rsidR="001A20CA" w:rsidRPr="00337216">
                <w:t>Hill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7BBC7713" w14:textId="77777777" w:rsidR="001A20CA" w:rsidRPr="00337216" w:rsidRDefault="001A20CA" w:rsidP="00D83ECE">
            <w:pPr>
              <w:pStyle w:val="Report"/>
              <w:spacing w:line="480" w:lineRule="auto"/>
              <w:jc w:val="center"/>
              <w:rPr>
                <w:color w:val="000000"/>
              </w:rPr>
            </w:pPr>
            <w:r w:rsidRPr="00BA101A">
              <w:t>4.88E-03</w:t>
            </w:r>
          </w:p>
        </w:tc>
        <w:tc>
          <w:tcPr>
            <w:tcW w:w="1384" w:type="dxa"/>
            <w:tcBorders>
              <w:top w:val="nil"/>
              <w:left w:val="nil"/>
              <w:bottom w:val="single" w:sz="4" w:space="0" w:color="auto"/>
              <w:right w:val="single" w:sz="4" w:space="0" w:color="auto"/>
            </w:tcBorders>
            <w:shd w:val="clear" w:color="auto" w:fill="FFFFFF" w:themeFill="background1"/>
            <w:noWrap/>
            <w:hideMark/>
          </w:tcPr>
          <w:p w14:paraId="083113BC" w14:textId="77777777" w:rsidR="001A20CA" w:rsidRPr="00337216" w:rsidRDefault="001A20CA" w:rsidP="00D83ECE">
            <w:pPr>
              <w:pStyle w:val="Report"/>
              <w:spacing w:line="480" w:lineRule="auto"/>
              <w:jc w:val="center"/>
              <w:rPr>
                <w:color w:val="000000"/>
              </w:rPr>
            </w:pPr>
            <w:r w:rsidRPr="00BA101A">
              <w:t>3.29E-03</w:t>
            </w:r>
          </w:p>
        </w:tc>
        <w:tc>
          <w:tcPr>
            <w:tcW w:w="1383" w:type="dxa"/>
            <w:tcBorders>
              <w:top w:val="nil"/>
              <w:left w:val="nil"/>
              <w:bottom w:val="single" w:sz="4" w:space="0" w:color="auto"/>
              <w:right w:val="single" w:sz="4" w:space="0" w:color="auto"/>
            </w:tcBorders>
            <w:shd w:val="clear" w:color="auto" w:fill="FFFFFF" w:themeFill="background1"/>
            <w:noWrap/>
            <w:hideMark/>
          </w:tcPr>
          <w:p w14:paraId="5DCEC247" w14:textId="77777777" w:rsidR="001A20CA" w:rsidRPr="00337216" w:rsidRDefault="001A20CA" w:rsidP="00D83ECE">
            <w:pPr>
              <w:pStyle w:val="Report"/>
              <w:spacing w:line="480" w:lineRule="auto"/>
              <w:jc w:val="center"/>
              <w:rPr>
                <w:color w:val="000000"/>
              </w:rPr>
            </w:pPr>
            <w:r w:rsidRPr="00EC2854">
              <w:t>7.98E-03</w:t>
            </w:r>
          </w:p>
        </w:tc>
        <w:tc>
          <w:tcPr>
            <w:tcW w:w="1384" w:type="dxa"/>
            <w:tcBorders>
              <w:top w:val="nil"/>
              <w:left w:val="nil"/>
              <w:bottom w:val="single" w:sz="4" w:space="0" w:color="auto"/>
              <w:right w:val="single" w:sz="4" w:space="0" w:color="auto"/>
            </w:tcBorders>
            <w:shd w:val="clear" w:color="auto" w:fill="FFFFFF" w:themeFill="background1"/>
            <w:noWrap/>
            <w:hideMark/>
          </w:tcPr>
          <w:p w14:paraId="5FFFF35C" w14:textId="77777777" w:rsidR="001A20CA" w:rsidRPr="00337216" w:rsidRDefault="001A20CA" w:rsidP="00D83ECE">
            <w:pPr>
              <w:pStyle w:val="Report"/>
              <w:spacing w:line="480" w:lineRule="auto"/>
              <w:jc w:val="center"/>
              <w:rPr>
                <w:color w:val="000000"/>
              </w:rPr>
            </w:pPr>
            <w:r w:rsidRPr="00B442BF">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7927FAE4" w14:textId="77777777" w:rsidR="001A20CA" w:rsidRPr="00337216" w:rsidRDefault="001A20CA" w:rsidP="00D83ECE">
            <w:pPr>
              <w:pStyle w:val="Report"/>
              <w:spacing w:line="480" w:lineRule="auto"/>
              <w:jc w:val="center"/>
              <w:rPr>
                <w:color w:val="000000"/>
              </w:rPr>
            </w:pPr>
            <w:r w:rsidRPr="00B442BF">
              <w:t>208.38</w:t>
            </w:r>
          </w:p>
        </w:tc>
        <w:tc>
          <w:tcPr>
            <w:tcW w:w="1384" w:type="dxa"/>
            <w:shd w:val="clear" w:color="auto" w:fill="FFFFFF" w:themeFill="background1"/>
          </w:tcPr>
          <w:p w14:paraId="0DD1014E" w14:textId="77777777" w:rsidR="001A20CA" w:rsidRPr="00337216" w:rsidRDefault="001A20CA" w:rsidP="00D83ECE">
            <w:pPr>
              <w:pStyle w:val="Report"/>
              <w:spacing w:line="480" w:lineRule="auto"/>
              <w:jc w:val="center"/>
              <w:rPr>
                <w:color w:val="000000"/>
              </w:rPr>
            </w:pPr>
            <w:r w:rsidRPr="00337216">
              <w:rPr>
                <w:color w:val="000000"/>
              </w:rPr>
              <w:t>Yes</w:t>
            </w:r>
          </w:p>
        </w:tc>
      </w:tr>
      <w:tr w:rsidR="001A20CA" w:rsidRPr="00ED7CE9" w14:paraId="351B2B67" w14:textId="77777777" w:rsidTr="00D83ECE">
        <w:trPr>
          <w:trHeight w:val="600"/>
        </w:trPr>
        <w:tc>
          <w:tcPr>
            <w:tcW w:w="1383" w:type="dxa"/>
            <w:shd w:val="clear" w:color="auto" w:fill="FFFFFF" w:themeFill="background1"/>
            <w:hideMark/>
          </w:tcPr>
          <w:p w14:paraId="785FB3EB" w14:textId="77777777" w:rsidR="001A20CA" w:rsidRPr="00337216" w:rsidRDefault="009028D0" w:rsidP="00D83ECE">
            <w:pPr>
              <w:pStyle w:val="Report"/>
              <w:spacing w:line="480" w:lineRule="auto"/>
              <w:jc w:val="center"/>
            </w:pPr>
            <w:hyperlink r:id="rId23" w:anchor="'freq-ply6-rest-opt1'!A1" w:history="1">
              <w:r w:rsidR="001A20CA" w:rsidRPr="00337216">
                <w:t xml:space="preserve">Polynomial Degree 6 </w:t>
              </w:r>
              <w:r w:rsidR="001A20CA" w:rsidRPr="00337216">
                <w:lastRenderedPageBreak/>
                <w:t>(CV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0A864851" w14:textId="77777777" w:rsidR="001A20CA" w:rsidRPr="00337216" w:rsidRDefault="001A20CA" w:rsidP="00D83ECE">
            <w:pPr>
              <w:pStyle w:val="Report"/>
              <w:spacing w:line="480" w:lineRule="auto"/>
              <w:jc w:val="center"/>
              <w:rPr>
                <w:color w:val="000000"/>
              </w:rPr>
            </w:pPr>
            <w:r w:rsidRPr="00BA101A">
              <w:lastRenderedPageBreak/>
              <w:t>0.14</w:t>
            </w:r>
          </w:p>
        </w:tc>
        <w:tc>
          <w:tcPr>
            <w:tcW w:w="1384" w:type="dxa"/>
            <w:tcBorders>
              <w:top w:val="nil"/>
              <w:left w:val="nil"/>
              <w:bottom w:val="single" w:sz="4" w:space="0" w:color="auto"/>
              <w:right w:val="single" w:sz="4" w:space="0" w:color="auto"/>
            </w:tcBorders>
            <w:shd w:val="clear" w:color="auto" w:fill="FFFFFF" w:themeFill="background1"/>
            <w:noWrap/>
            <w:hideMark/>
          </w:tcPr>
          <w:p w14:paraId="5C910E56" w14:textId="77777777" w:rsidR="001A20CA" w:rsidRPr="00337216" w:rsidRDefault="001A20CA" w:rsidP="00D83ECE">
            <w:pPr>
              <w:pStyle w:val="Report"/>
              <w:spacing w:line="480" w:lineRule="auto"/>
              <w:jc w:val="center"/>
              <w:rPr>
                <w:color w:val="000000"/>
              </w:rPr>
            </w:pPr>
            <w:r w:rsidRPr="00BA101A">
              <w:t>0.11</w:t>
            </w:r>
          </w:p>
        </w:tc>
        <w:tc>
          <w:tcPr>
            <w:tcW w:w="1383" w:type="dxa"/>
            <w:tcBorders>
              <w:top w:val="nil"/>
              <w:left w:val="nil"/>
              <w:bottom w:val="single" w:sz="4" w:space="0" w:color="auto"/>
              <w:right w:val="single" w:sz="4" w:space="0" w:color="auto"/>
            </w:tcBorders>
            <w:shd w:val="clear" w:color="auto" w:fill="FFFFFF" w:themeFill="background1"/>
            <w:noWrap/>
            <w:hideMark/>
          </w:tcPr>
          <w:p w14:paraId="43DFDAF3" w14:textId="77777777" w:rsidR="001A20CA" w:rsidRPr="00337216" w:rsidRDefault="001A20CA" w:rsidP="00D83ECE">
            <w:pPr>
              <w:pStyle w:val="Report"/>
              <w:spacing w:line="480" w:lineRule="auto"/>
              <w:jc w:val="center"/>
              <w:rPr>
                <w:color w:val="000000"/>
              </w:rPr>
            </w:pPr>
            <w:r w:rsidRPr="009B4956">
              <w:t>0.21</w:t>
            </w:r>
          </w:p>
        </w:tc>
        <w:tc>
          <w:tcPr>
            <w:tcW w:w="1384" w:type="dxa"/>
            <w:tcBorders>
              <w:top w:val="nil"/>
              <w:left w:val="nil"/>
              <w:bottom w:val="single" w:sz="4" w:space="0" w:color="auto"/>
              <w:right w:val="single" w:sz="4" w:space="0" w:color="auto"/>
            </w:tcBorders>
            <w:shd w:val="clear" w:color="auto" w:fill="FFFFFF" w:themeFill="background1"/>
            <w:noWrap/>
            <w:hideMark/>
          </w:tcPr>
          <w:p w14:paraId="7DDF70B8" w14:textId="77777777" w:rsidR="001A20CA" w:rsidRPr="00337216" w:rsidRDefault="001A20CA" w:rsidP="00D83ECE">
            <w:pPr>
              <w:pStyle w:val="Report"/>
              <w:spacing w:line="480" w:lineRule="auto"/>
              <w:jc w:val="center"/>
            </w:pPr>
            <w:r w:rsidRPr="00B442BF">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7FF437E1" w14:textId="77777777" w:rsidR="001A20CA" w:rsidRPr="00337216" w:rsidRDefault="001A20CA" w:rsidP="00D83ECE">
            <w:pPr>
              <w:pStyle w:val="Report"/>
              <w:spacing w:line="480" w:lineRule="auto"/>
              <w:jc w:val="center"/>
              <w:rPr>
                <w:color w:val="000000"/>
              </w:rPr>
            </w:pPr>
            <w:r w:rsidRPr="00B442BF">
              <w:t>249.67</w:t>
            </w:r>
          </w:p>
        </w:tc>
        <w:tc>
          <w:tcPr>
            <w:tcW w:w="1384" w:type="dxa"/>
            <w:shd w:val="clear" w:color="auto" w:fill="FFFFFF" w:themeFill="background1"/>
          </w:tcPr>
          <w:p w14:paraId="5710A873"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74CFF9DD" w14:textId="77777777" w:rsidTr="00D83ECE">
        <w:trPr>
          <w:trHeight w:val="600"/>
        </w:trPr>
        <w:tc>
          <w:tcPr>
            <w:tcW w:w="1383" w:type="dxa"/>
            <w:shd w:val="clear" w:color="auto" w:fill="FFFFFF" w:themeFill="background1"/>
            <w:hideMark/>
          </w:tcPr>
          <w:p w14:paraId="6E5CF046" w14:textId="77777777" w:rsidR="001A20CA" w:rsidRPr="00337216" w:rsidRDefault="009028D0" w:rsidP="00D83ECE">
            <w:pPr>
              <w:pStyle w:val="Report"/>
              <w:spacing w:line="480" w:lineRule="auto"/>
              <w:jc w:val="center"/>
            </w:pPr>
            <w:hyperlink r:id="rId24" w:anchor="'freq-ply5-rest-opt1'!A1" w:history="1">
              <w:r w:rsidR="001A20CA" w:rsidRPr="00337216">
                <w:t>Polynomial Degree 5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7E7A8FCF" w14:textId="77777777" w:rsidR="001A20CA" w:rsidRPr="00337216" w:rsidRDefault="001A20CA" w:rsidP="00D83ECE">
            <w:pPr>
              <w:pStyle w:val="Report"/>
              <w:spacing w:line="480" w:lineRule="auto"/>
              <w:jc w:val="center"/>
              <w:rPr>
                <w:color w:val="000000"/>
              </w:rPr>
            </w:pPr>
            <w:r w:rsidRPr="00BA101A">
              <w:t>0.14</w:t>
            </w:r>
          </w:p>
        </w:tc>
        <w:tc>
          <w:tcPr>
            <w:tcW w:w="1384" w:type="dxa"/>
            <w:tcBorders>
              <w:top w:val="nil"/>
              <w:left w:val="nil"/>
              <w:bottom w:val="single" w:sz="4" w:space="0" w:color="auto"/>
              <w:right w:val="single" w:sz="4" w:space="0" w:color="auto"/>
            </w:tcBorders>
            <w:shd w:val="clear" w:color="auto" w:fill="FFFFFF" w:themeFill="background1"/>
            <w:noWrap/>
            <w:hideMark/>
          </w:tcPr>
          <w:p w14:paraId="3EEBE512" w14:textId="77777777" w:rsidR="001A20CA" w:rsidRPr="00337216" w:rsidRDefault="001A20CA" w:rsidP="00D83ECE">
            <w:pPr>
              <w:pStyle w:val="Report"/>
              <w:spacing w:line="480" w:lineRule="auto"/>
              <w:jc w:val="center"/>
              <w:rPr>
                <w:color w:val="000000"/>
              </w:rPr>
            </w:pPr>
            <w:r w:rsidRPr="00BA101A">
              <w:t>0.11</w:t>
            </w:r>
          </w:p>
        </w:tc>
        <w:tc>
          <w:tcPr>
            <w:tcW w:w="1383" w:type="dxa"/>
            <w:tcBorders>
              <w:top w:val="nil"/>
              <w:left w:val="nil"/>
              <w:bottom w:val="single" w:sz="4" w:space="0" w:color="auto"/>
              <w:right w:val="single" w:sz="4" w:space="0" w:color="auto"/>
            </w:tcBorders>
            <w:shd w:val="clear" w:color="auto" w:fill="FFFFFF" w:themeFill="background1"/>
            <w:noWrap/>
            <w:hideMark/>
          </w:tcPr>
          <w:p w14:paraId="7ABFBA87" w14:textId="77777777" w:rsidR="001A20CA" w:rsidRPr="00337216" w:rsidRDefault="001A20CA" w:rsidP="00D83ECE">
            <w:pPr>
              <w:pStyle w:val="Report"/>
              <w:spacing w:line="480" w:lineRule="auto"/>
              <w:jc w:val="center"/>
              <w:rPr>
                <w:color w:val="000000"/>
              </w:rPr>
            </w:pPr>
            <w:r w:rsidRPr="009B4956">
              <w:t>0.21</w:t>
            </w:r>
          </w:p>
        </w:tc>
        <w:tc>
          <w:tcPr>
            <w:tcW w:w="1384" w:type="dxa"/>
            <w:tcBorders>
              <w:top w:val="nil"/>
              <w:left w:val="nil"/>
              <w:bottom w:val="single" w:sz="4" w:space="0" w:color="auto"/>
              <w:right w:val="single" w:sz="4" w:space="0" w:color="auto"/>
            </w:tcBorders>
            <w:shd w:val="clear" w:color="auto" w:fill="FFFFFF" w:themeFill="background1"/>
            <w:noWrap/>
            <w:hideMark/>
          </w:tcPr>
          <w:p w14:paraId="2863C8D4" w14:textId="77777777" w:rsidR="001A20CA" w:rsidRPr="00337216" w:rsidRDefault="001A20CA" w:rsidP="00D83ECE">
            <w:pPr>
              <w:pStyle w:val="Report"/>
              <w:spacing w:line="480" w:lineRule="auto"/>
              <w:jc w:val="center"/>
            </w:pPr>
            <w:r w:rsidRPr="00B442BF">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171C2331" w14:textId="77777777" w:rsidR="001A20CA" w:rsidRPr="00337216" w:rsidRDefault="001A20CA" w:rsidP="00D83ECE">
            <w:pPr>
              <w:pStyle w:val="Report"/>
              <w:spacing w:line="480" w:lineRule="auto"/>
              <w:jc w:val="center"/>
              <w:rPr>
                <w:color w:val="000000"/>
              </w:rPr>
            </w:pPr>
            <w:r w:rsidRPr="00B442BF">
              <w:t>249.67</w:t>
            </w:r>
          </w:p>
        </w:tc>
        <w:tc>
          <w:tcPr>
            <w:tcW w:w="1384" w:type="dxa"/>
            <w:shd w:val="clear" w:color="auto" w:fill="FFFFFF" w:themeFill="background1"/>
          </w:tcPr>
          <w:p w14:paraId="2D7ECECA"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6A0CBCBC" w14:textId="77777777" w:rsidTr="00D83ECE">
        <w:trPr>
          <w:trHeight w:val="600"/>
        </w:trPr>
        <w:tc>
          <w:tcPr>
            <w:tcW w:w="1383" w:type="dxa"/>
            <w:shd w:val="clear" w:color="auto" w:fill="FFFFFF" w:themeFill="background1"/>
            <w:hideMark/>
          </w:tcPr>
          <w:p w14:paraId="69B1955C" w14:textId="77777777" w:rsidR="001A20CA" w:rsidRPr="00337216" w:rsidRDefault="009028D0" w:rsidP="00D83ECE">
            <w:pPr>
              <w:pStyle w:val="Report"/>
              <w:spacing w:line="480" w:lineRule="auto"/>
              <w:jc w:val="center"/>
            </w:pPr>
            <w:hyperlink r:id="rId25" w:anchor="'freq-ply4-rest-opt1'!A1" w:history="1">
              <w:r w:rsidR="001A20CA" w:rsidRPr="00337216">
                <w:t>Polynomial Degree 4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5CBBD0D9" w14:textId="77777777" w:rsidR="001A20CA" w:rsidRPr="00337216" w:rsidRDefault="001A20CA" w:rsidP="00D83ECE">
            <w:pPr>
              <w:pStyle w:val="Report"/>
              <w:spacing w:line="480" w:lineRule="auto"/>
              <w:jc w:val="center"/>
              <w:rPr>
                <w:color w:val="000000"/>
              </w:rPr>
            </w:pPr>
            <w:r w:rsidRPr="00BA101A">
              <w:t>0.14</w:t>
            </w:r>
          </w:p>
        </w:tc>
        <w:tc>
          <w:tcPr>
            <w:tcW w:w="1384" w:type="dxa"/>
            <w:tcBorders>
              <w:top w:val="nil"/>
              <w:left w:val="nil"/>
              <w:bottom w:val="single" w:sz="4" w:space="0" w:color="auto"/>
              <w:right w:val="single" w:sz="4" w:space="0" w:color="auto"/>
            </w:tcBorders>
            <w:shd w:val="clear" w:color="auto" w:fill="FFFFFF" w:themeFill="background1"/>
            <w:noWrap/>
            <w:hideMark/>
          </w:tcPr>
          <w:p w14:paraId="2C47FA49" w14:textId="77777777" w:rsidR="001A20CA" w:rsidRPr="00337216" w:rsidRDefault="001A20CA" w:rsidP="00D83ECE">
            <w:pPr>
              <w:pStyle w:val="Report"/>
              <w:spacing w:line="480" w:lineRule="auto"/>
              <w:jc w:val="center"/>
              <w:rPr>
                <w:color w:val="000000"/>
              </w:rPr>
            </w:pPr>
            <w:r w:rsidRPr="00BA101A">
              <w:t>0.11</w:t>
            </w:r>
          </w:p>
        </w:tc>
        <w:tc>
          <w:tcPr>
            <w:tcW w:w="1383" w:type="dxa"/>
            <w:tcBorders>
              <w:top w:val="nil"/>
              <w:left w:val="nil"/>
              <w:bottom w:val="single" w:sz="4" w:space="0" w:color="auto"/>
              <w:right w:val="single" w:sz="4" w:space="0" w:color="auto"/>
            </w:tcBorders>
            <w:shd w:val="clear" w:color="auto" w:fill="FFFFFF" w:themeFill="background1"/>
            <w:noWrap/>
            <w:hideMark/>
          </w:tcPr>
          <w:p w14:paraId="60599A1C" w14:textId="77777777" w:rsidR="001A20CA" w:rsidRPr="00337216" w:rsidRDefault="001A20CA" w:rsidP="00D83ECE">
            <w:pPr>
              <w:pStyle w:val="Report"/>
              <w:spacing w:line="480" w:lineRule="auto"/>
              <w:jc w:val="center"/>
              <w:rPr>
                <w:color w:val="000000"/>
              </w:rPr>
            </w:pPr>
            <w:r w:rsidRPr="009B4956">
              <w:t>0.21</w:t>
            </w:r>
          </w:p>
        </w:tc>
        <w:tc>
          <w:tcPr>
            <w:tcW w:w="1384" w:type="dxa"/>
            <w:tcBorders>
              <w:top w:val="nil"/>
              <w:left w:val="nil"/>
              <w:bottom w:val="single" w:sz="4" w:space="0" w:color="auto"/>
              <w:right w:val="single" w:sz="4" w:space="0" w:color="auto"/>
            </w:tcBorders>
            <w:shd w:val="clear" w:color="auto" w:fill="FFFFFF" w:themeFill="background1"/>
            <w:noWrap/>
            <w:hideMark/>
          </w:tcPr>
          <w:p w14:paraId="687A0AF9" w14:textId="77777777" w:rsidR="001A20CA" w:rsidRPr="00337216" w:rsidRDefault="001A20CA" w:rsidP="00D83ECE">
            <w:pPr>
              <w:pStyle w:val="Report"/>
              <w:spacing w:line="480" w:lineRule="auto"/>
              <w:jc w:val="center"/>
            </w:pPr>
            <w:r w:rsidRPr="00B442BF">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2D03D464" w14:textId="77777777" w:rsidR="001A20CA" w:rsidRPr="00337216" w:rsidRDefault="001A20CA" w:rsidP="00D83ECE">
            <w:pPr>
              <w:pStyle w:val="Report"/>
              <w:spacing w:line="480" w:lineRule="auto"/>
              <w:jc w:val="center"/>
              <w:rPr>
                <w:color w:val="000000"/>
              </w:rPr>
            </w:pPr>
            <w:r w:rsidRPr="00B442BF">
              <w:t>249.67</w:t>
            </w:r>
          </w:p>
        </w:tc>
        <w:tc>
          <w:tcPr>
            <w:tcW w:w="1384" w:type="dxa"/>
            <w:shd w:val="clear" w:color="auto" w:fill="FFFFFF" w:themeFill="background1"/>
          </w:tcPr>
          <w:p w14:paraId="06F7C351"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13A80344" w14:textId="77777777" w:rsidTr="00D83ECE">
        <w:trPr>
          <w:trHeight w:val="600"/>
        </w:trPr>
        <w:tc>
          <w:tcPr>
            <w:tcW w:w="1383" w:type="dxa"/>
            <w:shd w:val="clear" w:color="auto" w:fill="FFFFFF" w:themeFill="background1"/>
            <w:hideMark/>
          </w:tcPr>
          <w:p w14:paraId="05B16EFD" w14:textId="77777777" w:rsidR="001A20CA" w:rsidRPr="00337216" w:rsidRDefault="009028D0" w:rsidP="00D83ECE">
            <w:pPr>
              <w:pStyle w:val="Report"/>
              <w:spacing w:line="480" w:lineRule="auto"/>
              <w:jc w:val="center"/>
            </w:pPr>
            <w:hyperlink r:id="rId26" w:anchor="'freq-ply3-rest-opt1'!A1" w:history="1">
              <w:r w:rsidR="001A20CA" w:rsidRPr="00337216">
                <w:t>Polynomial Degree 3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02FB889A" w14:textId="77777777" w:rsidR="001A20CA" w:rsidRPr="00337216" w:rsidRDefault="001A20CA" w:rsidP="00D83ECE">
            <w:pPr>
              <w:pStyle w:val="Report"/>
              <w:spacing w:line="480" w:lineRule="auto"/>
              <w:jc w:val="center"/>
              <w:rPr>
                <w:color w:val="000000"/>
              </w:rPr>
            </w:pPr>
            <w:r w:rsidRPr="00BA101A">
              <w:t>0.14</w:t>
            </w:r>
          </w:p>
        </w:tc>
        <w:tc>
          <w:tcPr>
            <w:tcW w:w="1384" w:type="dxa"/>
            <w:tcBorders>
              <w:top w:val="nil"/>
              <w:left w:val="nil"/>
              <w:bottom w:val="single" w:sz="4" w:space="0" w:color="auto"/>
              <w:right w:val="single" w:sz="4" w:space="0" w:color="auto"/>
            </w:tcBorders>
            <w:shd w:val="clear" w:color="auto" w:fill="FFFFFF" w:themeFill="background1"/>
            <w:noWrap/>
            <w:hideMark/>
          </w:tcPr>
          <w:p w14:paraId="06B42143" w14:textId="77777777" w:rsidR="001A20CA" w:rsidRPr="00337216" w:rsidRDefault="001A20CA" w:rsidP="00D83ECE">
            <w:pPr>
              <w:pStyle w:val="Report"/>
              <w:spacing w:line="480" w:lineRule="auto"/>
              <w:jc w:val="center"/>
              <w:rPr>
                <w:color w:val="000000"/>
              </w:rPr>
            </w:pPr>
            <w:r w:rsidRPr="00BA101A">
              <w:t>0.11</w:t>
            </w:r>
          </w:p>
        </w:tc>
        <w:tc>
          <w:tcPr>
            <w:tcW w:w="1383" w:type="dxa"/>
            <w:tcBorders>
              <w:top w:val="nil"/>
              <w:left w:val="nil"/>
              <w:bottom w:val="single" w:sz="4" w:space="0" w:color="auto"/>
              <w:right w:val="single" w:sz="4" w:space="0" w:color="auto"/>
            </w:tcBorders>
            <w:shd w:val="clear" w:color="auto" w:fill="FFFFFF" w:themeFill="background1"/>
            <w:noWrap/>
            <w:hideMark/>
          </w:tcPr>
          <w:p w14:paraId="476CCC5A" w14:textId="77777777" w:rsidR="001A20CA" w:rsidRPr="00337216" w:rsidRDefault="001A20CA" w:rsidP="00D83ECE">
            <w:pPr>
              <w:pStyle w:val="Report"/>
              <w:spacing w:line="480" w:lineRule="auto"/>
              <w:jc w:val="center"/>
              <w:rPr>
                <w:color w:val="000000"/>
              </w:rPr>
            </w:pPr>
            <w:r w:rsidRPr="009B4956">
              <w:t>0.21</w:t>
            </w:r>
          </w:p>
        </w:tc>
        <w:tc>
          <w:tcPr>
            <w:tcW w:w="1384" w:type="dxa"/>
            <w:tcBorders>
              <w:top w:val="nil"/>
              <w:left w:val="nil"/>
              <w:bottom w:val="single" w:sz="4" w:space="0" w:color="auto"/>
              <w:right w:val="single" w:sz="4" w:space="0" w:color="auto"/>
            </w:tcBorders>
            <w:shd w:val="clear" w:color="auto" w:fill="FFFFFF" w:themeFill="background1"/>
            <w:noWrap/>
            <w:hideMark/>
          </w:tcPr>
          <w:p w14:paraId="33E86E54" w14:textId="77777777" w:rsidR="001A20CA" w:rsidRPr="00337216" w:rsidRDefault="001A20CA" w:rsidP="00D83ECE">
            <w:pPr>
              <w:pStyle w:val="Report"/>
              <w:spacing w:line="480" w:lineRule="auto"/>
              <w:jc w:val="center"/>
            </w:pPr>
            <w:r w:rsidRPr="00B442BF">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76DD6EAB" w14:textId="77777777" w:rsidR="001A20CA" w:rsidRPr="00337216" w:rsidRDefault="001A20CA" w:rsidP="00D83ECE">
            <w:pPr>
              <w:pStyle w:val="Report"/>
              <w:spacing w:line="480" w:lineRule="auto"/>
              <w:jc w:val="center"/>
              <w:rPr>
                <w:color w:val="000000"/>
              </w:rPr>
            </w:pPr>
            <w:r w:rsidRPr="00B442BF">
              <w:t>249.67</w:t>
            </w:r>
          </w:p>
        </w:tc>
        <w:tc>
          <w:tcPr>
            <w:tcW w:w="1384" w:type="dxa"/>
            <w:shd w:val="clear" w:color="auto" w:fill="FFFFFF" w:themeFill="background1"/>
          </w:tcPr>
          <w:p w14:paraId="27EB9461"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30433025" w14:textId="77777777" w:rsidTr="00D83ECE">
        <w:trPr>
          <w:trHeight w:val="600"/>
        </w:trPr>
        <w:tc>
          <w:tcPr>
            <w:tcW w:w="1383" w:type="dxa"/>
            <w:shd w:val="clear" w:color="auto" w:fill="FFFFFF" w:themeFill="background1"/>
            <w:hideMark/>
          </w:tcPr>
          <w:p w14:paraId="2F91F9C2" w14:textId="77777777" w:rsidR="001A20CA" w:rsidRPr="00337216" w:rsidRDefault="009028D0" w:rsidP="00D83ECE">
            <w:pPr>
              <w:pStyle w:val="Report"/>
              <w:spacing w:line="480" w:lineRule="auto"/>
              <w:jc w:val="center"/>
            </w:pPr>
            <w:hyperlink r:id="rId27" w:anchor="'freq-ply2-rest-opt1'!A1" w:history="1">
              <w:r w:rsidR="001A20CA" w:rsidRPr="00337216">
                <w:t>Polynomial Degree 2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0E2747D8" w14:textId="77777777" w:rsidR="001A20CA" w:rsidRPr="00337216" w:rsidRDefault="001A20CA" w:rsidP="00D83ECE">
            <w:pPr>
              <w:pStyle w:val="Report"/>
              <w:spacing w:line="480" w:lineRule="auto"/>
              <w:jc w:val="center"/>
              <w:rPr>
                <w:color w:val="000000"/>
              </w:rPr>
            </w:pPr>
            <w:r w:rsidRPr="00BA101A">
              <w:t>0.14</w:t>
            </w:r>
          </w:p>
        </w:tc>
        <w:tc>
          <w:tcPr>
            <w:tcW w:w="1384" w:type="dxa"/>
            <w:tcBorders>
              <w:top w:val="nil"/>
              <w:left w:val="nil"/>
              <w:bottom w:val="single" w:sz="4" w:space="0" w:color="auto"/>
              <w:right w:val="single" w:sz="4" w:space="0" w:color="auto"/>
            </w:tcBorders>
            <w:shd w:val="clear" w:color="auto" w:fill="FFFFFF" w:themeFill="background1"/>
            <w:noWrap/>
            <w:hideMark/>
          </w:tcPr>
          <w:p w14:paraId="13FBDE12" w14:textId="77777777" w:rsidR="001A20CA" w:rsidRPr="00337216" w:rsidRDefault="001A20CA" w:rsidP="00D83ECE">
            <w:pPr>
              <w:pStyle w:val="Report"/>
              <w:spacing w:line="480" w:lineRule="auto"/>
              <w:jc w:val="center"/>
              <w:rPr>
                <w:color w:val="000000"/>
              </w:rPr>
            </w:pPr>
            <w:r w:rsidRPr="00BA101A">
              <w:t>0.11</w:t>
            </w:r>
          </w:p>
        </w:tc>
        <w:tc>
          <w:tcPr>
            <w:tcW w:w="1383" w:type="dxa"/>
            <w:tcBorders>
              <w:top w:val="nil"/>
              <w:left w:val="nil"/>
              <w:bottom w:val="single" w:sz="4" w:space="0" w:color="auto"/>
              <w:right w:val="single" w:sz="4" w:space="0" w:color="auto"/>
            </w:tcBorders>
            <w:shd w:val="clear" w:color="auto" w:fill="FFFFFF" w:themeFill="background1"/>
            <w:noWrap/>
            <w:hideMark/>
          </w:tcPr>
          <w:p w14:paraId="40831FA5" w14:textId="77777777" w:rsidR="001A20CA" w:rsidRPr="00337216" w:rsidRDefault="001A20CA" w:rsidP="00D83ECE">
            <w:pPr>
              <w:pStyle w:val="Report"/>
              <w:spacing w:line="480" w:lineRule="auto"/>
              <w:jc w:val="center"/>
              <w:rPr>
                <w:color w:val="000000"/>
              </w:rPr>
            </w:pPr>
            <w:r w:rsidRPr="009B4956">
              <w:t>0.21</w:t>
            </w:r>
          </w:p>
        </w:tc>
        <w:tc>
          <w:tcPr>
            <w:tcW w:w="1384" w:type="dxa"/>
            <w:tcBorders>
              <w:top w:val="nil"/>
              <w:left w:val="nil"/>
              <w:bottom w:val="single" w:sz="4" w:space="0" w:color="auto"/>
              <w:right w:val="single" w:sz="4" w:space="0" w:color="auto"/>
            </w:tcBorders>
            <w:shd w:val="clear" w:color="auto" w:fill="FFFFFF" w:themeFill="background1"/>
            <w:noWrap/>
            <w:hideMark/>
          </w:tcPr>
          <w:p w14:paraId="0161E53F" w14:textId="77777777" w:rsidR="001A20CA" w:rsidRPr="00337216" w:rsidRDefault="001A20CA" w:rsidP="00D83ECE">
            <w:pPr>
              <w:pStyle w:val="Report"/>
              <w:spacing w:line="480" w:lineRule="auto"/>
              <w:jc w:val="center"/>
            </w:pPr>
            <w:r w:rsidRPr="00B442BF">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23A44F5F" w14:textId="77777777" w:rsidR="001A20CA" w:rsidRPr="00337216" w:rsidRDefault="001A20CA" w:rsidP="00D83ECE">
            <w:pPr>
              <w:pStyle w:val="Report"/>
              <w:spacing w:line="480" w:lineRule="auto"/>
              <w:jc w:val="center"/>
              <w:rPr>
                <w:color w:val="000000"/>
              </w:rPr>
            </w:pPr>
            <w:r w:rsidRPr="00B442BF">
              <w:t>249.67</w:t>
            </w:r>
          </w:p>
        </w:tc>
        <w:tc>
          <w:tcPr>
            <w:tcW w:w="1384" w:type="dxa"/>
            <w:shd w:val="clear" w:color="auto" w:fill="FFFFFF" w:themeFill="background1"/>
          </w:tcPr>
          <w:p w14:paraId="7185ACCD"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3876397D" w14:textId="77777777" w:rsidTr="00D83ECE">
        <w:trPr>
          <w:trHeight w:val="600"/>
        </w:trPr>
        <w:tc>
          <w:tcPr>
            <w:tcW w:w="1383" w:type="dxa"/>
            <w:shd w:val="clear" w:color="auto" w:fill="FFFFFF" w:themeFill="background1"/>
            <w:hideMark/>
          </w:tcPr>
          <w:p w14:paraId="1C9ABA75" w14:textId="77777777" w:rsidR="001A20CA" w:rsidRPr="00337216" w:rsidRDefault="009028D0" w:rsidP="00D83ECE">
            <w:pPr>
              <w:pStyle w:val="Report"/>
              <w:spacing w:line="480" w:lineRule="auto"/>
              <w:jc w:val="center"/>
            </w:pPr>
            <w:hyperlink r:id="rId28" w:anchor="'freq-pow-rest-opt1'!A1" w:history="1">
              <w:r w:rsidR="001A20CA" w:rsidRPr="00337216">
                <w:t>Power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76EFEB20" w14:textId="77777777" w:rsidR="001A20CA" w:rsidRPr="00337216" w:rsidRDefault="001A20CA" w:rsidP="00D83ECE">
            <w:pPr>
              <w:pStyle w:val="Report"/>
              <w:spacing w:line="480" w:lineRule="auto"/>
              <w:jc w:val="center"/>
              <w:rPr>
                <w:color w:val="000000"/>
              </w:rPr>
            </w:pPr>
            <w:r w:rsidRPr="00BA101A">
              <w:t>0.14</w:t>
            </w:r>
          </w:p>
        </w:tc>
        <w:tc>
          <w:tcPr>
            <w:tcW w:w="1384" w:type="dxa"/>
            <w:tcBorders>
              <w:top w:val="nil"/>
              <w:left w:val="nil"/>
              <w:bottom w:val="single" w:sz="4" w:space="0" w:color="auto"/>
              <w:right w:val="single" w:sz="4" w:space="0" w:color="auto"/>
            </w:tcBorders>
            <w:shd w:val="clear" w:color="auto" w:fill="FFFFFF" w:themeFill="background1"/>
            <w:noWrap/>
            <w:hideMark/>
          </w:tcPr>
          <w:p w14:paraId="6D1C158C" w14:textId="77777777" w:rsidR="001A20CA" w:rsidRPr="00337216" w:rsidRDefault="001A20CA" w:rsidP="00D83ECE">
            <w:pPr>
              <w:pStyle w:val="Report"/>
              <w:spacing w:line="480" w:lineRule="auto"/>
              <w:jc w:val="center"/>
              <w:rPr>
                <w:color w:val="000000"/>
              </w:rPr>
            </w:pPr>
            <w:r w:rsidRPr="00BA101A">
              <w:t>0.11</w:t>
            </w:r>
          </w:p>
        </w:tc>
        <w:tc>
          <w:tcPr>
            <w:tcW w:w="1383" w:type="dxa"/>
            <w:tcBorders>
              <w:top w:val="nil"/>
              <w:left w:val="nil"/>
              <w:bottom w:val="single" w:sz="4" w:space="0" w:color="auto"/>
              <w:right w:val="single" w:sz="4" w:space="0" w:color="auto"/>
            </w:tcBorders>
            <w:shd w:val="clear" w:color="auto" w:fill="FFFFFF" w:themeFill="background1"/>
            <w:noWrap/>
            <w:hideMark/>
          </w:tcPr>
          <w:p w14:paraId="69737D7D" w14:textId="77777777" w:rsidR="001A20CA" w:rsidRPr="00337216" w:rsidRDefault="001A20CA" w:rsidP="00D83ECE">
            <w:pPr>
              <w:pStyle w:val="Report"/>
              <w:spacing w:line="480" w:lineRule="auto"/>
              <w:jc w:val="center"/>
              <w:rPr>
                <w:color w:val="000000"/>
              </w:rPr>
            </w:pPr>
            <w:r w:rsidRPr="009B4956">
              <w:t>0.21</w:t>
            </w:r>
          </w:p>
        </w:tc>
        <w:tc>
          <w:tcPr>
            <w:tcW w:w="1384" w:type="dxa"/>
            <w:tcBorders>
              <w:top w:val="nil"/>
              <w:left w:val="nil"/>
              <w:bottom w:val="single" w:sz="4" w:space="0" w:color="auto"/>
              <w:right w:val="single" w:sz="4" w:space="0" w:color="auto"/>
            </w:tcBorders>
            <w:shd w:val="clear" w:color="auto" w:fill="FFFFFF" w:themeFill="background1"/>
            <w:noWrap/>
            <w:hideMark/>
          </w:tcPr>
          <w:p w14:paraId="0EA21854" w14:textId="77777777" w:rsidR="001A20CA" w:rsidRPr="00337216" w:rsidRDefault="001A20CA" w:rsidP="00D83ECE">
            <w:pPr>
              <w:pStyle w:val="Report"/>
              <w:spacing w:line="480" w:lineRule="auto"/>
              <w:jc w:val="center"/>
            </w:pPr>
            <w:r w:rsidRPr="00B442BF">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7B8C01EA" w14:textId="77777777" w:rsidR="001A20CA" w:rsidRPr="00337216" w:rsidRDefault="001A20CA" w:rsidP="00D83ECE">
            <w:pPr>
              <w:pStyle w:val="Report"/>
              <w:spacing w:line="480" w:lineRule="auto"/>
              <w:jc w:val="center"/>
              <w:rPr>
                <w:color w:val="000000"/>
              </w:rPr>
            </w:pPr>
            <w:r w:rsidRPr="00B442BF">
              <w:t>249.67</w:t>
            </w:r>
          </w:p>
        </w:tc>
        <w:tc>
          <w:tcPr>
            <w:tcW w:w="1384" w:type="dxa"/>
            <w:shd w:val="clear" w:color="auto" w:fill="FFFFFF" w:themeFill="background1"/>
          </w:tcPr>
          <w:p w14:paraId="45325F13"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20EDC2CF" w14:textId="77777777" w:rsidTr="00D83ECE">
        <w:trPr>
          <w:trHeight w:val="600"/>
        </w:trPr>
        <w:tc>
          <w:tcPr>
            <w:tcW w:w="1383" w:type="dxa"/>
            <w:shd w:val="clear" w:color="auto" w:fill="FFFFFF" w:themeFill="background1"/>
            <w:hideMark/>
          </w:tcPr>
          <w:p w14:paraId="2A88453B" w14:textId="77777777" w:rsidR="001A20CA" w:rsidRPr="00337216" w:rsidRDefault="009028D0" w:rsidP="00D83ECE">
            <w:pPr>
              <w:pStyle w:val="Report"/>
              <w:spacing w:line="480" w:lineRule="auto"/>
              <w:jc w:val="center"/>
            </w:pPr>
            <w:hyperlink r:id="rId29" w:anchor="'freq-lin-unrest-opt1'!A1" w:history="1">
              <w:r w:rsidR="001A20CA" w:rsidRPr="00337216">
                <w:t>Linear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48D4B396" w14:textId="77777777" w:rsidR="001A20CA" w:rsidRPr="00337216" w:rsidRDefault="001A20CA" w:rsidP="00D83ECE">
            <w:pPr>
              <w:pStyle w:val="Report"/>
              <w:spacing w:line="480" w:lineRule="auto"/>
              <w:jc w:val="center"/>
              <w:rPr>
                <w:color w:val="000000"/>
              </w:rPr>
            </w:pPr>
            <w:r w:rsidRPr="00BA101A">
              <w:t>0.14</w:t>
            </w:r>
          </w:p>
        </w:tc>
        <w:tc>
          <w:tcPr>
            <w:tcW w:w="1384" w:type="dxa"/>
            <w:tcBorders>
              <w:top w:val="nil"/>
              <w:left w:val="nil"/>
              <w:bottom w:val="single" w:sz="4" w:space="0" w:color="auto"/>
              <w:right w:val="single" w:sz="4" w:space="0" w:color="auto"/>
            </w:tcBorders>
            <w:shd w:val="clear" w:color="auto" w:fill="FFFFFF" w:themeFill="background1"/>
            <w:noWrap/>
            <w:hideMark/>
          </w:tcPr>
          <w:p w14:paraId="22FA6274" w14:textId="77777777" w:rsidR="001A20CA" w:rsidRPr="00337216" w:rsidRDefault="001A20CA" w:rsidP="00D83ECE">
            <w:pPr>
              <w:pStyle w:val="Report"/>
              <w:spacing w:line="480" w:lineRule="auto"/>
              <w:jc w:val="center"/>
              <w:rPr>
                <w:color w:val="000000"/>
              </w:rPr>
            </w:pPr>
            <w:r w:rsidRPr="00BA101A">
              <w:t>0.11</w:t>
            </w:r>
          </w:p>
        </w:tc>
        <w:tc>
          <w:tcPr>
            <w:tcW w:w="1383" w:type="dxa"/>
            <w:tcBorders>
              <w:top w:val="nil"/>
              <w:left w:val="nil"/>
              <w:bottom w:val="single" w:sz="4" w:space="0" w:color="auto"/>
              <w:right w:val="single" w:sz="4" w:space="0" w:color="auto"/>
            </w:tcBorders>
            <w:shd w:val="clear" w:color="auto" w:fill="FFFFFF" w:themeFill="background1"/>
            <w:noWrap/>
            <w:hideMark/>
          </w:tcPr>
          <w:p w14:paraId="7A9FB143" w14:textId="77777777" w:rsidR="001A20CA" w:rsidRPr="00337216" w:rsidRDefault="001A20CA" w:rsidP="00D83ECE">
            <w:pPr>
              <w:pStyle w:val="Report"/>
              <w:spacing w:line="480" w:lineRule="auto"/>
              <w:jc w:val="center"/>
              <w:rPr>
                <w:color w:val="000000"/>
              </w:rPr>
            </w:pPr>
            <w:r w:rsidRPr="009B4956">
              <w:t>0.20</w:t>
            </w:r>
          </w:p>
        </w:tc>
        <w:tc>
          <w:tcPr>
            <w:tcW w:w="1384" w:type="dxa"/>
            <w:tcBorders>
              <w:top w:val="nil"/>
              <w:left w:val="nil"/>
              <w:bottom w:val="single" w:sz="4" w:space="0" w:color="auto"/>
              <w:right w:val="single" w:sz="4" w:space="0" w:color="auto"/>
            </w:tcBorders>
            <w:shd w:val="clear" w:color="auto" w:fill="FFFFFF" w:themeFill="background1"/>
            <w:noWrap/>
            <w:hideMark/>
          </w:tcPr>
          <w:p w14:paraId="5B604F39" w14:textId="77777777" w:rsidR="001A20CA" w:rsidRPr="00337216" w:rsidRDefault="001A20CA" w:rsidP="00D83ECE">
            <w:pPr>
              <w:pStyle w:val="Report"/>
              <w:spacing w:line="480" w:lineRule="auto"/>
              <w:jc w:val="center"/>
            </w:pPr>
            <w:r w:rsidRPr="00B442BF">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18CC2F87" w14:textId="77777777" w:rsidR="001A20CA" w:rsidRPr="00337216" w:rsidRDefault="001A20CA" w:rsidP="00D83ECE">
            <w:pPr>
              <w:pStyle w:val="Report"/>
              <w:spacing w:line="480" w:lineRule="auto"/>
              <w:jc w:val="center"/>
              <w:rPr>
                <w:color w:val="000000"/>
              </w:rPr>
            </w:pPr>
            <w:r w:rsidRPr="00B442BF">
              <w:t>253.51</w:t>
            </w:r>
          </w:p>
        </w:tc>
        <w:tc>
          <w:tcPr>
            <w:tcW w:w="1384" w:type="dxa"/>
            <w:shd w:val="clear" w:color="auto" w:fill="FFFFFF" w:themeFill="background1"/>
          </w:tcPr>
          <w:p w14:paraId="6C47FE25" w14:textId="77777777" w:rsidR="001A20CA" w:rsidRPr="00337216" w:rsidRDefault="001A20CA" w:rsidP="00D83ECE">
            <w:pPr>
              <w:pStyle w:val="Report"/>
              <w:spacing w:line="480" w:lineRule="auto"/>
              <w:jc w:val="center"/>
              <w:rPr>
                <w:color w:val="000000"/>
              </w:rPr>
            </w:pPr>
            <w:r w:rsidRPr="00337216">
              <w:rPr>
                <w:color w:val="000000"/>
              </w:rPr>
              <w:t>Yes</w:t>
            </w:r>
          </w:p>
        </w:tc>
      </w:tr>
    </w:tbl>
    <w:p w14:paraId="5C57524B" w14:textId="77777777" w:rsidR="001A20CA" w:rsidRPr="00FD1FDC" w:rsidRDefault="001A20CA" w:rsidP="001A20CA">
      <w:pPr>
        <w:pStyle w:val="Manuscript"/>
      </w:pPr>
    </w:p>
    <w:p w14:paraId="1CFCF1F2" w14:textId="77777777" w:rsidR="001A20CA" w:rsidRPr="00B63A76" w:rsidRDefault="001A20CA" w:rsidP="001A20CA">
      <w:pPr>
        <w:pStyle w:val="Heading2"/>
      </w:pPr>
      <w:r>
        <w:t xml:space="preserve">Supplementary material S2.3 BMC modelling of </w:t>
      </w:r>
      <w:r w:rsidRPr="007A1329">
        <w:rPr>
          <w:i/>
          <w:iCs/>
        </w:rPr>
        <w:t>in vitro</w:t>
      </w:r>
      <w:r>
        <w:rPr>
          <w:i/>
        </w:rPr>
        <w:t xml:space="preserve"> </w:t>
      </w:r>
      <w:r>
        <w:t>concentration response data of GEN in the U2OS ER</w:t>
      </w:r>
      <w:r>
        <w:rPr>
          <w:rFonts w:cstheme="majorHAnsi"/>
        </w:rPr>
        <w:t>α</w:t>
      </w:r>
      <w:r>
        <w:t>-CALUX assay</w:t>
      </w:r>
    </w:p>
    <w:p w14:paraId="2EDA9D91" w14:textId="28939715" w:rsidR="001A20CA" w:rsidRPr="00337216" w:rsidRDefault="001A20CA" w:rsidP="001A20CA">
      <w:pPr>
        <w:pStyle w:val="Report"/>
        <w:spacing w:line="480" w:lineRule="auto"/>
      </w:pPr>
      <w:r w:rsidRPr="00337216">
        <w:rPr>
          <w:b/>
        </w:rPr>
        <w:t>Supplementary Table S</w:t>
      </w:r>
      <w:r>
        <w:rPr>
          <w:b/>
        </w:rPr>
        <w:t>2</w:t>
      </w:r>
      <w:r w:rsidRPr="00337216">
        <w:rPr>
          <w:b/>
        </w:rPr>
        <w:t>.</w:t>
      </w:r>
      <w:r>
        <w:rPr>
          <w:b/>
        </w:rPr>
        <w:t>3</w:t>
      </w:r>
      <w:r w:rsidRPr="00337216">
        <w:rPr>
          <w:b/>
        </w:rPr>
        <w:t>.1.</w:t>
      </w:r>
      <w:r w:rsidRPr="00337216">
        <w:t xml:space="preserve"> Input values of the </w:t>
      </w:r>
      <w:r w:rsidRPr="007A1329">
        <w:rPr>
          <w:i/>
          <w:iCs/>
        </w:rPr>
        <w:t>in vitro</w:t>
      </w:r>
      <w:r w:rsidRPr="00154A2F">
        <w:rPr>
          <w:iCs/>
        </w:rPr>
        <w:t xml:space="preserve"> </w:t>
      </w:r>
      <w:r w:rsidRPr="00337216">
        <w:t xml:space="preserve">concentration response data of </w:t>
      </w:r>
      <w:r>
        <w:t>GEN in the U2OS ERα-CALUX assay</w:t>
      </w:r>
      <w:r w:rsidRPr="00337216">
        <w:t xml:space="preserve"> </w:t>
      </w:r>
      <w:sdt>
        <w:sdtPr>
          <w:rPr>
            <w:color w:val="000000"/>
          </w:rPr>
          <w:tag w:val="MENDELEY_CITATION_v3_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"/>
          <w:id w:val="-63654854"/>
          <w:placeholder>
            <w:docPart w:val="4759B625FE4E44259EDAF5766D844D94"/>
          </w:placeholder>
        </w:sdtPr>
        <w:sdtEndPr/>
        <w:sdtContent>
          <w:r w:rsidR="00BC42B9" w:rsidRPr="00BC42B9">
            <w:rPr>
              <w:color w:val="000000"/>
            </w:rPr>
            <w:t>(Wang et al., 2014).</w:t>
          </w:r>
        </w:sdtContent>
      </w:sdt>
    </w:p>
    <w:tbl>
      <w:tblPr>
        <w:tblStyle w:val="TableGrid"/>
        <w:tblW w:w="9175" w:type="dxa"/>
        <w:tblLook w:val="04A0" w:firstRow="1" w:lastRow="0" w:firstColumn="1" w:lastColumn="0" w:noHBand="0" w:noVBand="1"/>
      </w:tblPr>
      <w:tblGrid>
        <w:gridCol w:w="2097"/>
        <w:gridCol w:w="1442"/>
        <w:gridCol w:w="2928"/>
        <w:gridCol w:w="2708"/>
      </w:tblGrid>
      <w:tr w:rsidR="001A20CA" w:rsidRPr="00337216" w14:paraId="1D11C626" w14:textId="77777777" w:rsidTr="00D83ECE">
        <w:trPr>
          <w:trHeight w:val="290"/>
        </w:trPr>
        <w:tc>
          <w:tcPr>
            <w:tcW w:w="2097" w:type="dxa"/>
            <w:noWrap/>
          </w:tcPr>
          <w:p w14:paraId="13DB968D" w14:textId="77777777" w:rsidR="001A20CA" w:rsidRPr="00337216" w:rsidRDefault="001A20CA" w:rsidP="00D83ECE">
            <w:pPr>
              <w:spacing w:line="480" w:lineRule="auto"/>
              <w:jc w:val="center"/>
              <w:rPr>
                <w:rFonts w:ascii="Arial" w:eastAsia="Times New Roman" w:hAnsi="Arial" w:cs="Arial"/>
                <w:b/>
                <w:color w:val="000000"/>
                <w:sz w:val="20"/>
                <w:szCs w:val="20"/>
                <w:lang w:eastAsia="en-GB"/>
              </w:rPr>
            </w:pPr>
            <w:r w:rsidRPr="00337216">
              <w:rPr>
                <w:rFonts w:ascii="Arial" w:eastAsia="Times New Roman" w:hAnsi="Arial" w:cs="Arial"/>
                <w:b/>
                <w:color w:val="000000"/>
                <w:sz w:val="20"/>
                <w:szCs w:val="20"/>
                <w:lang w:eastAsia="en-GB"/>
              </w:rPr>
              <w:t>Concentration (µM)</w:t>
            </w:r>
          </w:p>
        </w:tc>
        <w:tc>
          <w:tcPr>
            <w:tcW w:w="1442" w:type="dxa"/>
            <w:noWrap/>
          </w:tcPr>
          <w:p w14:paraId="6A2B4EA6" w14:textId="77777777" w:rsidR="001A20CA" w:rsidRPr="00337216" w:rsidRDefault="001A20CA" w:rsidP="00D83ECE">
            <w:pPr>
              <w:spacing w:line="480" w:lineRule="auto"/>
              <w:jc w:val="center"/>
              <w:rPr>
                <w:rFonts w:ascii="Arial" w:eastAsia="Times New Roman" w:hAnsi="Arial" w:cs="Arial"/>
                <w:b/>
                <w:color w:val="000000"/>
                <w:sz w:val="20"/>
                <w:szCs w:val="20"/>
                <w:lang w:eastAsia="en-GB"/>
              </w:rPr>
            </w:pPr>
            <w:r w:rsidRPr="00337216">
              <w:rPr>
                <w:rFonts w:ascii="Arial" w:eastAsia="Times New Roman" w:hAnsi="Arial" w:cs="Arial"/>
                <w:b/>
                <w:color w:val="000000"/>
                <w:sz w:val="20"/>
                <w:szCs w:val="20"/>
                <w:lang w:eastAsia="en-GB"/>
              </w:rPr>
              <w:t>n</w:t>
            </w:r>
          </w:p>
        </w:tc>
        <w:tc>
          <w:tcPr>
            <w:tcW w:w="2928" w:type="dxa"/>
            <w:noWrap/>
          </w:tcPr>
          <w:p w14:paraId="1A7535AF" w14:textId="77777777" w:rsidR="001A20CA" w:rsidRPr="00337216" w:rsidRDefault="001A20CA" w:rsidP="00D83ECE">
            <w:pPr>
              <w:spacing w:line="480" w:lineRule="auto"/>
              <w:jc w:val="center"/>
              <w:rPr>
                <w:rFonts w:ascii="Arial" w:eastAsia="Times New Roman" w:hAnsi="Arial" w:cs="Arial"/>
                <w:b/>
                <w:color w:val="000000"/>
                <w:sz w:val="20"/>
                <w:szCs w:val="20"/>
                <w:vertAlign w:val="superscript"/>
                <w:lang w:eastAsia="en-GB"/>
              </w:rPr>
            </w:pPr>
            <w:r>
              <w:rPr>
                <w:rFonts w:ascii="Arial" w:eastAsia="Times New Roman" w:hAnsi="Arial" w:cs="Arial"/>
                <w:b/>
                <w:color w:val="000000"/>
                <w:sz w:val="20"/>
                <w:szCs w:val="20"/>
                <w:lang w:eastAsia="en-GB"/>
              </w:rPr>
              <w:t>Response</w:t>
            </w:r>
          </w:p>
        </w:tc>
        <w:tc>
          <w:tcPr>
            <w:tcW w:w="2708" w:type="dxa"/>
            <w:noWrap/>
          </w:tcPr>
          <w:p w14:paraId="1D994C53" w14:textId="77777777" w:rsidR="001A20CA" w:rsidRPr="00337216" w:rsidRDefault="001A20CA" w:rsidP="00D83ECE">
            <w:pPr>
              <w:spacing w:line="480" w:lineRule="auto"/>
              <w:jc w:val="center"/>
              <w:rPr>
                <w:rFonts w:ascii="Arial" w:eastAsia="Times New Roman" w:hAnsi="Arial" w:cs="Arial"/>
                <w:b/>
                <w:color w:val="000000"/>
                <w:sz w:val="20"/>
                <w:szCs w:val="20"/>
                <w:lang w:eastAsia="en-GB"/>
              </w:rPr>
            </w:pPr>
            <w:r>
              <w:rPr>
                <w:rFonts w:ascii="Arial" w:eastAsia="Times New Roman" w:hAnsi="Arial" w:cs="Arial"/>
                <w:b/>
                <w:color w:val="000000"/>
                <w:sz w:val="20"/>
                <w:szCs w:val="20"/>
                <w:lang w:eastAsia="en-GB"/>
              </w:rPr>
              <w:t>SEM</w:t>
            </w:r>
          </w:p>
        </w:tc>
      </w:tr>
      <w:tr w:rsidR="001A20CA" w:rsidRPr="00337216" w14:paraId="0AB355EB" w14:textId="77777777" w:rsidTr="00D83ECE">
        <w:trPr>
          <w:trHeight w:val="290"/>
        </w:trPr>
        <w:tc>
          <w:tcPr>
            <w:tcW w:w="2097" w:type="dxa"/>
            <w:noWrap/>
            <w:hideMark/>
          </w:tcPr>
          <w:p w14:paraId="4DEB69E9"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t>0.0003</w:t>
            </w:r>
          </w:p>
        </w:tc>
        <w:tc>
          <w:tcPr>
            <w:tcW w:w="1442" w:type="dxa"/>
            <w:noWrap/>
            <w:hideMark/>
          </w:tcPr>
          <w:p w14:paraId="5B4ADBC5"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164369">
              <w:t>3</w:t>
            </w:r>
          </w:p>
        </w:tc>
        <w:tc>
          <w:tcPr>
            <w:tcW w:w="292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1DE0362"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CD3D5C">
              <w:t>-12.10</w:t>
            </w:r>
          </w:p>
        </w:tc>
        <w:tc>
          <w:tcPr>
            <w:tcW w:w="2708" w:type="dxa"/>
            <w:tcBorders>
              <w:top w:val="single" w:sz="4" w:space="0" w:color="auto"/>
              <w:left w:val="nil"/>
              <w:bottom w:val="single" w:sz="4" w:space="0" w:color="auto"/>
              <w:right w:val="single" w:sz="4" w:space="0" w:color="auto"/>
            </w:tcBorders>
            <w:shd w:val="clear" w:color="auto" w:fill="FFFFFF" w:themeFill="background1"/>
            <w:noWrap/>
            <w:hideMark/>
          </w:tcPr>
          <w:p w14:paraId="1D34B93F"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CD3D5C">
              <w:t>0.00</w:t>
            </w:r>
          </w:p>
        </w:tc>
      </w:tr>
      <w:tr w:rsidR="001A20CA" w:rsidRPr="00337216" w14:paraId="52DBF668" w14:textId="77777777" w:rsidTr="00D83ECE">
        <w:trPr>
          <w:trHeight w:val="290"/>
        </w:trPr>
        <w:tc>
          <w:tcPr>
            <w:tcW w:w="2097" w:type="dxa"/>
            <w:noWrap/>
            <w:hideMark/>
          </w:tcPr>
          <w:p w14:paraId="1CF3DC69"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0.001</w:t>
            </w:r>
          </w:p>
        </w:tc>
        <w:tc>
          <w:tcPr>
            <w:tcW w:w="1442" w:type="dxa"/>
            <w:noWrap/>
            <w:hideMark/>
          </w:tcPr>
          <w:p w14:paraId="525B58EC"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164369">
              <w:t>3</w:t>
            </w:r>
          </w:p>
        </w:tc>
        <w:tc>
          <w:tcPr>
            <w:tcW w:w="2928" w:type="dxa"/>
            <w:tcBorders>
              <w:top w:val="nil"/>
              <w:left w:val="single" w:sz="4" w:space="0" w:color="auto"/>
              <w:bottom w:val="single" w:sz="4" w:space="0" w:color="auto"/>
              <w:right w:val="single" w:sz="4" w:space="0" w:color="auto"/>
            </w:tcBorders>
            <w:shd w:val="clear" w:color="auto" w:fill="FFFFFF" w:themeFill="background1"/>
            <w:noWrap/>
            <w:hideMark/>
          </w:tcPr>
          <w:p w14:paraId="156F3918"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CD3D5C">
              <w:t>-9.73</w:t>
            </w:r>
          </w:p>
        </w:tc>
        <w:tc>
          <w:tcPr>
            <w:tcW w:w="2708" w:type="dxa"/>
            <w:tcBorders>
              <w:top w:val="nil"/>
              <w:left w:val="nil"/>
              <w:bottom w:val="single" w:sz="4" w:space="0" w:color="auto"/>
              <w:right w:val="single" w:sz="4" w:space="0" w:color="auto"/>
            </w:tcBorders>
            <w:shd w:val="clear" w:color="auto" w:fill="FFFFFF" w:themeFill="background1"/>
            <w:noWrap/>
            <w:hideMark/>
          </w:tcPr>
          <w:p w14:paraId="66EDFBA6"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CD3D5C">
              <w:t>0.00</w:t>
            </w:r>
          </w:p>
        </w:tc>
      </w:tr>
      <w:tr w:rsidR="001A20CA" w:rsidRPr="00337216" w14:paraId="7D043AB2" w14:textId="77777777" w:rsidTr="00D83ECE">
        <w:trPr>
          <w:trHeight w:val="290"/>
        </w:trPr>
        <w:tc>
          <w:tcPr>
            <w:tcW w:w="2097" w:type="dxa"/>
            <w:noWrap/>
            <w:hideMark/>
          </w:tcPr>
          <w:p w14:paraId="5B88CB39"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0.003</w:t>
            </w:r>
          </w:p>
        </w:tc>
        <w:tc>
          <w:tcPr>
            <w:tcW w:w="1442" w:type="dxa"/>
            <w:noWrap/>
            <w:hideMark/>
          </w:tcPr>
          <w:p w14:paraId="29E92293"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164369">
              <w:t>3</w:t>
            </w:r>
          </w:p>
        </w:tc>
        <w:tc>
          <w:tcPr>
            <w:tcW w:w="2928" w:type="dxa"/>
            <w:tcBorders>
              <w:top w:val="nil"/>
              <w:left w:val="single" w:sz="4" w:space="0" w:color="auto"/>
              <w:bottom w:val="single" w:sz="4" w:space="0" w:color="auto"/>
              <w:right w:val="single" w:sz="4" w:space="0" w:color="auto"/>
            </w:tcBorders>
            <w:shd w:val="clear" w:color="auto" w:fill="FFFFFF" w:themeFill="background1"/>
            <w:noWrap/>
            <w:hideMark/>
          </w:tcPr>
          <w:p w14:paraId="6FE02536"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CD3D5C">
              <w:t>-0.75</w:t>
            </w:r>
          </w:p>
        </w:tc>
        <w:tc>
          <w:tcPr>
            <w:tcW w:w="2708" w:type="dxa"/>
            <w:tcBorders>
              <w:top w:val="nil"/>
              <w:left w:val="nil"/>
              <w:bottom w:val="single" w:sz="4" w:space="0" w:color="auto"/>
              <w:right w:val="single" w:sz="4" w:space="0" w:color="auto"/>
            </w:tcBorders>
            <w:shd w:val="clear" w:color="auto" w:fill="FFFFFF" w:themeFill="background1"/>
            <w:noWrap/>
            <w:hideMark/>
          </w:tcPr>
          <w:p w14:paraId="05007139"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CD3D5C">
              <w:t>6.13</w:t>
            </w:r>
          </w:p>
        </w:tc>
      </w:tr>
      <w:tr w:rsidR="001A20CA" w:rsidRPr="00337216" w14:paraId="19353495" w14:textId="77777777" w:rsidTr="00D83ECE">
        <w:trPr>
          <w:trHeight w:val="290"/>
        </w:trPr>
        <w:tc>
          <w:tcPr>
            <w:tcW w:w="2097" w:type="dxa"/>
            <w:noWrap/>
            <w:hideMark/>
          </w:tcPr>
          <w:p w14:paraId="264CB833"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0.01</w:t>
            </w:r>
          </w:p>
        </w:tc>
        <w:tc>
          <w:tcPr>
            <w:tcW w:w="1442" w:type="dxa"/>
            <w:noWrap/>
            <w:hideMark/>
          </w:tcPr>
          <w:p w14:paraId="684347FA"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164369">
              <w:t>3</w:t>
            </w:r>
          </w:p>
        </w:tc>
        <w:tc>
          <w:tcPr>
            <w:tcW w:w="2928" w:type="dxa"/>
            <w:tcBorders>
              <w:top w:val="nil"/>
              <w:left w:val="single" w:sz="4" w:space="0" w:color="auto"/>
              <w:bottom w:val="single" w:sz="4" w:space="0" w:color="auto"/>
              <w:right w:val="single" w:sz="4" w:space="0" w:color="auto"/>
            </w:tcBorders>
            <w:shd w:val="clear" w:color="auto" w:fill="FFFFFF" w:themeFill="background1"/>
            <w:noWrap/>
            <w:hideMark/>
          </w:tcPr>
          <w:p w14:paraId="782D3EA6"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CD3D5C">
              <w:t>34.64</w:t>
            </w:r>
          </w:p>
        </w:tc>
        <w:tc>
          <w:tcPr>
            <w:tcW w:w="2708" w:type="dxa"/>
            <w:tcBorders>
              <w:top w:val="nil"/>
              <w:left w:val="nil"/>
              <w:bottom w:val="single" w:sz="4" w:space="0" w:color="auto"/>
              <w:right w:val="single" w:sz="4" w:space="0" w:color="auto"/>
            </w:tcBorders>
            <w:shd w:val="clear" w:color="auto" w:fill="FFFFFF" w:themeFill="background1"/>
            <w:noWrap/>
            <w:hideMark/>
          </w:tcPr>
          <w:p w14:paraId="7AC957AB"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CD3D5C">
              <w:t>19.10</w:t>
            </w:r>
          </w:p>
        </w:tc>
      </w:tr>
      <w:tr w:rsidR="001A20CA" w:rsidRPr="00337216" w14:paraId="434C26C9" w14:textId="77777777" w:rsidTr="00D83ECE">
        <w:trPr>
          <w:trHeight w:val="290"/>
        </w:trPr>
        <w:tc>
          <w:tcPr>
            <w:tcW w:w="2097" w:type="dxa"/>
            <w:noWrap/>
            <w:hideMark/>
          </w:tcPr>
          <w:p w14:paraId="292EFC8A"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0.03</w:t>
            </w:r>
          </w:p>
        </w:tc>
        <w:tc>
          <w:tcPr>
            <w:tcW w:w="1442" w:type="dxa"/>
            <w:noWrap/>
            <w:hideMark/>
          </w:tcPr>
          <w:p w14:paraId="0A9B0DC2"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164369">
              <w:t>3</w:t>
            </w:r>
          </w:p>
        </w:tc>
        <w:tc>
          <w:tcPr>
            <w:tcW w:w="2928" w:type="dxa"/>
            <w:tcBorders>
              <w:top w:val="nil"/>
              <w:left w:val="single" w:sz="4" w:space="0" w:color="auto"/>
              <w:bottom w:val="single" w:sz="4" w:space="0" w:color="auto"/>
              <w:right w:val="single" w:sz="4" w:space="0" w:color="auto"/>
            </w:tcBorders>
            <w:shd w:val="clear" w:color="auto" w:fill="FFFFFF" w:themeFill="background1"/>
            <w:noWrap/>
            <w:hideMark/>
          </w:tcPr>
          <w:p w14:paraId="796B73DC"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CD3D5C">
              <w:t>90.08</w:t>
            </w:r>
          </w:p>
        </w:tc>
        <w:tc>
          <w:tcPr>
            <w:tcW w:w="2708" w:type="dxa"/>
            <w:tcBorders>
              <w:top w:val="nil"/>
              <w:left w:val="nil"/>
              <w:bottom w:val="single" w:sz="4" w:space="0" w:color="auto"/>
              <w:right w:val="single" w:sz="4" w:space="0" w:color="auto"/>
            </w:tcBorders>
            <w:shd w:val="clear" w:color="auto" w:fill="FFFFFF" w:themeFill="background1"/>
            <w:noWrap/>
            <w:hideMark/>
          </w:tcPr>
          <w:p w14:paraId="2A48BB74"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CD3D5C">
              <w:t>23.35</w:t>
            </w:r>
          </w:p>
        </w:tc>
      </w:tr>
      <w:tr w:rsidR="001A20CA" w:rsidRPr="00337216" w14:paraId="35AB709E" w14:textId="77777777" w:rsidTr="00D83ECE">
        <w:trPr>
          <w:trHeight w:val="290"/>
        </w:trPr>
        <w:tc>
          <w:tcPr>
            <w:tcW w:w="2097" w:type="dxa"/>
            <w:noWrap/>
            <w:hideMark/>
          </w:tcPr>
          <w:p w14:paraId="5B78B819"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0.1</w:t>
            </w:r>
          </w:p>
        </w:tc>
        <w:tc>
          <w:tcPr>
            <w:tcW w:w="1442" w:type="dxa"/>
            <w:noWrap/>
            <w:hideMark/>
          </w:tcPr>
          <w:p w14:paraId="413B7112"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164369">
              <w:t>3</w:t>
            </w:r>
          </w:p>
        </w:tc>
        <w:tc>
          <w:tcPr>
            <w:tcW w:w="2928" w:type="dxa"/>
            <w:tcBorders>
              <w:top w:val="nil"/>
              <w:left w:val="single" w:sz="4" w:space="0" w:color="auto"/>
              <w:bottom w:val="single" w:sz="4" w:space="0" w:color="auto"/>
              <w:right w:val="single" w:sz="4" w:space="0" w:color="auto"/>
            </w:tcBorders>
            <w:shd w:val="clear" w:color="auto" w:fill="FFFFFF" w:themeFill="background1"/>
            <w:noWrap/>
            <w:hideMark/>
          </w:tcPr>
          <w:p w14:paraId="206D9F26"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CD3D5C">
              <w:t>102.83</w:t>
            </w:r>
          </w:p>
        </w:tc>
        <w:tc>
          <w:tcPr>
            <w:tcW w:w="2708" w:type="dxa"/>
            <w:tcBorders>
              <w:top w:val="nil"/>
              <w:left w:val="nil"/>
              <w:bottom w:val="single" w:sz="4" w:space="0" w:color="auto"/>
              <w:right w:val="single" w:sz="4" w:space="0" w:color="auto"/>
            </w:tcBorders>
            <w:shd w:val="clear" w:color="auto" w:fill="FFFFFF" w:themeFill="background1"/>
            <w:noWrap/>
            <w:hideMark/>
          </w:tcPr>
          <w:p w14:paraId="287F45F4"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CD3D5C">
              <w:t>4.25</w:t>
            </w:r>
          </w:p>
        </w:tc>
      </w:tr>
      <w:tr w:rsidR="001A20CA" w:rsidRPr="00337216" w14:paraId="2279B472" w14:textId="77777777" w:rsidTr="00D83ECE">
        <w:trPr>
          <w:trHeight w:val="290"/>
        </w:trPr>
        <w:tc>
          <w:tcPr>
            <w:tcW w:w="2097" w:type="dxa"/>
            <w:noWrap/>
            <w:hideMark/>
          </w:tcPr>
          <w:p w14:paraId="0D0C221C"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0.3</w:t>
            </w:r>
          </w:p>
        </w:tc>
        <w:tc>
          <w:tcPr>
            <w:tcW w:w="1442" w:type="dxa"/>
            <w:noWrap/>
            <w:hideMark/>
          </w:tcPr>
          <w:p w14:paraId="2585554E"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164369">
              <w:t>3</w:t>
            </w:r>
          </w:p>
        </w:tc>
        <w:tc>
          <w:tcPr>
            <w:tcW w:w="2928" w:type="dxa"/>
            <w:tcBorders>
              <w:top w:val="nil"/>
              <w:left w:val="single" w:sz="4" w:space="0" w:color="auto"/>
              <w:bottom w:val="single" w:sz="4" w:space="0" w:color="auto"/>
              <w:right w:val="single" w:sz="4" w:space="0" w:color="auto"/>
            </w:tcBorders>
            <w:shd w:val="clear" w:color="auto" w:fill="FFFFFF" w:themeFill="background1"/>
            <w:noWrap/>
            <w:hideMark/>
          </w:tcPr>
          <w:p w14:paraId="07264F9B"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CD3D5C">
              <w:t>108.74</w:t>
            </w:r>
          </w:p>
        </w:tc>
        <w:tc>
          <w:tcPr>
            <w:tcW w:w="2708" w:type="dxa"/>
            <w:tcBorders>
              <w:top w:val="nil"/>
              <w:left w:val="nil"/>
              <w:bottom w:val="single" w:sz="4" w:space="0" w:color="auto"/>
              <w:right w:val="single" w:sz="4" w:space="0" w:color="auto"/>
            </w:tcBorders>
            <w:shd w:val="clear" w:color="auto" w:fill="FFFFFF" w:themeFill="background1"/>
            <w:noWrap/>
            <w:hideMark/>
          </w:tcPr>
          <w:p w14:paraId="63C89E9C" w14:textId="77777777" w:rsidR="001A20CA" w:rsidRPr="00337216" w:rsidRDefault="001A20CA" w:rsidP="00D83ECE">
            <w:pPr>
              <w:spacing w:line="480" w:lineRule="auto"/>
              <w:jc w:val="center"/>
              <w:rPr>
                <w:rFonts w:ascii="Arial" w:eastAsia="Times New Roman" w:hAnsi="Arial" w:cs="Arial"/>
                <w:color w:val="000000"/>
                <w:sz w:val="20"/>
                <w:szCs w:val="20"/>
                <w:lang w:eastAsia="en-GB"/>
              </w:rPr>
            </w:pPr>
            <w:r w:rsidRPr="00CD3D5C">
              <w:t>16.98</w:t>
            </w:r>
          </w:p>
        </w:tc>
      </w:tr>
      <w:tr w:rsidR="001A20CA" w:rsidRPr="00337216" w14:paraId="30214766" w14:textId="77777777" w:rsidTr="00D83ECE">
        <w:trPr>
          <w:trHeight w:val="290"/>
        </w:trPr>
        <w:tc>
          <w:tcPr>
            <w:tcW w:w="2097" w:type="dxa"/>
            <w:noWrap/>
          </w:tcPr>
          <w:p w14:paraId="320C30DD" w14:textId="77777777" w:rsidR="001A20CA" w:rsidRPr="00164369" w:rsidRDefault="001A20CA" w:rsidP="00D83ECE">
            <w:pPr>
              <w:spacing w:line="480" w:lineRule="auto"/>
              <w:jc w:val="center"/>
            </w:pPr>
            <w:r>
              <w:t>1</w:t>
            </w:r>
          </w:p>
        </w:tc>
        <w:tc>
          <w:tcPr>
            <w:tcW w:w="1442" w:type="dxa"/>
            <w:noWrap/>
          </w:tcPr>
          <w:p w14:paraId="18BB51A6" w14:textId="77777777" w:rsidR="001A20CA" w:rsidRPr="00164369" w:rsidRDefault="001A20CA" w:rsidP="00D83ECE">
            <w:pPr>
              <w:spacing w:line="480" w:lineRule="auto"/>
              <w:jc w:val="center"/>
            </w:pPr>
            <w:r>
              <w:t>3</w:t>
            </w:r>
          </w:p>
        </w:tc>
        <w:tc>
          <w:tcPr>
            <w:tcW w:w="2928" w:type="dxa"/>
            <w:tcBorders>
              <w:top w:val="nil"/>
              <w:left w:val="single" w:sz="4" w:space="0" w:color="auto"/>
              <w:bottom w:val="single" w:sz="4" w:space="0" w:color="auto"/>
              <w:right w:val="single" w:sz="4" w:space="0" w:color="auto"/>
            </w:tcBorders>
            <w:shd w:val="clear" w:color="auto" w:fill="FFFFFF" w:themeFill="background1"/>
            <w:noWrap/>
          </w:tcPr>
          <w:p w14:paraId="65380C18" w14:textId="77777777" w:rsidR="001A20CA" w:rsidRPr="00164369" w:rsidRDefault="001A20CA" w:rsidP="00D83ECE">
            <w:pPr>
              <w:spacing w:line="480" w:lineRule="auto"/>
              <w:jc w:val="center"/>
            </w:pPr>
            <w:r w:rsidRPr="00CD3D5C">
              <w:t>170.78</w:t>
            </w:r>
          </w:p>
        </w:tc>
        <w:tc>
          <w:tcPr>
            <w:tcW w:w="2708" w:type="dxa"/>
            <w:tcBorders>
              <w:top w:val="nil"/>
              <w:left w:val="nil"/>
              <w:bottom w:val="single" w:sz="4" w:space="0" w:color="auto"/>
              <w:right w:val="single" w:sz="4" w:space="0" w:color="auto"/>
            </w:tcBorders>
            <w:shd w:val="clear" w:color="auto" w:fill="FFFFFF" w:themeFill="background1"/>
            <w:noWrap/>
          </w:tcPr>
          <w:p w14:paraId="3234D6CD" w14:textId="77777777" w:rsidR="001A20CA" w:rsidRPr="00164369" w:rsidRDefault="001A20CA" w:rsidP="00D83ECE">
            <w:pPr>
              <w:spacing w:line="480" w:lineRule="auto"/>
              <w:jc w:val="center"/>
            </w:pPr>
            <w:r w:rsidRPr="00CD3D5C">
              <w:t>24.53</w:t>
            </w:r>
          </w:p>
        </w:tc>
      </w:tr>
    </w:tbl>
    <w:p w14:paraId="07BCCE21" w14:textId="3997739C" w:rsidR="001A20CA" w:rsidRPr="00446EF0" w:rsidRDefault="001A20CA" w:rsidP="001A20CA">
      <w:pPr>
        <w:pStyle w:val="Report"/>
        <w:spacing w:line="480" w:lineRule="auto"/>
      </w:pPr>
      <w:r w:rsidRPr="00446EF0">
        <w:rPr>
          <w:b/>
        </w:rPr>
        <w:t>Supplementary Table S</w:t>
      </w:r>
      <w:r>
        <w:rPr>
          <w:b/>
        </w:rPr>
        <w:t>2</w:t>
      </w:r>
      <w:r w:rsidRPr="00446EF0">
        <w:rPr>
          <w:b/>
        </w:rPr>
        <w:t>.</w:t>
      </w:r>
      <w:r>
        <w:rPr>
          <w:b/>
        </w:rPr>
        <w:t>3</w:t>
      </w:r>
      <w:r w:rsidRPr="00446EF0">
        <w:rPr>
          <w:b/>
        </w:rPr>
        <w:t>.2.</w:t>
      </w:r>
      <w:r w:rsidRPr="00446EF0">
        <w:t xml:space="preserve"> BMC analysis </w:t>
      </w:r>
      <w:r w:rsidRPr="00446EF0">
        <w:rPr>
          <w:iCs/>
        </w:rPr>
        <w:t xml:space="preserve">of </w:t>
      </w:r>
      <w:r w:rsidRPr="00337216">
        <w:t xml:space="preserve">the </w:t>
      </w:r>
      <w:r w:rsidRPr="007A1329">
        <w:rPr>
          <w:i/>
          <w:iCs/>
        </w:rPr>
        <w:t>in vitro</w:t>
      </w:r>
      <w:r w:rsidRPr="00154A2F">
        <w:rPr>
          <w:iCs/>
        </w:rPr>
        <w:t xml:space="preserve"> </w:t>
      </w:r>
      <w:r w:rsidRPr="00337216">
        <w:t xml:space="preserve">concentration response data of </w:t>
      </w:r>
      <w:r>
        <w:t>GEN in the U2OS ERα-CALUX assay</w:t>
      </w:r>
      <w:r w:rsidRPr="00337216">
        <w:t xml:space="preserve"> </w:t>
      </w:r>
      <w:sdt>
        <w:sdtPr>
          <w:rPr>
            <w:color w:val="000000"/>
          </w:rPr>
          <w:tag w:val="MENDELEY_CITATION_v3_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"/>
          <w:id w:val="-951629090"/>
          <w:placeholder>
            <w:docPart w:val="A5A895E401DF431D9A64F0B15B24EFE4"/>
          </w:placeholder>
        </w:sdtPr>
        <w:sdtEndPr/>
        <w:sdtContent>
          <w:r w:rsidR="00BC42B9" w:rsidRPr="00BC42B9">
            <w:rPr>
              <w:color w:val="000000"/>
            </w:rPr>
            <w:t>(Wang et al., 2014).</w:t>
          </w:r>
        </w:sdtContent>
      </w:sdt>
      <w:r w:rsidR="004C0DEF" w:rsidRPr="00446EF0">
        <w:t xml:space="preserve"> </w:t>
      </w:r>
      <w:r w:rsidRPr="00446EF0">
        <w:t>BMC</w:t>
      </w:r>
      <w:r w:rsidRPr="00446EF0">
        <w:rPr>
          <w:vertAlign w:val="subscript"/>
        </w:rPr>
        <w:t>05</w:t>
      </w:r>
      <w:r w:rsidRPr="00446EF0">
        <w:t xml:space="preserve"> and BMCL</w:t>
      </w:r>
      <w:r w:rsidRPr="00446EF0">
        <w:rPr>
          <w:vertAlign w:val="subscript"/>
        </w:rPr>
        <w:t xml:space="preserve">05 </w:t>
      </w:r>
      <w:r w:rsidRPr="00446EF0">
        <w:t xml:space="preserve">values </w:t>
      </w:r>
      <w:r>
        <w:t xml:space="preserve">were </w:t>
      </w:r>
      <w:r w:rsidRPr="00446EF0">
        <w:t>obtained using BMDS software version 3.</w:t>
      </w:r>
      <w:r>
        <w:t>2.</w:t>
      </w:r>
      <w:r w:rsidRPr="00446EF0">
        <w:t xml:space="preserve">1, </w:t>
      </w:r>
      <w:r>
        <w:t>at a BMC</w:t>
      </w:r>
      <w:r w:rsidRPr="00446EF0">
        <w:t xml:space="preserve"> of 5% extra risk</w:t>
      </w:r>
      <w:r>
        <w:t xml:space="preserve">, BMR type Hybrid model-extra risk with normal distribution and constant variance. </w:t>
      </w:r>
    </w:p>
    <w:tbl>
      <w:tblPr>
        <w:tblStyle w:val="TableGrid"/>
        <w:tblW w:w="9686" w:type="dxa"/>
        <w:shd w:val="clear" w:color="auto" w:fill="FFFFFF" w:themeFill="background1"/>
        <w:tblLayout w:type="fixed"/>
        <w:tblLook w:val="04A0" w:firstRow="1" w:lastRow="0" w:firstColumn="1" w:lastColumn="0" w:noHBand="0" w:noVBand="1"/>
      </w:tblPr>
      <w:tblGrid>
        <w:gridCol w:w="1383"/>
        <w:gridCol w:w="1384"/>
        <w:gridCol w:w="1384"/>
        <w:gridCol w:w="1383"/>
        <w:gridCol w:w="1384"/>
        <w:gridCol w:w="1384"/>
        <w:gridCol w:w="1384"/>
      </w:tblGrid>
      <w:tr w:rsidR="001A20CA" w:rsidRPr="00ED7CE9" w14:paraId="12BC4213" w14:textId="77777777" w:rsidTr="00D83ECE">
        <w:trPr>
          <w:trHeight w:val="1020"/>
        </w:trPr>
        <w:tc>
          <w:tcPr>
            <w:tcW w:w="1383" w:type="dxa"/>
            <w:shd w:val="clear" w:color="auto" w:fill="FFFFFF" w:themeFill="background1"/>
            <w:noWrap/>
            <w:hideMark/>
          </w:tcPr>
          <w:p w14:paraId="713C72B2" w14:textId="77777777" w:rsidR="001A20CA" w:rsidRPr="00337216" w:rsidRDefault="001A20CA" w:rsidP="00D83ECE">
            <w:pPr>
              <w:pStyle w:val="Report"/>
              <w:spacing w:line="480" w:lineRule="auto"/>
              <w:jc w:val="center"/>
              <w:rPr>
                <w:b/>
              </w:rPr>
            </w:pPr>
            <w:r w:rsidRPr="00337216">
              <w:rPr>
                <w:b/>
              </w:rPr>
              <w:t>Model</w:t>
            </w:r>
          </w:p>
        </w:tc>
        <w:tc>
          <w:tcPr>
            <w:tcW w:w="1384" w:type="dxa"/>
            <w:shd w:val="clear" w:color="auto" w:fill="FFFFFF" w:themeFill="background1"/>
            <w:noWrap/>
            <w:hideMark/>
          </w:tcPr>
          <w:p w14:paraId="37090509" w14:textId="77777777" w:rsidR="001A20CA" w:rsidRPr="00337216" w:rsidRDefault="001A20CA" w:rsidP="00D83ECE">
            <w:pPr>
              <w:pStyle w:val="Report"/>
              <w:spacing w:line="480" w:lineRule="auto"/>
              <w:jc w:val="center"/>
              <w:rPr>
                <w:b/>
                <w:color w:val="000000"/>
              </w:rPr>
            </w:pPr>
            <w:r w:rsidRPr="00337216">
              <w:rPr>
                <w:b/>
                <w:color w:val="000000"/>
              </w:rPr>
              <w:t>BMC (µM)</w:t>
            </w:r>
          </w:p>
        </w:tc>
        <w:tc>
          <w:tcPr>
            <w:tcW w:w="1384" w:type="dxa"/>
            <w:shd w:val="clear" w:color="auto" w:fill="FFFFFF" w:themeFill="background1"/>
            <w:noWrap/>
            <w:hideMark/>
          </w:tcPr>
          <w:p w14:paraId="7012F32C" w14:textId="77777777" w:rsidR="001A20CA" w:rsidRPr="00337216" w:rsidRDefault="001A20CA" w:rsidP="00D83ECE">
            <w:pPr>
              <w:pStyle w:val="Report"/>
              <w:spacing w:line="480" w:lineRule="auto"/>
              <w:jc w:val="center"/>
              <w:rPr>
                <w:b/>
                <w:color w:val="000000"/>
              </w:rPr>
            </w:pPr>
            <w:r w:rsidRPr="00337216">
              <w:rPr>
                <w:b/>
                <w:color w:val="000000"/>
              </w:rPr>
              <w:t>BMCL (µM)</w:t>
            </w:r>
          </w:p>
        </w:tc>
        <w:tc>
          <w:tcPr>
            <w:tcW w:w="1383" w:type="dxa"/>
            <w:shd w:val="clear" w:color="auto" w:fill="FFFFFF" w:themeFill="background1"/>
            <w:noWrap/>
            <w:hideMark/>
          </w:tcPr>
          <w:p w14:paraId="2207D513" w14:textId="77777777" w:rsidR="001A20CA" w:rsidRPr="00337216" w:rsidRDefault="001A20CA" w:rsidP="00D83ECE">
            <w:pPr>
              <w:pStyle w:val="Report"/>
              <w:spacing w:line="480" w:lineRule="auto"/>
              <w:jc w:val="center"/>
              <w:rPr>
                <w:b/>
                <w:color w:val="000000"/>
              </w:rPr>
            </w:pPr>
            <w:r w:rsidRPr="00337216">
              <w:rPr>
                <w:b/>
                <w:color w:val="000000"/>
              </w:rPr>
              <w:t>BMCU (µM)</w:t>
            </w:r>
          </w:p>
        </w:tc>
        <w:tc>
          <w:tcPr>
            <w:tcW w:w="1384" w:type="dxa"/>
            <w:shd w:val="clear" w:color="auto" w:fill="FFFFFF" w:themeFill="background1"/>
            <w:hideMark/>
          </w:tcPr>
          <w:p w14:paraId="2185F792" w14:textId="77777777" w:rsidR="001A20CA" w:rsidRPr="00337216" w:rsidRDefault="001A20CA" w:rsidP="00D83ECE">
            <w:pPr>
              <w:pStyle w:val="Report"/>
              <w:spacing w:line="480" w:lineRule="auto"/>
              <w:jc w:val="center"/>
              <w:rPr>
                <w:b/>
                <w:color w:val="000000"/>
              </w:rPr>
            </w:pPr>
            <w:r w:rsidRPr="00337216">
              <w:rPr>
                <w:b/>
                <w:color w:val="000000"/>
              </w:rPr>
              <w:t>Test 4 P</w:t>
            </w:r>
            <w:r w:rsidRPr="00337216">
              <w:rPr>
                <w:b/>
                <w:color w:val="000000"/>
              </w:rPr>
              <w:noBreakHyphen/>
              <w:t>Value</w:t>
            </w:r>
          </w:p>
        </w:tc>
        <w:tc>
          <w:tcPr>
            <w:tcW w:w="1384" w:type="dxa"/>
            <w:shd w:val="clear" w:color="auto" w:fill="FFFFFF" w:themeFill="background1"/>
            <w:noWrap/>
            <w:hideMark/>
          </w:tcPr>
          <w:p w14:paraId="2B776253" w14:textId="77777777" w:rsidR="001A20CA" w:rsidRPr="00337216" w:rsidRDefault="001A20CA" w:rsidP="00D83ECE">
            <w:pPr>
              <w:pStyle w:val="Report"/>
              <w:spacing w:line="480" w:lineRule="auto"/>
              <w:jc w:val="center"/>
              <w:rPr>
                <w:b/>
                <w:color w:val="000000"/>
              </w:rPr>
            </w:pPr>
            <w:r w:rsidRPr="00337216">
              <w:rPr>
                <w:b/>
                <w:color w:val="000000"/>
              </w:rPr>
              <w:t>AIC</w:t>
            </w:r>
          </w:p>
        </w:tc>
        <w:tc>
          <w:tcPr>
            <w:tcW w:w="1384" w:type="dxa"/>
            <w:shd w:val="clear" w:color="auto" w:fill="FFFFFF" w:themeFill="background1"/>
          </w:tcPr>
          <w:p w14:paraId="1E03CC2B" w14:textId="77777777" w:rsidR="001A20CA" w:rsidRPr="00337216" w:rsidRDefault="001A20CA" w:rsidP="00D83ECE">
            <w:pPr>
              <w:pStyle w:val="Report"/>
              <w:spacing w:line="480" w:lineRule="auto"/>
              <w:jc w:val="center"/>
              <w:rPr>
                <w:b/>
                <w:color w:val="000000"/>
              </w:rPr>
            </w:pPr>
            <w:r w:rsidRPr="00337216">
              <w:rPr>
                <w:b/>
                <w:color w:val="000000"/>
              </w:rPr>
              <w:t>Accepted</w:t>
            </w:r>
          </w:p>
        </w:tc>
      </w:tr>
      <w:tr w:rsidR="001A20CA" w:rsidRPr="00ED7CE9" w14:paraId="72C57897" w14:textId="77777777" w:rsidTr="00D83ECE">
        <w:trPr>
          <w:trHeight w:val="600"/>
        </w:trPr>
        <w:tc>
          <w:tcPr>
            <w:tcW w:w="1383" w:type="dxa"/>
            <w:shd w:val="clear" w:color="auto" w:fill="FFFFFF" w:themeFill="background1"/>
            <w:hideMark/>
          </w:tcPr>
          <w:p w14:paraId="5B3F8C12" w14:textId="77777777" w:rsidR="001A20CA" w:rsidRPr="00337216" w:rsidRDefault="009028D0" w:rsidP="00D83ECE">
            <w:pPr>
              <w:pStyle w:val="Report"/>
              <w:spacing w:line="480" w:lineRule="auto"/>
              <w:jc w:val="center"/>
            </w:pPr>
            <w:hyperlink r:id="rId30" w:anchor="'freq-exp2-rest-opt1'!A1" w:history="1">
              <w:r w:rsidR="001A20CA" w:rsidRPr="00337216">
                <w:t>Exponential 2 (CV - normal)</w:t>
              </w:r>
            </w:hyperlink>
          </w:p>
        </w:tc>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FED7F15" w14:textId="77777777" w:rsidR="001A20CA" w:rsidRPr="00337216" w:rsidRDefault="001A20CA" w:rsidP="00D83ECE">
            <w:pPr>
              <w:pStyle w:val="Report"/>
              <w:spacing w:line="480" w:lineRule="auto"/>
              <w:jc w:val="center"/>
              <w:rPr>
                <w:color w:val="000000"/>
              </w:rPr>
            </w:pPr>
            <w:r w:rsidRPr="00F63599">
              <w:t>-9999</w:t>
            </w:r>
          </w:p>
        </w:tc>
        <w:tc>
          <w:tcPr>
            <w:tcW w:w="1384" w:type="dxa"/>
            <w:tcBorders>
              <w:top w:val="single" w:sz="4" w:space="0" w:color="auto"/>
              <w:left w:val="nil"/>
              <w:bottom w:val="single" w:sz="4" w:space="0" w:color="auto"/>
              <w:right w:val="single" w:sz="4" w:space="0" w:color="auto"/>
            </w:tcBorders>
            <w:shd w:val="clear" w:color="auto" w:fill="FFFFFF" w:themeFill="background1"/>
            <w:noWrap/>
            <w:hideMark/>
          </w:tcPr>
          <w:p w14:paraId="45311BB9" w14:textId="77777777" w:rsidR="001A20CA" w:rsidRPr="00337216" w:rsidRDefault="001A20CA" w:rsidP="00D83ECE">
            <w:pPr>
              <w:pStyle w:val="Report"/>
              <w:spacing w:line="480" w:lineRule="auto"/>
              <w:jc w:val="center"/>
              <w:rPr>
                <w:color w:val="000000"/>
              </w:rPr>
            </w:pPr>
            <w:r w:rsidRPr="00F63599">
              <w:t>0</w:t>
            </w:r>
          </w:p>
        </w:tc>
        <w:tc>
          <w:tcPr>
            <w:tcW w:w="1383" w:type="dxa"/>
            <w:tcBorders>
              <w:top w:val="single" w:sz="4" w:space="0" w:color="auto"/>
              <w:left w:val="nil"/>
              <w:bottom w:val="single" w:sz="4" w:space="0" w:color="auto"/>
              <w:right w:val="single" w:sz="4" w:space="0" w:color="auto"/>
            </w:tcBorders>
            <w:shd w:val="clear" w:color="auto" w:fill="FFFFFF" w:themeFill="background1"/>
            <w:noWrap/>
            <w:hideMark/>
          </w:tcPr>
          <w:p w14:paraId="080172E9" w14:textId="77777777" w:rsidR="001A20CA" w:rsidRPr="00337216" w:rsidRDefault="001A20CA" w:rsidP="00D83ECE">
            <w:pPr>
              <w:pStyle w:val="Report"/>
              <w:spacing w:line="480" w:lineRule="auto"/>
              <w:jc w:val="center"/>
              <w:rPr>
                <w:color w:val="000000"/>
              </w:rPr>
            </w:pPr>
            <w:r w:rsidRPr="00F63599">
              <w:t>Infinity</w:t>
            </w:r>
          </w:p>
        </w:tc>
        <w:tc>
          <w:tcPr>
            <w:tcW w:w="1384" w:type="dxa"/>
            <w:tcBorders>
              <w:top w:val="single" w:sz="4" w:space="0" w:color="auto"/>
              <w:left w:val="nil"/>
              <w:bottom w:val="single" w:sz="4" w:space="0" w:color="auto"/>
              <w:right w:val="single" w:sz="4" w:space="0" w:color="auto"/>
            </w:tcBorders>
            <w:shd w:val="clear" w:color="auto" w:fill="FFFFFF" w:themeFill="background1"/>
            <w:noWrap/>
            <w:hideMark/>
          </w:tcPr>
          <w:p w14:paraId="3AA1FAEF" w14:textId="77777777" w:rsidR="001A20CA" w:rsidRPr="00337216" w:rsidRDefault="001A20CA" w:rsidP="00D83ECE">
            <w:pPr>
              <w:pStyle w:val="Report"/>
              <w:spacing w:line="480" w:lineRule="auto"/>
              <w:jc w:val="center"/>
              <w:rPr>
                <w:color w:val="000000"/>
              </w:rPr>
            </w:pPr>
            <w:r w:rsidRPr="00F63599">
              <w:t>&lt;0.0001</w:t>
            </w:r>
          </w:p>
        </w:tc>
        <w:tc>
          <w:tcPr>
            <w:tcW w:w="1384" w:type="dxa"/>
            <w:tcBorders>
              <w:top w:val="single" w:sz="4" w:space="0" w:color="auto"/>
              <w:left w:val="nil"/>
              <w:bottom w:val="single" w:sz="4" w:space="0" w:color="auto"/>
              <w:right w:val="single" w:sz="4" w:space="0" w:color="auto"/>
            </w:tcBorders>
            <w:shd w:val="clear" w:color="auto" w:fill="FFFFFF" w:themeFill="background1"/>
            <w:noWrap/>
            <w:hideMark/>
          </w:tcPr>
          <w:p w14:paraId="732475B1" w14:textId="77777777" w:rsidR="001A20CA" w:rsidRPr="00337216" w:rsidRDefault="001A20CA" w:rsidP="00D83ECE">
            <w:pPr>
              <w:pStyle w:val="Report"/>
              <w:spacing w:line="480" w:lineRule="auto"/>
              <w:jc w:val="center"/>
              <w:rPr>
                <w:color w:val="000000"/>
              </w:rPr>
            </w:pPr>
            <w:r w:rsidRPr="00B54D68">
              <w:t>287.18</w:t>
            </w:r>
          </w:p>
        </w:tc>
        <w:tc>
          <w:tcPr>
            <w:tcW w:w="1384" w:type="dxa"/>
            <w:shd w:val="clear" w:color="auto" w:fill="FFFFFF" w:themeFill="background1"/>
          </w:tcPr>
          <w:p w14:paraId="58C40375" w14:textId="77777777" w:rsidR="001A20CA" w:rsidRPr="00337216" w:rsidRDefault="001A20CA" w:rsidP="00D83ECE">
            <w:pPr>
              <w:pStyle w:val="Report"/>
              <w:spacing w:line="480" w:lineRule="auto"/>
              <w:jc w:val="center"/>
              <w:rPr>
                <w:color w:val="000000"/>
              </w:rPr>
            </w:pPr>
            <w:r w:rsidRPr="00337216">
              <w:rPr>
                <w:color w:val="000000"/>
              </w:rPr>
              <w:t>No</w:t>
            </w:r>
          </w:p>
        </w:tc>
      </w:tr>
      <w:tr w:rsidR="001A20CA" w:rsidRPr="00ED7CE9" w14:paraId="1E955ACB" w14:textId="77777777" w:rsidTr="00D83ECE">
        <w:trPr>
          <w:trHeight w:val="600"/>
        </w:trPr>
        <w:tc>
          <w:tcPr>
            <w:tcW w:w="1383" w:type="dxa"/>
            <w:shd w:val="clear" w:color="auto" w:fill="FFFFFF" w:themeFill="background1"/>
            <w:hideMark/>
          </w:tcPr>
          <w:p w14:paraId="1CB037F0" w14:textId="77777777" w:rsidR="001A20CA" w:rsidRPr="00337216" w:rsidRDefault="009028D0" w:rsidP="00D83ECE">
            <w:pPr>
              <w:pStyle w:val="Report"/>
              <w:spacing w:line="480" w:lineRule="auto"/>
              <w:jc w:val="center"/>
            </w:pPr>
            <w:hyperlink r:id="rId31" w:anchor="'freq-exp3-rest-opt1'!A1" w:history="1">
              <w:r w:rsidR="001A20CA" w:rsidRPr="00337216">
                <w:t>Exponential 3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2F5EA810" w14:textId="77777777" w:rsidR="001A20CA" w:rsidRPr="00337216" w:rsidRDefault="001A20CA" w:rsidP="00D83ECE">
            <w:pPr>
              <w:pStyle w:val="Report"/>
              <w:spacing w:line="480" w:lineRule="auto"/>
              <w:jc w:val="center"/>
              <w:rPr>
                <w:color w:val="000000"/>
              </w:rPr>
            </w:pPr>
            <w:r w:rsidRPr="00F63599">
              <w:t>-9999</w:t>
            </w:r>
          </w:p>
        </w:tc>
        <w:tc>
          <w:tcPr>
            <w:tcW w:w="1384" w:type="dxa"/>
            <w:tcBorders>
              <w:top w:val="nil"/>
              <w:left w:val="nil"/>
              <w:bottom w:val="single" w:sz="4" w:space="0" w:color="auto"/>
              <w:right w:val="single" w:sz="4" w:space="0" w:color="auto"/>
            </w:tcBorders>
            <w:shd w:val="clear" w:color="auto" w:fill="FFFFFF" w:themeFill="background1"/>
            <w:noWrap/>
            <w:hideMark/>
          </w:tcPr>
          <w:p w14:paraId="5D62384A" w14:textId="77777777" w:rsidR="001A20CA" w:rsidRPr="00337216" w:rsidRDefault="001A20CA" w:rsidP="00D83ECE">
            <w:pPr>
              <w:pStyle w:val="Report"/>
              <w:spacing w:line="480" w:lineRule="auto"/>
              <w:jc w:val="center"/>
              <w:rPr>
                <w:color w:val="000000"/>
              </w:rPr>
            </w:pPr>
            <w:r w:rsidRPr="00F63599">
              <w:t>0</w:t>
            </w:r>
          </w:p>
        </w:tc>
        <w:tc>
          <w:tcPr>
            <w:tcW w:w="1383" w:type="dxa"/>
            <w:tcBorders>
              <w:top w:val="nil"/>
              <w:left w:val="nil"/>
              <w:bottom w:val="single" w:sz="4" w:space="0" w:color="auto"/>
              <w:right w:val="single" w:sz="4" w:space="0" w:color="auto"/>
            </w:tcBorders>
            <w:shd w:val="clear" w:color="auto" w:fill="FFFFFF" w:themeFill="background1"/>
            <w:noWrap/>
            <w:hideMark/>
          </w:tcPr>
          <w:p w14:paraId="1C165DDB" w14:textId="77777777" w:rsidR="001A20CA" w:rsidRPr="00337216" w:rsidRDefault="001A20CA" w:rsidP="00D83ECE">
            <w:pPr>
              <w:pStyle w:val="Report"/>
              <w:spacing w:line="480" w:lineRule="auto"/>
              <w:jc w:val="center"/>
              <w:rPr>
                <w:color w:val="000000"/>
              </w:rPr>
            </w:pPr>
            <w:r w:rsidRPr="00F63599">
              <w:t>Infinity</w:t>
            </w:r>
          </w:p>
        </w:tc>
        <w:tc>
          <w:tcPr>
            <w:tcW w:w="1384" w:type="dxa"/>
            <w:tcBorders>
              <w:top w:val="nil"/>
              <w:left w:val="nil"/>
              <w:bottom w:val="single" w:sz="4" w:space="0" w:color="auto"/>
              <w:right w:val="single" w:sz="4" w:space="0" w:color="auto"/>
            </w:tcBorders>
            <w:shd w:val="clear" w:color="auto" w:fill="FFFFFF" w:themeFill="background1"/>
            <w:noWrap/>
            <w:hideMark/>
          </w:tcPr>
          <w:p w14:paraId="211B4E69" w14:textId="77777777" w:rsidR="001A20CA" w:rsidRPr="00337216" w:rsidRDefault="001A20CA" w:rsidP="00D83ECE">
            <w:pPr>
              <w:pStyle w:val="Report"/>
              <w:spacing w:line="480" w:lineRule="auto"/>
              <w:jc w:val="center"/>
              <w:rPr>
                <w:color w:val="000000"/>
              </w:rPr>
            </w:pPr>
            <w:r w:rsidRPr="00F63599">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2F9BE04C" w14:textId="77777777" w:rsidR="001A20CA" w:rsidRPr="00337216" w:rsidRDefault="001A20CA" w:rsidP="00D83ECE">
            <w:pPr>
              <w:pStyle w:val="Report"/>
              <w:spacing w:line="480" w:lineRule="auto"/>
              <w:jc w:val="center"/>
              <w:rPr>
                <w:color w:val="000000"/>
              </w:rPr>
            </w:pPr>
            <w:r w:rsidRPr="00B54D68">
              <w:t>289.18</w:t>
            </w:r>
          </w:p>
        </w:tc>
        <w:tc>
          <w:tcPr>
            <w:tcW w:w="1384" w:type="dxa"/>
            <w:shd w:val="clear" w:color="auto" w:fill="FFFFFF" w:themeFill="background1"/>
          </w:tcPr>
          <w:p w14:paraId="09F88866" w14:textId="77777777" w:rsidR="001A20CA" w:rsidRPr="00337216" w:rsidRDefault="001A20CA" w:rsidP="00D83ECE">
            <w:pPr>
              <w:pStyle w:val="Report"/>
              <w:spacing w:line="480" w:lineRule="auto"/>
              <w:jc w:val="center"/>
              <w:rPr>
                <w:color w:val="000000"/>
              </w:rPr>
            </w:pPr>
            <w:r w:rsidRPr="00337216">
              <w:rPr>
                <w:color w:val="000000"/>
              </w:rPr>
              <w:t>No</w:t>
            </w:r>
          </w:p>
        </w:tc>
      </w:tr>
      <w:tr w:rsidR="001A20CA" w:rsidRPr="00ED7CE9" w14:paraId="42EFEC1C" w14:textId="77777777" w:rsidTr="00D83ECE">
        <w:trPr>
          <w:trHeight w:val="600"/>
        </w:trPr>
        <w:tc>
          <w:tcPr>
            <w:tcW w:w="1383" w:type="dxa"/>
            <w:shd w:val="clear" w:color="auto" w:fill="FFFFFF" w:themeFill="background1"/>
            <w:hideMark/>
          </w:tcPr>
          <w:p w14:paraId="62C8D7E3" w14:textId="77777777" w:rsidR="001A20CA" w:rsidRPr="00337216" w:rsidRDefault="009028D0" w:rsidP="00D83ECE">
            <w:pPr>
              <w:pStyle w:val="Report"/>
              <w:spacing w:line="480" w:lineRule="auto"/>
              <w:jc w:val="center"/>
              <w:rPr>
                <w:bCs/>
              </w:rPr>
            </w:pPr>
            <w:hyperlink r:id="rId32" w:anchor="'freq-exp4-rest-opt1'!A1" w:history="1">
              <w:r w:rsidR="001A20CA" w:rsidRPr="00337216">
                <w:rPr>
                  <w:bCs/>
                </w:rPr>
                <w:t>Exponential 4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4E0F1DDE" w14:textId="77777777" w:rsidR="001A20CA" w:rsidRPr="00337216" w:rsidRDefault="001A20CA" w:rsidP="00D83ECE">
            <w:pPr>
              <w:pStyle w:val="Report"/>
              <w:spacing w:line="480" w:lineRule="auto"/>
              <w:jc w:val="center"/>
              <w:rPr>
                <w:bCs/>
                <w:color w:val="000000"/>
              </w:rPr>
            </w:pPr>
            <w:r w:rsidRPr="00F63599">
              <w:t>-9999</w:t>
            </w:r>
          </w:p>
        </w:tc>
        <w:tc>
          <w:tcPr>
            <w:tcW w:w="1384" w:type="dxa"/>
            <w:tcBorders>
              <w:top w:val="nil"/>
              <w:left w:val="nil"/>
              <w:bottom w:val="single" w:sz="4" w:space="0" w:color="auto"/>
              <w:right w:val="single" w:sz="4" w:space="0" w:color="auto"/>
            </w:tcBorders>
            <w:shd w:val="clear" w:color="auto" w:fill="FFFFFF" w:themeFill="background1"/>
            <w:noWrap/>
            <w:hideMark/>
          </w:tcPr>
          <w:p w14:paraId="34F9B7E6" w14:textId="77777777" w:rsidR="001A20CA" w:rsidRPr="00337216" w:rsidRDefault="001A20CA" w:rsidP="00D83ECE">
            <w:pPr>
              <w:pStyle w:val="Report"/>
              <w:spacing w:line="480" w:lineRule="auto"/>
              <w:jc w:val="center"/>
              <w:rPr>
                <w:bCs/>
                <w:color w:val="000000"/>
              </w:rPr>
            </w:pPr>
            <w:r w:rsidRPr="00F63599">
              <w:t>0</w:t>
            </w:r>
          </w:p>
        </w:tc>
        <w:tc>
          <w:tcPr>
            <w:tcW w:w="1383" w:type="dxa"/>
            <w:tcBorders>
              <w:top w:val="nil"/>
              <w:left w:val="nil"/>
              <w:bottom w:val="single" w:sz="4" w:space="0" w:color="auto"/>
              <w:right w:val="single" w:sz="4" w:space="0" w:color="auto"/>
            </w:tcBorders>
            <w:shd w:val="clear" w:color="auto" w:fill="FFFFFF" w:themeFill="background1"/>
            <w:noWrap/>
            <w:hideMark/>
          </w:tcPr>
          <w:p w14:paraId="6B10BBC2" w14:textId="77777777" w:rsidR="001A20CA" w:rsidRPr="00337216" w:rsidRDefault="001A20CA" w:rsidP="00D83ECE">
            <w:pPr>
              <w:pStyle w:val="Report"/>
              <w:spacing w:line="480" w:lineRule="auto"/>
              <w:jc w:val="center"/>
              <w:rPr>
                <w:bCs/>
                <w:color w:val="000000"/>
              </w:rPr>
            </w:pPr>
            <w:r w:rsidRPr="00F63599">
              <w:t>Infinity</w:t>
            </w:r>
          </w:p>
        </w:tc>
        <w:tc>
          <w:tcPr>
            <w:tcW w:w="1384" w:type="dxa"/>
            <w:tcBorders>
              <w:top w:val="nil"/>
              <w:left w:val="nil"/>
              <w:bottom w:val="single" w:sz="4" w:space="0" w:color="auto"/>
              <w:right w:val="single" w:sz="4" w:space="0" w:color="auto"/>
            </w:tcBorders>
            <w:shd w:val="clear" w:color="auto" w:fill="FFFFFF" w:themeFill="background1"/>
            <w:noWrap/>
            <w:hideMark/>
          </w:tcPr>
          <w:p w14:paraId="7BFFED12" w14:textId="77777777" w:rsidR="001A20CA" w:rsidRPr="00337216" w:rsidRDefault="001A20CA" w:rsidP="00D83ECE">
            <w:pPr>
              <w:pStyle w:val="Report"/>
              <w:spacing w:line="480" w:lineRule="auto"/>
              <w:jc w:val="center"/>
              <w:rPr>
                <w:bCs/>
                <w:color w:val="000000"/>
              </w:rPr>
            </w:pPr>
            <w:r w:rsidRPr="00F63599">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2436C573" w14:textId="77777777" w:rsidR="001A20CA" w:rsidRPr="00337216" w:rsidRDefault="001A20CA" w:rsidP="00D83ECE">
            <w:pPr>
              <w:pStyle w:val="Report"/>
              <w:spacing w:line="480" w:lineRule="auto"/>
              <w:jc w:val="center"/>
              <w:rPr>
                <w:bCs/>
                <w:color w:val="000000"/>
              </w:rPr>
            </w:pPr>
            <w:r w:rsidRPr="00B54D68">
              <w:t>289.18</w:t>
            </w:r>
          </w:p>
        </w:tc>
        <w:tc>
          <w:tcPr>
            <w:tcW w:w="1384" w:type="dxa"/>
            <w:shd w:val="clear" w:color="auto" w:fill="FFFFFF" w:themeFill="background1"/>
          </w:tcPr>
          <w:p w14:paraId="644194A2" w14:textId="77777777" w:rsidR="001A20CA" w:rsidRPr="00337216" w:rsidRDefault="001A20CA" w:rsidP="00D83ECE">
            <w:pPr>
              <w:pStyle w:val="Report"/>
              <w:spacing w:line="480" w:lineRule="auto"/>
              <w:jc w:val="center"/>
              <w:rPr>
                <w:bCs/>
                <w:color w:val="000000"/>
              </w:rPr>
            </w:pPr>
            <w:r>
              <w:rPr>
                <w:bCs/>
                <w:color w:val="000000"/>
              </w:rPr>
              <w:t>No</w:t>
            </w:r>
          </w:p>
        </w:tc>
      </w:tr>
      <w:tr w:rsidR="001A20CA" w:rsidRPr="00ED7CE9" w14:paraId="4C54CDBA" w14:textId="77777777" w:rsidTr="00D83ECE">
        <w:trPr>
          <w:trHeight w:val="600"/>
        </w:trPr>
        <w:tc>
          <w:tcPr>
            <w:tcW w:w="1383" w:type="dxa"/>
            <w:shd w:val="clear" w:color="auto" w:fill="FFFFFF" w:themeFill="background1"/>
            <w:hideMark/>
          </w:tcPr>
          <w:p w14:paraId="0941BF2C" w14:textId="77777777" w:rsidR="001A20CA" w:rsidRPr="00337216" w:rsidRDefault="009028D0" w:rsidP="00D83ECE">
            <w:pPr>
              <w:pStyle w:val="Report"/>
              <w:spacing w:line="480" w:lineRule="auto"/>
              <w:jc w:val="center"/>
            </w:pPr>
            <w:hyperlink r:id="rId33" w:anchor="'freq-exp5-rest-opt1'!A1" w:history="1">
              <w:r w:rsidR="001A20CA" w:rsidRPr="00337216">
                <w:t>Exponential 5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3A4FBC06" w14:textId="77777777" w:rsidR="001A20CA" w:rsidRPr="00337216" w:rsidRDefault="001A20CA" w:rsidP="00D83ECE">
            <w:pPr>
              <w:pStyle w:val="Report"/>
              <w:spacing w:line="480" w:lineRule="auto"/>
              <w:jc w:val="center"/>
              <w:rPr>
                <w:color w:val="000000"/>
              </w:rPr>
            </w:pPr>
            <w:r w:rsidRPr="00F63599">
              <w:t>-9999</w:t>
            </w:r>
          </w:p>
        </w:tc>
        <w:tc>
          <w:tcPr>
            <w:tcW w:w="1384" w:type="dxa"/>
            <w:tcBorders>
              <w:top w:val="nil"/>
              <w:left w:val="nil"/>
              <w:bottom w:val="single" w:sz="4" w:space="0" w:color="auto"/>
              <w:right w:val="single" w:sz="4" w:space="0" w:color="auto"/>
            </w:tcBorders>
            <w:shd w:val="clear" w:color="auto" w:fill="FFFFFF" w:themeFill="background1"/>
            <w:noWrap/>
            <w:hideMark/>
          </w:tcPr>
          <w:p w14:paraId="1FECFF22" w14:textId="77777777" w:rsidR="001A20CA" w:rsidRPr="00337216" w:rsidRDefault="001A20CA" w:rsidP="00D83ECE">
            <w:pPr>
              <w:pStyle w:val="Report"/>
              <w:spacing w:line="480" w:lineRule="auto"/>
              <w:jc w:val="center"/>
              <w:rPr>
                <w:color w:val="000000"/>
              </w:rPr>
            </w:pPr>
            <w:r w:rsidRPr="00F63599">
              <w:t>0</w:t>
            </w:r>
          </w:p>
        </w:tc>
        <w:tc>
          <w:tcPr>
            <w:tcW w:w="1383" w:type="dxa"/>
            <w:tcBorders>
              <w:top w:val="nil"/>
              <w:left w:val="nil"/>
              <w:bottom w:val="single" w:sz="4" w:space="0" w:color="auto"/>
              <w:right w:val="single" w:sz="4" w:space="0" w:color="auto"/>
            </w:tcBorders>
            <w:shd w:val="clear" w:color="auto" w:fill="FFFFFF" w:themeFill="background1"/>
            <w:noWrap/>
            <w:hideMark/>
          </w:tcPr>
          <w:p w14:paraId="620483BB" w14:textId="77777777" w:rsidR="001A20CA" w:rsidRPr="00337216" w:rsidRDefault="001A20CA" w:rsidP="00D83ECE">
            <w:pPr>
              <w:pStyle w:val="Report"/>
              <w:spacing w:line="480" w:lineRule="auto"/>
              <w:jc w:val="center"/>
              <w:rPr>
                <w:color w:val="000000"/>
              </w:rPr>
            </w:pPr>
            <w:r w:rsidRPr="00F63599">
              <w:t>Infinity</w:t>
            </w:r>
          </w:p>
        </w:tc>
        <w:tc>
          <w:tcPr>
            <w:tcW w:w="1384" w:type="dxa"/>
            <w:tcBorders>
              <w:top w:val="nil"/>
              <w:left w:val="nil"/>
              <w:bottom w:val="single" w:sz="4" w:space="0" w:color="auto"/>
              <w:right w:val="single" w:sz="4" w:space="0" w:color="auto"/>
            </w:tcBorders>
            <w:shd w:val="clear" w:color="auto" w:fill="FFFFFF" w:themeFill="background1"/>
            <w:noWrap/>
            <w:hideMark/>
          </w:tcPr>
          <w:p w14:paraId="623E889B" w14:textId="77777777" w:rsidR="001A20CA" w:rsidRPr="00337216" w:rsidRDefault="001A20CA" w:rsidP="00D83ECE">
            <w:pPr>
              <w:pStyle w:val="Report"/>
              <w:spacing w:line="480" w:lineRule="auto"/>
              <w:jc w:val="center"/>
              <w:rPr>
                <w:color w:val="000000"/>
              </w:rPr>
            </w:pPr>
            <w:r w:rsidRPr="00F63599">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140B7CD3" w14:textId="77777777" w:rsidR="001A20CA" w:rsidRPr="00337216" w:rsidRDefault="001A20CA" w:rsidP="00D83ECE">
            <w:pPr>
              <w:pStyle w:val="Report"/>
              <w:spacing w:line="480" w:lineRule="auto"/>
              <w:jc w:val="center"/>
              <w:rPr>
                <w:color w:val="000000"/>
              </w:rPr>
            </w:pPr>
            <w:r w:rsidRPr="00B54D68">
              <w:t>291.18</w:t>
            </w:r>
          </w:p>
        </w:tc>
        <w:tc>
          <w:tcPr>
            <w:tcW w:w="1384" w:type="dxa"/>
            <w:shd w:val="clear" w:color="auto" w:fill="FFFFFF" w:themeFill="background1"/>
          </w:tcPr>
          <w:p w14:paraId="17C06E51"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1C690ECA" w14:textId="77777777" w:rsidTr="00D83ECE">
        <w:trPr>
          <w:trHeight w:val="600"/>
        </w:trPr>
        <w:tc>
          <w:tcPr>
            <w:tcW w:w="1383" w:type="dxa"/>
            <w:shd w:val="clear" w:color="auto" w:fill="FFFFFF" w:themeFill="background1"/>
            <w:hideMark/>
          </w:tcPr>
          <w:p w14:paraId="6C652A2A" w14:textId="77777777" w:rsidR="001A20CA" w:rsidRPr="00337216" w:rsidRDefault="009028D0" w:rsidP="00D83ECE">
            <w:pPr>
              <w:pStyle w:val="Report"/>
              <w:spacing w:line="480" w:lineRule="auto"/>
              <w:jc w:val="center"/>
            </w:pPr>
            <w:hyperlink r:id="rId34" w:anchor="'freq-hil-rest-opt1'!A1" w:history="1">
              <w:r w:rsidR="001A20CA" w:rsidRPr="00337216">
                <w:t>Hill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000F860C" w14:textId="77777777" w:rsidR="001A20CA" w:rsidRPr="00337216" w:rsidRDefault="001A20CA" w:rsidP="00D83ECE">
            <w:pPr>
              <w:pStyle w:val="Report"/>
              <w:spacing w:line="480" w:lineRule="auto"/>
              <w:jc w:val="center"/>
              <w:rPr>
                <w:color w:val="000000"/>
              </w:rPr>
            </w:pPr>
            <w:r w:rsidRPr="00B17101">
              <w:t>2.34E-03</w:t>
            </w:r>
          </w:p>
        </w:tc>
        <w:tc>
          <w:tcPr>
            <w:tcW w:w="1384" w:type="dxa"/>
            <w:tcBorders>
              <w:top w:val="nil"/>
              <w:left w:val="nil"/>
              <w:bottom w:val="single" w:sz="4" w:space="0" w:color="auto"/>
              <w:right w:val="single" w:sz="4" w:space="0" w:color="auto"/>
            </w:tcBorders>
            <w:shd w:val="clear" w:color="auto" w:fill="FFFFFF" w:themeFill="background1"/>
            <w:noWrap/>
            <w:hideMark/>
          </w:tcPr>
          <w:p w14:paraId="6E962657" w14:textId="77777777" w:rsidR="001A20CA" w:rsidRPr="00337216" w:rsidRDefault="001A20CA" w:rsidP="00D83ECE">
            <w:pPr>
              <w:pStyle w:val="Report"/>
              <w:spacing w:line="480" w:lineRule="auto"/>
              <w:jc w:val="center"/>
              <w:rPr>
                <w:color w:val="000000"/>
              </w:rPr>
            </w:pPr>
            <w:r w:rsidRPr="00B17101">
              <w:t>1.34E-03</w:t>
            </w:r>
          </w:p>
        </w:tc>
        <w:tc>
          <w:tcPr>
            <w:tcW w:w="1383" w:type="dxa"/>
            <w:tcBorders>
              <w:top w:val="nil"/>
              <w:left w:val="nil"/>
              <w:bottom w:val="single" w:sz="4" w:space="0" w:color="auto"/>
              <w:right w:val="single" w:sz="4" w:space="0" w:color="auto"/>
            </w:tcBorders>
            <w:shd w:val="clear" w:color="auto" w:fill="FFFFFF" w:themeFill="background1"/>
            <w:noWrap/>
            <w:hideMark/>
          </w:tcPr>
          <w:p w14:paraId="1149C95A" w14:textId="77777777" w:rsidR="001A20CA" w:rsidRPr="00337216" w:rsidRDefault="001A20CA" w:rsidP="00D83ECE">
            <w:pPr>
              <w:pStyle w:val="Report"/>
              <w:spacing w:line="480" w:lineRule="auto"/>
              <w:jc w:val="center"/>
              <w:rPr>
                <w:color w:val="000000"/>
              </w:rPr>
            </w:pPr>
            <w:r w:rsidRPr="00B17101">
              <w:t>4.83E-03</w:t>
            </w:r>
          </w:p>
        </w:tc>
        <w:tc>
          <w:tcPr>
            <w:tcW w:w="1384" w:type="dxa"/>
            <w:tcBorders>
              <w:top w:val="nil"/>
              <w:left w:val="nil"/>
              <w:bottom w:val="single" w:sz="4" w:space="0" w:color="auto"/>
              <w:right w:val="single" w:sz="4" w:space="0" w:color="auto"/>
            </w:tcBorders>
            <w:shd w:val="clear" w:color="auto" w:fill="FFFFFF" w:themeFill="background1"/>
            <w:noWrap/>
            <w:hideMark/>
          </w:tcPr>
          <w:p w14:paraId="56BE389E" w14:textId="77777777" w:rsidR="001A20CA" w:rsidRPr="00337216" w:rsidRDefault="001A20CA" w:rsidP="00D83ECE">
            <w:pPr>
              <w:pStyle w:val="Report"/>
              <w:spacing w:line="480" w:lineRule="auto"/>
              <w:jc w:val="center"/>
              <w:rPr>
                <w:color w:val="000000"/>
              </w:rPr>
            </w:pPr>
            <w:r w:rsidRPr="00B17101">
              <w:t>0.0005</w:t>
            </w:r>
          </w:p>
        </w:tc>
        <w:tc>
          <w:tcPr>
            <w:tcW w:w="1384" w:type="dxa"/>
            <w:tcBorders>
              <w:top w:val="nil"/>
              <w:left w:val="nil"/>
              <w:bottom w:val="single" w:sz="4" w:space="0" w:color="auto"/>
              <w:right w:val="single" w:sz="4" w:space="0" w:color="auto"/>
            </w:tcBorders>
            <w:shd w:val="clear" w:color="auto" w:fill="FFFFFF" w:themeFill="background1"/>
            <w:noWrap/>
            <w:hideMark/>
          </w:tcPr>
          <w:p w14:paraId="5A8EE4B5" w14:textId="77777777" w:rsidR="001A20CA" w:rsidRPr="00337216" w:rsidRDefault="001A20CA" w:rsidP="00D83ECE">
            <w:pPr>
              <w:pStyle w:val="Report"/>
              <w:spacing w:line="480" w:lineRule="auto"/>
              <w:jc w:val="center"/>
              <w:rPr>
                <w:color w:val="000000"/>
              </w:rPr>
            </w:pPr>
            <w:r w:rsidRPr="00067DF0">
              <w:t>219.11</w:t>
            </w:r>
          </w:p>
        </w:tc>
        <w:tc>
          <w:tcPr>
            <w:tcW w:w="1384" w:type="dxa"/>
            <w:shd w:val="clear" w:color="auto" w:fill="FFFFFF" w:themeFill="background1"/>
          </w:tcPr>
          <w:p w14:paraId="36E8CF64" w14:textId="77777777" w:rsidR="001A20CA" w:rsidRPr="00337216" w:rsidRDefault="001A20CA" w:rsidP="00D83ECE">
            <w:pPr>
              <w:pStyle w:val="Report"/>
              <w:spacing w:line="480" w:lineRule="auto"/>
              <w:jc w:val="center"/>
              <w:rPr>
                <w:color w:val="000000"/>
              </w:rPr>
            </w:pPr>
            <w:r w:rsidRPr="00337216">
              <w:rPr>
                <w:color w:val="000000"/>
              </w:rPr>
              <w:t>Yes</w:t>
            </w:r>
          </w:p>
        </w:tc>
      </w:tr>
      <w:tr w:rsidR="001A20CA" w:rsidRPr="00ED7CE9" w14:paraId="7A98C3B5" w14:textId="77777777" w:rsidTr="00D83ECE">
        <w:trPr>
          <w:trHeight w:val="600"/>
        </w:trPr>
        <w:tc>
          <w:tcPr>
            <w:tcW w:w="1383" w:type="dxa"/>
            <w:shd w:val="clear" w:color="auto" w:fill="FFFFFF" w:themeFill="background1"/>
            <w:hideMark/>
          </w:tcPr>
          <w:p w14:paraId="05691E99" w14:textId="77777777" w:rsidR="001A20CA" w:rsidRPr="00337216" w:rsidRDefault="009028D0" w:rsidP="00D83ECE">
            <w:pPr>
              <w:pStyle w:val="Report"/>
              <w:spacing w:line="480" w:lineRule="auto"/>
              <w:jc w:val="center"/>
            </w:pPr>
            <w:hyperlink r:id="rId35" w:anchor="'freq-ply6-rest-opt1'!A1" w:history="1">
              <w:r w:rsidR="001A20CA" w:rsidRPr="00337216">
                <w:t>Polynomial Degree 6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2CC78470" w14:textId="77777777" w:rsidR="001A20CA" w:rsidRPr="00337216" w:rsidRDefault="001A20CA" w:rsidP="00D83ECE">
            <w:pPr>
              <w:pStyle w:val="Report"/>
              <w:spacing w:line="480" w:lineRule="auto"/>
              <w:jc w:val="center"/>
              <w:rPr>
                <w:color w:val="000000"/>
              </w:rPr>
            </w:pPr>
            <w:r w:rsidRPr="00B17101">
              <w:t>0.20</w:t>
            </w:r>
          </w:p>
        </w:tc>
        <w:tc>
          <w:tcPr>
            <w:tcW w:w="1384" w:type="dxa"/>
            <w:tcBorders>
              <w:top w:val="nil"/>
              <w:left w:val="nil"/>
              <w:bottom w:val="single" w:sz="4" w:space="0" w:color="auto"/>
              <w:right w:val="single" w:sz="4" w:space="0" w:color="auto"/>
            </w:tcBorders>
            <w:shd w:val="clear" w:color="auto" w:fill="FFFFFF" w:themeFill="background1"/>
            <w:noWrap/>
            <w:hideMark/>
          </w:tcPr>
          <w:p w14:paraId="7D3080A5" w14:textId="77777777" w:rsidR="001A20CA" w:rsidRPr="00337216" w:rsidRDefault="001A20CA" w:rsidP="00D83ECE">
            <w:pPr>
              <w:pStyle w:val="Report"/>
              <w:spacing w:line="480" w:lineRule="auto"/>
              <w:jc w:val="center"/>
              <w:rPr>
                <w:color w:val="000000"/>
              </w:rPr>
            </w:pPr>
            <w:r w:rsidRPr="00B17101">
              <w:t>0.15</w:t>
            </w:r>
          </w:p>
        </w:tc>
        <w:tc>
          <w:tcPr>
            <w:tcW w:w="1383" w:type="dxa"/>
            <w:tcBorders>
              <w:top w:val="nil"/>
              <w:left w:val="nil"/>
              <w:bottom w:val="single" w:sz="4" w:space="0" w:color="auto"/>
              <w:right w:val="single" w:sz="4" w:space="0" w:color="auto"/>
            </w:tcBorders>
            <w:shd w:val="clear" w:color="auto" w:fill="FFFFFF" w:themeFill="background1"/>
            <w:noWrap/>
            <w:hideMark/>
          </w:tcPr>
          <w:p w14:paraId="48C4307A" w14:textId="77777777" w:rsidR="001A20CA" w:rsidRPr="00337216" w:rsidRDefault="001A20CA" w:rsidP="00D83ECE">
            <w:pPr>
              <w:pStyle w:val="Report"/>
              <w:spacing w:line="480" w:lineRule="auto"/>
              <w:jc w:val="center"/>
              <w:rPr>
                <w:color w:val="000000"/>
              </w:rPr>
            </w:pPr>
            <w:r w:rsidRPr="00B17101">
              <w:t>0.34</w:t>
            </w:r>
          </w:p>
        </w:tc>
        <w:tc>
          <w:tcPr>
            <w:tcW w:w="1384" w:type="dxa"/>
            <w:tcBorders>
              <w:top w:val="nil"/>
              <w:left w:val="nil"/>
              <w:bottom w:val="single" w:sz="4" w:space="0" w:color="auto"/>
              <w:right w:val="single" w:sz="4" w:space="0" w:color="auto"/>
            </w:tcBorders>
            <w:shd w:val="clear" w:color="auto" w:fill="FFFFFF" w:themeFill="background1"/>
            <w:noWrap/>
            <w:hideMark/>
          </w:tcPr>
          <w:p w14:paraId="29849FF3" w14:textId="77777777" w:rsidR="001A20CA" w:rsidRPr="00337216" w:rsidRDefault="001A20CA" w:rsidP="00D83ECE">
            <w:pPr>
              <w:pStyle w:val="Report"/>
              <w:spacing w:line="480" w:lineRule="auto"/>
              <w:jc w:val="center"/>
            </w:pPr>
            <w:r w:rsidRPr="00B17101">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5FF8E8C5" w14:textId="77777777" w:rsidR="001A20CA" w:rsidRPr="00337216" w:rsidRDefault="001A20CA" w:rsidP="00D83ECE">
            <w:pPr>
              <w:pStyle w:val="Report"/>
              <w:spacing w:line="480" w:lineRule="auto"/>
              <w:jc w:val="center"/>
              <w:rPr>
                <w:color w:val="000000"/>
              </w:rPr>
            </w:pPr>
            <w:r w:rsidRPr="00067DF0">
              <w:t>251.79</w:t>
            </w:r>
          </w:p>
        </w:tc>
        <w:tc>
          <w:tcPr>
            <w:tcW w:w="1384" w:type="dxa"/>
            <w:shd w:val="clear" w:color="auto" w:fill="FFFFFF" w:themeFill="background1"/>
          </w:tcPr>
          <w:p w14:paraId="6B06AFF2"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09E44BFC" w14:textId="77777777" w:rsidTr="00D83ECE">
        <w:trPr>
          <w:trHeight w:val="600"/>
        </w:trPr>
        <w:tc>
          <w:tcPr>
            <w:tcW w:w="1383" w:type="dxa"/>
            <w:shd w:val="clear" w:color="auto" w:fill="FFFFFF" w:themeFill="background1"/>
            <w:hideMark/>
          </w:tcPr>
          <w:p w14:paraId="5198ED11" w14:textId="77777777" w:rsidR="001A20CA" w:rsidRPr="00337216" w:rsidRDefault="009028D0" w:rsidP="00D83ECE">
            <w:pPr>
              <w:pStyle w:val="Report"/>
              <w:spacing w:line="480" w:lineRule="auto"/>
              <w:jc w:val="center"/>
            </w:pPr>
            <w:hyperlink r:id="rId36" w:anchor="'freq-ply5-rest-opt1'!A1" w:history="1">
              <w:r w:rsidR="001A20CA" w:rsidRPr="00337216">
                <w:t xml:space="preserve">Polynomial Degree 5 </w:t>
              </w:r>
              <w:r w:rsidR="001A20CA" w:rsidRPr="00337216">
                <w:lastRenderedPageBreak/>
                <w:t>(CV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72CB77D2" w14:textId="77777777" w:rsidR="001A20CA" w:rsidRPr="00337216" w:rsidRDefault="001A20CA" w:rsidP="00D83ECE">
            <w:pPr>
              <w:pStyle w:val="Report"/>
              <w:spacing w:line="480" w:lineRule="auto"/>
              <w:jc w:val="center"/>
              <w:rPr>
                <w:color w:val="000000"/>
              </w:rPr>
            </w:pPr>
            <w:r w:rsidRPr="00B17101">
              <w:lastRenderedPageBreak/>
              <w:t>0.20</w:t>
            </w:r>
          </w:p>
        </w:tc>
        <w:tc>
          <w:tcPr>
            <w:tcW w:w="1384" w:type="dxa"/>
            <w:tcBorders>
              <w:top w:val="nil"/>
              <w:left w:val="nil"/>
              <w:bottom w:val="single" w:sz="4" w:space="0" w:color="auto"/>
              <w:right w:val="single" w:sz="4" w:space="0" w:color="auto"/>
            </w:tcBorders>
            <w:shd w:val="clear" w:color="auto" w:fill="FFFFFF" w:themeFill="background1"/>
            <w:noWrap/>
            <w:hideMark/>
          </w:tcPr>
          <w:p w14:paraId="02C09A8B" w14:textId="77777777" w:rsidR="001A20CA" w:rsidRPr="00337216" w:rsidRDefault="001A20CA" w:rsidP="00D83ECE">
            <w:pPr>
              <w:pStyle w:val="Report"/>
              <w:spacing w:line="480" w:lineRule="auto"/>
              <w:jc w:val="center"/>
              <w:rPr>
                <w:color w:val="000000"/>
              </w:rPr>
            </w:pPr>
            <w:r w:rsidRPr="00B17101">
              <w:t>0.15</w:t>
            </w:r>
          </w:p>
        </w:tc>
        <w:tc>
          <w:tcPr>
            <w:tcW w:w="1383" w:type="dxa"/>
            <w:tcBorders>
              <w:top w:val="nil"/>
              <w:left w:val="nil"/>
              <w:bottom w:val="single" w:sz="4" w:space="0" w:color="auto"/>
              <w:right w:val="single" w:sz="4" w:space="0" w:color="auto"/>
            </w:tcBorders>
            <w:shd w:val="clear" w:color="auto" w:fill="FFFFFF" w:themeFill="background1"/>
            <w:noWrap/>
            <w:hideMark/>
          </w:tcPr>
          <w:p w14:paraId="31F585A9" w14:textId="77777777" w:rsidR="001A20CA" w:rsidRPr="00337216" w:rsidRDefault="001A20CA" w:rsidP="00D83ECE">
            <w:pPr>
              <w:pStyle w:val="Report"/>
              <w:spacing w:line="480" w:lineRule="auto"/>
              <w:jc w:val="center"/>
              <w:rPr>
                <w:color w:val="000000"/>
              </w:rPr>
            </w:pPr>
            <w:r w:rsidRPr="00B17101">
              <w:t>0.34</w:t>
            </w:r>
          </w:p>
        </w:tc>
        <w:tc>
          <w:tcPr>
            <w:tcW w:w="1384" w:type="dxa"/>
            <w:tcBorders>
              <w:top w:val="nil"/>
              <w:left w:val="nil"/>
              <w:bottom w:val="single" w:sz="4" w:space="0" w:color="auto"/>
              <w:right w:val="single" w:sz="4" w:space="0" w:color="auto"/>
            </w:tcBorders>
            <w:shd w:val="clear" w:color="auto" w:fill="FFFFFF" w:themeFill="background1"/>
            <w:noWrap/>
            <w:hideMark/>
          </w:tcPr>
          <w:p w14:paraId="331582F5" w14:textId="77777777" w:rsidR="001A20CA" w:rsidRPr="00337216" w:rsidRDefault="001A20CA" w:rsidP="00D83ECE">
            <w:pPr>
              <w:pStyle w:val="Report"/>
              <w:spacing w:line="480" w:lineRule="auto"/>
              <w:jc w:val="center"/>
            </w:pPr>
            <w:r w:rsidRPr="00B17101">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5B4DC453" w14:textId="77777777" w:rsidR="001A20CA" w:rsidRPr="00337216" w:rsidRDefault="001A20CA" w:rsidP="00D83ECE">
            <w:pPr>
              <w:pStyle w:val="Report"/>
              <w:spacing w:line="480" w:lineRule="auto"/>
              <w:jc w:val="center"/>
              <w:rPr>
                <w:color w:val="000000"/>
              </w:rPr>
            </w:pPr>
            <w:r w:rsidRPr="00067DF0">
              <w:t>251.79</w:t>
            </w:r>
          </w:p>
        </w:tc>
        <w:tc>
          <w:tcPr>
            <w:tcW w:w="1384" w:type="dxa"/>
            <w:shd w:val="clear" w:color="auto" w:fill="FFFFFF" w:themeFill="background1"/>
          </w:tcPr>
          <w:p w14:paraId="51717D64"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1B29AFCA" w14:textId="77777777" w:rsidTr="00D83ECE">
        <w:trPr>
          <w:trHeight w:val="600"/>
        </w:trPr>
        <w:tc>
          <w:tcPr>
            <w:tcW w:w="1383" w:type="dxa"/>
            <w:shd w:val="clear" w:color="auto" w:fill="FFFFFF" w:themeFill="background1"/>
            <w:hideMark/>
          </w:tcPr>
          <w:p w14:paraId="1643B02E" w14:textId="77777777" w:rsidR="001A20CA" w:rsidRPr="00337216" w:rsidRDefault="009028D0" w:rsidP="00D83ECE">
            <w:pPr>
              <w:pStyle w:val="Report"/>
              <w:spacing w:line="480" w:lineRule="auto"/>
              <w:jc w:val="center"/>
            </w:pPr>
            <w:hyperlink r:id="rId37" w:anchor="'freq-ply4-rest-opt1'!A1" w:history="1">
              <w:r w:rsidR="001A20CA" w:rsidRPr="00337216">
                <w:t>Polynomial Degree 4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3DCA9FF0" w14:textId="77777777" w:rsidR="001A20CA" w:rsidRPr="00337216" w:rsidRDefault="001A20CA" w:rsidP="00D83ECE">
            <w:pPr>
              <w:pStyle w:val="Report"/>
              <w:spacing w:line="480" w:lineRule="auto"/>
              <w:jc w:val="center"/>
              <w:rPr>
                <w:color w:val="000000"/>
              </w:rPr>
            </w:pPr>
            <w:r w:rsidRPr="00B17101">
              <w:t>0.20</w:t>
            </w:r>
          </w:p>
        </w:tc>
        <w:tc>
          <w:tcPr>
            <w:tcW w:w="1384" w:type="dxa"/>
            <w:tcBorders>
              <w:top w:val="nil"/>
              <w:left w:val="nil"/>
              <w:bottom w:val="single" w:sz="4" w:space="0" w:color="auto"/>
              <w:right w:val="single" w:sz="4" w:space="0" w:color="auto"/>
            </w:tcBorders>
            <w:shd w:val="clear" w:color="auto" w:fill="FFFFFF" w:themeFill="background1"/>
            <w:noWrap/>
            <w:hideMark/>
          </w:tcPr>
          <w:p w14:paraId="2166A21D" w14:textId="77777777" w:rsidR="001A20CA" w:rsidRPr="00337216" w:rsidRDefault="001A20CA" w:rsidP="00D83ECE">
            <w:pPr>
              <w:pStyle w:val="Report"/>
              <w:spacing w:line="480" w:lineRule="auto"/>
              <w:jc w:val="center"/>
              <w:rPr>
                <w:color w:val="000000"/>
              </w:rPr>
            </w:pPr>
            <w:r w:rsidRPr="00B17101">
              <w:t>0.15</w:t>
            </w:r>
          </w:p>
        </w:tc>
        <w:tc>
          <w:tcPr>
            <w:tcW w:w="1383" w:type="dxa"/>
            <w:tcBorders>
              <w:top w:val="nil"/>
              <w:left w:val="nil"/>
              <w:bottom w:val="single" w:sz="4" w:space="0" w:color="auto"/>
              <w:right w:val="single" w:sz="4" w:space="0" w:color="auto"/>
            </w:tcBorders>
            <w:shd w:val="clear" w:color="auto" w:fill="FFFFFF" w:themeFill="background1"/>
            <w:noWrap/>
            <w:hideMark/>
          </w:tcPr>
          <w:p w14:paraId="796609E6" w14:textId="77777777" w:rsidR="001A20CA" w:rsidRPr="00337216" w:rsidRDefault="001A20CA" w:rsidP="00D83ECE">
            <w:pPr>
              <w:pStyle w:val="Report"/>
              <w:spacing w:line="480" w:lineRule="auto"/>
              <w:jc w:val="center"/>
              <w:rPr>
                <w:color w:val="000000"/>
              </w:rPr>
            </w:pPr>
            <w:r w:rsidRPr="00B17101">
              <w:t>0.34</w:t>
            </w:r>
          </w:p>
        </w:tc>
        <w:tc>
          <w:tcPr>
            <w:tcW w:w="1384" w:type="dxa"/>
            <w:tcBorders>
              <w:top w:val="nil"/>
              <w:left w:val="nil"/>
              <w:bottom w:val="single" w:sz="4" w:space="0" w:color="auto"/>
              <w:right w:val="single" w:sz="4" w:space="0" w:color="auto"/>
            </w:tcBorders>
            <w:shd w:val="clear" w:color="auto" w:fill="FFFFFF" w:themeFill="background1"/>
            <w:noWrap/>
            <w:hideMark/>
          </w:tcPr>
          <w:p w14:paraId="5A96B4D0" w14:textId="77777777" w:rsidR="001A20CA" w:rsidRPr="00337216" w:rsidRDefault="001A20CA" w:rsidP="00D83ECE">
            <w:pPr>
              <w:pStyle w:val="Report"/>
              <w:spacing w:line="480" w:lineRule="auto"/>
              <w:jc w:val="center"/>
            </w:pPr>
            <w:r w:rsidRPr="00B17101">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62A37DEE" w14:textId="77777777" w:rsidR="001A20CA" w:rsidRPr="00337216" w:rsidRDefault="001A20CA" w:rsidP="00D83ECE">
            <w:pPr>
              <w:pStyle w:val="Report"/>
              <w:spacing w:line="480" w:lineRule="auto"/>
              <w:jc w:val="center"/>
              <w:rPr>
                <w:color w:val="000000"/>
              </w:rPr>
            </w:pPr>
            <w:r w:rsidRPr="00067DF0">
              <w:t>251.79</w:t>
            </w:r>
          </w:p>
        </w:tc>
        <w:tc>
          <w:tcPr>
            <w:tcW w:w="1384" w:type="dxa"/>
            <w:shd w:val="clear" w:color="auto" w:fill="FFFFFF" w:themeFill="background1"/>
          </w:tcPr>
          <w:p w14:paraId="352302A8"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1D1FDEF8" w14:textId="77777777" w:rsidTr="00D83ECE">
        <w:trPr>
          <w:trHeight w:val="600"/>
        </w:trPr>
        <w:tc>
          <w:tcPr>
            <w:tcW w:w="1383" w:type="dxa"/>
            <w:shd w:val="clear" w:color="auto" w:fill="FFFFFF" w:themeFill="background1"/>
            <w:hideMark/>
          </w:tcPr>
          <w:p w14:paraId="29499A2C" w14:textId="77777777" w:rsidR="001A20CA" w:rsidRPr="00337216" w:rsidRDefault="009028D0" w:rsidP="00D83ECE">
            <w:pPr>
              <w:pStyle w:val="Report"/>
              <w:spacing w:line="480" w:lineRule="auto"/>
              <w:jc w:val="center"/>
            </w:pPr>
            <w:hyperlink r:id="rId38" w:anchor="'freq-ply3-rest-opt1'!A1" w:history="1">
              <w:r w:rsidR="001A20CA" w:rsidRPr="00337216">
                <w:t>Polynomial Degree 3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07AC4FE5" w14:textId="77777777" w:rsidR="001A20CA" w:rsidRPr="00337216" w:rsidRDefault="001A20CA" w:rsidP="00D83ECE">
            <w:pPr>
              <w:pStyle w:val="Report"/>
              <w:spacing w:line="480" w:lineRule="auto"/>
              <w:jc w:val="center"/>
              <w:rPr>
                <w:color w:val="000000"/>
              </w:rPr>
            </w:pPr>
            <w:r w:rsidRPr="00B17101">
              <w:t>0.20</w:t>
            </w:r>
          </w:p>
        </w:tc>
        <w:tc>
          <w:tcPr>
            <w:tcW w:w="1384" w:type="dxa"/>
            <w:tcBorders>
              <w:top w:val="nil"/>
              <w:left w:val="nil"/>
              <w:bottom w:val="single" w:sz="4" w:space="0" w:color="auto"/>
              <w:right w:val="single" w:sz="4" w:space="0" w:color="auto"/>
            </w:tcBorders>
            <w:shd w:val="clear" w:color="auto" w:fill="FFFFFF" w:themeFill="background1"/>
            <w:noWrap/>
            <w:hideMark/>
          </w:tcPr>
          <w:p w14:paraId="7881C9B9" w14:textId="77777777" w:rsidR="001A20CA" w:rsidRPr="00337216" w:rsidRDefault="001A20CA" w:rsidP="00D83ECE">
            <w:pPr>
              <w:pStyle w:val="Report"/>
              <w:spacing w:line="480" w:lineRule="auto"/>
              <w:jc w:val="center"/>
              <w:rPr>
                <w:color w:val="000000"/>
              </w:rPr>
            </w:pPr>
            <w:r w:rsidRPr="00B17101">
              <w:t>0.15</w:t>
            </w:r>
          </w:p>
        </w:tc>
        <w:tc>
          <w:tcPr>
            <w:tcW w:w="1383" w:type="dxa"/>
            <w:tcBorders>
              <w:top w:val="nil"/>
              <w:left w:val="nil"/>
              <w:bottom w:val="single" w:sz="4" w:space="0" w:color="auto"/>
              <w:right w:val="single" w:sz="4" w:space="0" w:color="auto"/>
            </w:tcBorders>
            <w:shd w:val="clear" w:color="auto" w:fill="FFFFFF" w:themeFill="background1"/>
            <w:noWrap/>
            <w:hideMark/>
          </w:tcPr>
          <w:p w14:paraId="2624ADA1" w14:textId="77777777" w:rsidR="001A20CA" w:rsidRPr="00337216" w:rsidRDefault="001A20CA" w:rsidP="00D83ECE">
            <w:pPr>
              <w:pStyle w:val="Report"/>
              <w:spacing w:line="480" w:lineRule="auto"/>
              <w:jc w:val="center"/>
              <w:rPr>
                <w:color w:val="000000"/>
              </w:rPr>
            </w:pPr>
            <w:r w:rsidRPr="00B17101">
              <w:t>0.34</w:t>
            </w:r>
          </w:p>
        </w:tc>
        <w:tc>
          <w:tcPr>
            <w:tcW w:w="1384" w:type="dxa"/>
            <w:tcBorders>
              <w:top w:val="nil"/>
              <w:left w:val="nil"/>
              <w:bottom w:val="single" w:sz="4" w:space="0" w:color="auto"/>
              <w:right w:val="single" w:sz="4" w:space="0" w:color="auto"/>
            </w:tcBorders>
            <w:shd w:val="clear" w:color="auto" w:fill="FFFFFF" w:themeFill="background1"/>
            <w:noWrap/>
            <w:hideMark/>
          </w:tcPr>
          <w:p w14:paraId="6825B0DC" w14:textId="77777777" w:rsidR="001A20CA" w:rsidRPr="00337216" w:rsidRDefault="001A20CA" w:rsidP="00D83ECE">
            <w:pPr>
              <w:pStyle w:val="Report"/>
              <w:spacing w:line="480" w:lineRule="auto"/>
              <w:jc w:val="center"/>
            </w:pPr>
            <w:r w:rsidRPr="00B17101">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08FECAAE" w14:textId="77777777" w:rsidR="001A20CA" w:rsidRPr="00337216" w:rsidRDefault="001A20CA" w:rsidP="00D83ECE">
            <w:pPr>
              <w:pStyle w:val="Report"/>
              <w:spacing w:line="480" w:lineRule="auto"/>
              <w:jc w:val="center"/>
              <w:rPr>
                <w:color w:val="000000"/>
              </w:rPr>
            </w:pPr>
            <w:r w:rsidRPr="00067DF0">
              <w:t>251.79</w:t>
            </w:r>
          </w:p>
        </w:tc>
        <w:tc>
          <w:tcPr>
            <w:tcW w:w="1384" w:type="dxa"/>
            <w:shd w:val="clear" w:color="auto" w:fill="FFFFFF" w:themeFill="background1"/>
          </w:tcPr>
          <w:p w14:paraId="31B23820"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0F5413EC" w14:textId="77777777" w:rsidTr="00D83ECE">
        <w:trPr>
          <w:trHeight w:val="600"/>
        </w:trPr>
        <w:tc>
          <w:tcPr>
            <w:tcW w:w="1383" w:type="dxa"/>
            <w:shd w:val="clear" w:color="auto" w:fill="FFFFFF" w:themeFill="background1"/>
            <w:hideMark/>
          </w:tcPr>
          <w:p w14:paraId="6AB9A489" w14:textId="77777777" w:rsidR="001A20CA" w:rsidRPr="00337216" w:rsidRDefault="009028D0" w:rsidP="00D83ECE">
            <w:pPr>
              <w:pStyle w:val="Report"/>
              <w:spacing w:line="480" w:lineRule="auto"/>
              <w:jc w:val="center"/>
            </w:pPr>
            <w:hyperlink r:id="rId39" w:anchor="'freq-ply2-rest-opt1'!A1" w:history="1">
              <w:r w:rsidR="001A20CA" w:rsidRPr="00337216">
                <w:t>Polynomial Degree 2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6EEA10CE" w14:textId="77777777" w:rsidR="001A20CA" w:rsidRPr="00337216" w:rsidRDefault="001A20CA" w:rsidP="00D83ECE">
            <w:pPr>
              <w:pStyle w:val="Report"/>
              <w:spacing w:line="480" w:lineRule="auto"/>
              <w:jc w:val="center"/>
              <w:rPr>
                <w:color w:val="000000"/>
              </w:rPr>
            </w:pPr>
            <w:r w:rsidRPr="00B17101">
              <w:t>0.20</w:t>
            </w:r>
          </w:p>
        </w:tc>
        <w:tc>
          <w:tcPr>
            <w:tcW w:w="1384" w:type="dxa"/>
            <w:tcBorders>
              <w:top w:val="nil"/>
              <w:left w:val="nil"/>
              <w:bottom w:val="single" w:sz="4" w:space="0" w:color="auto"/>
              <w:right w:val="single" w:sz="4" w:space="0" w:color="auto"/>
            </w:tcBorders>
            <w:shd w:val="clear" w:color="auto" w:fill="FFFFFF" w:themeFill="background1"/>
            <w:noWrap/>
            <w:hideMark/>
          </w:tcPr>
          <w:p w14:paraId="2493A467" w14:textId="77777777" w:rsidR="001A20CA" w:rsidRPr="00337216" w:rsidRDefault="001A20CA" w:rsidP="00D83ECE">
            <w:pPr>
              <w:pStyle w:val="Report"/>
              <w:spacing w:line="480" w:lineRule="auto"/>
              <w:jc w:val="center"/>
              <w:rPr>
                <w:color w:val="000000"/>
              </w:rPr>
            </w:pPr>
            <w:r w:rsidRPr="00B17101">
              <w:t>0.15</w:t>
            </w:r>
          </w:p>
        </w:tc>
        <w:tc>
          <w:tcPr>
            <w:tcW w:w="1383" w:type="dxa"/>
            <w:tcBorders>
              <w:top w:val="nil"/>
              <w:left w:val="nil"/>
              <w:bottom w:val="single" w:sz="4" w:space="0" w:color="auto"/>
              <w:right w:val="single" w:sz="4" w:space="0" w:color="auto"/>
            </w:tcBorders>
            <w:shd w:val="clear" w:color="auto" w:fill="FFFFFF" w:themeFill="background1"/>
            <w:noWrap/>
            <w:hideMark/>
          </w:tcPr>
          <w:p w14:paraId="4F16B6BE" w14:textId="77777777" w:rsidR="001A20CA" w:rsidRPr="00337216" w:rsidRDefault="001A20CA" w:rsidP="00D83ECE">
            <w:pPr>
              <w:pStyle w:val="Report"/>
              <w:spacing w:line="480" w:lineRule="auto"/>
              <w:jc w:val="center"/>
              <w:rPr>
                <w:color w:val="000000"/>
              </w:rPr>
            </w:pPr>
            <w:r w:rsidRPr="00B17101">
              <w:t>0.34</w:t>
            </w:r>
          </w:p>
        </w:tc>
        <w:tc>
          <w:tcPr>
            <w:tcW w:w="1384" w:type="dxa"/>
            <w:tcBorders>
              <w:top w:val="nil"/>
              <w:left w:val="nil"/>
              <w:bottom w:val="single" w:sz="4" w:space="0" w:color="auto"/>
              <w:right w:val="single" w:sz="4" w:space="0" w:color="auto"/>
            </w:tcBorders>
            <w:shd w:val="clear" w:color="auto" w:fill="FFFFFF" w:themeFill="background1"/>
            <w:noWrap/>
            <w:hideMark/>
          </w:tcPr>
          <w:p w14:paraId="356D811F" w14:textId="77777777" w:rsidR="001A20CA" w:rsidRPr="00337216" w:rsidRDefault="001A20CA" w:rsidP="00D83ECE">
            <w:pPr>
              <w:pStyle w:val="Report"/>
              <w:spacing w:line="480" w:lineRule="auto"/>
              <w:jc w:val="center"/>
            </w:pPr>
            <w:r w:rsidRPr="00B17101">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44FF63E5" w14:textId="77777777" w:rsidR="001A20CA" w:rsidRPr="00337216" w:rsidRDefault="001A20CA" w:rsidP="00D83ECE">
            <w:pPr>
              <w:pStyle w:val="Report"/>
              <w:spacing w:line="480" w:lineRule="auto"/>
              <w:jc w:val="center"/>
              <w:rPr>
                <w:color w:val="000000"/>
              </w:rPr>
            </w:pPr>
            <w:r w:rsidRPr="00067DF0">
              <w:t>251.79</w:t>
            </w:r>
          </w:p>
        </w:tc>
        <w:tc>
          <w:tcPr>
            <w:tcW w:w="1384" w:type="dxa"/>
            <w:shd w:val="clear" w:color="auto" w:fill="FFFFFF" w:themeFill="background1"/>
          </w:tcPr>
          <w:p w14:paraId="14A815AC"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4018E824" w14:textId="77777777" w:rsidTr="00D83ECE">
        <w:trPr>
          <w:trHeight w:val="600"/>
        </w:trPr>
        <w:tc>
          <w:tcPr>
            <w:tcW w:w="1383" w:type="dxa"/>
            <w:shd w:val="clear" w:color="auto" w:fill="FFFFFF" w:themeFill="background1"/>
            <w:hideMark/>
          </w:tcPr>
          <w:p w14:paraId="278CED33" w14:textId="77777777" w:rsidR="001A20CA" w:rsidRPr="00337216" w:rsidRDefault="009028D0" w:rsidP="00D83ECE">
            <w:pPr>
              <w:pStyle w:val="Report"/>
              <w:spacing w:line="480" w:lineRule="auto"/>
              <w:jc w:val="center"/>
            </w:pPr>
            <w:hyperlink r:id="rId40" w:anchor="'freq-pow-rest-opt1'!A1" w:history="1">
              <w:r w:rsidR="001A20CA" w:rsidRPr="00337216">
                <w:t>Power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6474744C" w14:textId="77777777" w:rsidR="001A20CA" w:rsidRPr="00337216" w:rsidRDefault="001A20CA" w:rsidP="00D83ECE">
            <w:pPr>
              <w:pStyle w:val="Report"/>
              <w:spacing w:line="480" w:lineRule="auto"/>
              <w:jc w:val="center"/>
              <w:rPr>
                <w:color w:val="000000"/>
              </w:rPr>
            </w:pPr>
            <w:r w:rsidRPr="00B17101">
              <w:t>0.20</w:t>
            </w:r>
          </w:p>
        </w:tc>
        <w:tc>
          <w:tcPr>
            <w:tcW w:w="1384" w:type="dxa"/>
            <w:tcBorders>
              <w:top w:val="nil"/>
              <w:left w:val="nil"/>
              <w:bottom w:val="single" w:sz="4" w:space="0" w:color="auto"/>
              <w:right w:val="single" w:sz="4" w:space="0" w:color="auto"/>
            </w:tcBorders>
            <w:shd w:val="clear" w:color="auto" w:fill="FFFFFF" w:themeFill="background1"/>
            <w:noWrap/>
            <w:hideMark/>
          </w:tcPr>
          <w:p w14:paraId="629E7F58" w14:textId="77777777" w:rsidR="001A20CA" w:rsidRPr="00337216" w:rsidRDefault="001A20CA" w:rsidP="00D83ECE">
            <w:pPr>
              <w:pStyle w:val="Report"/>
              <w:spacing w:line="480" w:lineRule="auto"/>
              <w:jc w:val="center"/>
              <w:rPr>
                <w:color w:val="000000"/>
              </w:rPr>
            </w:pPr>
            <w:r w:rsidRPr="00B17101">
              <w:t>0.15</w:t>
            </w:r>
          </w:p>
        </w:tc>
        <w:tc>
          <w:tcPr>
            <w:tcW w:w="1383" w:type="dxa"/>
            <w:tcBorders>
              <w:top w:val="nil"/>
              <w:left w:val="nil"/>
              <w:bottom w:val="single" w:sz="4" w:space="0" w:color="auto"/>
              <w:right w:val="single" w:sz="4" w:space="0" w:color="auto"/>
            </w:tcBorders>
            <w:shd w:val="clear" w:color="auto" w:fill="FFFFFF" w:themeFill="background1"/>
            <w:noWrap/>
            <w:hideMark/>
          </w:tcPr>
          <w:p w14:paraId="758836D8" w14:textId="77777777" w:rsidR="001A20CA" w:rsidRPr="00337216" w:rsidRDefault="001A20CA" w:rsidP="00D83ECE">
            <w:pPr>
              <w:pStyle w:val="Report"/>
              <w:spacing w:line="480" w:lineRule="auto"/>
              <w:jc w:val="center"/>
              <w:rPr>
                <w:color w:val="000000"/>
              </w:rPr>
            </w:pPr>
            <w:r w:rsidRPr="00B17101">
              <w:t>0.33</w:t>
            </w:r>
          </w:p>
        </w:tc>
        <w:tc>
          <w:tcPr>
            <w:tcW w:w="1384" w:type="dxa"/>
            <w:tcBorders>
              <w:top w:val="nil"/>
              <w:left w:val="nil"/>
              <w:bottom w:val="single" w:sz="4" w:space="0" w:color="auto"/>
              <w:right w:val="single" w:sz="4" w:space="0" w:color="auto"/>
            </w:tcBorders>
            <w:shd w:val="clear" w:color="auto" w:fill="FFFFFF" w:themeFill="background1"/>
            <w:noWrap/>
            <w:hideMark/>
          </w:tcPr>
          <w:p w14:paraId="05AD018C" w14:textId="77777777" w:rsidR="001A20CA" w:rsidRPr="00337216" w:rsidRDefault="001A20CA" w:rsidP="00D83ECE">
            <w:pPr>
              <w:pStyle w:val="Report"/>
              <w:spacing w:line="480" w:lineRule="auto"/>
              <w:jc w:val="center"/>
            </w:pPr>
            <w:r w:rsidRPr="00B17101">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5920FBC0" w14:textId="77777777" w:rsidR="001A20CA" w:rsidRPr="00337216" w:rsidRDefault="001A20CA" w:rsidP="00D83ECE">
            <w:pPr>
              <w:pStyle w:val="Report"/>
              <w:spacing w:line="480" w:lineRule="auto"/>
              <w:jc w:val="center"/>
              <w:rPr>
                <w:color w:val="000000"/>
              </w:rPr>
            </w:pPr>
            <w:r w:rsidRPr="00067DF0">
              <w:t>251.79</w:t>
            </w:r>
          </w:p>
        </w:tc>
        <w:tc>
          <w:tcPr>
            <w:tcW w:w="1384" w:type="dxa"/>
            <w:shd w:val="clear" w:color="auto" w:fill="FFFFFF" w:themeFill="background1"/>
          </w:tcPr>
          <w:p w14:paraId="6166CED0" w14:textId="77777777" w:rsidR="001A20CA" w:rsidRPr="00337216" w:rsidRDefault="001A20CA" w:rsidP="00D83ECE">
            <w:pPr>
              <w:pStyle w:val="Report"/>
              <w:spacing w:line="480" w:lineRule="auto"/>
              <w:jc w:val="center"/>
              <w:rPr>
                <w:color w:val="000000"/>
              </w:rPr>
            </w:pPr>
            <w:r>
              <w:rPr>
                <w:bCs/>
                <w:color w:val="000000"/>
              </w:rPr>
              <w:t>No</w:t>
            </w:r>
          </w:p>
        </w:tc>
      </w:tr>
      <w:tr w:rsidR="001A20CA" w:rsidRPr="00ED7CE9" w14:paraId="318CF092" w14:textId="77777777" w:rsidTr="00D83ECE">
        <w:trPr>
          <w:trHeight w:val="600"/>
        </w:trPr>
        <w:tc>
          <w:tcPr>
            <w:tcW w:w="1383" w:type="dxa"/>
            <w:shd w:val="clear" w:color="auto" w:fill="FFFFFF" w:themeFill="background1"/>
            <w:hideMark/>
          </w:tcPr>
          <w:p w14:paraId="168E7A1B" w14:textId="77777777" w:rsidR="001A20CA" w:rsidRPr="00337216" w:rsidRDefault="009028D0" w:rsidP="00D83ECE">
            <w:pPr>
              <w:pStyle w:val="Report"/>
              <w:spacing w:line="480" w:lineRule="auto"/>
              <w:jc w:val="center"/>
            </w:pPr>
            <w:hyperlink r:id="rId41" w:anchor="'freq-lin-unrest-opt1'!A1" w:history="1">
              <w:r w:rsidR="001A20CA" w:rsidRPr="00337216">
                <w:t>Linear (CV - normal)</w:t>
              </w:r>
            </w:hyperlink>
          </w:p>
        </w:tc>
        <w:tc>
          <w:tcPr>
            <w:tcW w:w="1384" w:type="dxa"/>
            <w:tcBorders>
              <w:top w:val="nil"/>
              <w:left w:val="single" w:sz="4" w:space="0" w:color="auto"/>
              <w:bottom w:val="single" w:sz="4" w:space="0" w:color="auto"/>
              <w:right w:val="single" w:sz="4" w:space="0" w:color="auto"/>
            </w:tcBorders>
            <w:shd w:val="clear" w:color="auto" w:fill="FFFFFF" w:themeFill="background1"/>
            <w:noWrap/>
            <w:hideMark/>
          </w:tcPr>
          <w:p w14:paraId="72EF2D28" w14:textId="77777777" w:rsidR="001A20CA" w:rsidRPr="00337216" w:rsidRDefault="001A20CA" w:rsidP="00D83ECE">
            <w:pPr>
              <w:pStyle w:val="Report"/>
              <w:spacing w:line="480" w:lineRule="auto"/>
              <w:jc w:val="center"/>
              <w:rPr>
                <w:color w:val="000000"/>
              </w:rPr>
            </w:pPr>
            <w:r w:rsidRPr="00B17101">
              <w:t>0.19</w:t>
            </w:r>
          </w:p>
        </w:tc>
        <w:tc>
          <w:tcPr>
            <w:tcW w:w="1384" w:type="dxa"/>
            <w:tcBorders>
              <w:top w:val="nil"/>
              <w:left w:val="nil"/>
              <w:bottom w:val="single" w:sz="4" w:space="0" w:color="auto"/>
              <w:right w:val="single" w:sz="4" w:space="0" w:color="auto"/>
            </w:tcBorders>
            <w:shd w:val="clear" w:color="auto" w:fill="FFFFFF" w:themeFill="background1"/>
            <w:noWrap/>
            <w:hideMark/>
          </w:tcPr>
          <w:p w14:paraId="5CA43F15" w14:textId="77777777" w:rsidR="001A20CA" w:rsidRPr="00337216" w:rsidRDefault="001A20CA" w:rsidP="00D83ECE">
            <w:pPr>
              <w:pStyle w:val="Report"/>
              <w:spacing w:line="480" w:lineRule="auto"/>
              <w:jc w:val="center"/>
              <w:rPr>
                <w:color w:val="000000"/>
              </w:rPr>
            </w:pPr>
            <w:r w:rsidRPr="00B17101">
              <w:t>0.15</w:t>
            </w:r>
          </w:p>
        </w:tc>
        <w:tc>
          <w:tcPr>
            <w:tcW w:w="1383" w:type="dxa"/>
            <w:tcBorders>
              <w:top w:val="nil"/>
              <w:left w:val="nil"/>
              <w:bottom w:val="single" w:sz="4" w:space="0" w:color="auto"/>
              <w:right w:val="single" w:sz="4" w:space="0" w:color="auto"/>
            </w:tcBorders>
            <w:shd w:val="clear" w:color="auto" w:fill="FFFFFF" w:themeFill="background1"/>
            <w:noWrap/>
            <w:hideMark/>
          </w:tcPr>
          <w:p w14:paraId="2414E3AB" w14:textId="77777777" w:rsidR="001A20CA" w:rsidRPr="00337216" w:rsidRDefault="001A20CA" w:rsidP="00D83ECE">
            <w:pPr>
              <w:pStyle w:val="Report"/>
              <w:spacing w:line="480" w:lineRule="auto"/>
              <w:jc w:val="center"/>
              <w:rPr>
                <w:color w:val="000000"/>
              </w:rPr>
            </w:pPr>
            <w:r w:rsidRPr="00B17101">
              <w:t>0.29</w:t>
            </w:r>
          </w:p>
        </w:tc>
        <w:tc>
          <w:tcPr>
            <w:tcW w:w="1384" w:type="dxa"/>
            <w:tcBorders>
              <w:top w:val="nil"/>
              <w:left w:val="nil"/>
              <w:bottom w:val="single" w:sz="4" w:space="0" w:color="auto"/>
              <w:right w:val="single" w:sz="4" w:space="0" w:color="auto"/>
            </w:tcBorders>
            <w:shd w:val="clear" w:color="auto" w:fill="FFFFFF" w:themeFill="background1"/>
            <w:noWrap/>
            <w:hideMark/>
          </w:tcPr>
          <w:p w14:paraId="506EE532" w14:textId="77777777" w:rsidR="001A20CA" w:rsidRPr="00337216" w:rsidRDefault="001A20CA" w:rsidP="00D83ECE">
            <w:pPr>
              <w:pStyle w:val="Report"/>
              <w:spacing w:line="480" w:lineRule="auto"/>
              <w:jc w:val="center"/>
            </w:pPr>
            <w:r w:rsidRPr="00B17101">
              <w:t>&lt;0.0001</w:t>
            </w:r>
          </w:p>
        </w:tc>
        <w:tc>
          <w:tcPr>
            <w:tcW w:w="1384" w:type="dxa"/>
            <w:tcBorders>
              <w:top w:val="nil"/>
              <w:left w:val="nil"/>
              <w:bottom w:val="single" w:sz="4" w:space="0" w:color="auto"/>
              <w:right w:val="single" w:sz="4" w:space="0" w:color="auto"/>
            </w:tcBorders>
            <w:shd w:val="clear" w:color="auto" w:fill="FFFFFF" w:themeFill="background1"/>
            <w:noWrap/>
            <w:hideMark/>
          </w:tcPr>
          <w:p w14:paraId="495B9358" w14:textId="77777777" w:rsidR="001A20CA" w:rsidRPr="00337216" w:rsidRDefault="001A20CA" w:rsidP="00D83ECE">
            <w:pPr>
              <w:pStyle w:val="Report"/>
              <w:spacing w:line="480" w:lineRule="auto"/>
              <w:jc w:val="center"/>
              <w:rPr>
                <w:color w:val="000000"/>
              </w:rPr>
            </w:pPr>
            <w:r w:rsidRPr="00067DF0">
              <w:t>259.52</w:t>
            </w:r>
          </w:p>
        </w:tc>
        <w:tc>
          <w:tcPr>
            <w:tcW w:w="1384" w:type="dxa"/>
            <w:shd w:val="clear" w:color="auto" w:fill="FFFFFF" w:themeFill="background1"/>
          </w:tcPr>
          <w:p w14:paraId="59306B30" w14:textId="77777777" w:rsidR="001A20CA" w:rsidRPr="00337216" w:rsidRDefault="001A20CA" w:rsidP="00D83ECE">
            <w:pPr>
              <w:pStyle w:val="Report"/>
              <w:spacing w:line="480" w:lineRule="auto"/>
              <w:jc w:val="center"/>
              <w:rPr>
                <w:color w:val="000000"/>
              </w:rPr>
            </w:pPr>
            <w:r w:rsidRPr="00337216">
              <w:rPr>
                <w:color w:val="000000"/>
              </w:rPr>
              <w:t>Yes</w:t>
            </w:r>
          </w:p>
        </w:tc>
      </w:tr>
    </w:tbl>
    <w:p w14:paraId="06F5EC9B" w14:textId="77777777" w:rsidR="001A20CA" w:rsidRPr="00FD1FDC" w:rsidRDefault="001A20CA" w:rsidP="001A20CA">
      <w:pPr>
        <w:pStyle w:val="Manuscript"/>
      </w:pPr>
    </w:p>
    <w:p w14:paraId="2382A870" w14:textId="77777777" w:rsidR="001A20CA" w:rsidRDefault="001A20CA" w:rsidP="001A20CA">
      <w:pPr>
        <w:rPr>
          <w:rFonts w:asciiTheme="majorHAnsi" w:eastAsiaTheme="majorEastAsia" w:hAnsiTheme="majorHAnsi" w:cstheme="majorBidi"/>
          <w:color w:val="2F5496" w:themeColor="accent1" w:themeShade="BF"/>
          <w:sz w:val="32"/>
          <w:szCs w:val="32"/>
        </w:rPr>
      </w:pPr>
      <w:r>
        <w:br w:type="page"/>
      </w:r>
    </w:p>
    <w:p w14:paraId="66849804" w14:textId="50E2BA39" w:rsidR="001A20CA" w:rsidRDefault="001A20CA" w:rsidP="001A20CA">
      <w:pPr>
        <w:pStyle w:val="Heading1"/>
      </w:pPr>
      <w:r w:rsidRPr="00FF6636">
        <w:lastRenderedPageBreak/>
        <w:t xml:space="preserve">Supplementary </w:t>
      </w:r>
      <w:r w:rsidR="008633E7">
        <w:t>material</w:t>
      </w:r>
      <w:r w:rsidRPr="00FF6636">
        <w:t xml:space="preserve"> S</w:t>
      </w:r>
      <w:r>
        <w:t>3</w:t>
      </w:r>
      <w:r w:rsidRPr="00FF6636">
        <w:t>.</w:t>
      </w:r>
      <w:r>
        <w:t xml:space="preserve"> </w:t>
      </w:r>
      <w:r w:rsidR="00DE44AD">
        <w:t>Evaluation of exposures to ZEA</w:t>
      </w:r>
    </w:p>
    <w:p w14:paraId="0E3098B1" w14:textId="77777777" w:rsidR="008633E7" w:rsidRDefault="008633E7" w:rsidP="008633E7">
      <w:pPr>
        <w:pStyle w:val="Manuscript"/>
      </w:pPr>
      <w:r w:rsidRPr="008633E7">
        <w:rPr>
          <w:b/>
          <w:bCs/>
        </w:rPr>
        <w:t>Supplementary Table S3.</w:t>
      </w:r>
      <w:r>
        <w:t xml:space="preserve"> The EAR</w:t>
      </w:r>
      <w:r>
        <w:rPr>
          <w:vertAlign w:val="subscript"/>
        </w:rPr>
        <w:t xml:space="preserve">test </w:t>
      </w:r>
      <w:r>
        <w:t xml:space="preserve">values at the EDI and TDI of ZEA </w:t>
      </w:r>
      <w:r w:rsidRPr="00E52903">
        <w:t>compounds</w:t>
      </w:r>
      <w:r>
        <w:t xml:space="preserve"> based on the </w:t>
      </w:r>
      <w:r w:rsidRPr="00B56418">
        <w:t>MCF-7/Bos proliferation assay, T47D ER-CALUX assay, and U2OS ERα-CALUX assay</w:t>
      </w:r>
      <w:r>
        <w:t xml:space="preserve"> calculated using Eq. 2.</w:t>
      </w:r>
    </w:p>
    <w:p w14:paraId="07806A19" w14:textId="77777777" w:rsidR="001A20CA" w:rsidRDefault="001A20CA">
      <w:pPr>
        <w:rPr>
          <w:rFonts w:asciiTheme="majorHAnsi" w:eastAsiaTheme="majorEastAsia" w:hAnsiTheme="majorHAnsi" w:cstheme="majorBidi"/>
          <w:color w:val="2F5496" w:themeColor="accent1" w:themeShade="BF"/>
          <w:sz w:val="32"/>
          <w:szCs w:val="32"/>
        </w:rPr>
      </w:pPr>
      <w:r>
        <w:br w:type="page"/>
      </w:r>
    </w:p>
    <w:p w14:paraId="77A93343" w14:textId="77777777" w:rsidR="001A20CA" w:rsidRDefault="001A20CA" w:rsidP="001A20CA">
      <w:pPr>
        <w:pStyle w:val="Heading1"/>
        <w:sectPr w:rsidR="001A20CA" w:rsidSect="001A20CA">
          <w:pgSz w:w="11906" w:h="16838"/>
          <w:pgMar w:top="1418" w:right="1418" w:bottom="1418" w:left="1418" w:header="720" w:footer="720" w:gutter="0"/>
          <w:cols w:space="720"/>
          <w:docGrid w:linePitch="360"/>
        </w:sectPr>
      </w:pPr>
    </w:p>
    <w:tbl>
      <w:tblPr>
        <w:tblStyle w:val="TableGrid"/>
        <w:tblW w:w="5005" w:type="pct"/>
        <w:tblLook w:val="0600" w:firstRow="0" w:lastRow="0" w:firstColumn="0" w:lastColumn="0" w:noHBand="1" w:noVBand="1"/>
      </w:tblPr>
      <w:tblGrid>
        <w:gridCol w:w="1173"/>
        <w:gridCol w:w="1423"/>
        <w:gridCol w:w="1154"/>
        <w:gridCol w:w="1126"/>
        <w:gridCol w:w="1140"/>
        <w:gridCol w:w="1146"/>
        <w:gridCol w:w="1140"/>
        <w:gridCol w:w="1140"/>
        <w:gridCol w:w="1146"/>
        <w:gridCol w:w="1143"/>
        <w:gridCol w:w="1143"/>
        <w:gridCol w:w="1132"/>
      </w:tblGrid>
      <w:tr w:rsidR="001A20CA" w:rsidRPr="00F244F8" w14:paraId="0A61FC74" w14:textId="77777777" w:rsidTr="00D83ECE">
        <w:trPr>
          <w:trHeight w:val="391"/>
        </w:trPr>
        <w:tc>
          <w:tcPr>
            <w:tcW w:w="419" w:type="pct"/>
          </w:tcPr>
          <w:p w14:paraId="25D01F30" w14:textId="77777777" w:rsidR="001A20CA" w:rsidRPr="00F244F8" w:rsidRDefault="001A20CA" w:rsidP="00D83ECE">
            <w:pPr>
              <w:pStyle w:val="Manuscript"/>
              <w:jc w:val="left"/>
              <w:rPr>
                <w:rFonts w:ascii="Verdana" w:hAnsi="Verdana" w:cs="Times New Roman"/>
                <w:b/>
                <w:bCs/>
                <w:sz w:val="16"/>
                <w:szCs w:val="16"/>
              </w:rPr>
            </w:pPr>
            <w:r w:rsidRPr="00F244F8">
              <w:rPr>
                <w:rFonts w:ascii="Verdana" w:hAnsi="Verdana"/>
                <w:b/>
                <w:bCs/>
                <w:sz w:val="16"/>
                <w:szCs w:val="16"/>
              </w:rPr>
              <w:lastRenderedPageBreak/>
              <w:t>Compound</w:t>
            </w:r>
          </w:p>
        </w:tc>
        <w:tc>
          <w:tcPr>
            <w:tcW w:w="508" w:type="pct"/>
          </w:tcPr>
          <w:p w14:paraId="3C494C1B" w14:textId="77777777" w:rsidR="001A20CA" w:rsidRPr="00F244F8" w:rsidRDefault="001A20CA" w:rsidP="00D83ECE">
            <w:pPr>
              <w:pStyle w:val="Manuscript"/>
              <w:jc w:val="left"/>
              <w:rPr>
                <w:rFonts w:ascii="Verdana" w:hAnsi="Verdana" w:cs="Times New Roman"/>
                <w:b/>
                <w:bCs/>
                <w:sz w:val="16"/>
                <w:szCs w:val="16"/>
              </w:rPr>
            </w:pPr>
            <w:r w:rsidRPr="00F244F8">
              <w:rPr>
                <w:rFonts w:ascii="Verdana" w:hAnsi="Verdana"/>
                <w:b/>
                <w:bCs/>
                <w:sz w:val="16"/>
                <w:szCs w:val="16"/>
              </w:rPr>
              <w:t>Exposure scenario(s)</w:t>
            </w:r>
          </w:p>
        </w:tc>
        <w:tc>
          <w:tcPr>
            <w:tcW w:w="412" w:type="pct"/>
          </w:tcPr>
          <w:p w14:paraId="62F96F37" w14:textId="77777777" w:rsidR="001A20CA" w:rsidRPr="00F244F8" w:rsidRDefault="001A20CA" w:rsidP="00D83ECE">
            <w:pPr>
              <w:pStyle w:val="Manuscript"/>
              <w:jc w:val="left"/>
              <w:rPr>
                <w:rFonts w:ascii="Verdana" w:hAnsi="Verdana" w:cs="Times New Roman"/>
                <w:b/>
                <w:bCs/>
                <w:sz w:val="16"/>
                <w:szCs w:val="16"/>
              </w:rPr>
            </w:pPr>
            <w:r w:rsidRPr="00F244F8">
              <w:rPr>
                <w:rFonts w:ascii="Verdana" w:hAnsi="Verdana"/>
                <w:b/>
                <w:bCs/>
                <w:sz w:val="16"/>
                <w:szCs w:val="16"/>
              </w:rPr>
              <w:t>Reference</w:t>
            </w:r>
          </w:p>
        </w:tc>
        <w:tc>
          <w:tcPr>
            <w:tcW w:w="1217" w:type="pct"/>
            <w:gridSpan w:val="3"/>
          </w:tcPr>
          <w:p w14:paraId="162C6ECB" w14:textId="77777777" w:rsidR="001A20CA" w:rsidRPr="00F244F8" w:rsidRDefault="001A20CA" w:rsidP="00D83ECE">
            <w:pPr>
              <w:pStyle w:val="Manuscript"/>
              <w:jc w:val="left"/>
              <w:rPr>
                <w:rFonts w:ascii="Verdana" w:hAnsi="Verdana" w:cs="Times New Roman"/>
                <w:b/>
                <w:bCs/>
                <w:sz w:val="16"/>
                <w:szCs w:val="16"/>
              </w:rPr>
            </w:pPr>
            <w:r w:rsidRPr="00F244F8">
              <w:rPr>
                <w:rFonts w:ascii="Verdana" w:hAnsi="Verdana"/>
                <w:b/>
                <w:bCs/>
                <w:sz w:val="16"/>
                <w:szCs w:val="16"/>
              </w:rPr>
              <w:t>EAR</w:t>
            </w:r>
            <w:r w:rsidRPr="00F244F8">
              <w:rPr>
                <w:rFonts w:ascii="Verdana" w:hAnsi="Verdana"/>
                <w:b/>
                <w:bCs/>
                <w:position w:val="-4"/>
                <w:sz w:val="16"/>
                <w:szCs w:val="16"/>
                <w:vertAlign w:val="subscript"/>
              </w:rPr>
              <w:t>test</w:t>
            </w:r>
            <w:r w:rsidRPr="00F244F8">
              <w:rPr>
                <w:rFonts w:ascii="Verdana" w:hAnsi="Verdana"/>
                <w:b/>
                <w:bCs/>
                <w:sz w:val="16"/>
                <w:szCs w:val="16"/>
              </w:rPr>
              <w:t xml:space="preserve"> MCF-7/BOS proliferation</w:t>
            </w:r>
          </w:p>
        </w:tc>
        <w:tc>
          <w:tcPr>
            <w:tcW w:w="1222" w:type="pct"/>
            <w:gridSpan w:val="3"/>
          </w:tcPr>
          <w:p w14:paraId="41A3251B" w14:textId="77777777" w:rsidR="001A20CA" w:rsidRPr="00F244F8" w:rsidRDefault="001A20CA" w:rsidP="00D83ECE">
            <w:pPr>
              <w:pStyle w:val="Manuscript"/>
              <w:jc w:val="left"/>
              <w:rPr>
                <w:rFonts w:ascii="Verdana" w:hAnsi="Verdana"/>
                <w:b/>
                <w:bCs/>
                <w:sz w:val="16"/>
                <w:szCs w:val="16"/>
              </w:rPr>
            </w:pPr>
            <w:r w:rsidRPr="00F244F8">
              <w:rPr>
                <w:rFonts w:ascii="Verdana" w:hAnsi="Verdana"/>
                <w:b/>
                <w:bCs/>
                <w:sz w:val="16"/>
                <w:szCs w:val="16"/>
              </w:rPr>
              <w:t>EAR</w:t>
            </w:r>
            <w:r w:rsidRPr="00F244F8">
              <w:rPr>
                <w:rFonts w:ascii="Verdana" w:hAnsi="Verdana"/>
                <w:b/>
                <w:bCs/>
                <w:position w:val="-4"/>
                <w:sz w:val="16"/>
                <w:szCs w:val="16"/>
                <w:vertAlign w:val="subscript"/>
              </w:rPr>
              <w:t>test</w:t>
            </w:r>
            <w:r w:rsidRPr="00F244F8">
              <w:rPr>
                <w:rFonts w:ascii="Verdana" w:hAnsi="Verdana"/>
                <w:b/>
                <w:bCs/>
                <w:sz w:val="16"/>
                <w:szCs w:val="16"/>
              </w:rPr>
              <w:t xml:space="preserve"> T47D ER-CALUX</w:t>
            </w:r>
          </w:p>
        </w:tc>
        <w:tc>
          <w:tcPr>
            <w:tcW w:w="1218" w:type="pct"/>
            <w:gridSpan w:val="3"/>
          </w:tcPr>
          <w:p w14:paraId="2AD361F7" w14:textId="77777777" w:rsidR="001A20CA" w:rsidRPr="00F244F8" w:rsidRDefault="001A20CA" w:rsidP="00D83ECE">
            <w:pPr>
              <w:pStyle w:val="Manuscript"/>
              <w:jc w:val="left"/>
              <w:rPr>
                <w:rFonts w:ascii="Verdana" w:hAnsi="Verdana"/>
                <w:b/>
                <w:bCs/>
                <w:sz w:val="16"/>
                <w:szCs w:val="16"/>
              </w:rPr>
            </w:pPr>
            <w:r w:rsidRPr="00F244F8">
              <w:rPr>
                <w:rFonts w:ascii="Verdana" w:hAnsi="Verdana"/>
                <w:b/>
                <w:bCs/>
                <w:sz w:val="16"/>
                <w:szCs w:val="16"/>
              </w:rPr>
              <w:t>EAR</w:t>
            </w:r>
            <w:r w:rsidRPr="00F244F8">
              <w:rPr>
                <w:rFonts w:ascii="Verdana" w:hAnsi="Verdana"/>
                <w:b/>
                <w:bCs/>
                <w:position w:val="-4"/>
                <w:sz w:val="16"/>
                <w:szCs w:val="16"/>
                <w:vertAlign w:val="subscript"/>
              </w:rPr>
              <w:t>test</w:t>
            </w:r>
            <w:r w:rsidRPr="00F244F8">
              <w:rPr>
                <w:rFonts w:ascii="Verdana" w:hAnsi="Verdana"/>
                <w:b/>
                <w:bCs/>
                <w:sz w:val="16"/>
                <w:szCs w:val="16"/>
              </w:rPr>
              <w:t xml:space="preserve"> U2OS ER</w:t>
            </w:r>
            <w:r w:rsidRPr="00F244F8">
              <w:rPr>
                <w:rFonts w:ascii="Verdana" w:hAnsi="Verdana"/>
                <w:b/>
                <w:bCs/>
                <w:sz w:val="16"/>
                <w:szCs w:val="16"/>
                <w:lang w:val="el-GR"/>
              </w:rPr>
              <w:t>α-</w:t>
            </w:r>
            <w:r w:rsidRPr="00F244F8">
              <w:rPr>
                <w:rFonts w:ascii="Verdana" w:hAnsi="Verdana"/>
                <w:b/>
                <w:bCs/>
                <w:sz w:val="16"/>
                <w:szCs w:val="16"/>
              </w:rPr>
              <w:t>CALUX</w:t>
            </w:r>
          </w:p>
        </w:tc>
      </w:tr>
      <w:tr w:rsidR="001A20CA" w:rsidRPr="00F244F8" w14:paraId="1CA2F4C3" w14:textId="77777777" w:rsidTr="00D83ECE">
        <w:trPr>
          <w:trHeight w:val="391"/>
        </w:trPr>
        <w:tc>
          <w:tcPr>
            <w:tcW w:w="419" w:type="pct"/>
          </w:tcPr>
          <w:p w14:paraId="6C1E98B3" w14:textId="77777777" w:rsidR="001A20CA" w:rsidRPr="00F244F8" w:rsidRDefault="001A20CA" w:rsidP="00D83ECE">
            <w:pPr>
              <w:pStyle w:val="Manuscript"/>
              <w:jc w:val="left"/>
              <w:rPr>
                <w:rFonts w:ascii="Verdana" w:hAnsi="Verdana"/>
                <w:b/>
                <w:bCs/>
                <w:sz w:val="16"/>
                <w:szCs w:val="16"/>
              </w:rPr>
            </w:pPr>
          </w:p>
        </w:tc>
        <w:tc>
          <w:tcPr>
            <w:tcW w:w="508" w:type="pct"/>
          </w:tcPr>
          <w:p w14:paraId="6CD4EB75" w14:textId="77777777" w:rsidR="001A20CA" w:rsidRPr="00F244F8" w:rsidRDefault="001A20CA" w:rsidP="00D83ECE">
            <w:pPr>
              <w:pStyle w:val="Manuscript"/>
              <w:jc w:val="left"/>
              <w:rPr>
                <w:rFonts w:ascii="Verdana" w:hAnsi="Verdana"/>
                <w:b/>
                <w:bCs/>
                <w:sz w:val="16"/>
                <w:szCs w:val="16"/>
              </w:rPr>
            </w:pPr>
          </w:p>
        </w:tc>
        <w:tc>
          <w:tcPr>
            <w:tcW w:w="412" w:type="pct"/>
          </w:tcPr>
          <w:p w14:paraId="3F59DF04" w14:textId="77777777" w:rsidR="001A20CA" w:rsidRPr="00F244F8" w:rsidRDefault="001A20CA" w:rsidP="00D83ECE">
            <w:pPr>
              <w:pStyle w:val="Manuscript"/>
              <w:jc w:val="left"/>
              <w:rPr>
                <w:rFonts w:ascii="Verdana" w:hAnsi="Verdana"/>
                <w:b/>
                <w:bCs/>
                <w:sz w:val="16"/>
                <w:szCs w:val="16"/>
              </w:rPr>
            </w:pPr>
          </w:p>
        </w:tc>
        <w:tc>
          <w:tcPr>
            <w:tcW w:w="402" w:type="pct"/>
          </w:tcPr>
          <w:p w14:paraId="75CD6B80" w14:textId="77777777" w:rsidR="001A20CA" w:rsidRPr="00F244F8" w:rsidRDefault="001A20CA" w:rsidP="00D83ECE">
            <w:pPr>
              <w:pStyle w:val="Manuscript"/>
              <w:jc w:val="left"/>
              <w:rPr>
                <w:rFonts w:ascii="Verdana" w:hAnsi="Verdana"/>
                <w:b/>
                <w:bCs/>
                <w:sz w:val="16"/>
                <w:szCs w:val="16"/>
              </w:rPr>
            </w:pPr>
            <w:r w:rsidRPr="00F244F8">
              <w:rPr>
                <w:rFonts w:ascii="Verdana" w:hAnsi="Verdana"/>
                <w:b/>
                <w:bCs/>
                <w:sz w:val="16"/>
                <w:szCs w:val="16"/>
              </w:rPr>
              <w:t>Lowest</w:t>
            </w:r>
          </w:p>
        </w:tc>
        <w:tc>
          <w:tcPr>
            <w:tcW w:w="407" w:type="pct"/>
          </w:tcPr>
          <w:p w14:paraId="64A1FF8A" w14:textId="77777777" w:rsidR="001A20CA" w:rsidRPr="00F244F8" w:rsidRDefault="001A20CA" w:rsidP="00D83ECE">
            <w:pPr>
              <w:pStyle w:val="Manuscript"/>
              <w:jc w:val="left"/>
              <w:rPr>
                <w:rFonts w:ascii="Verdana" w:hAnsi="Verdana"/>
                <w:b/>
                <w:bCs/>
                <w:sz w:val="16"/>
                <w:szCs w:val="16"/>
              </w:rPr>
            </w:pPr>
            <w:r>
              <w:rPr>
                <w:rFonts w:ascii="Verdana" w:hAnsi="Verdana"/>
                <w:b/>
                <w:bCs/>
                <w:sz w:val="16"/>
                <w:szCs w:val="16"/>
              </w:rPr>
              <w:t>M</w:t>
            </w:r>
            <w:r w:rsidRPr="00F244F8">
              <w:rPr>
                <w:rFonts w:ascii="Verdana" w:hAnsi="Verdana"/>
                <w:b/>
                <w:bCs/>
                <w:sz w:val="16"/>
                <w:szCs w:val="16"/>
              </w:rPr>
              <w:t>ean</w:t>
            </w:r>
          </w:p>
        </w:tc>
        <w:tc>
          <w:tcPr>
            <w:tcW w:w="409" w:type="pct"/>
          </w:tcPr>
          <w:p w14:paraId="35D53CA8" w14:textId="77777777" w:rsidR="001A20CA" w:rsidRPr="00F244F8" w:rsidRDefault="001A20CA" w:rsidP="00D83ECE">
            <w:pPr>
              <w:pStyle w:val="Manuscript"/>
              <w:jc w:val="left"/>
              <w:rPr>
                <w:rFonts w:ascii="Verdana" w:hAnsi="Verdana"/>
                <w:b/>
                <w:bCs/>
                <w:sz w:val="16"/>
                <w:szCs w:val="16"/>
              </w:rPr>
            </w:pPr>
            <w:r>
              <w:rPr>
                <w:rFonts w:ascii="Verdana" w:hAnsi="Verdana"/>
                <w:b/>
                <w:bCs/>
                <w:sz w:val="16"/>
                <w:szCs w:val="16"/>
              </w:rPr>
              <w:t>H</w:t>
            </w:r>
            <w:r w:rsidRPr="00F244F8">
              <w:rPr>
                <w:rFonts w:ascii="Verdana" w:hAnsi="Verdana"/>
                <w:b/>
                <w:bCs/>
                <w:sz w:val="16"/>
                <w:szCs w:val="16"/>
              </w:rPr>
              <w:t>ighest</w:t>
            </w:r>
          </w:p>
        </w:tc>
        <w:tc>
          <w:tcPr>
            <w:tcW w:w="407" w:type="pct"/>
          </w:tcPr>
          <w:p w14:paraId="5084C59B" w14:textId="77777777" w:rsidR="001A20CA" w:rsidRPr="00F244F8" w:rsidRDefault="001A20CA" w:rsidP="00D83ECE">
            <w:pPr>
              <w:pStyle w:val="Manuscript"/>
              <w:jc w:val="left"/>
              <w:rPr>
                <w:rFonts w:ascii="Verdana" w:hAnsi="Verdana"/>
                <w:b/>
                <w:bCs/>
                <w:sz w:val="16"/>
                <w:szCs w:val="16"/>
              </w:rPr>
            </w:pPr>
            <w:r w:rsidRPr="00F244F8">
              <w:rPr>
                <w:rFonts w:ascii="Verdana" w:hAnsi="Verdana"/>
                <w:b/>
                <w:bCs/>
                <w:sz w:val="16"/>
                <w:szCs w:val="16"/>
              </w:rPr>
              <w:t>Lowest</w:t>
            </w:r>
          </w:p>
        </w:tc>
        <w:tc>
          <w:tcPr>
            <w:tcW w:w="407" w:type="pct"/>
          </w:tcPr>
          <w:p w14:paraId="109DBD94" w14:textId="77777777" w:rsidR="001A20CA" w:rsidRPr="00F244F8" w:rsidRDefault="001A20CA" w:rsidP="00D83ECE">
            <w:pPr>
              <w:pStyle w:val="Manuscript"/>
              <w:jc w:val="left"/>
              <w:rPr>
                <w:rFonts w:ascii="Verdana" w:hAnsi="Verdana"/>
                <w:b/>
                <w:bCs/>
                <w:sz w:val="16"/>
                <w:szCs w:val="16"/>
              </w:rPr>
            </w:pPr>
            <w:r>
              <w:rPr>
                <w:rFonts w:ascii="Verdana" w:hAnsi="Verdana"/>
                <w:b/>
                <w:bCs/>
                <w:sz w:val="16"/>
                <w:szCs w:val="16"/>
              </w:rPr>
              <w:t>M</w:t>
            </w:r>
            <w:r w:rsidRPr="00F244F8">
              <w:rPr>
                <w:rFonts w:ascii="Verdana" w:hAnsi="Verdana"/>
                <w:b/>
                <w:bCs/>
                <w:sz w:val="16"/>
                <w:szCs w:val="16"/>
              </w:rPr>
              <w:t>ean</w:t>
            </w:r>
          </w:p>
        </w:tc>
        <w:tc>
          <w:tcPr>
            <w:tcW w:w="409" w:type="pct"/>
          </w:tcPr>
          <w:p w14:paraId="0E7E8A52" w14:textId="77777777" w:rsidR="001A20CA" w:rsidRPr="00F244F8" w:rsidRDefault="001A20CA" w:rsidP="00D83ECE">
            <w:pPr>
              <w:pStyle w:val="Manuscript"/>
              <w:jc w:val="left"/>
              <w:rPr>
                <w:rFonts w:ascii="Verdana" w:hAnsi="Verdana"/>
                <w:b/>
                <w:bCs/>
                <w:sz w:val="16"/>
                <w:szCs w:val="16"/>
              </w:rPr>
            </w:pPr>
            <w:r>
              <w:rPr>
                <w:rFonts w:ascii="Verdana" w:hAnsi="Verdana"/>
                <w:b/>
                <w:bCs/>
                <w:sz w:val="16"/>
                <w:szCs w:val="16"/>
              </w:rPr>
              <w:t>H</w:t>
            </w:r>
            <w:r w:rsidRPr="00F244F8">
              <w:rPr>
                <w:rFonts w:ascii="Verdana" w:hAnsi="Verdana"/>
                <w:b/>
                <w:bCs/>
                <w:sz w:val="16"/>
                <w:szCs w:val="16"/>
              </w:rPr>
              <w:t>ighest</w:t>
            </w:r>
          </w:p>
        </w:tc>
        <w:tc>
          <w:tcPr>
            <w:tcW w:w="408" w:type="pct"/>
          </w:tcPr>
          <w:p w14:paraId="278D1E11" w14:textId="77777777" w:rsidR="001A20CA" w:rsidRPr="00F244F8" w:rsidRDefault="001A20CA" w:rsidP="00D83ECE">
            <w:pPr>
              <w:pStyle w:val="Manuscript"/>
              <w:jc w:val="left"/>
              <w:rPr>
                <w:rFonts w:ascii="Verdana" w:hAnsi="Verdana"/>
                <w:b/>
                <w:bCs/>
                <w:sz w:val="16"/>
                <w:szCs w:val="16"/>
              </w:rPr>
            </w:pPr>
            <w:r w:rsidRPr="00F244F8">
              <w:rPr>
                <w:rFonts w:ascii="Verdana" w:hAnsi="Verdana"/>
                <w:b/>
                <w:bCs/>
                <w:sz w:val="16"/>
                <w:szCs w:val="16"/>
              </w:rPr>
              <w:t>Lowest</w:t>
            </w:r>
          </w:p>
        </w:tc>
        <w:tc>
          <w:tcPr>
            <w:tcW w:w="408" w:type="pct"/>
          </w:tcPr>
          <w:p w14:paraId="6BC74771" w14:textId="77777777" w:rsidR="001A20CA" w:rsidRPr="00F244F8" w:rsidRDefault="001A20CA" w:rsidP="00D83ECE">
            <w:pPr>
              <w:pStyle w:val="Manuscript"/>
              <w:jc w:val="left"/>
              <w:rPr>
                <w:rFonts w:ascii="Verdana" w:hAnsi="Verdana"/>
                <w:b/>
                <w:bCs/>
                <w:sz w:val="16"/>
                <w:szCs w:val="16"/>
              </w:rPr>
            </w:pPr>
            <w:r>
              <w:rPr>
                <w:rFonts w:ascii="Verdana" w:hAnsi="Verdana"/>
                <w:b/>
                <w:bCs/>
                <w:sz w:val="16"/>
                <w:szCs w:val="16"/>
              </w:rPr>
              <w:t>M</w:t>
            </w:r>
            <w:r w:rsidRPr="00F244F8">
              <w:rPr>
                <w:rFonts w:ascii="Verdana" w:hAnsi="Verdana"/>
                <w:b/>
                <w:bCs/>
                <w:sz w:val="16"/>
                <w:szCs w:val="16"/>
              </w:rPr>
              <w:t>ean</w:t>
            </w:r>
          </w:p>
        </w:tc>
        <w:tc>
          <w:tcPr>
            <w:tcW w:w="403" w:type="pct"/>
          </w:tcPr>
          <w:p w14:paraId="570CAF03" w14:textId="77777777" w:rsidR="001A20CA" w:rsidRPr="00F244F8" w:rsidRDefault="001A20CA" w:rsidP="00D83ECE">
            <w:pPr>
              <w:rPr>
                <w:b/>
                <w:bCs/>
                <w:sz w:val="16"/>
                <w:szCs w:val="16"/>
              </w:rPr>
            </w:pPr>
            <w:r>
              <w:rPr>
                <w:b/>
                <w:bCs/>
                <w:sz w:val="16"/>
                <w:szCs w:val="16"/>
              </w:rPr>
              <w:t>H</w:t>
            </w:r>
            <w:r w:rsidRPr="00F244F8">
              <w:rPr>
                <w:b/>
                <w:bCs/>
                <w:sz w:val="16"/>
                <w:szCs w:val="16"/>
              </w:rPr>
              <w:t>ighest</w:t>
            </w:r>
          </w:p>
        </w:tc>
      </w:tr>
      <w:tr w:rsidR="001A20CA" w:rsidRPr="00F244F8" w14:paraId="68835544" w14:textId="77777777" w:rsidTr="00D83ECE">
        <w:trPr>
          <w:trHeight w:val="391"/>
        </w:trPr>
        <w:tc>
          <w:tcPr>
            <w:tcW w:w="419" w:type="pct"/>
          </w:tcPr>
          <w:p w14:paraId="32949B2E" w14:textId="77777777" w:rsidR="001A20CA" w:rsidRPr="00F244F8" w:rsidRDefault="001A20CA" w:rsidP="00D83ECE">
            <w:pPr>
              <w:pStyle w:val="Manuscript"/>
              <w:jc w:val="left"/>
              <w:rPr>
                <w:rFonts w:ascii="Verdana" w:hAnsi="Verdana"/>
                <w:sz w:val="16"/>
                <w:szCs w:val="16"/>
              </w:rPr>
            </w:pPr>
            <w:r>
              <w:rPr>
                <w:rFonts w:ascii="Verdana" w:hAnsi="Verdana"/>
                <w:sz w:val="16"/>
                <w:szCs w:val="16"/>
              </w:rPr>
              <w:t>ZEA</w:t>
            </w:r>
          </w:p>
        </w:tc>
        <w:tc>
          <w:tcPr>
            <w:tcW w:w="508" w:type="pct"/>
          </w:tcPr>
          <w:p w14:paraId="0A121259" w14:textId="77777777" w:rsidR="001A20CA" w:rsidRPr="00F244F8" w:rsidRDefault="001A20CA" w:rsidP="00D83ECE">
            <w:pPr>
              <w:pStyle w:val="Manuscript"/>
              <w:jc w:val="left"/>
              <w:rPr>
                <w:rFonts w:ascii="Verdana" w:hAnsi="Verdana"/>
                <w:sz w:val="16"/>
                <w:szCs w:val="16"/>
              </w:rPr>
            </w:pPr>
            <w:r>
              <w:rPr>
                <w:rFonts w:ascii="Verdana" w:hAnsi="Verdana"/>
                <w:sz w:val="16"/>
                <w:szCs w:val="16"/>
              </w:rPr>
              <w:t>TDI</w:t>
            </w:r>
          </w:p>
        </w:tc>
        <w:tc>
          <w:tcPr>
            <w:tcW w:w="412" w:type="pct"/>
          </w:tcPr>
          <w:p w14:paraId="7256A39D" w14:textId="42CB2F77" w:rsidR="001A20CA" w:rsidRPr="00F244F8" w:rsidRDefault="00BC42B9" w:rsidP="00D83ECE">
            <w:pPr>
              <w:pStyle w:val="Manuscript"/>
              <w:jc w:val="left"/>
              <w:rPr>
                <w:rFonts w:ascii="Verdana" w:hAnsi="Verdana"/>
                <w:sz w:val="16"/>
                <w:szCs w:val="16"/>
              </w:rPr>
            </w:pPr>
            <w:proofErr w:type="spellStart"/>
            <w:r>
              <w:rPr>
                <w:rFonts w:ascii="Verdana" w:hAnsi="Verdana"/>
                <w:sz w:val="16"/>
                <w:szCs w:val="16"/>
              </w:rPr>
              <w:t>Alexender</w:t>
            </w:r>
            <w:proofErr w:type="spellEnd"/>
            <w:r>
              <w:rPr>
                <w:rFonts w:ascii="Verdana" w:hAnsi="Verdana"/>
                <w:sz w:val="16"/>
                <w:szCs w:val="16"/>
              </w:rPr>
              <w:t xml:space="preserve"> et al., (2011)</w:t>
            </w:r>
          </w:p>
        </w:tc>
        <w:tc>
          <w:tcPr>
            <w:tcW w:w="402" w:type="pct"/>
          </w:tcPr>
          <w:p w14:paraId="00CFC296" w14:textId="77777777" w:rsidR="001A20CA" w:rsidRPr="00F244F8" w:rsidRDefault="001A20CA" w:rsidP="00D83ECE">
            <w:pPr>
              <w:pStyle w:val="Manuscript"/>
              <w:jc w:val="left"/>
              <w:rPr>
                <w:rFonts w:ascii="Verdana" w:hAnsi="Verdana"/>
                <w:sz w:val="16"/>
                <w:szCs w:val="16"/>
              </w:rPr>
            </w:pPr>
          </w:p>
        </w:tc>
        <w:tc>
          <w:tcPr>
            <w:tcW w:w="407" w:type="pct"/>
          </w:tcPr>
          <w:p w14:paraId="3D68B468" w14:textId="77777777" w:rsidR="001A20CA" w:rsidRPr="00F244F8" w:rsidRDefault="001A20CA" w:rsidP="00D83ECE">
            <w:pPr>
              <w:pStyle w:val="Manuscript"/>
              <w:jc w:val="left"/>
              <w:rPr>
                <w:rFonts w:ascii="Verdana" w:hAnsi="Verdana"/>
                <w:sz w:val="16"/>
                <w:szCs w:val="16"/>
              </w:rPr>
            </w:pPr>
            <w:r w:rsidRPr="00D418C3">
              <w:rPr>
                <w:rFonts w:ascii="Verdana" w:hAnsi="Verdana"/>
                <w:sz w:val="16"/>
                <w:szCs w:val="16"/>
              </w:rPr>
              <w:t>3.00E-04</w:t>
            </w:r>
          </w:p>
        </w:tc>
        <w:tc>
          <w:tcPr>
            <w:tcW w:w="409" w:type="pct"/>
          </w:tcPr>
          <w:p w14:paraId="74DDD14C" w14:textId="77777777" w:rsidR="001A20CA" w:rsidRPr="00F244F8" w:rsidRDefault="001A20CA" w:rsidP="00D83ECE">
            <w:pPr>
              <w:pStyle w:val="Manuscript"/>
              <w:jc w:val="left"/>
              <w:rPr>
                <w:rFonts w:ascii="Verdana" w:hAnsi="Verdana"/>
                <w:sz w:val="16"/>
                <w:szCs w:val="16"/>
              </w:rPr>
            </w:pPr>
          </w:p>
        </w:tc>
        <w:tc>
          <w:tcPr>
            <w:tcW w:w="407" w:type="pct"/>
          </w:tcPr>
          <w:p w14:paraId="7CB33BE7" w14:textId="77777777" w:rsidR="001A20CA" w:rsidRPr="00F244F8" w:rsidRDefault="001A20CA" w:rsidP="00D83ECE">
            <w:pPr>
              <w:pStyle w:val="Manuscript"/>
              <w:jc w:val="left"/>
              <w:rPr>
                <w:rFonts w:ascii="Verdana" w:hAnsi="Verdana"/>
                <w:sz w:val="16"/>
                <w:szCs w:val="16"/>
              </w:rPr>
            </w:pPr>
          </w:p>
        </w:tc>
        <w:tc>
          <w:tcPr>
            <w:tcW w:w="407" w:type="pct"/>
          </w:tcPr>
          <w:p w14:paraId="030E1152" w14:textId="77777777" w:rsidR="001A20CA" w:rsidRPr="00F244F8" w:rsidRDefault="001A20CA" w:rsidP="00D83ECE">
            <w:pPr>
              <w:pStyle w:val="Manuscript"/>
              <w:jc w:val="left"/>
              <w:rPr>
                <w:rFonts w:ascii="Verdana" w:hAnsi="Verdana"/>
                <w:sz w:val="16"/>
                <w:szCs w:val="16"/>
              </w:rPr>
            </w:pPr>
            <w:r w:rsidRPr="00877CDE">
              <w:rPr>
                <w:rFonts w:ascii="Verdana" w:hAnsi="Verdana"/>
                <w:sz w:val="16"/>
                <w:szCs w:val="16"/>
              </w:rPr>
              <w:t>1.96E-04</w:t>
            </w:r>
          </w:p>
        </w:tc>
        <w:tc>
          <w:tcPr>
            <w:tcW w:w="409" w:type="pct"/>
          </w:tcPr>
          <w:p w14:paraId="4DBB28C4" w14:textId="77777777" w:rsidR="001A20CA" w:rsidRPr="00F244F8" w:rsidRDefault="001A20CA" w:rsidP="00D83ECE">
            <w:pPr>
              <w:pStyle w:val="Manuscript"/>
              <w:jc w:val="left"/>
              <w:rPr>
                <w:rFonts w:ascii="Verdana" w:hAnsi="Verdana"/>
                <w:sz w:val="16"/>
                <w:szCs w:val="16"/>
              </w:rPr>
            </w:pPr>
          </w:p>
        </w:tc>
        <w:tc>
          <w:tcPr>
            <w:tcW w:w="408" w:type="pct"/>
          </w:tcPr>
          <w:p w14:paraId="2017C6F7" w14:textId="77777777" w:rsidR="001A20CA" w:rsidRPr="00F244F8" w:rsidRDefault="001A20CA" w:rsidP="00D83ECE">
            <w:pPr>
              <w:pStyle w:val="Manuscript"/>
              <w:jc w:val="left"/>
              <w:rPr>
                <w:rFonts w:ascii="Verdana" w:hAnsi="Verdana"/>
                <w:sz w:val="16"/>
                <w:szCs w:val="16"/>
              </w:rPr>
            </w:pPr>
          </w:p>
        </w:tc>
        <w:tc>
          <w:tcPr>
            <w:tcW w:w="408" w:type="pct"/>
          </w:tcPr>
          <w:p w14:paraId="4B38C174" w14:textId="77777777" w:rsidR="001A20CA" w:rsidRPr="00F244F8" w:rsidRDefault="001A20CA" w:rsidP="00D83ECE">
            <w:pPr>
              <w:pStyle w:val="Manuscript"/>
              <w:jc w:val="left"/>
              <w:rPr>
                <w:rFonts w:ascii="Verdana" w:hAnsi="Verdana"/>
                <w:sz w:val="16"/>
                <w:szCs w:val="16"/>
              </w:rPr>
            </w:pPr>
            <w:r w:rsidRPr="00A139C3">
              <w:rPr>
                <w:rFonts w:ascii="Verdana" w:hAnsi="Verdana"/>
                <w:sz w:val="16"/>
                <w:szCs w:val="16"/>
              </w:rPr>
              <w:t>1.07E-04</w:t>
            </w:r>
          </w:p>
        </w:tc>
        <w:tc>
          <w:tcPr>
            <w:tcW w:w="403" w:type="pct"/>
          </w:tcPr>
          <w:p w14:paraId="5B62632B" w14:textId="77777777" w:rsidR="001A20CA" w:rsidRPr="00F244F8" w:rsidRDefault="001A20CA" w:rsidP="00D83ECE">
            <w:pPr>
              <w:rPr>
                <w:sz w:val="16"/>
                <w:szCs w:val="16"/>
              </w:rPr>
            </w:pPr>
          </w:p>
        </w:tc>
      </w:tr>
      <w:tr w:rsidR="001A20CA" w:rsidRPr="00F244F8" w14:paraId="4D7D0BF9" w14:textId="77777777" w:rsidTr="00AB6DD5">
        <w:trPr>
          <w:trHeight w:val="391"/>
        </w:trPr>
        <w:tc>
          <w:tcPr>
            <w:tcW w:w="419" w:type="pct"/>
          </w:tcPr>
          <w:p w14:paraId="116AFA15" w14:textId="77777777" w:rsidR="001A20CA" w:rsidRPr="00F244F8" w:rsidRDefault="001A20CA" w:rsidP="00D83ECE">
            <w:pPr>
              <w:pStyle w:val="Manuscript"/>
              <w:jc w:val="left"/>
              <w:rPr>
                <w:rFonts w:ascii="Verdana" w:hAnsi="Verdana"/>
                <w:sz w:val="16"/>
                <w:szCs w:val="16"/>
              </w:rPr>
            </w:pPr>
            <w:r>
              <w:rPr>
                <w:rFonts w:ascii="Verdana" w:hAnsi="Verdana"/>
                <w:sz w:val="16"/>
                <w:szCs w:val="16"/>
              </w:rPr>
              <w:t>ZEA</w:t>
            </w:r>
          </w:p>
        </w:tc>
        <w:tc>
          <w:tcPr>
            <w:tcW w:w="508" w:type="pct"/>
          </w:tcPr>
          <w:p w14:paraId="5008AC14" w14:textId="77777777" w:rsidR="001A20CA" w:rsidRPr="00F244F8" w:rsidRDefault="001A20CA" w:rsidP="00D83ECE">
            <w:pPr>
              <w:pStyle w:val="Manuscript"/>
              <w:jc w:val="left"/>
              <w:rPr>
                <w:rFonts w:ascii="Verdana" w:hAnsi="Verdana"/>
                <w:sz w:val="16"/>
                <w:szCs w:val="16"/>
              </w:rPr>
            </w:pPr>
            <w:r>
              <w:rPr>
                <w:rFonts w:ascii="Verdana" w:hAnsi="Verdana"/>
                <w:sz w:val="16"/>
                <w:szCs w:val="16"/>
              </w:rPr>
              <w:t>EDI</w:t>
            </w:r>
          </w:p>
        </w:tc>
        <w:tc>
          <w:tcPr>
            <w:tcW w:w="412" w:type="pct"/>
          </w:tcPr>
          <w:p w14:paraId="77BE5ACC" w14:textId="5076F4C4" w:rsidR="001A20CA" w:rsidRPr="00F244F8" w:rsidRDefault="00BC42B9" w:rsidP="00D83ECE">
            <w:pPr>
              <w:pStyle w:val="Manuscript"/>
              <w:jc w:val="left"/>
              <w:rPr>
                <w:rFonts w:ascii="Verdana" w:hAnsi="Verdana"/>
                <w:sz w:val="16"/>
                <w:szCs w:val="16"/>
              </w:rPr>
            </w:pPr>
            <w:proofErr w:type="spellStart"/>
            <w:r>
              <w:rPr>
                <w:rFonts w:ascii="Verdana" w:hAnsi="Verdana"/>
                <w:sz w:val="16"/>
                <w:szCs w:val="16"/>
              </w:rPr>
              <w:t>Alexender</w:t>
            </w:r>
            <w:proofErr w:type="spellEnd"/>
            <w:r>
              <w:rPr>
                <w:rFonts w:ascii="Verdana" w:hAnsi="Verdana"/>
                <w:sz w:val="16"/>
                <w:szCs w:val="16"/>
              </w:rPr>
              <w:t xml:space="preserve"> et al., (2011)</w:t>
            </w:r>
          </w:p>
        </w:tc>
        <w:tc>
          <w:tcPr>
            <w:tcW w:w="402" w:type="pct"/>
          </w:tcPr>
          <w:p w14:paraId="5CAE34A6" w14:textId="77777777" w:rsidR="001A20CA" w:rsidRPr="00F244F8" w:rsidRDefault="001A20CA" w:rsidP="00D83ECE">
            <w:pPr>
              <w:pStyle w:val="Manuscript"/>
              <w:jc w:val="left"/>
              <w:rPr>
                <w:rFonts w:ascii="Verdana" w:hAnsi="Verdana"/>
                <w:sz w:val="16"/>
                <w:szCs w:val="16"/>
              </w:rPr>
            </w:pPr>
            <w:r w:rsidRPr="003B3EDE">
              <w:rPr>
                <w:rFonts w:ascii="Verdana" w:hAnsi="Verdana"/>
                <w:sz w:val="16"/>
                <w:szCs w:val="16"/>
              </w:rPr>
              <w:t>1.44E-06</w:t>
            </w:r>
          </w:p>
        </w:tc>
        <w:tc>
          <w:tcPr>
            <w:tcW w:w="407" w:type="pct"/>
          </w:tcPr>
          <w:p w14:paraId="2226BDEA" w14:textId="77777777" w:rsidR="001A20CA" w:rsidRPr="00F244F8" w:rsidRDefault="001A20CA" w:rsidP="00D83ECE">
            <w:pPr>
              <w:pStyle w:val="Manuscript"/>
              <w:jc w:val="left"/>
              <w:rPr>
                <w:rFonts w:ascii="Verdana" w:hAnsi="Verdana"/>
                <w:sz w:val="16"/>
                <w:szCs w:val="16"/>
              </w:rPr>
            </w:pPr>
            <w:r w:rsidRPr="003B3EDE">
              <w:rPr>
                <w:rFonts w:ascii="Verdana" w:hAnsi="Verdana"/>
                <w:sz w:val="16"/>
                <w:szCs w:val="16"/>
              </w:rPr>
              <w:t>2.78E-05</w:t>
            </w:r>
          </w:p>
        </w:tc>
        <w:tc>
          <w:tcPr>
            <w:tcW w:w="409" w:type="pct"/>
          </w:tcPr>
          <w:p w14:paraId="43508C47" w14:textId="77777777" w:rsidR="001A20CA" w:rsidRPr="00F244F8" w:rsidRDefault="001A20CA" w:rsidP="00D83ECE">
            <w:pPr>
              <w:pStyle w:val="Manuscript"/>
              <w:jc w:val="left"/>
              <w:rPr>
                <w:rFonts w:ascii="Verdana" w:hAnsi="Verdana"/>
                <w:sz w:val="16"/>
                <w:szCs w:val="16"/>
              </w:rPr>
            </w:pPr>
            <w:r w:rsidRPr="003B3EDE">
              <w:rPr>
                <w:rFonts w:ascii="Verdana" w:hAnsi="Verdana"/>
                <w:sz w:val="16"/>
                <w:szCs w:val="16"/>
              </w:rPr>
              <w:t>1.57E-04</w:t>
            </w:r>
          </w:p>
        </w:tc>
        <w:tc>
          <w:tcPr>
            <w:tcW w:w="407" w:type="pct"/>
          </w:tcPr>
          <w:p w14:paraId="04226A92" w14:textId="77777777" w:rsidR="001A20CA" w:rsidRPr="00F244F8" w:rsidRDefault="001A20CA" w:rsidP="00D83ECE">
            <w:pPr>
              <w:pStyle w:val="Manuscript"/>
              <w:jc w:val="left"/>
              <w:rPr>
                <w:rFonts w:ascii="Verdana" w:hAnsi="Verdana"/>
                <w:sz w:val="16"/>
                <w:szCs w:val="16"/>
              </w:rPr>
            </w:pPr>
            <w:r w:rsidRPr="003B3EDE">
              <w:rPr>
                <w:rFonts w:ascii="Verdana" w:hAnsi="Verdana"/>
                <w:sz w:val="16"/>
                <w:szCs w:val="16"/>
              </w:rPr>
              <w:t>9.38E-07</w:t>
            </w:r>
          </w:p>
        </w:tc>
        <w:tc>
          <w:tcPr>
            <w:tcW w:w="407" w:type="pct"/>
          </w:tcPr>
          <w:p w14:paraId="375F104C" w14:textId="77777777" w:rsidR="001A20CA" w:rsidRPr="00F244F8" w:rsidRDefault="001A20CA" w:rsidP="00D83ECE">
            <w:pPr>
              <w:pStyle w:val="Manuscript"/>
              <w:jc w:val="left"/>
              <w:rPr>
                <w:rFonts w:ascii="Verdana" w:hAnsi="Verdana"/>
                <w:sz w:val="16"/>
                <w:szCs w:val="16"/>
              </w:rPr>
            </w:pPr>
            <w:r w:rsidRPr="003B3EDE">
              <w:rPr>
                <w:rFonts w:ascii="Verdana" w:hAnsi="Verdana"/>
                <w:sz w:val="16"/>
                <w:szCs w:val="16"/>
              </w:rPr>
              <w:t>1.81E-05</w:t>
            </w:r>
          </w:p>
        </w:tc>
        <w:tc>
          <w:tcPr>
            <w:tcW w:w="409" w:type="pct"/>
          </w:tcPr>
          <w:p w14:paraId="5501025C" w14:textId="77777777" w:rsidR="001A20CA" w:rsidRPr="00F244F8" w:rsidRDefault="001A20CA" w:rsidP="00D83ECE">
            <w:pPr>
              <w:pStyle w:val="Manuscript"/>
              <w:jc w:val="left"/>
              <w:rPr>
                <w:rFonts w:ascii="Verdana" w:hAnsi="Verdana"/>
                <w:sz w:val="16"/>
                <w:szCs w:val="16"/>
              </w:rPr>
            </w:pPr>
            <w:r w:rsidRPr="009946FA">
              <w:rPr>
                <w:rFonts w:ascii="Verdana" w:hAnsi="Verdana"/>
                <w:sz w:val="16"/>
                <w:szCs w:val="16"/>
              </w:rPr>
              <w:t>1.02E-04</w:t>
            </w:r>
          </w:p>
        </w:tc>
        <w:tc>
          <w:tcPr>
            <w:tcW w:w="408" w:type="pct"/>
          </w:tcPr>
          <w:p w14:paraId="22C45997" w14:textId="77777777" w:rsidR="001A20CA" w:rsidRPr="00F244F8" w:rsidRDefault="001A20CA" w:rsidP="00D83ECE">
            <w:pPr>
              <w:pStyle w:val="Manuscript"/>
              <w:jc w:val="left"/>
              <w:rPr>
                <w:rFonts w:ascii="Verdana" w:hAnsi="Verdana"/>
                <w:sz w:val="16"/>
                <w:szCs w:val="16"/>
              </w:rPr>
            </w:pPr>
            <w:r w:rsidRPr="009946FA">
              <w:rPr>
                <w:rFonts w:ascii="Verdana" w:hAnsi="Verdana"/>
                <w:sz w:val="16"/>
                <w:szCs w:val="16"/>
              </w:rPr>
              <w:t>5.14E-07</w:t>
            </w:r>
          </w:p>
        </w:tc>
        <w:tc>
          <w:tcPr>
            <w:tcW w:w="408" w:type="pct"/>
          </w:tcPr>
          <w:p w14:paraId="61ADCB59" w14:textId="77777777" w:rsidR="001A20CA" w:rsidRPr="00F244F8" w:rsidRDefault="001A20CA" w:rsidP="00D83ECE">
            <w:pPr>
              <w:pStyle w:val="Manuscript"/>
              <w:jc w:val="left"/>
              <w:rPr>
                <w:rFonts w:ascii="Verdana" w:hAnsi="Verdana"/>
                <w:sz w:val="16"/>
                <w:szCs w:val="16"/>
              </w:rPr>
            </w:pPr>
            <w:r w:rsidRPr="009946FA">
              <w:rPr>
                <w:rFonts w:ascii="Verdana" w:hAnsi="Verdana"/>
                <w:sz w:val="16"/>
                <w:szCs w:val="16"/>
              </w:rPr>
              <w:t>9.94E-06</w:t>
            </w:r>
          </w:p>
        </w:tc>
        <w:tc>
          <w:tcPr>
            <w:tcW w:w="408" w:type="pct"/>
            <w:vAlign w:val="center"/>
          </w:tcPr>
          <w:p w14:paraId="635EF8D6" w14:textId="77777777" w:rsidR="001A20CA" w:rsidRPr="00F244F8" w:rsidRDefault="001A20CA" w:rsidP="00AB6DD5">
            <w:pPr>
              <w:jc w:val="center"/>
              <w:rPr>
                <w:sz w:val="16"/>
                <w:szCs w:val="16"/>
              </w:rPr>
            </w:pPr>
            <w:r w:rsidRPr="009946FA">
              <w:rPr>
                <w:sz w:val="16"/>
                <w:szCs w:val="16"/>
              </w:rPr>
              <w:t>5.60E-05</w:t>
            </w:r>
          </w:p>
        </w:tc>
      </w:tr>
    </w:tbl>
    <w:p w14:paraId="4BB8B6BF" w14:textId="77777777" w:rsidR="001A20CA" w:rsidRDefault="001A20CA"/>
    <w:p w14:paraId="0524382D" w14:textId="77777777" w:rsidR="009028D0" w:rsidRDefault="009028D0">
      <w:r>
        <w:br w:type="page"/>
      </w:r>
    </w:p>
    <w:p w14:paraId="377FF334" w14:textId="3F3B47DD" w:rsidR="009028D0" w:rsidRPr="009028D0" w:rsidRDefault="009028D0" w:rsidP="009028D0">
      <w:pPr>
        <w:pStyle w:val="Manuscript"/>
        <w:rPr>
          <w:b/>
          <w:bCs/>
        </w:rPr>
      </w:pPr>
      <w:r>
        <w:rPr>
          <w:b/>
          <w:bCs/>
        </w:rPr>
        <w:lastRenderedPageBreak/>
        <w:t>References</w:t>
      </w:r>
    </w:p>
    <w:p w14:paraId="0DBA1912" w14:textId="107A9A37" w:rsidR="00AF2D36" w:rsidRDefault="00BC42B9">
      <w:r w:rsidRPr="00BC42B9">
        <w:t>Alexander</w:t>
      </w:r>
      <w:r>
        <w:t xml:space="preserve">, J. et al., </w:t>
      </w:r>
      <w:r w:rsidRPr="00BC42B9">
        <w:t xml:space="preserve">(2011). Scientific Opinion on the risks for public health related to the presence of zearalenone in food. EFSA Journal, 9(6). </w:t>
      </w:r>
      <w:r w:rsidR="009028D0">
        <w:t xml:space="preserve">  </w:t>
      </w:r>
      <w:hyperlink r:id="rId42" w:history="1">
        <w:r w:rsidRPr="00D52BE1">
          <w:rPr>
            <w:rStyle w:val="Hyperlink"/>
            <w:color w:val="auto"/>
            <w:u w:val="none"/>
          </w:rPr>
          <w:t>https://doi.org/10.2903/j.efsa.2011.2197</w:t>
        </w:r>
      </w:hyperlink>
    </w:p>
    <w:sdt>
      <w:sdtPr>
        <w:tag w:val="MENDELEY_BIBLIOGRAPHY"/>
        <w:id w:val="-411083662"/>
        <w:placeholder>
          <w:docPart w:val="DefaultPlaceholder_-1854013440"/>
        </w:placeholder>
      </w:sdtPr>
      <w:sdtEndPr/>
      <w:sdtContent>
        <w:p w14:paraId="0A841874" w14:textId="77777777" w:rsidR="00D52BE1" w:rsidRDefault="00D52BE1">
          <w:pPr>
            <w:autoSpaceDE w:val="0"/>
            <w:autoSpaceDN w:val="0"/>
            <w:ind w:hanging="480"/>
            <w:divId w:val="7410670"/>
            <w:rPr>
              <w:rFonts w:eastAsia="Times New Roman"/>
              <w:sz w:val="24"/>
              <w:szCs w:val="24"/>
            </w:rPr>
          </w:pPr>
          <w:r>
            <w:rPr>
              <w:rFonts w:eastAsia="Times New Roman"/>
            </w:rPr>
            <w:t xml:space="preserve">Arai, Y., Uehara, M., Sato, Y., </w:t>
          </w:r>
          <w:proofErr w:type="spellStart"/>
          <w:r>
            <w:rPr>
              <w:rFonts w:eastAsia="Times New Roman"/>
            </w:rPr>
            <w:t>Kimira</w:t>
          </w:r>
          <w:proofErr w:type="spellEnd"/>
          <w:r>
            <w:rPr>
              <w:rFonts w:eastAsia="Times New Roman"/>
            </w:rPr>
            <w:t xml:space="preserve">, M., </w:t>
          </w:r>
          <w:proofErr w:type="spellStart"/>
          <w:r>
            <w:rPr>
              <w:rFonts w:eastAsia="Times New Roman"/>
            </w:rPr>
            <w:t>Eboshida</w:t>
          </w:r>
          <w:proofErr w:type="spellEnd"/>
          <w:r>
            <w:rPr>
              <w:rFonts w:eastAsia="Times New Roman"/>
            </w:rPr>
            <w:t xml:space="preserve">, A., </w:t>
          </w:r>
          <w:proofErr w:type="spellStart"/>
          <w:r>
            <w:rPr>
              <w:rFonts w:eastAsia="Times New Roman"/>
            </w:rPr>
            <w:t>Adlercreutz</w:t>
          </w:r>
          <w:proofErr w:type="spellEnd"/>
          <w:r>
            <w:rPr>
              <w:rFonts w:eastAsia="Times New Roman"/>
            </w:rPr>
            <w:t xml:space="preserve">, H., &amp; Watanabe, S. (2000). Comparison of isoflavones among dietary intake, plasma concentration and urinary excretion for accurate estimation of phytoestrogen intake. </w:t>
          </w:r>
          <w:r>
            <w:rPr>
              <w:rFonts w:eastAsia="Times New Roman"/>
              <w:i/>
              <w:iCs/>
            </w:rPr>
            <w:t>Journal of Epidemiology</w:t>
          </w:r>
          <w:r>
            <w:rPr>
              <w:rFonts w:eastAsia="Times New Roman"/>
            </w:rPr>
            <w:t xml:space="preserve">, </w:t>
          </w:r>
          <w:r>
            <w:rPr>
              <w:rFonts w:eastAsia="Times New Roman"/>
              <w:i/>
              <w:iCs/>
            </w:rPr>
            <w:t>10</w:t>
          </w:r>
          <w:r>
            <w:rPr>
              <w:rFonts w:eastAsia="Times New Roman"/>
            </w:rPr>
            <w:t>(2). https://doi.org/10.2188/jea.10.127</w:t>
          </w:r>
        </w:p>
        <w:p w14:paraId="08AAC7ED" w14:textId="77777777" w:rsidR="00D52BE1" w:rsidRDefault="00D52BE1">
          <w:pPr>
            <w:autoSpaceDE w:val="0"/>
            <w:autoSpaceDN w:val="0"/>
            <w:ind w:hanging="480"/>
            <w:divId w:val="296952659"/>
            <w:rPr>
              <w:rFonts w:eastAsia="Times New Roman"/>
            </w:rPr>
          </w:pPr>
          <w:r>
            <w:rPr>
              <w:rFonts w:eastAsia="Times New Roman"/>
            </w:rPr>
            <w:t xml:space="preserve">Becker, R. A., Friedman, K. P., Simon, T. W., Marty, M. S., </w:t>
          </w:r>
          <w:proofErr w:type="spellStart"/>
          <w:r>
            <w:rPr>
              <w:rFonts w:eastAsia="Times New Roman"/>
            </w:rPr>
            <w:t>Patlewicz</w:t>
          </w:r>
          <w:proofErr w:type="spellEnd"/>
          <w:r>
            <w:rPr>
              <w:rFonts w:eastAsia="Times New Roman"/>
            </w:rPr>
            <w:t xml:space="preserve">, G., &amp; Rowlands, J. C. (2015). An exposure: Activity profiling method for interpreting high-throughput screening data for estrogenic activity-Proof of concept. </w:t>
          </w:r>
          <w:r>
            <w:rPr>
              <w:rFonts w:eastAsia="Times New Roman"/>
              <w:i/>
              <w:iCs/>
            </w:rPr>
            <w:t>Regulatory Toxicology and Pharmacology</w:t>
          </w:r>
          <w:r>
            <w:rPr>
              <w:rFonts w:eastAsia="Times New Roman"/>
            </w:rPr>
            <w:t xml:space="preserve">, </w:t>
          </w:r>
          <w:r>
            <w:rPr>
              <w:rFonts w:eastAsia="Times New Roman"/>
              <w:i/>
              <w:iCs/>
            </w:rPr>
            <w:t>71</w:t>
          </w:r>
          <w:r>
            <w:rPr>
              <w:rFonts w:eastAsia="Times New Roman"/>
            </w:rPr>
            <w:t>(3). https://doi.org/10.1016/j.yrtph.2015.01.008</w:t>
          </w:r>
        </w:p>
        <w:p w14:paraId="1AC481E7" w14:textId="77777777" w:rsidR="00D52BE1" w:rsidRDefault="00D52BE1">
          <w:pPr>
            <w:autoSpaceDE w:val="0"/>
            <w:autoSpaceDN w:val="0"/>
            <w:ind w:hanging="480"/>
            <w:divId w:val="1203129556"/>
            <w:rPr>
              <w:rFonts w:eastAsia="Times New Roman"/>
            </w:rPr>
          </w:pPr>
          <w:r>
            <w:rPr>
              <w:rFonts w:eastAsia="Times New Roman"/>
            </w:rPr>
            <w:t xml:space="preserve">Busby, M. G., Jeffcoat, A. R., </w:t>
          </w:r>
          <w:proofErr w:type="spellStart"/>
          <w:r>
            <w:rPr>
              <w:rFonts w:eastAsia="Times New Roman"/>
            </w:rPr>
            <w:t>Bloedon</w:t>
          </w:r>
          <w:proofErr w:type="spellEnd"/>
          <w:r>
            <w:rPr>
              <w:rFonts w:eastAsia="Times New Roman"/>
            </w:rPr>
            <w:t xml:space="preserve">, L. A. T., Koch, M. A., Black, T., Dix, K. J., Heizer, W. D., Thomas, B. F., Hill, J. M., Crowell, J. A., &amp; Zeisel, S. H. (2002). Clinical characteristics and pharmacokinetics of purified soy isoflavones: Single-dose administration to healthy men. </w:t>
          </w:r>
          <w:r>
            <w:rPr>
              <w:rFonts w:eastAsia="Times New Roman"/>
              <w:i/>
              <w:iCs/>
            </w:rPr>
            <w:t>American Journal of Clinical Nutrition</w:t>
          </w:r>
          <w:r>
            <w:rPr>
              <w:rFonts w:eastAsia="Times New Roman"/>
            </w:rPr>
            <w:t xml:space="preserve">, </w:t>
          </w:r>
          <w:r>
            <w:rPr>
              <w:rFonts w:eastAsia="Times New Roman"/>
              <w:i/>
              <w:iCs/>
            </w:rPr>
            <w:t>75</w:t>
          </w:r>
          <w:r>
            <w:rPr>
              <w:rFonts w:eastAsia="Times New Roman"/>
            </w:rPr>
            <w:t>(1). https://doi.org/10.1093/ajcn/75.1.126</w:t>
          </w:r>
        </w:p>
        <w:p w14:paraId="7FB8343C" w14:textId="77777777" w:rsidR="00D52BE1" w:rsidRDefault="00D52BE1">
          <w:pPr>
            <w:autoSpaceDE w:val="0"/>
            <w:autoSpaceDN w:val="0"/>
            <w:ind w:hanging="480"/>
            <w:divId w:val="2034837267"/>
            <w:rPr>
              <w:rFonts w:eastAsia="Times New Roman"/>
            </w:rPr>
          </w:pPr>
          <w:r>
            <w:rPr>
              <w:rFonts w:eastAsia="Times New Roman"/>
            </w:rPr>
            <w:t xml:space="preserve">Grace, P. B., Taylor, J. I., Low, Y. L., </w:t>
          </w:r>
          <w:proofErr w:type="spellStart"/>
          <w:r>
            <w:rPr>
              <w:rFonts w:eastAsia="Times New Roman"/>
            </w:rPr>
            <w:t>Luben</w:t>
          </w:r>
          <w:proofErr w:type="spellEnd"/>
          <w:r>
            <w:rPr>
              <w:rFonts w:eastAsia="Times New Roman"/>
            </w:rPr>
            <w:t xml:space="preserve">, R. N., Mulligan, A. A., Botting, N. P., </w:t>
          </w:r>
          <w:proofErr w:type="spellStart"/>
          <w:r>
            <w:rPr>
              <w:rFonts w:eastAsia="Times New Roman"/>
            </w:rPr>
            <w:t>Dowsett</w:t>
          </w:r>
          <w:proofErr w:type="spellEnd"/>
          <w:r>
            <w:rPr>
              <w:rFonts w:eastAsia="Times New Roman"/>
            </w:rPr>
            <w:t xml:space="preserve">, M., Welch, A. A., </w:t>
          </w:r>
          <w:proofErr w:type="spellStart"/>
          <w:r>
            <w:rPr>
              <w:rFonts w:eastAsia="Times New Roman"/>
            </w:rPr>
            <w:t>Khaw</w:t>
          </w:r>
          <w:proofErr w:type="spellEnd"/>
          <w:r>
            <w:rPr>
              <w:rFonts w:eastAsia="Times New Roman"/>
            </w:rPr>
            <w:t xml:space="preserve">, K. T., Wareham, N. J., Day, N. E., &amp; Bingham, S. A. (2004). Phytoestrogen concentrations in serum and spot urine as biomarkers for dietary phytoestrogen intake and their relation to breast cancer risk in European Prospective Investigation of Cancer and Nutrition-Norfolk. </w:t>
          </w:r>
          <w:r>
            <w:rPr>
              <w:rFonts w:eastAsia="Times New Roman"/>
              <w:i/>
              <w:iCs/>
            </w:rPr>
            <w:t>Cancer Epidemiology Biomarkers and Prevention</w:t>
          </w:r>
          <w:r>
            <w:rPr>
              <w:rFonts w:eastAsia="Times New Roman"/>
            </w:rPr>
            <w:t xml:space="preserve">, </w:t>
          </w:r>
          <w:r>
            <w:rPr>
              <w:rFonts w:eastAsia="Times New Roman"/>
              <w:i/>
              <w:iCs/>
            </w:rPr>
            <w:t>13</w:t>
          </w:r>
          <w:r>
            <w:rPr>
              <w:rFonts w:eastAsia="Times New Roman"/>
            </w:rPr>
            <w:t>(5). https://doi.org/10.1158/1055-9965.698.13.5</w:t>
          </w:r>
        </w:p>
        <w:p w14:paraId="58B8E046" w14:textId="77777777" w:rsidR="00D52BE1" w:rsidRDefault="00D52BE1">
          <w:pPr>
            <w:autoSpaceDE w:val="0"/>
            <w:autoSpaceDN w:val="0"/>
            <w:ind w:hanging="480"/>
            <w:divId w:val="464084743"/>
            <w:rPr>
              <w:rFonts w:eastAsia="Times New Roman"/>
            </w:rPr>
          </w:pPr>
          <w:r>
            <w:rPr>
              <w:rFonts w:eastAsia="Times New Roman"/>
            </w:rPr>
            <w:t xml:space="preserve">Heald, C. L., Bolton-Smith, C., Ritchie, M. R., Morton, M. S., &amp; Alexander, F. E. (2006). Phyto-oestrogen intake in Scottish men: Use of serum to validate a self-administered food-frequency questionnaire in older men. </w:t>
          </w:r>
          <w:r>
            <w:rPr>
              <w:rFonts w:eastAsia="Times New Roman"/>
              <w:i/>
              <w:iCs/>
            </w:rPr>
            <w:t>European Journal of Clinical Nutrition</w:t>
          </w:r>
          <w:r>
            <w:rPr>
              <w:rFonts w:eastAsia="Times New Roman"/>
            </w:rPr>
            <w:t xml:space="preserve">, </w:t>
          </w:r>
          <w:r>
            <w:rPr>
              <w:rFonts w:eastAsia="Times New Roman"/>
              <w:i/>
              <w:iCs/>
            </w:rPr>
            <w:t>60</w:t>
          </w:r>
          <w:r>
            <w:rPr>
              <w:rFonts w:eastAsia="Times New Roman"/>
            </w:rPr>
            <w:t>(1). https://doi.org/10.1038/sj.ejcn.1602277</w:t>
          </w:r>
        </w:p>
        <w:p w14:paraId="4780CEA5" w14:textId="77777777" w:rsidR="00D52BE1" w:rsidRDefault="00D52BE1">
          <w:pPr>
            <w:autoSpaceDE w:val="0"/>
            <w:autoSpaceDN w:val="0"/>
            <w:ind w:hanging="480"/>
            <w:divId w:val="628362832"/>
            <w:rPr>
              <w:rFonts w:eastAsia="Times New Roman"/>
            </w:rPr>
          </w:pPr>
          <w:r>
            <w:rPr>
              <w:rFonts w:eastAsia="Times New Roman"/>
            </w:rPr>
            <w:t xml:space="preserve">Iwasaki, M., Inoue, M., Otani, T., </w:t>
          </w:r>
          <w:proofErr w:type="spellStart"/>
          <w:r>
            <w:rPr>
              <w:rFonts w:eastAsia="Times New Roman"/>
            </w:rPr>
            <w:t>Sasazuki</w:t>
          </w:r>
          <w:proofErr w:type="spellEnd"/>
          <w:r>
            <w:rPr>
              <w:rFonts w:eastAsia="Times New Roman"/>
            </w:rPr>
            <w:t xml:space="preserve">, S., </w:t>
          </w:r>
          <w:proofErr w:type="spellStart"/>
          <w:r>
            <w:rPr>
              <w:rFonts w:eastAsia="Times New Roman"/>
            </w:rPr>
            <w:t>Kurahashi</w:t>
          </w:r>
          <w:proofErr w:type="spellEnd"/>
          <w:r>
            <w:rPr>
              <w:rFonts w:eastAsia="Times New Roman"/>
            </w:rPr>
            <w:t xml:space="preserve">, N., Miura, T., Yamamoto, S., &amp; </w:t>
          </w:r>
          <w:proofErr w:type="spellStart"/>
          <w:r>
            <w:rPr>
              <w:rFonts w:eastAsia="Times New Roman"/>
            </w:rPr>
            <w:t>Tsugane</w:t>
          </w:r>
          <w:proofErr w:type="spellEnd"/>
          <w:r>
            <w:rPr>
              <w:rFonts w:eastAsia="Times New Roman"/>
            </w:rPr>
            <w:t xml:space="preserve">, S. (2008). Plasma isoflavone level and subsequent risk of breast cancer among </w:t>
          </w:r>
          <w:proofErr w:type="spellStart"/>
          <w:r>
            <w:rPr>
              <w:rFonts w:eastAsia="Times New Roman"/>
            </w:rPr>
            <w:t>japanese</w:t>
          </w:r>
          <w:proofErr w:type="spellEnd"/>
          <w:r>
            <w:rPr>
              <w:rFonts w:eastAsia="Times New Roman"/>
            </w:rPr>
            <w:t xml:space="preserve"> women: A nested case-control study from the Japan Public Health Center-based prospective study group. </w:t>
          </w:r>
          <w:r>
            <w:rPr>
              <w:rFonts w:eastAsia="Times New Roman"/>
              <w:i/>
              <w:iCs/>
            </w:rPr>
            <w:t>Journal of Clinical Oncology</w:t>
          </w:r>
          <w:r>
            <w:rPr>
              <w:rFonts w:eastAsia="Times New Roman"/>
            </w:rPr>
            <w:t xml:space="preserve">, </w:t>
          </w:r>
          <w:r>
            <w:rPr>
              <w:rFonts w:eastAsia="Times New Roman"/>
              <w:i/>
              <w:iCs/>
            </w:rPr>
            <w:t>26</w:t>
          </w:r>
          <w:r>
            <w:rPr>
              <w:rFonts w:eastAsia="Times New Roman"/>
            </w:rPr>
            <w:t>(10). https://doi.org/10.1200/JCO.2007.13.9964</w:t>
          </w:r>
        </w:p>
        <w:p w14:paraId="33847B64" w14:textId="77777777" w:rsidR="00D52BE1" w:rsidRDefault="00D52BE1">
          <w:pPr>
            <w:autoSpaceDE w:val="0"/>
            <w:autoSpaceDN w:val="0"/>
            <w:ind w:hanging="480"/>
            <w:divId w:val="823546011"/>
            <w:rPr>
              <w:rFonts w:eastAsia="Times New Roman"/>
            </w:rPr>
          </w:pPr>
          <w:proofErr w:type="spellStart"/>
          <w:r>
            <w:rPr>
              <w:rFonts w:eastAsia="Times New Roman"/>
            </w:rPr>
            <w:t>Metzner</w:t>
          </w:r>
          <w:proofErr w:type="spellEnd"/>
          <w:r>
            <w:rPr>
              <w:rFonts w:eastAsia="Times New Roman"/>
            </w:rPr>
            <w:t xml:space="preserve">, J. E., Frank, T., Kunz, I., Burger, D., &amp; </w:t>
          </w:r>
          <w:proofErr w:type="spellStart"/>
          <w:r>
            <w:rPr>
              <w:rFonts w:eastAsia="Times New Roman"/>
            </w:rPr>
            <w:t>Riegger</w:t>
          </w:r>
          <w:proofErr w:type="spellEnd"/>
          <w:r>
            <w:rPr>
              <w:rFonts w:eastAsia="Times New Roman"/>
            </w:rPr>
            <w:t xml:space="preserve">, C. (2009). Study on the pharmacokinetics of synthetic genistein after multiple oral intake in post-menopausal women. </w:t>
          </w:r>
          <w:proofErr w:type="spellStart"/>
          <w:r>
            <w:rPr>
              <w:rFonts w:eastAsia="Times New Roman"/>
              <w:i/>
              <w:iCs/>
            </w:rPr>
            <w:t>Arzneimittel-Forschung</w:t>
          </w:r>
          <w:proofErr w:type="spellEnd"/>
          <w:r>
            <w:rPr>
              <w:rFonts w:eastAsia="Times New Roman"/>
              <w:i/>
              <w:iCs/>
            </w:rPr>
            <w:t>/Drug Research</w:t>
          </w:r>
          <w:r>
            <w:rPr>
              <w:rFonts w:eastAsia="Times New Roman"/>
            </w:rPr>
            <w:t xml:space="preserve">, </w:t>
          </w:r>
          <w:r>
            <w:rPr>
              <w:rFonts w:eastAsia="Times New Roman"/>
              <w:i/>
              <w:iCs/>
            </w:rPr>
            <w:t>59</w:t>
          </w:r>
          <w:r>
            <w:rPr>
              <w:rFonts w:eastAsia="Times New Roman"/>
            </w:rPr>
            <w:t>(10). https://doi.org/10.1055/s-0031-1296435</w:t>
          </w:r>
        </w:p>
        <w:p w14:paraId="7C7E70EF" w14:textId="77777777" w:rsidR="00D52BE1" w:rsidRDefault="00D52BE1">
          <w:pPr>
            <w:autoSpaceDE w:val="0"/>
            <w:autoSpaceDN w:val="0"/>
            <w:ind w:hanging="480"/>
            <w:divId w:val="1761901040"/>
            <w:rPr>
              <w:rFonts w:eastAsia="Times New Roman"/>
            </w:rPr>
          </w:pPr>
          <w:r>
            <w:rPr>
              <w:rFonts w:eastAsia="Times New Roman"/>
            </w:rPr>
            <w:t xml:space="preserve">Ritchie, M. R., Morton, M. S., Deighton, N., Blake, A., &amp; Cummings, J. H. (2004). Plasma and urinary </w:t>
          </w:r>
          <w:proofErr w:type="spellStart"/>
          <w:r>
            <w:rPr>
              <w:rFonts w:eastAsia="Times New Roman"/>
            </w:rPr>
            <w:t>phyto</w:t>
          </w:r>
          <w:proofErr w:type="spellEnd"/>
          <w:r>
            <w:rPr>
              <w:rFonts w:eastAsia="Times New Roman"/>
            </w:rPr>
            <w:t xml:space="preserve">-oestrogens as biomarkers of intake: validation by duplicate diet analysis. </w:t>
          </w:r>
          <w:r>
            <w:rPr>
              <w:rFonts w:eastAsia="Times New Roman"/>
              <w:i/>
              <w:iCs/>
            </w:rPr>
            <w:t>British Journal of Nutrition</w:t>
          </w:r>
          <w:r>
            <w:rPr>
              <w:rFonts w:eastAsia="Times New Roman"/>
            </w:rPr>
            <w:t xml:space="preserve">, </w:t>
          </w:r>
          <w:r>
            <w:rPr>
              <w:rFonts w:eastAsia="Times New Roman"/>
              <w:i/>
              <w:iCs/>
            </w:rPr>
            <w:t>91</w:t>
          </w:r>
          <w:r>
            <w:rPr>
              <w:rFonts w:eastAsia="Times New Roman"/>
            </w:rPr>
            <w:t>(3). https://doi.org/10.1079/bjn20031062</w:t>
          </w:r>
        </w:p>
        <w:p w14:paraId="19BF7737" w14:textId="77777777" w:rsidR="00D52BE1" w:rsidRDefault="00D52BE1">
          <w:pPr>
            <w:autoSpaceDE w:val="0"/>
            <w:autoSpaceDN w:val="0"/>
            <w:ind w:hanging="480"/>
            <w:divId w:val="521676231"/>
            <w:rPr>
              <w:rFonts w:eastAsia="Times New Roman"/>
            </w:rPr>
          </w:pPr>
          <w:proofErr w:type="spellStart"/>
          <w:r>
            <w:rPr>
              <w:rFonts w:eastAsia="Times New Roman"/>
            </w:rPr>
            <w:t>Setchell</w:t>
          </w:r>
          <w:proofErr w:type="spellEnd"/>
          <w:r>
            <w:rPr>
              <w:rFonts w:eastAsia="Times New Roman"/>
            </w:rPr>
            <w:t xml:space="preserve">, K. D. R., Brown, N. M., Zhao, X., Lindley, S. L., </w:t>
          </w:r>
          <w:proofErr w:type="spellStart"/>
          <w:r>
            <w:rPr>
              <w:rFonts w:eastAsia="Times New Roman"/>
            </w:rPr>
            <w:t>Heubi</w:t>
          </w:r>
          <w:proofErr w:type="spellEnd"/>
          <w:r>
            <w:rPr>
              <w:rFonts w:eastAsia="Times New Roman"/>
            </w:rPr>
            <w:t xml:space="preserve">, J. E., King, E. C., &amp; Messina, M. J. (2011). Soy isoflavone phase II metabolism differs between rodents and humans: Implications for the effect on breast cancer risk. </w:t>
          </w:r>
          <w:r>
            <w:rPr>
              <w:rFonts w:eastAsia="Times New Roman"/>
              <w:i/>
              <w:iCs/>
            </w:rPr>
            <w:t>American Journal of Clinical Nutrition</w:t>
          </w:r>
          <w:r>
            <w:rPr>
              <w:rFonts w:eastAsia="Times New Roman"/>
            </w:rPr>
            <w:t xml:space="preserve">, </w:t>
          </w:r>
          <w:r>
            <w:rPr>
              <w:rFonts w:eastAsia="Times New Roman"/>
              <w:i/>
              <w:iCs/>
            </w:rPr>
            <w:t>94</w:t>
          </w:r>
          <w:r>
            <w:rPr>
              <w:rFonts w:eastAsia="Times New Roman"/>
            </w:rPr>
            <w:t>(5). https://doi.org/10.3945/ajcn.111.019638</w:t>
          </w:r>
        </w:p>
        <w:p w14:paraId="614D2C28" w14:textId="77777777" w:rsidR="00D52BE1" w:rsidRDefault="00D52BE1">
          <w:pPr>
            <w:autoSpaceDE w:val="0"/>
            <w:autoSpaceDN w:val="0"/>
            <w:ind w:hanging="480"/>
            <w:divId w:val="1322077535"/>
            <w:rPr>
              <w:rFonts w:eastAsia="Times New Roman"/>
            </w:rPr>
          </w:pPr>
          <w:proofErr w:type="spellStart"/>
          <w:r>
            <w:rPr>
              <w:rFonts w:eastAsia="Times New Roman"/>
            </w:rPr>
            <w:lastRenderedPageBreak/>
            <w:t>Setchell</w:t>
          </w:r>
          <w:proofErr w:type="spellEnd"/>
          <w:r>
            <w:rPr>
              <w:rFonts w:eastAsia="Times New Roman"/>
            </w:rPr>
            <w:t xml:space="preserve">, K. D. R., </w:t>
          </w:r>
          <w:proofErr w:type="spellStart"/>
          <w:r>
            <w:rPr>
              <w:rFonts w:eastAsia="Times New Roman"/>
            </w:rPr>
            <w:t>Faughnan</w:t>
          </w:r>
          <w:proofErr w:type="spellEnd"/>
          <w:r>
            <w:rPr>
              <w:rFonts w:eastAsia="Times New Roman"/>
            </w:rPr>
            <w:t xml:space="preserve">, M. S., </w:t>
          </w:r>
          <w:proofErr w:type="spellStart"/>
          <w:r>
            <w:rPr>
              <w:rFonts w:eastAsia="Times New Roman"/>
            </w:rPr>
            <w:t>Avades</w:t>
          </w:r>
          <w:proofErr w:type="spellEnd"/>
          <w:r>
            <w:rPr>
              <w:rFonts w:eastAsia="Times New Roman"/>
            </w:rPr>
            <w:t>, T., Zimmer-</w:t>
          </w:r>
          <w:proofErr w:type="spellStart"/>
          <w:r>
            <w:rPr>
              <w:rFonts w:eastAsia="Times New Roman"/>
            </w:rPr>
            <w:t>Nechemias</w:t>
          </w:r>
          <w:proofErr w:type="spellEnd"/>
          <w:r>
            <w:rPr>
              <w:rFonts w:eastAsia="Times New Roman"/>
            </w:rPr>
            <w:t xml:space="preserve">, L., Brown, N. M., Wolfe, B. E., Brashear, W. T., Desai, P., Oldfield, M. F., Botting, N. P., &amp; Cassidy, A. (2003). Comparing the pharmacokinetics of daidzein and genistein with the use of 13C-labeled tracers in premenopausal women. </w:t>
          </w:r>
          <w:r>
            <w:rPr>
              <w:rFonts w:eastAsia="Times New Roman"/>
              <w:i/>
              <w:iCs/>
            </w:rPr>
            <w:t>American Journal of Clinical Nutrition</w:t>
          </w:r>
          <w:r>
            <w:rPr>
              <w:rFonts w:eastAsia="Times New Roman"/>
            </w:rPr>
            <w:t xml:space="preserve">, </w:t>
          </w:r>
          <w:r>
            <w:rPr>
              <w:rFonts w:eastAsia="Times New Roman"/>
              <w:i/>
              <w:iCs/>
            </w:rPr>
            <w:t>77</w:t>
          </w:r>
          <w:r>
            <w:rPr>
              <w:rFonts w:eastAsia="Times New Roman"/>
            </w:rPr>
            <w:t>(2). https://doi.org/10.1093/ajcn/77.2.411</w:t>
          </w:r>
        </w:p>
        <w:p w14:paraId="68A3D6B1" w14:textId="77777777" w:rsidR="00D52BE1" w:rsidRDefault="00D52BE1">
          <w:pPr>
            <w:autoSpaceDE w:val="0"/>
            <w:autoSpaceDN w:val="0"/>
            <w:ind w:hanging="480"/>
            <w:divId w:val="1100875045"/>
            <w:rPr>
              <w:rFonts w:eastAsia="Times New Roman"/>
            </w:rPr>
          </w:pPr>
          <w:r>
            <w:rPr>
              <w:rFonts w:eastAsia="Times New Roman"/>
            </w:rPr>
            <w:t xml:space="preserve">Shimazu, T., Inoue, M., </w:t>
          </w:r>
          <w:proofErr w:type="spellStart"/>
          <w:r>
            <w:rPr>
              <w:rFonts w:eastAsia="Times New Roman"/>
            </w:rPr>
            <w:t>Sasazuki</w:t>
          </w:r>
          <w:proofErr w:type="spellEnd"/>
          <w:r>
            <w:rPr>
              <w:rFonts w:eastAsia="Times New Roman"/>
            </w:rPr>
            <w:t xml:space="preserve">, S., Iwasaki, M., Sawada, N., </w:t>
          </w:r>
          <w:proofErr w:type="spellStart"/>
          <w:r>
            <w:rPr>
              <w:rFonts w:eastAsia="Times New Roman"/>
            </w:rPr>
            <w:t>Yamaji</w:t>
          </w:r>
          <w:proofErr w:type="spellEnd"/>
          <w:r>
            <w:rPr>
              <w:rFonts w:eastAsia="Times New Roman"/>
            </w:rPr>
            <w:t xml:space="preserve">, T., &amp; </w:t>
          </w:r>
          <w:proofErr w:type="spellStart"/>
          <w:r>
            <w:rPr>
              <w:rFonts w:eastAsia="Times New Roman"/>
            </w:rPr>
            <w:t>Tsugane</w:t>
          </w:r>
          <w:proofErr w:type="spellEnd"/>
          <w:r>
            <w:rPr>
              <w:rFonts w:eastAsia="Times New Roman"/>
            </w:rPr>
            <w:t xml:space="preserve">, S. (2011). Plasma isoflavones and the risk of lung cancer in women: A nested case-control study in Japan. </w:t>
          </w:r>
          <w:r>
            <w:rPr>
              <w:rFonts w:eastAsia="Times New Roman"/>
              <w:i/>
              <w:iCs/>
            </w:rPr>
            <w:t>Cancer Epidemiology Biomarkers and Prevention</w:t>
          </w:r>
          <w:r>
            <w:rPr>
              <w:rFonts w:eastAsia="Times New Roman"/>
            </w:rPr>
            <w:t xml:space="preserve">, </w:t>
          </w:r>
          <w:r>
            <w:rPr>
              <w:rFonts w:eastAsia="Times New Roman"/>
              <w:i/>
              <w:iCs/>
            </w:rPr>
            <w:t>20</w:t>
          </w:r>
          <w:r>
            <w:rPr>
              <w:rFonts w:eastAsia="Times New Roman"/>
            </w:rPr>
            <w:t>(3). https://doi.org/10.1158/1055-9965.EPI-10-1025</w:t>
          </w:r>
        </w:p>
        <w:p w14:paraId="70702E2C" w14:textId="77777777" w:rsidR="00D52BE1" w:rsidRDefault="00D52BE1">
          <w:pPr>
            <w:autoSpaceDE w:val="0"/>
            <w:autoSpaceDN w:val="0"/>
            <w:ind w:hanging="480"/>
            <w:divId w:val="1663585307"/>
            <w:rPr>
              <w:rFonts w:eastAsia="Times New Roman"/>
            </w:rPr>
          </w:pPr>
          <w:r>
            <w:rPr>
              <w:rFonts w:eastAsia="Times New Roman"/>
            </w:rPr>
            <w:t xml:space="preserve">Takashima, N., </w:t>
          </w:r>
          <w:proofErr w:type="spellStart"/>
          <w:r>
            <w:rPr>
              <w:rFonts w:eastAsia="Times New Roman"/>
            </w:rPr>
            <w:t>Miyanaga</w:t>
          </w:r>
          <w:proofErr w:type="spellEnd"/>
          <w:r>
            <w:rPr>
              <w:rFonts w:eastAsia="Times New Roman"/>
            </w:rPr>
            <w:t xml:space="preserve">, N., Komiya, K., Mori, M., &amp; </w:t>
          </w:r>
          <w:proofErr w:type="spellStart"/>
          <w:r>
            <w:rPr>
              <w:rFonts w:eastAsia="Times New Roman"/>
            </w:rPr>
            <w:t>Akaza</w:t>
          </w:r>
          <w:proofErr w:type="spellEnd"/>
          <w:r>
            <w:rPr>
              <w:rFonts w:eastAsia="Times New Roman"/>
            </w:rPr>
            <w:t xml:space="preserve">, H. (2004). Blood isoflavone levels during intake of a controlled hospital diet. </w:t>
          </w:r>
          <w:r>
            <w:rPr>
              <w:rFonts w:eastAsia="Times New Roman"/>
              <w:i/>
              <w:iCs/>
            </w:rPr>
            <w:t xml:space="preserve">Journal of Nutritional Science and </w:t>
          </w:r>
          <w:proofErr w:type="spellStart"/>
          <w:r>
            <w:rPr>
              <w:rFonts w:eastAsia="Times New Roman"/>
              <w:i/>
              <w:iCs/>
            </w:rPr>
            <w:t>Vitaminology</w:t>
          </w:r>
          <w:proofErr w:type="spellEnd"/>
          <w:r>
            <w:rPr>
              <w:rFonts w:eastAsia="Times New Roman"/>
            </w:rPr>
            <w:t xml:space="preserve">, </w:t>
          </w:r>
          <w:r>
            <w:rPr>
              <w:rFonts w:eastAsia="Times New Roman"/>
              <w:i/>
              <w:iCs/>
            </w:rPr>
            <w:t>50</w:t>
          </w:r>
          <w:r>
            <w:rPr>
              <w:rFonts w:eastAsia="Times New Roman"/>
            </w:rPr>
            <w:t>(4). https://doi.org/10.3177/jnsv.50.246</w:t>
          </w:r>
        </w:p>
        <w:p w14:paraId="1AA84114" w14:textId="77777777" w:rsidR="00D52BE1" w:rsidRDefault="00D52BE1">
          <w:pPr>
            <w:autoSpaceDE w:val="0"/>
            <w:autoSpaceDN w:val="0"/>
            <w:ind w:hanging="480"/>
            <w:divId w:val="1019695882"/>
            <w:rPr>
              <w:rFonts w:eastAsia="Times New Roman"/>
            </w:rPr>
          </w:pPr>
          <w:r w:rsidRPr="00D52BE1">
            <w:rPr>
              <w:rFonts w:eastAsia="Times New Roman"/>
              <w:lang w:val="nl-NL"/>
            </w:rPr>
            <w:t xml:space="preserve">Wang, S., Aarts, J. M. M. J. G., de Haan, L. H. J., </w:t>
          </w:r>
          <w:proofErr w:type="spellStart"/>
          <w:r w:rsidRPr="00D52BE1">
            <w:rPr>
              <w:rFonts w:eastAsia="Times New Roman"/>
              <w:lang w:val="nl-NL"/>
            </w:rPr>
            <w:t>Argyriou</w:t>
          </w:r>
          <w:proofErr w:type="spellEnd"/>
          <w:r w:rsidRPr="00D52BE1">
            <w:rPr>
              <w:rFonts w:eastAsia="Times New Roman"/>
              <w:lang w:val="nl-NL"/>
            </w:rPr>
            <w:t xml:space="preserve">, D., Peijnenburg, A. A. C. M., Rietjens, I. M. C. M., &amp; </w:t>
          </w:r>
          <w:proofErr w:type="spellStart"/>
          <w:r w:rsidRPr="00D52BE1">
            <w:rPr>
              <w:rFonts w:eastAsia="Times New Roman"/>
              <w:lang w:val="nl-NL"/>
            </w:rPr>
            <w:t>Bovee</w:t>
          </w:r>
          <w:proofErr w:type="spellEnd"/>
          <w:r w:rsidRPr="00D52BE1">
            <w:rPr>
              <w:rFonts w:eastAsia="Times New Roman"/>
              <w:lang w:val="nl-NL"/>
            </w:rPr>
            <w:t xml:space="preserve">, T. F. H. (2014). </w:t>
          </w:r>
          <w:r>
            <w:rPr>
              <w:rFonts w:eastAsia="Times New Roman"/>
            </w:rPr>
            <w:t xml:space="preserve">Towards an integrated in vitro strategy for estrogenicity testing. </w:t>
          </w:r>
          <w:r>
            <w:rPr>
              <w:rFonts w:eastAsia="Times New Roman"/>
              <w:i/>
              <w:iCs/>
            </w:rPr>
            <w:t>Journal of Applied Toxicology</w:t>
          </w:r>
          <w:r>
            <w:rPr>
              <w:rFonts w:eastAsia="Times New Roman"/>
            </w:rPr>
            <w:t xml:space="preserve">, </w:t>
          </w:r>
          <w:r>
            <w:rPr>
              <w:rFonts w:eastAsia="Times New Roman"/>
              <w:i/>
              <w:iCs/>
            </w:rPr>
            <w:t>34</w:t>
          </w:r>
          <w:r>
            <w:rPr>
              <w:rFonts w:eastAsia="Times New Roman"/>
            </w:rPr>
            <w:t>(9). https://doi.org/10.1002/jat.2928</w:t>
          </w:r>
        </w:p>
        <w:p w14:paraId="43D54FBE" w14:textId="77777777" w:rsidR="00D52BE1" w:rsidRDefault="00D52BE1">
          <w:pPr>
            <w:autoSpaceDE w:val="0"/>
            <w:autoSpaceDN w:val="0"/>
            <w:ind w:hanging="480"/>
            <w:divId w:val="1073938835"/>
            <w:rPr>
              <w:rFonts w:eastAsia="Times New Roman"/>
            </w:rPr>
          </w:pPr>
          <w:r>
            <w:rPr>
              <w:rFonts w:eastAsia="Times New Roman"/>
            </w:rPr>
            <w:t xml:space="preserve">Yuan, B., Zhen, H., </w:t>
          </w:r>
          <w:proofErr w:type="spellStart"/>
          <w:r>
            <w:rPr>
              <w:rFonts w:eastAsia="Times New Roman"/>
            </w:rPr>
            <w:t>Jin</w:t>
          </w:r>
          <w:proofErr w:type="spellEnd"/>
          <w:r>
            <w:rPr>
              <w:rFonts w:eastAsia="Times New Roman"/>
            </w:rPr>
            <w:t xml:space="preserve">, Y., Xu, L., Jiang, X., Sun, S., Li, C., &amp; Xu, H. (2012). Absorption and plasma disposition of </w:t>
          </w:r>
          <w:proofErr w:type="spellStart"/>
          <w:r>
            <w:rPr>
              <w:rFonts w:eastAsia="Times New Roman"/>
            </w:rPr>
            <w:t>genistin</w:t>
          </w:r>
          <w:proofErr w:type="spellEnd"/>
          <w:r>
            <w:rPr>
              <w:rFonts w:eastAsia="Times New Roman"/>
            </w:rPr>
            <w:t xml:space="preserve"> differ from those of genistein in healthy women. </w:t>
          </w:r>
          <w:r>
            <w:rPr>
              <w:rFonts w:eastAsia="Times New Roman"/>
              <w:i/>
              <w:iCs/>
            </w:rPr>
            <w:t>Journal of Agricultural and Food Chemistry</w:t>
          </w:r>
          <w:r>
            <w:rPr>
              <w:rFonts w:eastAsia="Times New Roman"/>
            </w:rPr>
            <w:t xml:space="preserve">, </w:t>
          </w:r>
          <w:r>
            <w:rPr>
              <w:rFonts w:eastAsia="Times New Roman"/>
              <w:i/>
              <w:iCs/>
            </w:rPr>
            <w:t>60</w:t>
          </w:r>
          <w:r>
            <w:rPr>
              <w:rFonts w:eastAsia="Times New Roman"/>
            </w:rPr>
            <w:t>(6). https://doi.org/10.1021/jf204421c</w:t>
          </w:r>
        </w:p>
        <w:p w14:paraId="2DD54355" w14:textId="6960FDB1" w:rsidR="00BC42B9" w:rsidRDefault="00D52BE1">
          <w:r>
            <w:rPr>
              <w:rFonts w:eastAsia="Times New Roman"/>
            </w:rPr>
            <w:t> </w:t>
          </w:r>
        </w:p>
      </w:sdtContent>
    </w:sdt>
    <w:sectPr w:rsidR="00BC42B9" w:rsidSect="00611050">
      <w:pgSz w:w="16838" w:h="11906" w:orient="landscape"/>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0CA"/>
    <w:rsid w:val="00021697"/>
    <w:rsid w:val="000915A3"/>
    <w:rsid w:val="00106E51"/>
    <w:rsid w:val="001377FF"/>
    <w:rsid w:val="001A20CA"/>
    <w:rsid w:val="00250588"/>
    <w:rsid w:val="00267245"/>
    <w:rsid w:val="00292ECC"/>
    <w:rsid w:val="0030169A"/>
    <w:rsid w:val="00304B92"/>
    <w:rsid w:val="003113A7"/>
    <w:rsid w:val="0031706C"/>
    <w:rsid w:val="00333BFD"/>
    <w:rsid w:val="00350E66"/>
    <w:rsid w:val="00371055"/>
    <w:rsid w:val="00375DDC"/>
    <w:rsid w:val="00384CC1"/>
    <w:rsid w:val="003B5B53"/>
    <w:rsid w:val="00410211"/>
    <w:rsid w:val="00411335"/>
    <w:rsid w:val="0045508C"/>
    <w:rsid w:val="00484DAE"/>
    <w:rsid w:val="00490C74"/>
    <w:rsid w:val="004A0125"/>
    <w:rsid w:val="004A4FE9"/>
    <w:rsid w:val="004B08A5"/>
    <w:rsid w:val="004C0DEF"/>
    <w:rsid w:val="004D036B"/>
    <w:rsid w:val="004D0B15"/>
    <w:rsid w:val="00566A7D"/>
    <w:rsid w:val="00583645"/>
    <w:rsid w:val="005876F2"/>
    <w:rsid w:val="0058771A"/>
    <w:rsid w:val="00592475"/>
    <w:rsid w:val="00604EF3"/>
    <w:rsid w:val="00605347"/>
    <w:rsid w:val="00611050"/>
    <w:rsid w:val="00631DC7"/>
    <w:rsid w:val="00725B07"/>
    <w:rsid w:val="00730BD1"/>
    <w:rsid w:val="0073763E"/>
    <w:rsid w:val="0074167F"/>
    <w:rsid w:val="007530DD"/>
    <w:rsid w:val="00766090"/>
    <w:rsid w:val="00792C03"/>
    <w:rsid w:val="007D15D5"/>
    <w:rsid w:val="00804F30"/>
    <w:rsid w:val="00817EAE"/>
    <w:rsid w:val="00837D2E"/>
    <w:rsid w:val="00842DD7"/>
    <w:rsid w:val="008633E7"/>
    <w:rsid w:val="00886106"/>
    <w:rsid w:val="008B5A4F"/>
    <w:rsid w:val="00900B5D"/>
    <w:rsid w:val="009028D0"/>
    <w:rsid w:val="0093068D"/>
    <w:rsid w:val="00935170"/>
    <w:rsid w:val="0096199F"/>
    <w:rsid w:val="009628C7"/>
    <w:rsid w:val="00972440"/>
    <w:rsid w:val="00986CDD"/>
    <w:rsid w:val="009A0406"/>
    <w:rsid w:val="009B2947"/>
    <w:rsid w:val="00A119D7"/>
    <w:rsid w:val="00A24E22"/>
    <w:rsid w:val="00A934A1"/>
    <w:rsid w:val="00AB6DD5"/>
    <w:rsid w:val="00AC4B31"/>
    <w:rsid w:val="00AD6274"/>
    <w:rsid w:val="00AF2D36"/>
    <w:rsid w:val="00B15FC8"/>
    <w:rsid w:val="00B7685D"/>
    <w:rsid w:val="00B81A27"/>
    <w:rsid w:val="00B91CF1"/>
    <w:rsid w:val="00BC42B9"/>
    <w:rsid w:val="00C26347"/>
    <w:rsid w:val="00C42FB0"/>
    <w:rsid w:val="00C43E6C"/>
    <w:rsid w:val="00C46E24"/>
    <w:rsid w:val="00C62226"/>
    <w:rsid w:val="00C648BC"/>
    <w:rsid w:val="00C91733"/>
    <w:rsid w:val="00C93490"/>
    <w:rsid w:val="00CB75B9"/>
    <w:rsid w:val="00CD4CB2"/>
    <w:rsid w:val="00CD75BE"/>
    <w:rsid w:val="00CE6256"/>
    <w:rsid w:val="00CF55B9"/>
    <w:rsid w:val="00D104AD"/>
    <w:rsid w:val="00D232E4"/>
    <w:rsid w:val="00D3117C"/>
    <w:rsid w:val="00D52BE1"/>
    <w:rsid w:val="00D74B7C"/>
    <w:rsid w:val="00D875B1"/>
    <w:rsid w:val="00DE44AD"/>
    <w:rsid w:val="00DF1ABB"/>
    <w:rsid w:val="00DF794E"/>
    <w:rsid w:val="00E1115F"/>
    <w:rsid w:val="00E51936"/>
    <w:rsid w:val="00E7009B"/>
    <w:rsid w:val="00E92F94"/>
    <w:rsid w:val="00EC2840"/>
    <w:rsid w:val="00ED1106"/>
    <w:rsid w:val="00F03987"/>
    <w:rsid w:val="00FE0783"/>
    <w:rsid w:val="00FE0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B151B"/>
  <w15:chartTrackingRefBased/>
  <w15:docId w15:val="{276D7425-0819-46BC-8D63-1B728CBB5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7"/>
        <w:szCs w:val="22"/>
        <w:lang w:val="en-GB" w:eastAsia="en-US" w:bidi="ar-SA"/>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0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0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0C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1A2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script">
    <w:name w:val="Manuscript"/>
    <w:basedOn w:val="Normal"/>
    <w:link w:val="ManuscriptChar"/>
    <w:qFormat/>
    <w:rsid w:val="001A20CA"/>
    <w:pPr>
      <w:spacing w:before="360" w:after="360" w:line="480" w:lineRule="auto"/>
      <w:jc w:val="both"/>
    </w:pPr>
    <w:rPr>
      <w:rFonts w:ascii="Arial" w:eastAsia="Times New Roman" w:hAnsi="Arial" w:cs="Arial"/>
      <w:sz w:val="20"/>
      <w:szCs w:val="20"/>
      <w:lang w:eastAsia="en-GB"/>
    </w:rPr>
  </w:style>
  <w:style w:type="character" w:customStyle="1" w:styleId="ManuscriptChar">
    <w:name w:val="Manuscript Char"/>
    <w:basedOn w:val="DefaultParagraphFont"/>
    <w:link w:val="Manuscript"/>
    <w:rsid w:val="001A20CA"/>
    <w:rPr>
      <w:rFonts w:ascii="Arial" w:eastAsia="Times New Roman" w:hAnsi="Arial" w:cs="Arial"/>
      <w:sz w:val="20"/>
      <w:szCs w:val="20"/>
      <w:lang w:eastAsia="en-GB"/>
    </w:rPr>
  </w:style>
  <w:style w:type="character" w:customStyle="1" w:styleId="Heading2Char">
    <w:name w:val="Heading 2 Char"/>
    <w:basedOn w:val="DefaultParagraphFont"/>
    <w:link w:val="Heading2"/>
    <w:uiPriority w:val="9"/>
    <w:rsid w:val="001A20CA"/>
    <w:rPr>
      <w:rFonts w:asciiTheme="majorHAnsi" w:eastAsiaTheme="majorEastAsia" w:hAnsiTheme="majorHAnsi" w:cstheme="majorBidi"/>
      <w:color w:val="2F5496" w:themeColor="accent1" w:themeShade="BF"/>
      <w:sz w:val="26"/>
      <w:szCs w:val="26"/>
    </w:rPr>
  </w:style>
  <w:style w:type="paragraph" w:customStyle="1" w:styleId="Report">
    <w:name w:val="Report"/>
    <w:basedOn w:val="Normal"/>
    <w:link w:val="ReportChar"/>
    <w:qFormat/>
    <w:rsid w:val="001A20CA"/>
    <w:pPr>
      <w:spacing w:before="360" w:after="360" w:line="360" w:lineRule="auto"/>
    </w:pPr>
    <w:rPr>
      <w:rFonts w:ascii="Arial" w:eastAsia="Times New Roman" w:hAnsi="Arial" w:cs="Arial"/>
      <w:sz w:val="20"/>
      <w:szCs w:val="20"/>
      <w:lang w:eastAsia="en-GB"/>
    </w:rPr>
  </w:style>
  <w:style w:type="character" w:customStyle="1" w:styleId="ReportChar">
    <w:name w:val="Report Char"/>
    <w:basedOn w:val="DefaultParagraphFont"/>
    <w:link w:val="Report"/>
    <w:rsid w:val="001A20CA"/>
    <w:rPr>
      <w:rFonts w:ascii="Arial" w:eastAsia="Times New Roman" w:hAnsi="Arial" w:cs="Arial"/>
      <w:sz w:val="20"/>
      <w:szCs w:val="20"/>
      <w:lang w:eastAsia="en-GB"/>
    </w:rPr>
  </w:style>
  <w:style w:type="character" w:styleId="Hyperlink">
    <w:name w:val="Hyperlink"/>
    <w:basedOn w:val="DefaultParagraphFont"/>
    <w:uiPriority w:val="99"/>
    <w:unhideWhenUsed/>
    <w:rsid w:val="00106E51"/>
    <w:rPr>
      <w:color w:val="0563C1" w:themeColor="hyperlink"/>
      <w:u w:val="single"/>
    </w:rPr>
  </w:style>
  <w:style w:type="character" w:styleId="PlaceholderText">
    <w:name w:val="Placeholder Text"/>
    <w:basedOn w:val="DefaultParagraphFont"/>
    <w:uiPriority w:val="99"/>
    <w:semiHidden/>
    <w:rsid w:val="0058771A"/>
    <w:rPr>
      <w:color w:val="808080"/>
    </w:rPr>
  </w:style>
  <w:style w:type="character" w:styleId="UnresolvedMention">
    <w:name w:val="Unresolved Mention"/>
    <w:basedOn w:val="DefaultParagraphFont"/>
    <w:uiPriority w:val="99"/>
    <w:semiHidden/>
    <w:unhideWhenUsed/>
    <w:rsid w:val="00AF2D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3772531">
      <w:bodyDiv w:val="1"/>
      <w:marLeft w:val="0"/>
      <w:marRight w:val="0"/>
      <w:marTop w:val="0"/>
      <w:marBottom w:val="0"/>
      <w:divBdr>
        <w:top w:val="none" w:sz="0" w:space="0" w:color="auto"/>
        <w:left w:val="none" w:sz="0" w:space="0" w:color="auto"/>
        <w:bottom w:val="none" w:sz="0" w:space="0" w:color="auto"/>
        <w:right w:val="none" w:sz="0" w:space="0" w:color="auto"/>
      </w:divBdr>
      <w:divsChild>
        <w:div w:id="7410670">
          <w:marLeft w:val="480"/>
          <w:marRight w:val="0"/>
          <w:marTop w:val="0"/>
          <w:marBottom w:val="0"/>
          <w:divBdr>
            <w:top w:val="none" w:sz="0" w:space="0" w:color="auto"/>
            <w:left w:val="none" w:sz="0" w:space="0" w:color="auto"/>
            <w:bottom w:val="none" w:sz="0" w:space="0" w:color="auto"/>
            <w:right w:val="none" w:sz="0" w:space="0" w:color="auto"/>
          </w:divBdr>
        </w:div>
        <w:div w:id="296952659">
          <w:marLeft w:val="480"/>
          <w:marRight w:val="0"/>
          <w:marTop w:val="0"/>
          <w:marBottom w:val="0"/>
          <w:divBdr>
            <w:top w:val="none" w:sz="0" w:space="0" w:color="auto"/>
            <w:left w:val="none" w:sz="0" w:space="0" w:color="auto"/>
            <w:bottom w:val="none" w:sz="0" w:space="0" w:color="auto"/>
            <w:right w:val="none" w:sz="0" w:space="0" w:color="auto"/>
          </w:divBdr>
        </w:div>
        <w:div w:id="1203129556">
          <w:marLeft w:val="480"/>
          <w:marRight w:val="0"/>
          <w:marTop w:val="0"/>
          <w:marBottom w:val="0"/>
          <w:divBdr>
            <w:top w:val="none" w:sz="0" w:space="0" w:color="auto"/>
            <w:left w:val="none" w:sz="0" w:space="0" w:color="auto"/>
            <w:bottom w:val="none" w:sz="0" w:space="0" w:color="auto"/>
            <w:right w:val="none" w:sz="0" w:space="0" w:color="auto"/>
          </w:divBdr>
        </w:div>
        <w:div w:id="2034837267">
          <w:marLeft w:val="480"/>
          <w:marRight w:val="0"/>
          <w:marTop w:val="0"/>
          <w:marBottom w:val="0"/>
          <w:divBdr>
            <w:top w:val="none" w:sz="0" w:space="0" w:color="auto"/>
            <w:left w:val="none" w:sz="0" w:space="0" w:color="auto"/>
            <w:bottom w:val="none" w:sz="0" w:space="0" w:color="auto"/>
            <w:right w:val="none" w:sz="0" w:space="0" w:color="auto"/>
          </w:divBdr>
        </w:div>
        <w:div w:id="464084743">
          <w:marLeft w:val="480"/>
          <w:marRight w:val="0"/>
          <w:marTop w:val="0"/>
          <w:marBottom w:val="0"/>
          <w:divBdr>
            <w:top w:val="none" w:sz="0" w:space="0" w:color="auto"/>
            <w:left w:val="none" w:sz="0" w:space="0" w:color="auto"/>
            <w:bottom w:val="none" w:sz="0" w:space="0" w:color="auto"/>
            <w:right w:val="none" w:sz="0" w:space="0" w:color="auto"/>
          </w:divBdr>
        </w:div>
        <w:div w:id="628362832">
          <w:marLeft w:val="480"/>
          <w:marRight w:val="0"/>
          <w:marTop w:val="0"/>
          <w:marBottom w:val="0"/>
          <w:divBdr>
            <w:top w:val="none" w:sz="0" w:space="0" w:color="auto"/>
            <w:left w:val="none" w:sz="0" w:space="0" w:color="auto"/>
            <w:bottom w:val="none" w:sz="0" w:space="0" w:color="auto"/>
            <w:right w:val="none" w:sz="0" w:space="0" w:color="auto"/>
          </w:divBdr>
        </w:div>
        <w:div w:id="823546011">
          <w:marLeft w:val="480"/>
          <w:marRight w:val="0"/>
          <w:marTop w:val="0"/>
          <w:marBottom w:val="0"/>
          <w:divBdr>
            <w:top w:val="none" w:sz="0" w:space="0" w:color="auto"/>
            <w:left w:val="none" w:sz="0" w:space="0" w:color="auto"/>
            <w:bottom w:val="none" w:sz="0" w:space="0" w:color="auto"/>
            <w:right w:val="none" w:sz="0" w:space="0" w:color="auto"/>
          </w:divBdr>
        </w:div>
        <w:div w:id="1761901040">
          <w:marLeft w:val="480"/>
          <w:marRight w:val="0"/>
          <w:marTop w:val="0"/>
          <w:marBottom w:val="0"/>
          <w:divBdr>
            <w:top w:val="none" w:sz="0" w:space="0" w:color="auto"/>
            <w:left w:val="none" w:sz="0" w:space="0" w:color="auto"/>
            <w:bottom w:val="none" w:sz="0" w:space="0" w:color="auto"/>
            <w:right w:val="none" w:sz="0" w:space="0" w:color="auto"/>
          </w:divBdr>
        </w:div>
        <w:div w:id="521676231">
          <w:marLeft w:val="480"/>
          <w:marRight w:val="0"/>
          <w:marTop w:val="0"/>
          <w:marBottom w:val="0"/>
          <w:divBdr>
            <w:top w:val="none" w:sz="0" w:space="0" w:color="auto"/>
            <w:left w:val="none" w:sz="0" w:space="0" w:color="auto"/>
            <w:bottom w:val="none" w:sz="0" w:space="0" w:color="auto"/>
            <w:right w:val="none" w:sz="0" w:space="0" w:color="auto"/>
          </w:divBdr>
        </w:div>
        <w:div w:id="1322077535">
          <w:marLeft w:val="480"/>
          <w:marRight w:val="0"/>
          <w:marTop w:val="0"/>
          <w:marBottom w:val="0"/>
          <w:divBdr>
            <w:top w:val="none" w:sz="0" w:space="0" w:color="auto"/>
            <w:left w:val="none" w:sz="0" w:space="0" w:color="auto"/>
            <w:bottom w:val="none" w:sz="0" w:space="0" w:color="auto"/>
            <w:right w:val="none" w:sz="0" w:space="0" w:color="auto"/>
          </w:divBdr>
        </w:div>
        <w:div w:id="1100875045">
          <w:marLeft w:val="480"/>
          <w:marRight w:val="0"/>
          <w:marTop w:val="0"/>
          <w:marBottom w:val="0"/>
          <w:divBdr>
            <w:top w:val="none" w:sz="0" w:space="0" w:color="auto"/>
            <w:left w:val="none" w:sz="0" w:space="0" w:color="auto"/>
            <w:bottom w:val="none" w:sz="0" w:space="0" w:color="auto"/>
            <w:right w:val="none" w:sz="0" w:space="0" w:color="auto"/>
          </w:divBdr>
        </w:div>
        <w:div w:id="1663585307">
          <w:marLeft w:val="480"/>
          <w:marRight w:val="0"/>
          <w:marTop w:val="0"/>
          <w:marBottom w:val="0"/>
          <w:divBdr>
            <w:top w:val="none" w:sz="0" w:space="0" w:color="auto"/>
            <w:left w:val="none" w:sz="0" w:space="0" w:color="auto"/>
            <w:bottom w:val="none" w:sz="0" w:space="0" w:color="auto"/>
            <w:right w:val="none" w:sz="0" w:space="0" w:color="auto"/>
          </w:divBdr>
        </w:div>
        <w:div w:id="1019695882">
          <w:marLeft w:val="480"/>
          <w:marRight w:val="0"/>
          <w:marTop w:val="0"/>
          <w:marBottom w:val="0"/>
          <w:divBdr>
            <w:top w:val="none" w:sz="0" w:space="0" w:color="auto"/>
            <w:left w:val="none" w:sz="0" w:space="0" w:color="auto"/>
            <w:bottom w:val="none" w:sz="0" w:space="0" w:color="auto"/>
            <w:right w:val="none" w:sz="0" w:space="0" w:color="auto"/>
          </w:divBdr>
        </w:div>
        <w:div w:id="107393883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tonge015\AppData\Local\Microsoft\Windows\INetCache\Content.MSO\CABDB153.xlsx" TargetMode="External"/><Relationship Id="rId13" Type="http://schemas.openxmlformats.org/officeDocument/2006/relationships/hyperlink" Target="file:///C:\Users\tonge015\AppData\Local\Microsoft\Windows\INetCache\Content.MSO\CABDB153.xlsx" TargetMode="External"/><Relationship Id="rId18" Type="http://schemas.openxmlformats.org/officeDocument/2006/relationships/hyperlink" Target="file:///C:\Users\tonge015\AppData\Local\Microsoft\Windows\INetCache\Content.MSO\CABDB153.xlsx" TargetMode="External"/><Relationship Id="rId26" Type="http://schemas.openxmlformats.org/officeDocument/2006/relationships/hyperlink" Target="file:///C:\Users\tonge015\AppData\Local\Microsoft\Windows\INetCache\Content.MSO\CABDB153.xlsx" TargetMode="External"/><Relationship Id="rId39" Type="http://schemas.openxmlformats.org/officeDocument/2006/relationships/hyperlink" Target="file:///C:\Users\tonge015\AppData\Local\Microsoft\Windows\INetCache\Content.MSO\CABDB153.xlsx" TargetMode="External"/><Relationship Id="rId3" Type="http://schemas.openxmlformats.org/officeDocument/2006/relationships/settings" Target="settings.xml"/><Relationship Id="rId21" Type="http://schemas.openxmlformats.org/officeDocument/2006/relationships/hyperlink" Target="file:///C:\Users\tonge015\AppData\Local\Microsoft\Windows\INetCache\Content.MSO\CABDB153.xlsx" TargetMode="External"/><Relationship Id="rId34" Type="http://schemas.openxmlformats.org/officeDocument/2006/relationships/hyperlink" Target="file:///C:\Users\tonge015\AppData\Local\Microsoft\Windows\INetCache\Content.MSO\CABDB153.xlsx" TargetMode="External"/><Relationship Id="rId42" Type="http://schemas.openxmlformats.org/officeDocument/2006/relationships/hyperlink" Target="https://doi.org/10.2903/j.efsa.2011.2197" TargetMode="External"/><Relationship Id="rId7" Type="http://schemas.openxmlformats.org/officeDocument/2006/relationships/hyperlink" Target="file:///C:\Users\tonge015\AppData\Local\Microsoft\Windows\INetCache\Content.MSO\CABDB153.xlsx" TargetMode="External"/><Relationship Id="rId12" Type="http://schemas.openxmlformats.org/officeDocument/2006/relationships/hyperlink" Target="file:///C:\Users\tonge015\AppData\Local\Microsoft\Windows\INetCache\Content.MSO\CABDB153.xlsx" TargetMode="External"/><Relationship Id="rId17" Type="http://schemas.openxmlformats.org/officeDocument/2006/relationships/hyperlink" Target="file:///C:\Users\tonge015\AppData\Local\Microsoft\Windows\INetCache\Content.MSO\CABDB153.xlsx" TargetMode="External"/><Relationship Id="rId25" Type="http://schemas.openxmlformats.org/officeDocument/2006/relationships/hyperlink" Target="file:///C:\Users\tonge015\AppData\Local\Microsoft\Windows\INetCache\Content.MSO\CABDB153.xlsx" TargetMode="External"/><Relationship Id="rId33" Type="http://schemas.openxmlformats.org/officeDocument/2006/relationships/hyperlink" Target="file:///C:\Users\tonge015\AppData\Local\Microsoft\Windows\INetCache\Content.MSO\CABDB153.xlsx" TargetMode="External"/><Relationship Id="rId38" Type="http://schemas.openxmlformats.org/officeDocument/2006/relationships/hyperlink" Target="file:///C:\Users\tonge015\AppData\Local\Microsoft\Windows\INetCache\Content.MSO\CABDB153.xlsx" TargetMode="External"/><Relationship Id="rId2" Type="http://schemas.openxmlformats.org/officeDocument/2006/relationships/styles" Target="styles.xml"/><Relationship Id="rId16" Type="http://schemas.openxmlformats.org/officeDocument/2006/relationships/hyperlink" Target="file:///C:\Users\tonge015\AppData\Local\Microsoft\Windows\INetCache\Content.MSO\CABDB153.xlsx" TargetMode="External"/><Relationship Id="rId20" Type="http://schemas.openxmlformats.org/officeDocument/2006/relationships/hyperlink" Target="file:///C:\Users\tonge015\AppData\Local\Microsoft\Windows\INetCache\Content.MSO\CABDB153.xlsx" TargetMode="External"/><Relationship Id="rId29" Type="http://schemas.openxmlformats.org/officeDocument/2006/relationships/hyperlink" Target="file:///C:\Users\tonge015\AppData\Local\Microsoft\Windows\INetCache\Content.MSO\CABDB153.xlsx" TargetMode="External"/><Relationship Id="rId41" Type="http://schemas.openxmlformats.org/officeDocument/2006/relationships/hyperlink" Target="file:///C:\Users\tonge015\AppData\Local\Microsoft\Windows\INetCache\Content.MSO\CABDB153.xlsx" TargetMode="External"/><Relationship Id="rId1" Type="http://schemas.openxmlformats.org/officeDocument/2006/relationships/customXml" Target="../customXml/item1.xml"/><Relationship Id="rId6" Type="http://schemas.openxmlformats.org/officeDocument/2006/relationships/hyperlink" Target="file:///C:\Users\tonge015\AppData\Local\Microsoft\Windows\INetCache\Content.MSO\CABDB153.xlsx" TargetMode="External"/><Relationship Id="rId11" Type="http://schemas.openxmlformats.org/officeDocument/2006/relationships/hyperlink" Target="file:///C:\Users\tonge015\AppData\Local\Microsoft\Windows\INetCache\Content.MSO\CABDB153.xlsx" TargetMode="External"/><Relationship Id="rId24" Type="http://schemas.openxmlformats.org/officeDocument/2006/relationships/hyperlink" Target="file:///C:\Users\tonge015\AppData\Local\Microsoft\Windows\INetCache\Content.MSO\CABDB153.xlsx" TargetMode="External"/><Relationship Id="rId32" Type="http://schemas.openxmlformats.org/officeDocument/2006/relationships/hyperlink" Target="file:///C:\Users\tonge015\AppData\Local\Microsoft\Windows\INetCache\Content.MSO\CABDB153.xlsx" TargetMode="External"/><Relationship Id="rId37" Type="http://schemas.openxmlformats.org/officeDocument/2006/relationships/hyperlink" Target="file:///C:\Users\tonge015\AppData\Local\Microsoft\Windows\INetCache\Content.MSO\CABDB153.xlsx" TargetMode="External"/><Relationship Id="rId40" Type="http://schemas.openxmlformats.org/officeDocument/2006/relationships/hyperlink" Target="file:///C:\Users\tonge015\AppData\Local\Microsoft\Windows\INetCache\Content.MSO\CABDB153.xlsx" TargetMode="External"/><Relationship Id="rId45" Type="http://schemas.openxmlformats.org/officeDocument/2006/relationships/theme" Target="theme/theme1.xml"/><Relationship Id="rId5" Type="http://schemas.openxmlformats.org/officeDocument/2006/relationships/hyperlink" Target="mailto:tessa.vantongeren@wur.nl" TargetMode="External"/><Relationship Id="rId15" Type="http://schemas.openxmlformats.org/officeDocument/2006/relationships/hyperlink" Target="file:///C:\Users\tonge015\AppData\Local\Microsoft\Windows\INetCache\Content.MSO\CABDB153.xlsx" TargetMode="External"/><Relationship Id="rId23" Type="http://schemas.openxmlformats.org/officeDocument/2006/relationships/hyperlink" Target="file:///C:\Users\tonge015\AppData\Local\Microsoft\Windows\INetCache\Content.MSO\CABDB153.xlsx" TargetMode="External"/><Relationship Id="rId28" Type="http://schemas.openxmlformats.org/officeDocument/2006/relationships/hyperlink" Target="file:///C:\Users\tonge015\AppData\Local\Microsoft\Windows\INetCache\Content.MSO\CABDB153.xlsx" TargetMode="External"/><Relationship Id="rId36" Type="http://schemas.openxmlformats.org/officeDocument/2006/relationships/hyperlink" Target="file:///C:\Users\tonge015\AppData\Local\Microsoft\Windows\INetCache\Content.MSO\CABDB153.xlsx" TargetMode="External"/><Relationship Id="rId10" Type="http://schemas.openxmlformats.org/officeDocument/2006/relationships/hyperlink" Target="file:///C:\Users\tonge015\AppData\Local\Microsoft\Windows\INetCache\Content.MSO\CABDB153.xlsx" TargetMode="External"/><Relationship Id="rId19" Type="http://schemas.openxmlformats.org/officeDocument/2006/relationships/hyperlink" Target="file:///C:\Users\tonge015\AppData\Local\Microsoft\Windows\INetCache\Content.MSO\CABDB153.xlsx" TargetMode="External"/><Relationship Id="rId31" Type="http://schemas.openxmlformats.org/officeDocument/2006/relationships/hyperlink" Target="file:///C:\Users\tonge015\AppData\Local\Microsoft\Windows\INetCache\Content.MSO\CABDB153.xlsx" TargetMode="External"/><Relationship Id="rId44"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file:///C:\Users\tonge015\AppData\Local\Microsoft\Windows\INetCache\Content.MSO\CABDB153.xlsx" TargetMode="External"/><Relationship Id="rId14" Type="http://schemas.openxmlformats.org/officeDocument/2006/relationships/hyperlink" Target="file:///C:\Users\tonge015\AppData\Local\Microsoft\Windows\INetCache\Content.MSO\CABDB153.xlsx" TargetMode="External"/><Relationship Id="rId22" Type="http://schemas.openxmlformats.org/officeDocument/2006/relationships/hyperlink" Target="file:///C:\Users\tonge015\AppData\Local\Microsoft\Windows\INetCache\Content.MSO\CABDB153.xlsx" TargetMode="External"/><Relationship Id="rId27" Type="http://schemas.openxmlformats.org/officeDocument/2006/relationships/hyperlink" Target="file:///C:\Users\tonge015\AppData\Local\Microsoft\Windows\INetCache\Content.MSO\CABDB153.xlsx" TargetMode="External"/><Relationship Id="rId30" Type="http://schemas.openxmlformats.org/officeDocument/2006/relationships/hyperlink" Target="file:///C:\Users\tonge015\AppData\Local\Microsoft\Windows\INetCache\Content.MSO\CABDB153.xlsx" TargetMode="External"/><Relationship Id="rId35" Type="http://schemas.openxmlformats.org/officeDocument/2006/relationships/hyperlink" Target="file:///C:\Users\tonge015\AppData\Local\Microsoft\Windows\INetCache\Content.MSO\CABDB153.xlsx" TargetMode="External"/><Relationship Id="rId43"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6C192B6B2C4DD89B529A8CD8E01A3D"/>
        <w:category>
          <w:name w:val="General"/>
          <w:gallery w:val="placeholder"/>
        </w:category>
        <w:types>
          <w:type w:val="bbPlcHdr"/>
        </w:types>
        <w:behaviors>
          <w:behavior w:val="content"/>
        </w:behaviors>
        <w:guid w:val="{8E1A1375-F4D9-41DB-B87B-40F8650B31C6}"/>
      </w:docPartPr>
      <w:docPartBody>
        <w:p w:rsidR="00D47E8B" w:rsidRDefault="00A6305F" w:rsidP="00A6305F">
          <w:pPr>
            <w:pStyle w:val="576C192B6B2C4DD89B529A8CD8E01A3D"/>
          </w:pPr>
          <w:r w:rsidRPr="008D532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4CA730E-FE24-4A58-84A6-732B48EE573E}"/>
      </w:docPartPr>
      <w:docPartBody>
        <w:p w:rsidR="0063514E" w:rsidRDefault="008742C3">
          <w:r w:rsidRPr="00F9332D">
            <w:rPr>
              <w:rStyle w:val="PlaceholderText"/>
            </w:rPr>
            <w:t>Click or tap here to enter text.</w:t>
          </w:r>
        </w:p>
      </w:docPartBody>
    </w:docPart>
    <w:docPart>
      <w:docPartPr>
        <w:name w:val="2BE837C484B8424E88B9672796AC8B8C"/>
        <w:category>
          <w:name w:val="General"/>
          <w:gallery w:val="placeholder"/>
        </w:category>
        <w:types>
          <w:type w:val="bbPlcHdr"/>
        </w:types>
        <w:behaviors>
          <w:behavior w:val="content"/>
        </w:behaviors>
        <w:guid w:val="{7EC67C88-B941-40F2-A026-212C8B3E71D8}"/>
      </w:docPartPr>
      <w:docPartBody>
        <w:p w:rsidR="0063514E" w:rsidRDefault="008742C3" w:rsidP="008742C3">
          <w:pPr>
            <w:pStyle w:val="2BE837C484B8424E88B9672796AC8B8C"/>
          </w:pPr>
          <w:r w:rsidRPr="00F9332D">
            <w:rPr>
              <w:rStyle w:val="PlaceholderText"/>
            </w:rPr>
            <w:t>Click or tap here to enter text.</w:t>
          </w:r>
        </w:p>
      </w:docPartBody>
    </w:docPart>
    <w:docPart>
      <w:docPartPr>
        <w:name w:val="DCFE633DFFF242D591F36D3DAE04D9DF"/>
        <w:category>
          <w:name w:val="General"/>
          <w:gallery w:val="placeholder"/>
        </w:category>
        <w:types>
          <w:type w:val="bbPlcHdr"/>
        </w:types>
        <w:behaviors>
          <w:behavior w:val="content"/>
        </w:behaviors>
        <w:guid w:val="{32BFD18F-6BF7-4E92-833A-B9737F7BD015}"/>
      </w:docPartPr>
      <w:docPartBody>
        <w:p w:rsidR="0063514E" w:rsidRDefault="008742C3" w:rsidP="008742C3">
          <w:pPr>
            <w:pStyle w:val="DCFE633DFFF242D591F36D3DAE04D9DF"/>
          </w:pPr>
          <w:r w:rsidRPr="00F9332D">
            <w:rPr>
              <w:rStyle w:val="PlaceholderText"/>
            </w:rPr>
            <w:t>Click or tap here to enter text.</w:t>
          </w:r>
        </w:p>
      </w:docPartBody>
    </w:docPart>
    <w:docPart>
      <w:docPartPr>
        <w:name w:val="4759B625FE4E44259EDAF5766D844D94"/>
        <w:category>
          <w:name w:val="General"/>
          <w:gallery w:val="placeholder"/>
        </w:category>
        <w:types>
          <w:type w:val="bbPlcHdr"/>
        </w:types>
        <w:behaviors>
          <w:behavior w:val="content"/>
        </w:behaviors>
        <w:guid w:val="{2D89C411-72D5-49E3-91D0-CEA63513FEDB}"/>
      </w:docPartPr>
      <w:docPartBody>
        <w:p w:rsidR="0063514E" w:rsidRDefault="008742C3" w:rsidP="008742C3">
          <w:pPr>
            <w:pStyle w:val="4759B625FE4E44259EDAF5766D844D94"/>
          </w:pPr>
          <w:r w:rsidRPr="00F9332D">
            <w:rPr>
              <w:rStyle w:val="PlaceholderText"/>
            </w:rPr>
            <w:t>Click or tap here to enter text.</w:t>
          </w:r>
        </w:p>
      </w:docPartBody>
    </w:docPart>
    <w:docPart>
      <w:docPartPr>
        <w:name w:val="A5A895E401DF431D9A64F0B15B24EFE4"/>
        <w:category>
          <w:name w:val="General"/>
          <w:gallery w:val="placeholder"/>
        </w:category>
        <w:types>
          <w:type w:val="bbPlcHdr"/>
        </w:types>
        <w:behaviors>
          <w:behavior w:val="content"/>
        </w:behaviors>
        <w:guid w:val="{A38DBBF1-90DB-4F0B-A238-53093D497311}"/>
      </w:docPartPr>
      <w:docPartBody>
        <w:p w:rsidR="0063514E" w:rsidRDefault="008742C3" w:rsidP="008742C3">
          <w:pPr>
            <w:pStyle w:val="A5A895E401DF431D9A64F0B15B24EFE4"/>
          </w:pPr>
          <w:r w:rsidRPr="00F933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05F"/>
    <w:rsid w:val="0063514E"/>
    <w:rsid w:val="008742C3"/>
    <w:rsid w:val="00A6305F"/>
    <w:rsid w:val="00D47E8B"/>
    <w:rsid w:val="00F52F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2C3"/>
    <w:rPr>
      <w:color w:val="808080"/>
    </w:rPr>
  </w:style>
  <w:style w:type="paragraph" w:customStyle="1" w:styleId="576C192B6B2C4DD89B529A8CD8E01A3D">
    <w:name w:val="576C192B6B2C4DD89B529A8CD8E01A3D"/>
    <w:rsid w:val="00A6305F"/>
  </w:style>
  <w:style w:type="paragraph" w:customStyle="1" w:styleId="2BE837C484B8424E88B9672796AC8B8C">
    <w:name w:val="2BE837C484B8424E88B9672796AC8B8C"/>
    <w:rsid w:val="008742C3"/>
  </w:style>
  <w:style w:type="paragraph" w:customStyle="1" w:styleId="DCFE633DFFF242D591F36D3DAE04D9DF">
    <w:name w:val="DCFE633DFFF242D591F36D3DAE04D9DF"/>
    <w:rsid w:val="008742C3"/>
  </w:style>
  <w:style w:type="paragraph" w:customStyle="1" w:styleId="4759B625FE4E44259EDAF5766D844D94">
    <w:name w:val="4759B625FE4E44259EDAF5766D844D94"/>
    <w:rsid w:val="008742C3"/>
  </w:style>
  <w:style w:type="paragraph" w:customStyle="1" w:styleId="A5A895E401DF431D9A64F0B15B24EFE4">
    <w:name w:val="A5A895E401DF431D9A64F0B15B24EFE4"/>
    <w:rsid w:val="008742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79431F8-D52E-4C6F-A372-8E675ADC72F8}">
  <we:reference id="f78a3046-9e99-4300-aa2b-5814002b01a2" version="1.55.1.0" store="EXCatalog" storeType="EXCatalog"/>
  <we:alternateReferences>
    <we:reference id="WA104382081" version="1.55.1.0" store="nl-NL" storeType="OMEX"/>
  </we:alternateReferences>
  <we:properties>
    <we:property name="MENDELEY_CITATIONS" value="[{&quot;citationID&quot;:&quot;MENDELEY_CITATION_21b80d48-b62d-4967-9a0f-148e15ac19fd&quot;,&quot;properties&quot;:{&quot;noteIndex&quot;:0},&quot;isEdited&quot;:false,&quot;manualOverride&quot;:{&quot;isManuallyOverridden&quot;:false,&quot;citeprocText&quot;:&quot;(Busby et al., 2002)&quot;,&quot;manualOverrideText&quot;:&quot;&quot;},&quot;citationTag&quot;:&quot;MENDELEY_CITATION_v3_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&quot;,&quot;citationItems&quot;:[{&quot;id&quot;:&quot;c91b1a93-5756-387b-afd0-01b015d2525e&quot;,&quot;itemData&quot;:{&quot;type&quot;:&quot;article-journal&quot;,&quot;id&quot;:&quot;c91b1a93-5756-387b-afd0-01b015d2525e&quot;,&quot;title&quot;:&quot;Clinical characteristics and pharmacokinetics of purified soy isoflavones: Single-dose administration to healthy men&quot;,&quot;author&quot;:[{&quot;family&quot;:&quot;Busby&quot;,&quot;given&quot;:&quot;Marjorie G.&quot;,&quot;parse-names&quot;:false,&quot;dropping-particle&quot;:&quot;&quot;,&quot;non-dropping-particle&quot;:&quot;&quot;},{&quot;family&quot;:&quot;Jeffcoat&quot;,&quot;given&quot;:&quot;A. Robert&quot;,&quot;parse-names&quot;:false,&quot;dropping-particle&quot;:&quot;&quot;,&quot;non-dropping-particle&quot;:&quot;&quot;},{&quot;family&quot;:&quot;Bloedon&quot;,&quot;given&quot;:&quot;Le Anne T.&quot;,&quot;parse-names&quot;:false,&quot;dropping-particle&quot;:&quot;&quot;,&quot;non-dropping-particle&quot;:&quot;&quot;},{&quot;family&quot;:&quot;Koch&quot;,&quot;given&quot;:&quot;Matthew A.&quot;,&quot;parse-names&quot;:false,&quot;dropping-particle&quot;:&quot;&quot;,&quot;non-dropping-particle&quot;:&quot;&quot;},{&quot;family&quot;:&quot;Black&quot;,&quot;given&quot;:&quot;Tracy&quot;,&quot;parse-names&quot;:false,&quot;dropping-particle&quot;:&quot;&quot;,&quot;non-dropping-particle&quot;:&quot;&quot;},{&quot;family&quot;:&quot;Dix&quot;,&quot;given&quot;:&quot;Kelly J.&quot;,&quot;parse-names&quot;:false,&quot;dropping-particle&quot;:&quot;&quot;,&quot;non-dropping-particle&quot;:&quot;&quot;},{&quot;family&quot;:&quot;Heizer&quot;,&quot;given&quot;:&quot;William D.&quot;,&quot;parse-names&quot;:false,&quot;dropping-particle&quot;:&quot;&quot;,&quot;non-dropping-particle&quot;:&quot;&quot;},{&quot;family&quot;:&quot;Thomas&quot;,&quot;given&quot;:&quot;Brian F.&quot;,&quot;parse-names&quot;:false,&quot;dropping-particle&quot;:&quot;&quot;,&quot;non-dropping-particle&quot;:&quot;&quot;},{&quot;family&quot;:&quot;Hill&quot;,&quot;given&quot;:&quot;Judith M.&quot;,&quot;parse-names&quot;:false,&quot;dropping-particle&quot;:&quot;&quot;,&quot;non-dropping-particle&quot;:&quot;&quot;},{&quot;family&quot;:&quot;Crowell&quot;,&quot;given&quot;:&quot;James A.&quot;,&quot;parse-names&quot;:false,&quot;dropping-particle&quot;:&quot;&quot;,&quot;non-dropping-particle&quot;:&quot;&quot;},{&quot;family&quot;:&quot;Zeisel&quot;,&quot;given&quot;:&quot;Steven H.&quot;,&quot;parse-names&quot;:false,&quot;dropping-particle&quot;:&quot;&quot;,&quot;non-dropping-particle&quot;:&quot;&quot;}],&quot;container-title&quot;:&quot;American Journal of Clinical Nutrition&quot;,&quot;DOI&quot;:&quot;10.1093/ajcn/75.1.126&quot;,&quot;ISSN&quot;:&quot;00029165&quot;,&quot;issued&quot;:{&quot;date-parts&quot;:[[2002]]},&quot;abstract&quot;:&quot;Background: Soy isoflavones are potential cancer chemoprevention treatments. Objective: We conducted safety studies of purified unconjugated genistein, daidzein, and glycitein, and defined pharmacokinetic parameters for their absorption and metabolism. Design: Thirty healthy men ingested a single dose of 1 of 2 isoflavone preparations purified from soy. The delivered doses of genistein (1, 2, 4, 8, or 16 mg/kg body wt) were higher than those previously administered to humans. Formulation A was composed of 90 ± 5% genistein, 10% daidzein, and 1% glycitein. Formulation B was composed of 43% genistein, 21% daidzein, and 2% glycitein. Results: We observed no clinically significant behavioral or physical changes after treatment. We observed elevations in lipoprotein lipase and hypophosphatemia that were possibly related to the treatment but that were associated with no clinical toxicity. Considerable quantities of isoflavones were excreted in urine as conjugates. The terminal elimination rate, elimination half-life, area under the curve, maximum plasma concentration, apparent systemic clearance, and volume of distribution were estimated for genistein and daidzein. The mean elimination half-lives with both formulations were 3.2 h for free genistein and 4.2 h for free daidzein. The mean pseudo half-lives were 9.2 h for total genistein and 8.2 h for total daidzein. Conclusions: Dietary supplements of purified unconjugated isoflavones administered to humans in single doses exceeding normal dietary intake manyfold resulted in minimal clinical toxicity. Genistein and daidzein (free and total) were rapidly cleared from plasma and excreted in urine.&quot;,&quot;issue&quot;:&quot;1&quot;,&quot;volume&quot;:&quot;75&quot;,&quot;container-title-short&quot;:&quot;&quot;},&quot;isTemporary&quot;:false}]},{&quot;citationID&quot;:&quot;MENDELEY_CITATION_5ac5f334-cf54-4b76-91f0-6c041d551255&quot;,&quot;properties&quot;:{&quot;noteIndex&quot;:0},&quot;isEdited&quot;:false,&quot;manualOverride&quot;:{&quot;isManuallyOverridden&quot;:false,&quot;citeprocText&quot;:&quot;(Metzner et al., 2009)&quot;,&quot;manualOverrideText&quot;:&quot;&quot;},&quot;citationTag&quot;:&quot;MENDELEY_CITATION_v3_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&quot;,&quot;citationItems&quot;:[{&quot;id&quot;:&quot;df3e0d17-29cb-3aaf-ba5b-b494b1522d66&quot;,&quot;itemData&quot;:{&quot;type&quot;:&quot;article-journal&quot;,&quot;id&quot;:&quot;df3e0d17-29cb-3aaf-ba5b-b494b1522d66&quot;,&quot;title&quot;:&quot;Study on the pharmacokinetics of synthetic genistein after multiple oral intake in post-menopausal women&quot;,&quot;author&quot;:[{&quot;family&quot;:&quot;Metzner&quot;,&quot;given&quot;:&quot;Jürgen E.&quot;,&quot;parse-names&quot;:false,&quot;dropping-particle&quot;:&quot;&quot;,&quot;non-dropping-particle&quot;:&quot;&quot;},{&quot;family&quot;:&quot;Frank&quot;,&quot;given&quot;:&quot;Thomas&quot;,&quot;parse-names&quot;:false,&quot;dropping-particle&quot;:&quot;&quot;,&quot;non-dropping-particle&quot;:&quot;&quot;},{&quot;family&quot;:&quot;Kunz&quot;,&quot;given&quot;:&quot;Iris&quot;,&quot;parse-names&quot;:false,&quot;dropping-particle&quot;:&quot;&quot;,&quot;non-dropping-particle&quot;:&quot;&quot;},{&quot;family&quot;:&quot;Burger&quot;,&quot;given&quot;:&quot;Dominik&quot;,&quot;parse-names&quot;:false,&quot;dropping-particle&quot;:&quot;&quot;,&quot;non-dropping-particle&quot;:&quot;&quot;},{&quot;family&quot;:&quot;Riegger&quot;,&quot;given&quot;:&quot;Christoph&quot;,&quot;parse-names&quot;:false,&quot;dropping-particle&quot;:&quot;&quot;,&quot;non-dropping-particle&quot;:&quot;&quot;}],&quot;container-title&quot;:&quot;Arzneimittel-Forschung/Drug Research&quot;,&quot;DOI&quot;:&quot;10.1055/s-0031-1296435&quot;,&quot;ISSN&quot;:&quot;00044172&quot;,&quot;issued&quot;:{&quot;date-parts&quot;:[[2009]]},&quot;abstract&quot;:&quot;Genistein (CAS 446-72-0), an isoflavone and phytoestrogen predominantly found in soy, is considered a promising natural bioactive to prevent post-menopausal bone loss. geniVida™ (previously Bonistein®), a novel product containing of min. 98.5 % synthetic genistein aglycone, was investigated in 12 healthy post-menopausal women to assess the safety and tolerability as well as to obtain pharmacokinetic data after 7 days of repeated intakes. 24 h pharmacokinetic profiles were determined after the first oral dose and after 7 days repeated intakes of 30 mg of the test formulation. Plasma genistein (aglycone) and its conjugates were determined by a standardised LC/MS analytical method using D4-genistein as the internal standard. The plasma-concentration time profiles for conjugated genistein showed a fast, monophasic one-peak course until Tmax (5.9 h (first dose), 5.3 h (steady state (SS)); Cmax (456.8 ng/ml (first dose), 498.5 ng/ml (SS)). Elimination half-lives (t1/2) were calculated to be 10.8 h (first dose) and 8.2 h (SS), respectively. Determination of AUC (0-inf.) (first dose) was good with a low percentage of extrapolation (3949.1 h ng/ml). AUC(0-24h) at SS was 5923.3 h ng/ml. Steady state was reached after 4 to 5 days and no relevant accumulation occurred (R = 1.02). The test formulation was safe and very well tolerated. © ECV Editio Cantor Verlag.&quot;,&quot;issue&quot;:&quot;10&quot;,&quot;volume&quot;:&quot;59&quot;,&quot;container-title-short&quot;:&quot;&quot;},&quot;isTemporary&quot;:false}]},{&quot;citationID&quot;:&quot;MENDELEY_CITATION_7cb61463-142a-4a36-9e02-47e562a429a0&quot;,&quot;properties&quot;:{&quot;noteIndex&quot;:0},&quot;isEdited&quot;:false,&quot;manualOverride&quot;:{&quot;isManuallyOverridden&quot;:false,&quot;citeprocText&quot;:&quot;(Grace et al., 2004)&quot;,&quot;manualOverrideText&quot;:&quot;&quot;},&quot;citationTag&quot;:&quot;MENDELEY_CITATION_v3_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&quot;,&quot;citationItems&quot;:[{&quot;id&quot;:&quot;c8675215-97d3-3a7e-88af-61f852c91a32&quot;,&quot;itemData&quot;:{&quot;type&quot;:&quot;article-journal&quot;,&quot;id&quot;:&quot;c8675215-97d3-3a7e-88af-61f852c91a32&quot;,&quot;title&quot;:&quot;Phytoestrogen concentrations in serum and spot urine as biomarkers for dietary phytoestrogen intake and their relation to breast cancer risk in European Prospective Investigation of Cancer and Nutrition-Norfolk&quot;,&quot;author&quot;:[{&quot;family&quot;:&quot;Grace&quot;,&quot;given&quot;:&quot;Philip B.&quot;,&quot;parse-names&quot;:false,&quot;dropping-particle&quot;:&quot;&quot;,&quot;non-dropping-particle&quot;:&quot;&quot;},{&quot;family&quot;:&quot;Taylor&quot;,&quot;given&quot;:&quot;James I.&quot;,&quot;parse-names&quot;:false,&quot;dropping-particle&quot;:&quot;&quot;,&quot;non-dropping-particle&quot;:&quot;&quot;},{&quot;family&quot;:&quot;Low&quot;,&quot;given&quot;:&quot;Yen Ling&quot;,&quot;parse-names&quot;:false,&quot;dropping-particle&quot;:&quot;&quot;,&quot;non-dropping-particle&quot;:&quot;&quot;},{&quot;family&quot;:&quot;Luben&quot;,&quot;given&quot;:&quot;Robert N.&quot;,&quot;parse-names&quot;:false,&quot;dropping-particle&quot;:&quot;&quot;,&quot;non-dropping-particle&quot;:&quot;&quot;},{&quot;family&quot;:&quot;Mulligan&quot;,&quot;given&quot;:&quot;Angela A.&quot;,&quot;parse-names&quot;:false,&quot;dropping-particle&quot;:&quot;&quot;,&quot;non-dropping-particle&quot;:&quot;&quot;},{&quot;family&quot;:&quot;Botting&quot;,&quot;given&quot;:&quot;Nigel P.&quot;,&quot;parse-names&quot;:false,&quot;dropping-particle&quot;:&quot;&quot;,&quot;non-dropping-particle&quot;:&quot;&quot;},{&quot;family&quot;:&quot;Dowsett&quot;,&quot;given&quot;:&quot;Mitch&quot;,&quot;parse-names&quot;:false,&quot;dropping-particle&quot;:&quot;&quot;,&quot;non-dropping-particle&quot;:&quot;&quot;},{&quot;family&quot;:&quot;Welch&quot;,&quot;given&quot;:&quot;Ailsa A.&quot;,&quot;parse-names&quot;:false,&quot;dropping-particle&quot;:&quot;&quot;,&quot;non-dropping-particle&quot;:&quot;&quot;},{&quot;family&quot;:&quot;Khaw&quot;,&quot;given&quot;:&quot;Kay Tee&quot;,&quot;parse-names&quot;:false,&quot;dropping-particle&quot;:&quot;&quot;,&quot;non-dropping-particle&quot;:&quot;&quot;},{&quot;family&quot;:&quot;Wareham&quot;,&quot;given&quot;:&quot;Nick J.&quot;,&quot;parse-names&quot;:false,&quot;dropping-particle&quot;:&quot;&quot;,&quot;non-dropping-particle&quot;:&quot;&quot;},{&quot;family&quot;:&quot;Day&quot;,&quot;given&quot;:&quot;Nick E.&quot;,&quot;parse-names&quot;:false,&quot;dropping-particle&quot;:&quot;&quot;,&quot;non-dropping-particle&quot;:&quot;&quot;},{&quot;family&quot;:&quot;Bingham&quot;,&quot;given&quot;:&quot;Sheila A.&quot;,&quot;parse-names&quot;:false,&quot;dropping-particle&quot;:&quot;&quot;,&quot;non-dropping-particle&quot;:&quot;&quot;}],&quot;container-title&quot;:&quot;Cancer Epidemiology Biomarkers and Prevention&quot;,&quot;DOI&quot;:&quot;10.1158/1055-9965.698.13.5&quot;,&quot;ISSN&quot;:&quot;10559965&quot;,&quot;issued&quot;:{&quot;date-parts&quot;:[[2004]]},&quot;abstract&quot;:&quot;Subjects of this study consisted of 333 women (aged 45-75 years) drawn from a large United Kingdom prospective study of diet and cancer, the European Prospective Investigation of Cancer and Nutrition-Norfolk study. Using newly developed gas chromatography/mass spectrometry and liquid chromatography/mass spectrometry methods incorporating triply 13C-labeled standards, seven phytoestrogens (daidzein, genistein, glycitein, O-desmethylangolensin, equol, enterodiol, and enterolactone) were measured in 114 spot urines and 97 available serum samples from women who later developed breast cancer. Results were compared with those from 219 urines and 187 serum samples from healthy controls matched by age and date of recruitment. Dietary levels were low, but even so, mean serum levels of phytoestrogens were up to 600 times greater than postmenopausal estradiol levels. Phytoestrogen concentrations in spot urine (adjusted for urinary creatinine) correlated strongly with that in serum, with Pearson correlation coefficients &gt; 0.8. There were significant relationships (P &lt; 0.02) between both urinary and serum concentrations of isoflavones across increasing tertiles of dietary intakes. Urinary enterodiol and enterolactone and serum enterolactone were significantly correlated with dietary fiber intake (r = 0.13-0.29). Exposure to all isoflavones was associated with increased breast cancer risk, significantly so for equol and daidzein. For a doubling of levels, odds ratios increased by 20-45% [log 2 odds ratio = 1.34 (1.06-1.70; P = 0.013) for urine equol, 1.46 (1.05-2.02; P = 0.024) for serum equol, and 1.22 (1.01-1.48; P = 0.044) for serum daidzein]. These estimates of risk are similar to those established for estrogens and androgens in postmenopausal breast cancer but need confirmation in larger studies.&quot;,&quot;issue&quot;:&quot;5&quot;,&quot;volume&quot;:&quot;13&quot;,&quot;container-title-short&quot;:&quot;&quot;},&quot;isTemporary&quot;:false}]},{&quot;citationID&quot;:&quot;MENDELEY_CITATION_a7ac2e3e-caca-49d1-aafd-fbfbf979e993&quot;,&quot;properties&quot;:{&quot;noteIndex&quot;:0},&quot;isEdited&quot;:false,&quot;manualOverride&quot;:{&quot;isManuallyOverridden&quot;:false,&quot;citeprocText&quot;:&quot;(Heald et al., 2006)&quot;,&quot;manualOverrideText&quot;:&quot;&quot;},&quot;citationTag&quot;:&quot;MENDELEY_CITATION_v3_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&quot;,&quot;citationItems&quot;:[{&quot;id&quot;:&quot;d8deb42c-e76f-3728-a4a5-86fddaf054ee&quot;,&quot;itemData&quot;:{&quot;type&quot;:&quot;article-journal&quot;,&quot;id&quot;:&quot;d8deb42c-e76f-3728-a4a5-86fddaf054ee&quot;,&quot;title&quot;:&quot;Phyto-oestrogen intake in Scottish men: Use of serum to validate a self-administered food-frequency questionnaire in older men&quot;,&quot;author&quot;:[{&quot;family&quot;:&quot;Heald&quot;,&quot;given&quot;:&quot;Charlotte L.&quot;,&quot;parse-names&quot;:false,&quot;dropping-particle&quot;:&quot;&quot;,&quot;non-dropping-particle&quot;:&quot;&quot;},{&quot;family&quot;:&quot;Bolton-Smith&quot;,&quot;given&quot;:&quot;C.&quot;,&quot;parse-names&quot;:false,&quot;dropping-particle&quot;:&quot;&quot;,&quot;non-dropping-particle&quot;:&quot;&quot;},{&quot;family&quot;:&quot;Ritchie&quot;,&quot;given&quot;:&quot;M. R.&quot;,&quot;parse-names&quot;:false,&quot;dropping-particle&quot;:&quot;&quot;,&quot;non-dropping-particle&quot;:&quot;&quot;},{&quot;family&quot;:&quot;Morton&quot;,&quot;given&quot;:&quot;M. S.&quot;,&quot;parse-names&quot;:false,&quot;dropping-particle&quot;:&quot;&quot;,&quot;non-dropping-particle&quot;:&quot;&quot;},{&quot;family&quot;:&quot;Alexander&quot;,&quot;given&quot;:&quot;F. E.&quot;,&quot;parse-names&quot;:false,&quot;dropping-particle&quot;:&quot;&quot;,&quot;non-dropping-particle&quot;:&quot;&quot;}],&quot;container-title&quot;:&quot;European Journal of Clinical Nutrition&quot;,&quot;container-title-short&quot;:&quot;Eur J Clin Nutr&quot;,&quot;DOI&quot;:&quot;10.1038/sj.ejcn.1602277&quot;,&quot;ISSN&quot;:&quot;09543007&quot;,&quot;issued&quot;:{&quot;date-parts&quot;:[[2006]]},&quot;abstract&quot;:&quot;Objective: To study dietary intake and serum concentrations of isoflavones in order to provide relative validation of isoflavone intake estimates from the Scottish Collaborative Group - Food-Frequency Questionnaire (SCG-FFQ). Design: Validation study. Setting:Southern Scotland. Method: Dietary intake of isoflavones was estimated using the semiquantitative SCG-FFQ and rank correlation and Kappa statistics were used for the relative validation of intakes against serum isoflavone concentrations in 203 male participants who were population controls in a case-control study of diet and prostate cancer. Results: The median intake of isoflavones (daidzein and genistein) was 1.0mg/day (I-QR 0.6-1.8). The median serum concentration of genistein was 33.79 nmol/l (I-QR 14.12-64.93), nearly twice that of daidzein (18.00 nmol/l, I-QR 8.26-29.45). Equol was detected in 49% of subjects; in these subjects the median was 0.67 nmol/l (I-QR 0.34-1.51). Isoflavone intake was significantly correlated with serum concentrations of daidzein (ρ0.24, P = 0.001), genistein (ρ0.26, P&lt;0.001) and total isoflavonoids (sum of daidzein, genistein and equol) (ρ0.27, P&lt;0.001). Whereas values for weighted Kappa ranged from 0.16 (P = 0.002) for daidzein and equol combined to 0.22 (P&lt;0.001) for genistein. Conclusions: These results demonstrate the suitability of the SCG-FFQ to rank usual isoflavone intakes in older Scottish men, a population observed to have low consumption of soy foods. © 2006 Nature Publishing Group. All rights reserved.&quot;,&quot;issue&quot;:&quot;1&quot;,&quot;volume&quot;:&quot;60&quot;},&quot;isTemporary&quot;:false}]},{&quot;citationID&quot;:&quot;MENDELEY_CITATION_3cbc1f03-0362-402a-b715-3793e1047285&quot;,&quot;properties&quot;:{&quot;noteIndex&quot;:0},&quot;isEdited&quot;:false,&quot;manualOverride&quot;:{&quot;isManuallyOverridden&quot;:false,&quot;citeprocText&quot;:&quot;(Setchell et al., 2003)&quot;,&quot;manualOverrideText&quot;:&quot;&quot;},&quot;citationTag&quot;:&quot;MENDELEY_CITATION_v3_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&quot;,&quot;citationItems&quot;:[{&quot;id&quot;:&quot;303c830d-855a-366d-893d-34cd89989b52&quot;,&quot;itemData&quot;:{&quot;type&quot;:&quot;article-journal&quot;,&quot;id&quot;:&quot;303c830d-855a-366d-893d-34cd89989b52&quot;,&quot;title&quot;:&quot;Comparing the pharmacokinetics of daidzein and genistein with the use of 13C-labeled tracers in premenopausal women&quot;,&quot;author&quot;:[{&quot;family&quot;:&quot;Setchell&quot;,&quot;given&quot;:&quot;Kenneth D.R.&quot;,&quot;parse-names&quot;:false,&quot;dropping-particle&quot;:&quot;&quot;,&quot;non-dropping-particle&quot;:&quot;&quot;},{&quot;family&quot;:&quot;Faughnan&quot;,&quot;given&quot;:&quot;Marian S.&quot;,&quot;parse-names&quot;:false,&quot;dropping-particle&quot;:&quot;&quot;,&quot;non-dropping-particle&quot;:&quot;&quot;},{&quot;family&quot;:&quot;Avades&quot;,&quot;given&quot;:&quot;Tony&quot;,&quot;parse-names&quot;:false,&quot;dropping-particle&quot;:&quot;&quot;,&quot;non-dropping-particle&quot;:&quot;&quot;},{&quot;family&quot;:&quot;Zimmer-Nechemias&quot;,&quot;given&quot;:&quot;Linda&quot;,&quot;parse-names&quot;:false,&quot;dropping-particle&quot;:&quot;&quot;,&quot;non-dropping-particle&quot;:&quot;&quot;},{&quot;family&quot;:&quot;Brown&quot;,&quot;given&quot;:&quot;Nadine M.&quot;,&quot;parse-names&quot;:false,&quot;dropping-particle&quot;:&quot;&quot;,&quot;non-dropping-particle&quot;:&quot;&quot;},{&quot;family&quot;:&quot;Wolfe&quot;,&quot;given&quot;:&quot;Brian E.&quot;,&quot;parse-names&quot;:false,&quot;dropping-particle&quot;:&quot;&quot;,&quot;non-dropping-particle&quot;:&quot;&quot;},{&quot;family&quot;:&quot;Brashear&quot;,&quot;given&quot;:&quot;Wayne T.&quot;,&quot;parse-names&quot;:false,&quot;dropping-particle&quot;:&quot;&quot;,&quot;non-dropping-particle&quot;:&quot;&quot;},{&quot;family&quot;:&quot;Desai&quot;,&quot;given&quot;:&quot;Panjak&quot;,&quot;parse-names&quot;:false,&quot;dropping-particle&quot;:&quot;&quot;,&quot;non-dropping-particle&quot;:&quot;&quot;},{&quot;family&quot;:&quot;Oldfield&quot;,&quot;given&quot;:&quot;Mark F.&quot;,&quot;parse-names&quot;:false,&quot;dropping-particle&quot;:&quot;&quot;,&quot;non-dropping-particle&quot;:&quot;&quot;},{&quot;family&quot;:&quot;Botting&quot;,&quot;given&quot;:&quot;Nigel P.&quot;,&quot;parse-names&quot;:false,&quot;dropping-particle&quot;:&quot;&quot;,&quot;non-dropping-particle&quot;:&quot;&quot;},{&quot;family&quot;:&quot;Cassidy&quot;,&quot;given&quot;:&quot;Aedin&quot;,&quot;parse-names&quot;:false,&quot;dropping-particle&quot;:&quot;&quot;,&quot;non-dropping-particle&quot;:&quot;&quot;}],&quot;container-title&quot;:&quot;American Journal of Clinical Nutrition&quot;,&quot;DOI&quot;:&quot;10.1093/ajcn/77.2.411&quot;,&quot;ISSN&quot;:&quot;00029165&quot;,&quot;issued&quot;:{&quot;date-parts&quot;:[[2003]]},&quot;abstract&quot;:&quot;Background: Despite significant interest in the risks and benefits of phytoestrogens to human health, few data exist on their pharmacokinetics in humans. Objective: We investigated the pharmacokinetics of the 13C isotopic forms of daidzein and genistein in healthy humans, specifically addressing intraindividual variability, effect of increasing intake, and influence of prolonged exposure to a soy food diet. Design: Premenopausal women (n = 16) were administered 0.4 mg [13C]daidzein or [13C] genistein/kg body wt orally on 3 occasions, including once after eating soy foods for 7 d. On a further occasion the dose was doubled. Plasma and urinary [13C] isoflavone concentrations were measured by mass spectrometry. Results: Serum concentrations of [13C] genistein and [13C]daidzein peaked after 5.5 and 7.4 h, respectively. The systemic bioavailability and maximum serum concentration of [13C] genistein were significantly greater than those of [13C]daidzein. The bioavailability of both isoflavones did not increase linearly when the dietary intake was doubled. The mean volume of distribution normalized to bioavailability (Vd/F), clearance rate, and half-life of [13C]daidzein were 336.25 L, 30.09 L/h, and 7.75 h, respectively; the corresponding values for [13C]genistein were 258.76 L, 21.85 L/h, and 7.77 h. The average recovery of [13C]daidzein and [13C]genistein in urine was 30.1% and 9.0% of the dose ingested, respectively. Conclusions: The serum pharmacokinetics of [13C]daidzein and [13C] genistein were reproducible among healthy women, and genistein was more bioavailable than was daidzein. Pharmacokinetics were unaffected by chronic exposure to soy foods. Urinary isoflavone concentrations correlated poorly with maximal serum concentrations, indicating the limitations of urine measurements as a predictor of systemic bioavailability. The bioavailability of both isoflavones was nonlinear at higher intakes, suggesting that uptake is rate-limiting and saturable.&quot;,&quot;issue&quot;:&quot;2&quot;,&quot;volume&quot;:&quot;77&quot;,&quot;container-title-short&quot;:&quot;&quot;},&quot;isTemporary&quot;:false}]},{&quot;citationID&quot;:&quot;MENDELEY_CITATION_015f6264-206b-412a-9e20-89d4aaa139ce&quot;,&quot;properties&quot;:{&quot;noteIndex&quot;:0},&quot;isEdited&quot;:false,&quot;manualOverride&quot;:{&quot;isManuallyOverridden&quot;:false,&quot;citeprocText&quot;:&quot;(Yuan et al., 2012)&quot;,&quot;manualOverrideText&quot;:&quot;&quot;},&quot;citationTag&quot;:&quot;MENDELEY_CITATION_v3_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&quot;,&quot;citationItems&quot;:[{&quot;id&quot;:&quot;014b145c-93f2-362b-bda1-5e9f22ae9748&quot;,&quot;itemData&quot;:{&quot;type&quot;:&quot;article-journal&quot;,&quot;id&quot;:&quot;014b145c-93f2-362b-bda1-5e9f22ae9748&quot;,&quot;title&quot;:&quot;Absorption and plasma disposition of genistin differ from those of genistein in healthy women&quot;,&quot;author&quot;:[{&quot;family&quot;:&quot;Yuan&quot;,&quot;given&quot;:&quot;Bo&quot;,&quot;parse-names&quot;:false,&quot;dropping-particle&quot;:&quot;&quot;,&quot;non-dropping-particle&quot;:&quot;&quot;},{&quot;family&quot;:&quot;Zhen&quot;,&quot;given&quot;:&quot;Huijuan&quot;,&quot;parse-names&quot;:false,&quot;dropping-particle&quot;:&quot;&quot;,&quot;non-dropping-particle&quot;:&quot;&quot;},{&quot;family&quot;:&quot;Jin&quot;,&quot;given&quot;:&quot;Yi&quot;,&quot;parse-names&quot;:false,&quot;dropping-particle&quot;:&quot;&quot;,&quot;non-dropping-particle&quot;:&quot;&quot;},{&quot;family&quot;:&quot;Xu&quot;,&quot;given&quot;:&quot;Li&quot;,&quot;parse-names&quot;:false,&quot;dropping-particle&quot;:&quot;&quot;,&quot;non-dropping-particle&quot;:&quot;&quot;},{&quot;family&quot;:&quot;Jiang&quot;,&quot;given&quot;:&quot;Xue&quot;,&quot;parse-names&quot;:false,&quot;dropping-particle&quot;:&quot;&quot;,&quot;non-dropping-particle&quot;:&quot;&quot;},{&quot;family&quot;:&quot;Sun&quot;,&quot;given&quot;:&quot;Shuaiting&quot;,&quot;parse-names&quot;:false,&quot;dropping-particle&quot;:&quot;&quot;,&quot;non-dropping-particle&quot;:&quot;&quot;},{&quot;family&quot;:&quot;Li&quot;,&quot;given&quot;:&quot;Chibing&quot;,&quot;parse-names&quot;:false,&quot;dropping-particle&quot;:&quot;&quot;,&quot;non-dropping-particle&quot;:&quot;&quot;},{&quot;family&quot;:&quot;Xu&quot;,&quot;given&quot;:&quot;Haiyan&quot;,&quot;parse-names&quot;:false,&quot;dropping-particle&quot;:&quot;&quot;,&quot;non-dropping-particle&quot;:&quot;&quot;}],&quot;container-title&quot;:&quot;Journal of Agricultural and Food Chemistry&quot;,&quot;container-title-short&quot;:&quot;J Agric Food Chem&quot;,&quot;DOI&quot;:&quot;10.1021/jf204421c&quot;,&quot;ISSN&quot;:&quot;00218561&quot;,&quot;issued&quot;:{&quot;date-parts&quot;:[[2012]]},&quot;abstract&quot;:&quot;The chemical forms in which isoflavones appear in food or supplements seem to play an important role in their absorption efficiency. However, the influence of the chemical form of isoflavones on their plasma disposition has never been reported, although the metabolites of isoflavones circulating in the blood may have biological activity themselves. The purpose of the study was to investigate the pharmacokinetic profiles of genistein (GEN) and its phase II metabolites in the plasma and urine of healthy young women after multiple doses of pure aglycone and glucoside forms of GEN. Genistein-7-glucuronide (G-7-G), 4′-glucuronide (G-4′-G), 7-sulfate (G-7-S), 4′-sulfate (G-4′-S), 4′,7-diglucuronide (G-4′,7-diG), and 7-glucuronide-4′-sulfate (G-7-G-4′-S) besides unconjugated GEN were observed in human plasma after ingestion of GEN and its glucoside. Among these metabolites, G-4′,7-diG and G-7-G-4′-S were the major ones, comprising both about 30% of the total amount of GEN in plasma. Compared with the aglycone, the amount of total GEN in vivo and those of G-4′,7-diG and G-7-G-4′-S were increased after the glucoside intake. No difference was observed in urinary excretion between the aglycone and the glucoside. Overall, the absorption and plasma disposition of GEN were affected by the glucoside form. © 2012 American Chemical Society.&quot;,&quot;issue&quot;:&quot;6&quot;,&quot;volume&quot;:&quot;60&quot;},&quot;isTemporary&quot;:false}]},{&quot;citationID&quot;:&quot;MENDELEY_CITATION_2dade621-134b-49d4-b767-a86989aa0c3a&quot;,&quot;properties&quot;:{&quot;noteIndex&quot;:0},&quot;isEdited&quot;:false,&quot;manualOverride&quot;:{&quot;isManuallyOverridden&quot;:false,&quot;citeprocText&quot;:&quot;(Setchell et al., 2011)&quot;,&quot;manualOverrideText&quot;:&quot;&quot;},&quot;citationTag&quot;:&quot;MENDELEY_CITATION_v3_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&quot;,&quot;citationItems&quot;:[{&quot;id&quot;:&quot;5c9915c8-4fa5-37bb-85b8-318f86ba30ea&quot;,&quot;itemData&quot;:{&quot;type&quot;:&quot;article-journal&quot;,&quot;id&quot;:&quot;5c9915c8-4fa5-37bb-85b8-318f86ba30ea&quot;,&quot;title&quot;:&quot;Soy isoflavone phase II metabolism differs between rodents and humans: Implications for the effect on breast cancer risk&quot;,&quot;author&quot;:[{&quot;family&quot;:&quot;Setchell&quot;,&quot;given&quot;:&quot;Kenneth D.R.&quot;,&quot;parse-names&quot;:false,&quot;dropping-particle&quot;:&quot;&quot;,&quot;non-dropping-particle&quot;:&quot;&quot;},{&quot;family&quot;:&quot;Brown&quot;,&quot;given&quot;:&quot;Nadine M.&quot;,&quot;parse-names&quot;:false,&quot;dropping-particle&quot;:&quot;&quot;,&quot;non-dropping-particle&quot;:&quot;&quot;},{&quot;family&quot;:&quot;Zhao&quot;,&quot;given&quot;:&quot;Xueheng&quot;,&quot;parse-names&quot;:false,&quot;dropping-particle&quot;:&quot;&quot;,&quot;non-dropping-particle&quot;:&quot;&quot;},{&quot;family&quot;:&quot;Lindley&quot;,&quot;given&quot;:&quot;Stephanie L.&quot;,&quot;parse-names&quot;:false,&quot;dropping-particle&quot;:&quot;&quot;,&quot;non-dropping-particle&quot;:&quot;&quot;},{&quot;family&quot;:&quot;Heubi&quot;,&quot;given&quot;:&quot;James E.&quot;,&quot;parse-names&quot;:false,&quot;dropping-particle&quot;:&quot;&quot;,&quot;non-dropping-particle&quot;:&quot;&quot;},{&quot;family&quot;:&quot;King&quot;,&quot;given&quot;:&quot;Eileen C.&quot;,&quot;parse-names&quot;:false,&quot;dropping-particle&quot;:&quot;&quot;,&quot;non-dropping-particle&quot;:&quot;&quot;},{&quot;family&quot;:&quot;Messina&quot;,&quot;given&quot;:&quot;Mark J.&quot;,&quot;parse-names&quot;:false,&quot;dropping-particle&quot;:&quot;&quot;,&quot;non-dropping-particle&quot;:&quot;&quot;}],&quot;container-title&quot;:&quot;American Journal of Clinical Nutrition&quot;,&quot;DOI&quot;:&quot;10.3945/ajcn.111.019638&quot;,&quot;ISSN&quot;:&quot;00029165&quot;,&quot;issued&quot;:{&quot;date-parts&quot;:[[2011]]},&quot;abstract&quot;:&quot;Background: Human and animal studies have produced conflicting results with regard to the effect of soy isoflavones on breast cancer risk. This may be due to differences in isoflavone metabolism. Objective: The objective of this study was to determine whether soy isoflavone phase II metabolism differs between humans and rodents. Design: Circulating total and unconjugated isoflavone concentrations were determined by mass spectrometry in plasma samples from 7 separate studies: 1) in Sprague-Dawley rats and in 3 strains of mice fed commercial soy-containing diets; 2) in Sprague-Dawley rats gavaged with genistein; 3) in healthy adults who consumed single servings of soy nuts, soy milk, and tempeh; 4) in healthy adults subchronically given soy milk; 5) in healthy women orally administered 50 mg genistein; 6) in healthy women orally administered 20 mg pure S-(-)equol; and 7) in 6-mo-old infants fed soy infant formula and later, at age 3 y, a soy germ isoflavone supplement. Results: The proportion of unconjugated genistein in plasma from adults and infants who consumed different soy foods, pure genistein, or an isoflavone supplement was &lt;1% in steady state and &lt;2% at peak concentrations. By contrast, rodents fed soy-containing diets conjugate isoflavones less efficiently. The plasma percentages of unconjugated genistein concentrations in Sprague-Dawley rats and C57BL/6, nude, and transgenic AngptL4B6 mice were 4.0 ± 0.6%, 4.6 ± 0.6%, 11.6 ± 0%, and 30.1 ± 4.3%, respectively, which represent 20, 23, 58, and 150 times that in humans. Conclusion: The markedly higher circulating concentrations of biologically active (unconjugated) genistein in certain strains of mice cast doubt on the value of the use of these rodents for gaining insight into the effects of isoflavones in humans, especially with regard to the effects on breast tissue. © 2011 American Society for Nutrition.&quot;,&quot;issue&quot;:&quot;5&quot;,&quot;volume&quot;:&quot;94&quot;,&quot;container-title-short&quot;:&quot;&quot;},&quot;isTemporary&quot;:false}]},{&quot;citationID&quot;:&quot;MENDELEY_CITATION_030d6951-6c7b-4baf-8833-28d3356c8fdb&quot;,&quot;properties&quot;:{&quot;noteIndex&quot;:0},&quot;isEdited&quot;:false,&quot;manualOverride&quot;:{&quot;isManuallyOverridden&quot;:false,&quot;citeprocText&quot;:&quot;(Arai et al., 2000)&quot;,&quot;manualOverrideText&quot;:&quot;&quot;},&quot;citationTag&quot;:&quot;MENDELEY_CITATION_v3_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&quot;,&quot;citationItems&quot;:[{&quot;id&quot;:&quot;859df850-d174-39f0-b620-206376c49e46&quot;,&quot;itemData&quot;:{&quot;type&quot;:&quot;article-journal&quot;,&quot;id&quot;:&quot;859df850-d174-39f0-b620-206376c49e46&quot;,&quot;title&quot;:&quot;Comparison of isoflavones among dietary intake, plasma concentration and urinary excretion for accurate estimation of phytoestrogen intake&quot;,&quot;author&quot;:[{&quot;family&quot;:&quot;Arai&quot;,&quot;given&quot;:&quot;Yusuke&quot;,&quot;parse-names&quot;:false,&quot;dropping-particle&quot;:&quot;&quot;,&quot;non-dropping-particle&quot;:&quot;&quot;},{&quot;family&quot;:&quot;Uehara&quot;,&quot;given&quot;:&quot;Mariko&quot;,&quot;parse-names&quot;:false,&quot;dropping-particle&quot;:&quot;&quot;,&quot;non-dropping-particle&quot;:&quot;&quot;},{&quot;family&quot;:&quot;Sato&quot;,&quot;given&quot;:&quot;Yuho&quot;,&quot;parse-names&quot;:false,&quot;dropping-particle&quot;:&quot;&quot;,&quot;non-dropping-particle&quot;:&quot;&quot;},{&quot;family&quot;:&quot;Kimira&quot;,&quot;given&quot;:&quot;Mitsuru&quot;,&quot;parse-names&quot;:false,&quot;dropping-particle&quot;:&quot;&quot;,&quot;non-dropping-particle&quot;:&quot;&quot;},{&quot;family&quot;:&quot;Eboshida&quot;,&quot;given&quot;:&quot;Akira&quot;,&quot;parse-names&quot;:false,&quot;dropping-particle&quot;:&quot;&quot;,&quot;non-dropping-particle&quot;:&quot;&quot;},{&quot;family&quot;:&quot;Adlercreutz&quot;,&quot;given&quot;:&quot;Herman&quot;,&quot;parse-names&quot;:false,&quot;dropping-particle&quot;:&quot;&quot;,&quot;non-dropping-particle&quot;:&quot;&quot;},{&quot;family&quot;:&quot;Watanabe&quot;,&quot;given&quot;:&quot;Shaw&quot;,&quot;parse-names&quot;:false,&quot;dropping-particle&quot;:&quot;&quot;,&quot;non-dropping-particle&quot;:&quot;&quot;}],&quot;container-title&quot;:&quot;Journal of Epidemiology&quot;,&quot;container-title-short&quot;:&quot;J Epidemiol&quot;,&quot;DOI&quot;:&quot;10.2188/jea.10.127&quot;,&quot;ISSN&quot;:&quot;09175040&quot;,&quot;issued&quot;:{&quot;date-parts&quot;:[[2000]]},&quot;abstract&quot;:&quot;Biological effects of dietary isoflavones, such as daidzein and genistein are of interest in preventive medicine. We estimated the dietary intake of isoflavones from dietary records and compared the values with the plasma concentrations and urinary excretions in Japanese middleaged women. The dietary intake of daidzein and genistein was 64.6 and 111.6// mol/day/capita (16.4 and 30.1 mg/day/capita), respectively. The isoflavones intake was mostly attributable to tofu, natto and miso. The median of plasma daidzein and genistein concentration was 72.46 and 206.09 nmol/L, respectively. The median of urinary excretion was 20.54 /&lt;mol/day for daidzein, 10.79 for genistein, 15.74 for equol and 1.64 for O-desmethylangoIensin (O-DMA). Equol and ODMA were excreted by 50 % and 84 % of all participants, respectively. Equol metabolizers were significantly lower the plasma and urinary daidzein and urinary O-DMA. The dietary intake of daidzein and genistein after the adjustment for total energy intake was significantly correlated with the urinary excretion (r=0.365 for daidzein and r=0.346 for genistein) and plasma concentration (r=0.335 for daidzein and r=0.429 for genistein). The plasma concentration of isoflavones was also significantly correlated with the urinary excretion. We conclude that in epidemiological studies measurements of plasma concentration or urinary excretion of these isoflavones are useful biomarkers of dietary intake and important for studies on their relation to human health.&quot;,&quot;issue&quot;:&quot;2&quot;,&quot;volume&quot;:&quot;10&quot;},&quot;isTemporary&quot;:false}]},{&quot;citationID&quot;:&quot;MENDELEY_CITATION_8876cc8c-83f6-4614-bb9f-78c49dfb2ee1&quot;,&quot;properties&quot;:{&quot;noteIndex&quot;:0},&quot;isEdited&quot;:false,&quot;manualOverride&quot;:{&quot;isManuallyOverridden&quot;:false,&quot;citeprocText&quot;:&quot;(Iwasaki et al., 2008)&quot;,&quot;manualOverrideText&quot;:&quot;&quot;},&quot;citationTag&quot;:&quot;MENDELEY_CITATION_v3_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&quot;,&quot;citationItems&quot;:[{&quot;id&quot;:&quot;c18e7396-5deb-3db3-b359-72325b0ef71a&quot;,&quot;itemData&quot;:{&quot;type&quot;:&quot;article-journal&quot;,&quot;id&quot;:&quot;c18e7396-5deb-3db3-b359-72325b0ef71a&quot;,&quot;title&quot;:&quot;Plasma isoflavone level and subsequent risk of breast cancer among japanese women: A nested case-control study from the Japan Public Health Center-based prospective study group&quot;,&quot;author&quot;:[{&quot;family&quot;:&quot;Iwasaki&quot;,&quot;given&quot;:&quot;Motoki&quot;,&quot;parse-names&quot;:false,&quot;dropping-particle&quot;:&quot;&quot;,&quot;non-dropping-particle&quot;:&quot;&quot;},{&quot;family&quot;:&quot;Inoue&quot;,&quot;given&quot;:&quot;Manami&quot;,&quot;parse-names&quot;:false,&quot;dropping-particle&quot;:&quot;&quot;,&quot;non-dropping-particle&quot;:&quot;&quot;},{&quot;family&quot;:&quot;Otani&quot;,&quot;given&quot;:&quot;Tetsuya&quot;,&quot;parse-names&quot;:false,&quot;dropping-particle&quot;:&quot;&quot;,&quot;non-dropping-particle&quot;:&quot;&quot;},{&quot;family&quot;:&quot;Sasazuki&quot;,&quot;given&quot;:&quot;Shizuka&quot;,&quot;parse-names&quot;:false,&quot;dropping-particle&quot;:&quot;&quot;,&quot;non-dropping-particle&quot;:&quot;&quot;},{&quot;family&quot;:&quot;Kurahashi&quot;,&quot;given&quot;:&quot;Norie&quot;,&quot;parse-names&quot;:false,&quot;dropping-particle&quot;:&quot;&quot;,&quot;non-dropping-particle&quot;:&quot;&quot;},{&quot;family&quot;:&quot;Miura&quot;,&quot;given&quot;:&quot;Tsutomu&quot;,&quot;parse-names&quot;:false,&quot;dropping-particle&quot;:&quot;&quot;,&quot;non-dropping-particle&quot;:&quot;&quot;},{&quot;family&quot;:&quot;Yamamoto&quot;,&quot;given&quot;:&quot;Seiichiro&quot;,&quot;parse-names&quot;:false,&quot;dropping-particle&quot;:&quot;&quot;,&quot;non-dropping-particle&quot;:&quot;&quot;},{&quot;family&quot;:&quot;Tsugane&quot;,&quot;given&quot;:&quot;Shoichiro&quot;,&quot;parse-names&quot;:false,&quot;dropping-particle&quot;:&quot;&quot;,&quot;non-dropping-particle&quot;:&quot;&quot;}],&quot;container-title&quot;:&quot;Journal of Clinical Oncology&quot;,&quot;DOI&quot;:&quot;10.1200/JCO.2007.13.9964&quot;,&quot;ISSN&quot;:&quot;0732183X&quot;,&quot;issued&quot;:{&quot;date-parts&quot;:[[2008]]},&quot;abstract&quot;:&quot;Purpose: Because they have large variations in consumption, Asian countries are suitable settings for studies of the effect of relatively high-dose isoflavone intake on breast cancer risk. Nevertheless, no prospective study from Asia has assessed blood or urine levels as biomarkers of isoflavone intake. Patients and Methods: A total of 24,226 women ages 40 to 69 years in the Japan Public Health Center-based prospective study who responded to the baseline questionnaire and provided blood in 1990 to 1995 were observed to December 2002. During a mean 10.6 years of follow-up, 144 patients newly diagnosed with breast cancer were identified. Two matched controls for each patient were selected from the cohort. Isoflavone levels were assessed by plasma level and food frequency questionnaire, and the odds ratio of breast cancer according to isoflavone level was estimated using a conditional logistic regression model. Results: We found a statistically significant inverse association between plasma genistein and risk of breast cancer, but no association for plasma daidzein. Adjusted odds ratios for the highest versus lowest quartile of plasma level were 0.34 for genistein (95% CI, 0.16 to 0.74; P for trend, .02) and 0.71 for daidzein (95% CI, 0.35 to 1.44; P for trend, .54). Median plasma genistein values in the control group were 31.9 ng/mL for the lowest and 353.9 ng/mL for the highest quartile groups. Regarding dietary intake of isoflavones, nonsignificant inverse associations were observed for both genistein and daidzein. Conclusion: This nested case-control study found an inverse association between plasma genistein and the risk of breast cancer in Japan. © 2008 by American Society of Clinical Oncology.&quot;,&quot;issue&quot;:&quot;10&quot;,&quot;volume&quot;:&quot;26&quot;,&quot;container-title-short&quot;:&quot;&quot;},&quot;isTemporary&quot;:false}]},{&quot;citationID&quot;:&quot;MENDELEY_CITATION_4230b989-0e2a-4f76-a0bf-cbbb6e51c564&quot;,&quot;properties&quot;:{&quot;noteIndex&quot;:0},&quot;isEdited&quot;:false,&quot;manualOverride&quot;:{&quot;isManuallyOverridden&quot;:false,&quot;citeprocText&quot;:&quot;(Shimazu et al., 2011)&quot;,&quot;manualOverrideText&quot;:&quot;&quot;},&quot;citationTag&quot;:&quot;MENDELEY_CITATION_v3_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&quot;,&quot;citationItems&quot;:[{&quot;id&quot;:&quot;acaf5264-1330-33a8-93e1-c03d70e55519&quot;,&quot;itemData&quot;:{&quot;type&quot;:&quot;article-journal&quot;,&quot;id&quot;:&quot;acaf5264-1330-33a8-93e1-c03d70e55519&quot;,&quot;title&quot;:&quot;Plasma isoflavones and the risk of lung cancer in women: A nested case-control study in Japan&quot;,&quot;author&quot;:[{&quot;family&quot;:&quot;Shimazu&quot;,&quot;given&quot;:&quot;Taichi&quot;,&quot;parse-names&quot;:false,&quot;dropping-particle&quot;:&quot;&quot;,&quot;non-dropping-particle&quot;:&quot;&quot;},{&quot;family&quot;:&quot;Inoue&quot;,&quot;given&quot;:&quot;Manami&quot;,&quot;parse-names&quot;:false,&quot;dropping-particle&quot;:&quot;&quot;,&quot;non-dropping-particle&quot;:&quot;&quot;},{&quot;family&quot;:&quot;Sasazuki&quot;,&quot;given&quot;:&quot;Shizuka&quot;,&quot;parse-names&quot;:false,&quot;dropping-particle&quot;:&quot;&quot;,&quot;non-dropping-particle&quot;:&quot;&quot;},{&quot;family&quot;:&quot;Iwasaki&quot;,&quot;given&quot;:&quot;Motoki&quot;,&quot;parse-names&quot;:false,&quot;dropping-particle&quot;:&quot;&quot;,&quot;non-dropping-particle&quot;:&quot;&quot;},{&quot;family&quot;:&quot;Sawada&quot;,&quot;given&quot;:&quot;Norie&quot;,&quot;parse-names&quot;:false,&quot;dropping-particle&quot;:&quot;&quot;,&quot;non-dropping-particle&quot;:&quot;&quot;},{&quot;family&quot;:&quot;Yamaji&quot;,&quot;given&quot;:&quot;Taiki&quot;,&quot;parse-names&quot;:false,&quot;dropping-particle&quot;:&quot;&quot;,&quot;non-dropping-particle&quot;:&quot;&quot;},{&quot;family&quot;:&quot;Tsugane&quot;,&quot;given&quot;:&quot;Shoichiro&quot;,&quot;parse-names&quot;:false,&quot;dropping-particle&quot;:&quot;&quot;,&quot;non-dropping-particle&quot;:&quot;&quot;}],&quot;container-title&quot;:&quot;Cancer Epidemiology Biomarkers and Prevention&quot;,&quot;DOI&quot;:&quot;10.1158/1055-9965.EPI-10-1025&quot;,&quot;ISSN&quot;:&quot;10559965&quot;,&quot;issued&quot;:{&quot;date-parts&quot;:[[2011]]},&quot;abstract&quot;:&quot;Background: Although several epidemiologic studies have found that isoflavone intake assessed by questionnaire is associated with a decreased risk of lung cancer, no prospective study has investigated this association using blood concentrations of isoflavones. Methods: We conducted a nested case-control study within a population-based prospective cohort study. A total of 24,127 women aged 40 to 69 years who returned the baseline questionnaire and provided blood samples were observed from 1990 through 2006. During a median follow-up period of 13.5 years, 126 newly diagnosed lung cancer cases were identified. For each case, we selected two controls matched for age, area, smoking status, and condition of blood draw. Aconditional logistic regression model was used to estimate the odds ratios (ORs) and 95% CIs of lung cancer in relation to plasma concentrations of genistein, daidzein, glycitein, equol, and total isoflavones. Results: After exclusion of 20 lung cancer cases diagnosed in the first 3 years after blood collection, an inverse association was found between plasma genistein concentration and lung cancer risk. The multivariate-adjusted OR (95% CI) of lung cancer in the highest quintile of plasma genistein concentration as compared with that in the lowest quintile was 0.31 (0.12, 0.86; P for trend = 0.085). Other isoflavones and total isoflavones were not associated with a significant decrease in the risk of lung cancer. Conclusion: Plasma genistein concentration was inversely associated with lung cancer risk in Japanese women. Impact: Our data support the previously observed association between isoflavone intake and lung cancer risk. ©2011 AACR.&quot;,&quot;issue&quot;:&quot;3&quot;,&quot;volume&quot;:&quot;20&quot;,&quot;container-title-short&quot;:&quot;&quot;},&quot;isTemporary&quot;:false}]},{&quot;citationID&quot;:&quot;MENDELEY_CITATION_17831ccc-eadb-489e-b15e-7549775223b2&quot;,&quot;properties&quot;:{&quot;noteIndex&quot;:0},&quot;isEdited&quot;:false,&quot;manualOverride&quot;:{&quot;isManuallyOverridden&quot;:false,&quot;citeprocText&quot;:&quot;(Takashima et al., 2004)&quot;,&quot;manualOverrideText&quot;:&quot;&quot;},&quot;citationTag&quot;:&quot;MENDELEY_CITATION_v3_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&quot;,&quot;citationItems&quot;:[{&quot;id&quot;:&quot;bc370a4a-45c6-38b6-9a48-d7e10aeda1c0&quot;,&quot;itemData&quot;:{&quot;type&quot;:&quot;article-journal&quot;,&quot;id&quot;:&quot;bc370a4a-45c6-38b6-9a48-d7e10aeda1c0&quot;,&quot;title&quot;:&quot;Blood isoflavone levels during intake of a controlled hospital diet&quot;,&quot;author&quot;:[{&quot;family&quot;:&quot;Takashima&quot;,&quot;given&quot;:&quot;Naomi&quot;,&quot;parse-names&quot;:false,&quot;dropping-particle&quot;:&quot;&quot;,&quot;non-dropping-particle&quot;:&quot;&quot;},{&quot;family&quot;:&quot;Miyanaga&quot;,&quot;given&quot;:&quot;Naoto&quot;,&quot;parse-names&quot;:false,&quot;dropping-particle&quot;:&quot;&quot;,&quot;non-dropping-particle&quot;:&quot;&quot;},{&quot;family&quot;:&quot;Komiya&quot;,&quot;given&quot;:&quot;Kimitoshi&quot;,&quot;parse-names&quot;:false,&quot;dropping-particle&quot;:&quot;&quot;,&quot;non-dropping-particle&quot;:&quot;&quot;},{&quot;family&quot;:&quot;Mori&quot;,&quot;given&quot;:&quot;Mitsuru&quot;,&quot;parse-names&quot;:false,&quot;dropping-particle&quot;:&quot;&quot;,&quot;non-dropping-particle&quot;:&quot;&quot;},{&quot;family&quot;:&quot;Akaza&quot;,&quot;given&quot;:&quot;Hideyuki&quot;,&quot;parse-names&quot;:false,&quot;dropping-particle&quot;:&quot;&quot;,&quot;non-dropping-particle&quot;:&quot;&quot;}],&quot;container-title&quot;:&quot;Journal of Nutritional Science and Vitaminology&quot;,&quot;container-title-short&quot;:&quot;J Nutr Sci Vitaminol (Tokyo)&quot;,&quot;DOI&quot;:&quot;10.3177/jnsv.50.246&quot;,&quot;ISSN&quot;:&quot;18817742&quot;,&quot;issued&quot;:{&quot;date-parts&quot;:[[2004]]},&quot;abstract&quot;:&quot;Isoflavones are reported to have an estrogenic activity to prevent prostate cancer. Therefore, it is necessary to analyze the factors influencing the absorption and metabolism of isoflavones using detailed and precise dietary information. We evaluated the relationship between the amount of intake of soybean isoflavones in the diet and its serum levels in 88 hospitalized patients (22 with prostate cancer, 66 without cancer) with a mean age of 67.0±9.3 y. The intake amount of genistein and daidzein was significantly lower in the hospital diet than that in the ordinary daily diet. The serum levels of isoflavones were related to the amount of intake consumed during the day before blood collection (r=0.27 for genistein, r=0.33 for daidzein), but not to the last meal before blood collection. While little relationship was observed between the amount of intake and serum levels of isoflavones in the equol producers, a marked relationship was noted in the non-producers (r=0.52 for genistein, r=0.67 for daidzein). Blood isoflavone levels decreased when the duration of the hospitalization was longer than 1 wk. These observations indicate that the serum isoflavone levels are correlated with the amount of intake of isoflavones during the preceding 2 wk and serve as an effective biomarker in individuals during the intake of the hospital diet. Further investigations, including the mechanism of the metabolism on isoflavones, are necessary for the evaluation of the preventive effect of isoflavones.&quot;,&quot;issue&quot;:&quot;4&quot;,&quot;volume&quot;:&quot;50&quot;},&quot;isTemporary&quot;:false}]},{&quot;citationID&quot;:&quot;MENDELEY_CITATION_c5bd8a17-334a-4fdf-8452-79f177c8b907&quot;,&quot;properties&quot;:{&quot;noteIndex&quot;:0},&quot;isEdited&quot;:false,&quot;manualOverride&quot;:{&quot;isManuallyOverridden&quot;:false,&quot;citeprocText&quot;:&quot;(Ritchie et al., 2004)&quot;,&quot;manualOverrideText&quot;:&quot;&quot;},&quot;citationTag&quot;:&quot;MENDELEY_CITATION_v3_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&quot;,&quot;citationItems&quot;:[{&quot;id&quot;:&quot;cc45057c-7b91-3cd7-9e5e-b520bd9f0d88&quot;,&quot;itemData&quot;:{&quot;type&quot;:&quot;article-journal&quot;,&quot;id&quot;:&quot;cc45057c-7b91-3cd7-9e5e-b520bd9f0d88&quot;,&quot;title&quot;:&quot;Plasma and urinary phyto-oestrogens as biomarkers of intake: validation by duplicate diet analysis&quot;,&quot;author&quot;:[{&quot;family&quot;:&quot;Ritchie&quot;,&quot;given&quot;:&quot;Margaret R.&quot;,&quot;parse-names&quot;:false,&quot;dropping-particle&quot;:&quot;&quot;,&quot;non-dropping-particle&quot;:&quot;&quot;},{&quot;family&quot;:&quot;Morton&quot;,&quot;given&quot;:&quot;Michael S.&quot;,&quot;parse-names&quot;:false,&quot;dropping-particle&quot;:&quot;&quot;,&quot;non-dropping-particle&quot;:&quot;&quot;},{&quot;family&quot;:&quot;Deighton&quot;,&quot;given&quot;:&quot;Nigel&quot;,&quot;parse-names&quot;:false,&quot;dropping-particle&quot;:&quot;&quot;,&quot;non-dropping-particle&quot;:&quot;&quot;},{&quot;family&quot;:&quot;Blake&quot;,&quot;given&quot;:&quot;Alison&quot;,&quot;parse-names&quot;:false,&quot;dropping-particle&quot;:&quot;&quot;,&quot;non-dropping-particle&quot;:&quot;&quot;},{&quot;family&quot;:&quot;Cummings&quot;,&quot;given&quot;:&quot;John H.&quot;,&quot;parse-names&quot;:false,&quot;dropping-particle&quot;:&quot;&quot;,&quot;non-dropping-particle&quot;:&quot;&quot;}],&quot;container-title&quot;:&quot;British Journal of Nutrition&quot;,&quot;DOI&quot;:&quot;10.1079/bjn20031062&quot;,&quot;ISSN&quot;:&quot;0007-1145&quot;,&quot;issued&quot;:{&quot;date-parts&quot;:[[2004]]},&quot;abstract&quot;:&quot; Estimating intake of phyto-oestrogens (PO) is difficult because there is inadequate information on the PO content of foods. Development of a biomarker of intake is therefore necessary for carrying out epidemiological studies. We aimed to validate a newly constructed PO database, containing more than 600 values assigned to foods by using duplicate diet analysis, and to investigate the relationships between measured PO intake, urinary excretion and plasma concentrations of PO. Fourteen subjects with estimated dietary intakes of PO ranging from 0 to 44mg/d, measured by 7d weighed intake, completed a duplicate diet collection over 24h. Concurrently, a 24h urine collection, validated using p -aminobenzoic acid, was obtained and one timed spot plasma sample taken. Duplicate diets, complete urine collections and plasma samples were analysed for total genistein and daidzein using liquid chromatography–MS to determine PO intake. The potential for 24h urinary excretion and plasma PO concentrations to reflect dietary intake was investigated. Mean estimated and measured dietary PO intakes were 12·3 and 11·0mg/d respectively. The correlation between estimated intake and measured intake of PO was highly significant ( r 0·98, P &lt;0·001). Urinary excretion (24h) and plasma concentrations of PO were significantly related to measured dietary PO intake (r 0·97, P &lt;0·001 and r 0·92, P &lt;0·001 respectively). The relationship between 24h urinary PO excretion and timed plasma concentrations was also significant ( r 0·99, P &lt;0·001). These findings validate the PO database and indicate that 24h urinary excretion and timed plasma concentrations can be used as biomarkers of PO intake. &quot;,&quot;issue&quot;:&quot;3&quot;,&quot;volume&quot;:&quot;91&quot;,&quot;container-title-short&quot;:&quot;&quot;},&quot;isTemporary&quot;:false}]},{&quot;citationID&quot;:&quot;MENDELEY_CITATION_ff83bc58-fd89-46f8-9ae0-d5db96998e67&quot;,&quot;properties&quot;:{&quot;noteIndex&quot;:0},&quot;isEdited&quot;:false,&quot;manualOverride&quot;:{&quot;isManuallyOverridden&quot;:false,&quot;citeprocText&quot;:&quot;(Busby et al., 2002)&quot;,&quot;manualOverrideText&quot;:&quot;&quot;},&quot;citationTag&quot;:&quot;MENDELEY_CITATION_v3_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&quot;,&quot;citationItems&quot;:[{&quot;id&quot;:&quot;c91b1a93-5756-387b-afd0-01b015d2525e&quot;,&quot;itemData&quot;:{&quot;type&quot;:&quot;article-journal&quot;,&quot;id&quot;:&quot;c91b1a93-5756-387b-afd0-01b015d2525e&quot;,&quot;title&quot;:&quot;Clinical characteristics and pharmacokinetics of purified soy isoflavones: Single-dose administration to healthy men&quot;,&quot;author&quot;:[{&quot;family&quot;:&quot;Busby&quot;,&quot;given&quot;:&quot;Marjorie G.&quot;,&quot;parse-names&quot;:false,&quot;dropping-particle&quot;:&quot;&quot;,&quot;non-dropping-particle&quot;:&quot;&quot;},{&quot;family&quot;:&quot;Jeffcoat&quot;,&quot;given&quot;:&quot;A. Robert&quot;,&quot;parse-names&quot;:false,&quot;dropping-particle&quot;:&quot;&quot;,&quot;non-dropping-particle&quot;:&quot;&quot;},{&quot;family&quot;:&quot;Bloedon&quot;,&quot;given&quot;:&quot;Le Anne T.&quot;,&quot;parse-names&quot;:false,&quot;dropping-particle&quot;:&quot;&quot;,&quot;non-dropping-particle&quot;:&quot;&quot;},{&quot;family&quot;:&quot;Koch&quot;,&quot;given&quot;:&quot;Matthew A.&quot;,&quot;parse-names&quot;:false,&quot;dropping-particle&quot;:&quot;&quot;,&quot;non-dropping-particle&quot;:&quot;&quot;},{&quot;family&quot;:&quot;Black&quot;,&quot;given&quot;:&quot;Tracy&quot;,&quot;parse-names&quot;:false,&quot;dropping-particle&quot;:&quot;&quot;,&quot;non-dropping-particle&quot;:&quot;&quot;},{&quot;family&quot;:&quot;Dix&quot;,&quot;given&quot;:&quot;Kelly J.&quot;,&quot;parse-names&quot;:false,&quot;dropping-particle&quot;:&quot;&quot;,&quot;non-dropping-particle&quot;:&quot;&quot;},{&quot;family&quot;:&quot;Heizer&quot;,&quot;given&quot;:&quot;William D.&quot;,&quot;parse-names&quot;:false,&quot;dropping-particle&quot;:&quot;&quot;,&quot;non-dropping-particle&quot;:&quot;&quot;},{&quot;family&quot;:&quot;Thomas&quot;,&quot;given&quot;:&quot;Brian F.&quot;,&quot;parse-names&quot;:false,&quot;dropping-particle&quot;:&quot;&quot;,&quot;non-dropping-particle&quot;:&quot;&quot;},{&quot;family&quot;:&quot;Hill&quot;,&quot;given&quot;:&quot;Judith M.&quot;,&quot;parse-names&quot;:false,&quot;dropping-particle&quot;:&quot;&quot;,&quot;non-dropping-particle&quot;:&quot;&quot;},{&quot;family&quot;:&quot;Crowell&quot;,&quot;given&quot;:&quot;James A.&quot;,&quot;parse-names&quot;:false,&quot;dropping-particle&quot;:&quot;&quot;,&quot;non-dropping-particle&quot;:&quot;&quot;},{&quot;family&quot;:&quot;Zeisel&quot;,&quot;given&quot;:&quot;Steven H.&quot;,&quot;parse-names&quot;:false,&quot;dropping-particle&quot;:&quot;&quot;,&quot;non-dropping-particle&quot;:&quot;&quot;}],&quot;container-title&quot;:&quot;American Journal of Clinical Nutrition&quot;,&quot;DOI&quot;:&quot;10.1093/ajcn/75.1.126&quot;,&quot;ISSN&quot;:&quot;00029165&quot;,&quot;issued&quot;:{&quot;date-parts&quot;:[[2002]]},&quot;abstract&quot;:&quot;Background: Soy isoflavones are potential cancer chemoprevention treatments. Objective: We conducted safety studies of purified unconjugated genistein, daidzein, and glycitein, and defined pharmacokinetic parameters for their absorption and metabolism. Design: Thirty healthy men ingested a single dose of 1 of 2 isoflavone preparations purified from soy. The delivered doses of genistein (1, 2, 4, 8, or 16 mg/kg body wt) were higher than those previously administered to humans. Formulation A was composed of 90 ± 5% genistein, 10% daidzein, and 1% glycitein. Formulation B was composed of 43% genistein, 21% daidzein, and 2% glycitein. Results: We observed no clinically significant behavioral or physical changes after treatment. We observed elevations in lipoprotein lipase and hypophosphatemia that were possibly related to the treatment but that were associated with no clinical toxicity. Considerable quantities of isoflavones were excreted in urine as conjugates. The terminal elimination rate, elimination half-life, area under the curve, maximum plasma concentration, apparent systemic clearance, and volume of distribution were estimated for genistein and daidzein. The mean elimination half-lives with both formulations were 3.2 h for free genistein and 4.2 h for free daidzein. The mean pseudo half-lives were 9.2 h for total genistein and 8.2 h for total daidzein. Conclusions: Dietary supplements of purified unconjugated isoflavones administered to humans in single doses exceeding normal dietary intake manyfold resulted in minimal clinical toxicity. Genistein and daidzein (free and total) were rapidly cleared from plasma and excreted in urine.&quot;,&quot;issue&quot;:&quot;1&quot;,&quot;volume&quot;:&quot;75&quot;,&quot;container-title-short&quot;:&quot;&quot;},&quot;isTemporary&quot;:false}]},{&quot;citationID&quot;:&quot;MENDELEY_CITATION_8b17f352-d18f-4b73-be55-bd59370c1c07&quot;,&quot;properties&quot;:{&quot;noteIndex&quot;:0},&quot;isEdited&quot;:false,&quot;manualOverride&quot;:{&quot;isManuallyOverridden&quot;:false,&quot;citeprocText&quot;:&quot;(Busby et al., 2002)&quot;,&quot;manualOverrideText&quot;:&quot;&quot;},&quot;citationTag&quot;:&quot;MENDELEY_CITATION_v3_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&quot;,&quot;citationItems&quot;:[{&quot;id&quot;:&quot;c91b1a93-5756-387b-afd0-01b015d2525e&quot;,&quot;itemData&quot;:{&quot;type&quot;:&quot;article-journal&quot;,&quot;id&quot;:&quot;c91b1a93-5756-387b-afd0-01b015d2525e&quot;,&quot;title&quot;:&quot;Clinical characteristics and pharmacokinetics of purified soy isoflavones: Single-dose administration to healthy men&quot;,&quot;author&quot;:[{&quot;family&quot;:&quot;Busby&quot;,&quot;given&quot;:&quot;Marjorie G.&quot;,&quot;parse-names&quot;:false,&quot;dropping-particle&quot;:&quot;&quot;,&quot;non-dropping-particle&quot;:&quot;&quot;},{&quot;family&quot;:&quot;Jeffcoat&quot;,&quot;given&quot;:&quot;A. Robert&quot;,&quot;parse-names&quot;:false,&quot;dropping-particle&quot;:&quot;&quot;,&quot;non-dropping-particle&quot;:&quot;&quot;},{&quot;family&quot;:&quot;Bloedon&quot;,&quot;given&quot;:&quot;Le Anne T.&quot;,&quot;parse-names&quot;:false,&quot;dropping-particle&quot;:&quot;&quot;,&quot;non-dropping-particle&quot;:&quot;&quot;},{&quot;family&quot;:&quot;Koch&quot;,&quot;given&quot;:&quot;Matthew A.&quot;,&quot;parse-names&quot;:false,&quot;dropping-particle&quot;:&quot;&quot;,&quot;non-dropping-particle&quot;:&quot;&quot;},{&quot;family&quot;:&quot;Black&quot;,&quot;given&quot;:&quot;Tracy&quot;,&quot;parse-names&quot;:false,&quot;dropping-particle&quot;:&quot;&quot;,&quot;non-dropping-particle&quot;:&quot;&quot;},{&quot;family&quot;:&quot;Dix&quot;,&quot;given&quot;:&quot;Kelly J.&quot;,&quot;parse-names&quot;:false,&quot;dropping-particle&quot;:&quot;&quot;,&quot;non-dropping-particle&quot;:&quot;&quot;},{&quot;family&quot;:&quot;Heizer&quot;,&quot;given&quot;:&quot;William D.&quot;,&quot;parse-names&quot;:false,&quot;dropping-particle&quot;:&quot;&quot;,&quot;non-dropping-particle&quot;:&quot;&quot;},{&quot;family&quot;:&quot;Thomas&quot;,&quot;given&quot;:&quot;Brian F.&quot;,&quot;parse-names&quot;:false,&quot;dropping-particle&quot;:&quot;&quot;,&quot;non-dropping-particle&quot;:&quot;&quot;},{&quot;family&quot;:&quot;Hill&quot;,&quot;given&quot;:&quot;Judith M.&quot;,&quot;parse-names&quot;:false,&quot;dropping-particle&quot;:&quot;&quot;,&quot;non-dropping-particle&quot;:&quot;&quot;},{&quot;family&quot;:&quot;Crowell&quot;,&quot;given&quot;:&quot;James A.&quot;,&quot;parse-names&quot;:false,&quot;dropping-particle&quot;:&quot;&quot;,&quot;non-dropping-particle&quot;:&quot;&quot;},{&quot;family&quot;:&quot;Zeisel&quot;,&quot;given&quot;:&quot;Steven H.&quot;,&quot;parse-names&quot;:false,&quot;dropping-particle&quot;:&quot;&quot;,&quot;non-dropping-particle&quot;:&quot;&quot;}],&quot;container-title&quot;:&quot;American Journal of Clinical Nutrition&quot;,&quot;DOI&quot;:&quot;10.1093/ajcn/75.1.126&quot;,&quot;ISSN&quot;:&quot;00029165&quot;,&quot;issued&quot;:{&quot;date-parts&quot;:[[2002]]},&quot;abstract&quot;:&quot;Background: Soy isoflavones are potential cancer chemoprevention treatments. Objective: We conducted safety studies of purified unconjugated genistein, daidzein, and glycitein, and defined pharmacokinetic parameters for their absorption and metabolism. Design: Thirty healthy men ingested a single dose of 1 of 2 isoflavone preparations purified from soy. The delivered doses of genistein (1, 2, 4, 8, or 16 mg/kg body wt) were higher than those previously administered to humans. Formulation A was composed of 90 ± 5% genistein, 10% daidzein, and 1% glycitein. Formulation B was composed of 43% genistein, 21% daidzein, and 2% glycitein. Results: We observed no clinically significant behavioral or physical changes after treatment. We observed elevations in lipoprotein lipase and hypophosphatemia that were possibly related to the treatment but that were associated with no clinical toxicity. Considerable quantities of isoflavones were excreted in urine as conjugates. The terminal elimination rate, elimination half-life, area under the curve, maximum plasma concentration, apparent systemic clearance, and volume of distribution were estimated for genistein and daidzein. The mean elimination half-lives with both formulations were 3.2 h for free genistein and 4.2 h for free daidzein. The mean pseudo half-lives were 9.2 h for total genistein and 8.2 h for total daidzein. Conclusions: Dietary supplements of purified unconjugated isoflavones administered to humans in single doses exceeding normal dietary intake manyfold resulted in minimal clinical toxicity. Genistein and daidzein (free and total) were rapidly cleared from plasma and excreted in urine.&quot;,&quot;issue&quot;:&quot;1&quot;,&quot;volume&quot;:&quot;75&quot;,&quot;container-title-short&quot;:&quot;&quot;},&quot;isTemporary&quot;:false}]},{&quot;citationID&quot;:&quot;MENDELEY_CITATION_c4566ced-04f7-4276-8075-9c462580eedf&quot;,&quot;properties&quot;:{&quot;noteIndex&quot;:0},&quot;isEdited&quot;:false,&quot;manualOverride&quot;:{&quot;isManuallyOverridden&quot;:false,&quot;citeprocText&quot;:&quot;(Metzner et al., 2009)&quot;,&quot;manualOverrideText&quot;:&quot;&quot;},&quot;citationTag&quot;:&quot;MENDELEY_CITATION_v3_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&quot;,&quot;citationItems&quot;:[{&quot;id&quot;:&quot;df3e0d17-29cb-3aaf-ba5b-b494b1522d66&quot;,&quot;itemData&quot;:{&quot;type&quot;:&quot;article-journal&quot;,&quot;id&quot;:&quot;df3e0d17-29cb-3aaf-ba5b-b494b1522d66&quot;,&quot;title&quot;:&quot;Study on the pharmacokinetics of synthetic genistein after multiple oral intake in post-menopausal women&quot;,&quot;author&quot;:[{&quot;family&quot;:&quot;Metzner&quot;,&quot;given&quot;:&quot;Jürgen E.&quot;,&quot;parse-names&quot;:false,&quot;dropping-particle&quot;:&quot;&quot;,&quot;non-dropping-particle&quot;:&quot;&quot;},{&quot;family&quot;:&quot;Frank&quot;,&quot;given&quot;:&quot;Thomas&quot;,&quot;parse-names&quot;:false,&quot;dropping-particle&quot;:&quot;&quot;,&quot;non-dropping-particle&quot;:&quot;&quot;},{&quot;family&quot;:&quot;Kunz&quot;,&quot;given&quot;:&quot;Iris&quot;,&quot;parse-names&quot;:false,&quot;dropping-particle&quot;:&quot;&quot;,&quot;non-dropping-particle&quot;:&quot;&quot;},{&quot;family&quot;:&quot;Burger&quot;,&quot;given&quot;:&quot;Dominik&quot;,&quot;parse-names&quot;:false,&quot;dropping-particle&quot;:&quot;&quot;,&quot;non-dropping-particle&quot;:&quot;&quot;},{&quot;family&quot;:&quot;Riegger&quot;,&quot;given&quot;:&quot;Christoph&quot;,&quot;parse-names&quot;:false,&quot;dropping-particle&quot;:&quot;&quot;,&quot;non-dropping-particle&quot;:&quot;&quot;}],&quot;container-title&quot;:&quot;Arzneimittel-Forschung/Drug Research&quot;,&quot;DOI&quot;:&quot;10.1055/s-0031-1296435&quot;,&quot;ISSN&quot;:&quot;00044172&quot;,&quot;issued&quot;:{&quot;date-parts&quot;:[[2009]]},&quot;abstract&quot;:&quot;Genistein (CAS 446-72-0), an isoflavone and phytoestrogen predominantly found in soy, is considered a promising natural bioactive to prevent post-menopausal bone loss. geniVida™ (previously Bonistein®), a novel product containing of min. 98.5 % synthetic genistein aglycone, was investigated in 12 healthy post-menopausal women to assess the safety and tolerability as well as to obtain pharmacokinetic data after 7 days of repeated intakes. 24 h pharmacokinetic profiles were determined after the first oral dose and after 7 days repeated intakes of 30 mg of the test formulation. Plasma genistein (aglycone) and its conjugates were determined by a standardised LC/MS analytical method using D4-genistein as the internal standard. The plasma-concentration time profiles for conjugated genistein showed a fast, monophasic one-peak course until Tmax (5.9 h (first dose), 5.3 h (steady state (SS)); Cmax (456.8 ng/ml (first dose), 498.5 ng/ml (SS)). Elimination half-lives (t1/2) were calculated to be 10.8 h (first dose) and 8.2 h (SS), respectively. Determination of AUC (0-inf.) (first dose) was good with a low percentage of extrapolation (3949.1 h ng/ml). AUC(0-24h) at SS was 5923.3 h ng/ml. Steady state was reached after 4 to 5 days and no relevant accumulation occurred (R = 1.02). The test formulation was safe and very well tolerated. © ECV Editio Cantor Verlag.&quot;,&quot;issue&quot;:&quot;10&quot;,&quot;volume&quot;:&quot;59&quot;,&quot;container-title-short&quot;:&quot;&quot;},&quot;isTemporary&quot;:false}]},{&quot;citationID&quot;:&quot;MENDELEY_CITATION_3f6541ca-c1a7-4f99-950f-5badc0de0c52&quot;,&quot;properties&quot;:{&quot;noteIndex&quot;:0},&quot;isEdited&quot;:false,&quot;manualOverride&quot;:{&quot;isManuallyOverridden&quot;:false,&quot;citeprocText&quot;:&quot;(Yuan et al., 2012)&quot;,&quot;manualOverrideText&quot;:&quot;&quot;},&quot;citationTag&quot;:&quot;MENDELEY_CITATION_v3_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&quot;,&quot;citationItems&quot;:[{&quot;id&quot;:&quot;014b145c-93f2-362b-bda1-5e9f22ae9748&quot;,&quot;itemData&quot;:{&quot;type&quot;:&quot;article-journal&quot;,&quot;id&quot;:&quot;014b145c-93f2-362b-bda1-5e9f22ae9748&quot;,&quot;title&quot;:&quot;Absorption and plasma disposition of genistin differ from those of genistein in healthy women&quot;,&quot;author&quot;:[{&quot;family&quot;:&quot;Yuan&quot;,&quot;given&quot;:&quot;Bo&quot;,&quot;parse-names&quot;:false,&quot;dropping-particle&quot;:&quot;&quot;,&quot;non-dropping-particle&quot;:&quot;&quot;},{&quot;family&quot;:&quot;Zhen&quot;,&quot;given&quot;:&quot;Huijuan&quot;,&quot;parse-names&quot;:false,&quot;dropping-particle&quot;:&quot;&quot;,&quot;non-dropping-particle&quot;:&quot;&quot;},{&quot;family&quot;:&quot;Jin&quot;,&quot;given&quot;:&quot;Yi&quot;,&quot;parse-names&quot;:false,&quot;dropping-particle&quot;:&quot;&quot;,&quot;non-dropping-particle&quot;:&quot;&quot;},{&quot;family&quot;:&quot;Xu&quot;,&quot;given&quot;:&quot;Li&quot;,&quot;parse-names&quot;:false,&quot;dropping-particle&quot;:&quot;&quot;,&quot;non-dropping-particle&quot;:&quot;&quot;},{&quot;family&quot;:&quot;Jiang&quot;,&quot;given&quot;:&quot;Xue&quot;,&quot;parse-names&quot;:false,&quot;dropping-particle&quot;:&quot;&quot;,&quot;non-dropping-particle&quot;:&quot;&quot;},{&quot;family&quot;:&quot;Sun&quot;,&quot;given&quot;:&quot;Shuaiting&quot;,&quot;parse-names&quot;:false,&quot;dropping-particle&quot;:&quot;&quot;,&quot;non-dropping-particle&quot;:&quot;&quot;},{&quot;family&quot;:&quot;Li&quot;,&quot;given&quot;:&quot;Chibing&quot;,&quot;parse-names&quot;:false,&quot;dropping-particle&quot;:&quot;&quot;,&quot;non-dropping-particle&quot;:&quot;&quot;},{&quot;family&quot;:&quot;Xu&quot;,&quot;given&quot;:&quot;Haiyan&quot;,&quot;parse-names&quot;:false,&quot;dropping-particle&quot;:&quot;&quot;,&quot;non-dropping-particle&quot;:&quot;&quot;}],&quot;container-title&quot;:&quot;Journal of Agricultural and Food Chemistry&quot;,&quot;container-title-short&quot;:&quot;J Agric Food Chem&quot;,&quot;DOI&quot;:&quot;10.1021/jf204421c&quot;,&quot;ISSN&quot;:&quot;00218561&quot;,&quot;issued&quot;:{&quot;date-parts&quot;:[[2012]]},&quot;abstract&quot;:&quot;The chemical forms in which isoflavones appear in food or supplements seem to play an important role in their absorption efficiency. However, the influence of the chemical form of isoflavones on their plasma disposition has never been reported, although the metabolites of isoflavones circulating in the blood may have biological activity themselves. The purpose of the study was to investigate the pharmacokinetic profiles of genistein (GEN) and its phase II metabolites in the plasma and urine of healthy young women after multiple doses of pure aglycone and glucoside forms of GEN. Genistein-7-glucuronide (G-7-G), 4′-glucuronide (G-4′-G), 7-sulfate (G-7-S), 4′-sulfate (G-4′-S), 4′,7-diglucuronide (G-4′,7-diG), and 7-glucuronide-4′-sulfate (G-7-G-4′-S) besides unconjugated GEN were observed in human plasma after ingestion of GEN and its glucoside. Among these metabolites, G-4′,7-diG and G-7-G-4′-S were the major ones, comprising both about 30% of the total amount of GEN in plasma. Compared with the aglycone, the amount of total GEN in vivo and those of G-4′,7-diG and G-7-G-4′-S were increased after the glucoside intake. No difference was observed in urinary excretion between the aglycone and the glucoside. Overall, the absorption and plasma disposition of GEN were affected by the glucoside form. © 2012 American Chemical Society.&quot;,&quot;issue&quot;:&quot;6&quot;,&quot;volume&quot;:&quot;60&quot;},&quot;isTemporary&quot;:false}]},{&quot;citationID&quot;:&quot;MENDELEY_CITATION_8fe8f024-6537-4ba0-8850-78c0f06c41f4&quot;,&quot;properties&quot;:{&quot;noteIndex&quot;:0},&quot;isEdited&quot;:false,&quot;manualOverride&quot;:{&quot;isManuallyOverridden&quot;:false,&quot;citeprocText&quot;:&quot;(Setchell et al., 2003)&quot;,&quot;manualOverrideText&quot;:&quot;&quot;},&quot;citationTag&quot;:&quot;MENDELEY_CITATION_v3_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&quot;,&quot;citationItems&quot;:[{&quot;id&quot;:&quot;303c830d-855a-366d-893d-34cd89989b52&quot;,&quot;itemData&quot;:{&quot;type&quot;:&quot;article-journal&quot;,&quot;id&quot;:&quot;303c830d-855a-366d-893d-34cd89989b52&quot;,&quot;title&quot;:&quot;Comparing the pharmacokinetics of daidzein and genistein with the use of 13C-labeled tracers in premenopausal women&quot;,&quot;author&quot;:[{&quot;family&quot;:&quot;Setchell&quot;,&quot;given&quot;:&quot;Kenneth D.R.&quot;,&quot;parse-names&quot;:false,&quot;dropping-particle&quot;:&quot;&quot;,&quot;non-dropping-particle&quot;:&quot;&quot;},{&quot;family&quot;:&quot;Faughnan&quot;,&quot;given&quot;:&quot;Marian S.&quot;,&quot;parse-names&quot;:false,&quot;dropping-particle&quot;:&quot;&quot;,&quot;non-dropping-particle&quot;:&quot;&quot;},{&quot;family&quot;:&quot;Avades&quot;,&quot;given&quot;:&quot;Tony&quot;,&quot;parse-names&quot;:false,&quot;dropping-particle&quot;:&quot;&quot;,&quot;non-dropping-particle&quot;:&quot;&quot;},{&quot;family&quot;:&quot;Zimmer-Nechemias&quot;,&quot;given&quot;:&quot;Linda&quot;,&quot;parse-names&quot;:false,&quot;dropping-particle&quot;:&quot;&quot;,&quot;non-dropping-particle&quot;:&quot;&quot;},{&quot;family&quot;:&quot;Brown&quot;,&quot;given&quot;:&quot;Nadine M.&quot;,&quot;parse-names&quot;:false,&quot;dropping-particle&quot;:&quot;&quot;,&quot;non-dropping-particle&quot;:&quot;&quot;},{&quot;family&quot;:&quot;Wolfe&quot;,&quot;given&quot;:&quot;Brian E.&quot;,&quot;parse-names&quot;:false,&quot;dropping-particle&quot;:&quot;&quot;,&quot;non-dropping-particle&quot;:&quot;&quot;},{&quot;family&quot;:&quot;Brashear&quot;,&quot;given&quot;:&quot;Wayne T.&quot;,&quot;parse-names&quot;:false,&quot;dropping-particle&quot;:&quot;&quot;,&quot;non-dropping-particle&quot;:&quot;&quot;},{&quot;family&quot;:&quot;Desai&quot;,&quot;given&quot;:&quot;Panjak&quot;,&quot;parse-names&quot;:false,&quot;dropping-particle&quot;:&quot;&quot;,&quot;non-dropping-particle&quot;:&quot;&quot;},{&quot;family&quot;:&quot;Oldfield&quot;,&quot;given&quot;:&quot;Mark F.&quot;,&quot;parse-names&quot;:false,&quot;dropping-particle&quot;:&quot;&quot;,&quot;non-dropping-particle&quot;:&quot;&quot;},{&quot;family&quot;:&quot;Botting&quot;,&quot;given&quot;:&quot;Nigel P.&quot;,&quot;parse-names&quot;:false,&quot;dropping-particle&quot;:&quot;&quot;,&quot;non-dropping-particle&quot;:&quot;&quot;},{&quot;family&quot;:&quot;Cassidy&quot;,&quot;given&quot;:&quot;Aedin&quot;,&quot;parse-names&quot;:false,&quot;dropping-particle&quot;:&quot;&quot;,&quot;non-dropping-particle&quot;:&quot;&quot;}],&quot;container-title&quot;:&quot;American Journal of Clinical Nutrition&quot;,&quot;DOI&quot;:&quot;10.1093/ajcn/77.2.411&quot;,&quot;ISSN&quot;:&quot;00029165&quot;,&quot;issued&quot;:{&quot;date-parts&quot;:[[2003]]},&quot;abstract&quot;:&quot;Background: Despite significant interest in the risks and benefits of phytoestrogens to human health, few data exist on their pharmacokinetics in humans. Objective: We investigated the pharmacokinetics of the 13C isotopic forms of daidzein and genistein in healthy humans, specifically addressing intraindividual variability, effect of increasing intake, and influence of prolonged exposure to a soy food diet. Design: Premenopausal women (n = 16) were administered 0.4 mg [13C]daidzein or [13C] genistein/kg body wt orally on 3 occasions, including once after eating soy foods for 7 d. On a further occasion the dose was doubled. Plasma and urinary [13C] isoflavone concentrations were measured by mass spectrometry. Results: Serum concentrations of [13C] genistein and [13C]daidzein peaked after 5.5 and 7.4 h, respectively. The systemic bioavailability and maximum serum concentration of [13C] genistein were significantly greater than those of [13C]daidzein. The bioavailability of both isoflavones did not increase linearly when the dietary intake was doubled. The mean volume of distribution normalized to bioavailability (Vd/F), clearance rate, and half-life of [13C]daidzein were 336.25 L, 30.09 L/h, and 7.75 h, respectively; the corresponding values for [13C]genistein were 258.76 L, 21.85 L/h, and 7.77 h. The average recovery of [13C]daidzein and [13C]genistein in urine was 30.1% and 9.0% of the dose ingested, respectively. Conclusions: The serum pharmacokinetics of [13C]daidzein and [13C] genistein were reproducible among healthy women, and genistein was more bioavailable than was daidzein. Pharmacokinetics were unaffected by chronic exposure to soy foods. Urinary isoflavone concentrations correlated poorly with maximal serum concentrations, indicating the limitations of urine measurements as a predictor of systemic bioavailability. The bioavailability of both isoflavones was nonlinear at higher intakes, suggesting that uptake is rate-limiting and saturable.&quot;,&quot;issue&quot;:&quot;2&quot;,&quot;volume&quot;:&quot;77&quot;,&quot;container-title-short&quot;:&quot;&quot;},&quot;isTemporary&quot;:false}]},{&quot;citationID&quot;:&quot;MENDELEY_CITATION_e782fa5e-079b-4627-8aab-e06884b3d9ec&quot;,&quot;properties&quot;:{&quot;noteIndex&quot;:0},&quot;isEdited&quot;:false,&quot;manualOverride&quot;:{&quot;isManuallyOverridden&quot;:false,&quot;citeprocText&quot;:&quot;(Setchell et al., 2003)&quot;,&quot;manualOverrideText&quot;:&quot;&quot;},&quot;citationTag&quot;:&quot;MENDELEY_CITATION_v3_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&quot;,&quot;citationItems&quot;:[{&quot;id&quot;:&quot;303c830d-855a-366d-893d-34cd89989b52&quot;,&quot;itemData&quot;:{&quot;type&quot;:&quot;article-journal&quot;,&quot;id&quot;:&quot;303c830d-855a-366d-893d-34cd89989b52&quot;,&quot;title&quot;:&quot;Comparing the pharmacokinetics of daidzein and genistein with the use of 13C-labeled tracers in premenopausal women&quot;,&quot;author&quot;:[{&quot;family&quot;:&quot;Setchell&quot;,&quot;given&quot;:&quot;Kenneth D.R.&quot;,&quot;parse-names&quot;:false,&quot;dropping-particle&quot;:&quot;&quot;,&quot;non-dropping-particle&quot;:&quot;&quot;},{&quot;family&quot;:&quot;Faughnan&quot;,&quot;given&quot;:&quot;Marian S.&quot;,&quot;parse-names&quot;:false,&quot;dropping-particle&quot;:&quot;&quot;,&quot;non-dropping-particle&quot;:&quot;&quot;},{&quot;family&quot;:&quot;Avades&quot;,&quot;given&quot;:&quot;Tony&quot;,&quot;parse-names&quot;:false,&quot;dropping-particle&quot;:&quot;&quot;,&quot;non-dropping-particle&quot;:&quot;&quot;},{&quot;family&quot;:&quot;Zimmer-Nechemias&quot;,&quot;given&quot;:&quot;Linda&quot;,&quot;parse-names&quot;:false,&quot;dropping-particle&quot;:&quot;&quot;,&quot;non-dropping-particle&quot;:&quot;&quot;},{&quot;family&quot;:&quot;Brown&quot;,&quot;given&quot;:&quot;Nadine M.&quot;,&quot;parse-names&quot;:false,&quot;dropping-particle&quot;:&quot;&quot;,&quot;non-dropping-particle&quot;:&quot;&quot;},{&quot;family&quot;:&quot;Wolfe&quot;,&quot;given&quot;:&quot;Brian E.&quot;,&quot;parse-names&quot;:false,&quot;dropping-particle&quot;:&quot;&quot;,&quot;non-dropping-particle&quot;:&quot;&quot;},{&quot;family&quot;:&quot;Brashear&quot;,&quot;given&quot;:&quot;Wayne T.&quot;,&quot;parse-names&quot;:false,&quot;dropping-particle&quot;:&quot;&quot;,&quot;non-dropping-particle&quot;:&quot;&quot;},{&quot;family&quot;:&quot;Desai&quot;,&quot;given&quot;:&quot;Panjak&quot;,&quot;parse-names&quot;:false,&quot;dropping-particle&quot;:&quot;&quot;,&quot;non-dropping-particle&quot;:&quot;&quot;},{&quot;family&quot;:&quot;Oldfield&quot;,&quot;given&quot;:&quot;Mark F.&quot;,&quot;parse-names&quot;:false,&quot;dropping-particle&quot;:&quot;&quot;,&quot;non-dropping-particle&quot;:&quot;&quot;},{&quot;family&quot;:&quot;Botting&quot;,&quot;given&quot;:&quot;Nigel P.&quot;,&quot;parse-names&quot;:false,&quot;dropping-particle&quot;:&quot;&quot;,&quot;non-dropping-particle&quot;:&quot;&quot;},{&quot;family&quot;:&quot;Cassidy&quot;,&quot;given&quot;:&quot;Aedin&quot;,&quot;parse-names&quot;:false,&quot;dropping-particle&quot;:&quot;&quot;,&quot;non-dropping-particle&quot;:&quot;&quot;}],&quot;container-title&quot;:&quot;American Journal of Clinical Nutrition&quot;,&quot;DOI&quot;:&quot;10.1093/ajcn/77.2.411&quot;,&quot;ISSN&quot;:&quot;00029165&quot;,&quot;issued&quot;:{&quot;date-parts&quot;:[[2003]]},&quot;abstract&quot;:&quot;Background: Despite significant interest in the risks and benefits of phytoestrogens to human health, few data exist on their pharmacokinetics in humans. Objective: We investigated the pharmacokinetics of the 13C isotopic forms of daidzein and genistein in healthy humans, specifically addressing intraindividual variability, effect of increasing intake, and influence of prolonged exposure to a soy food diet. Design: Premenopausal women (n = 16) were administered 0.4 mg [13C]daidzein or [13C] genistein/kg body wt orally on 3 occasions, including once after eating soy foods for 7 d. On a further occasion the dose was doubled. Plasma and urinary [13C] isoflavone concentrations were measured by mass spectrometry. Results: Serum concentrations of [13C] genistein and [13C]daidzein peaked after 5.5 and 7.4 h, respectively. The systemic bioavailability and maximum serum concentration of [13C] genistein were significantly greater than those of [13C]daidzein. The bioavailability of both isoflavones did not increase linearly when the dietary intake was doubled. The mean volume of distribution normalized to bioavailability (Vd/F), clearance rate, and half-life of [13C]daidzein were 336.25 L, 30.09 L/h, and 7.75 h, respectively; the corresponding values for [13C]genistein were 258.76 L, 21.85 L/h, and 7.77 h. The average recovery of [13C]daidzein and [13C]genistein in urine was 30.1% and 9.0% of the dose ingested, respectively. Conclusions: The serum pharmacokinetics of [13C]daidzein and [13C] genistein were reproducible among healthy women, and genistein was more bioavailable than was daidzein. Pharmacokinetics were unaffected by chronic exposure to soy foods. Urinary isoflavone concentrations correlated poorly with maximal serum concentrations, indicating the limitations of urine measurements as a predictor of systemic bioavailability. The bioavailability of both isoflavones was nonlinear at higher intakes, suggesting that uptake is rate-limiting and saturable.&quot;,&quot;issue&quot;:&quot;2&quot;,&quot;volume&quot;:&quot;77&quot;,&quot;container-title-short&quot;:&quot;&quot;},&quot;isTemporary&quot;:false}]},{&quot;citationID&quot;:&quot;MENDELEY_CITATION_5f46725e-f65b-40de-a3c1-5e60ee64028c&quot;,&quot;properties&quot;:{&quot;noteIndex&quot;:0},&quot;isEdited&quot;:false,&quot;manualOverride&quot;:{&quot;isManuallyOverridden&quot;:false,&quot;citeprocText&quot;:&quot;(Setchell et al., 2003)&quot;,&quot;manualOverrideText&quot;:&quot;&quot;},&quot;citationTag&quot;:&quot;MENDELEY_CITATION_v3_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&quot;,&quot;citationItems&quot;:[{&quot;id&quot;:&quot;303c830d-855a-366d-893d-34cd89989b52&quot;,&quot;itemData&quot;:{&quot;type&quot;:&quot;article-journal&quot;,&quot;id&quot;:&quot;303c830d-855a-366d-893d-34cd89989b52&quot;,&quot;title&quot;:&quot;Comparing the pharmacokinetics of daidzein and genistein with the use of 13C-labeled tracers in premenopausal women&quot;,&quot;author&quot;:[{&quot;family&quot;:&quot;Setchell&quot;,&quot;given&quot;:&quot;Kenneth D.R.&quot;,&quot;parse-names&quot;:false,&quot;dropping-particle&quot;:&quot;&quot;,&quot;non-dropping-particle&quot;:&quot;&quot;},{&quot;family&quot;:&quot;Faughnan&quot;,&quot;given&quot;:&quot;Marian S.&quot;,&quot;parse-names&quot;:false,&quot;dropping-particle&quot;:&quot;&quot;,&quot;non-dropping-particle&quot;:&quot;&quot;},{&quot;family&quot;:&quot;Avades&quot;,&quot;given&quot;:&quot;Tony&quot;,&quot;parse-names&quot;:false,&quot;dropping-particle&quot;:&quot;&quot;,&quot;non-dropping-particle&quot;:&quot;&quot;},{&quot;family&quot;:&quot;Zimmer-Nechemias&quot;,&quot;given&quot;:&quot;Linda&quot;,&quot;parse-names&quot;:false,&quot;dropping-particle&quot;:&quot;&quot;,&quot;non-dropping-particle&quot;:&quot;&quot;},{&quot;family&quot;:&quot;Brown&quot;,&quot;given&quot;:&quot;Nadine M.&quot;,&quot;parse-names&quot;:false,&quot;dropping-particle&quot;:&quot;&quot;,&quot;non-dropping-particle&quot;:&quot;&quot;},{&quot;family&quot;:&quot;Wolfe&quot;,&quot;given&quot;:&quot;Brian E.&quot;,&quot;parse-names&quot;:false,&quot;dropping-particle&quot;:&quot;&quot;,&quot;non-dropping-particle&quot;:&quot;&quot;},{&quot;family&quot;:&quot;Brashear&quot;,&quot;given&quot;:&quot;Wayne T.&quot;,&quot;parse-names&quot;:false,&quot;dropping-particle&quot;:&quot;&quot;,&quot;non-dropping-particle&quot;:&quot;&quot;},{&quot;family&quot;:&quot;Desai&quot;,&quot;given&quot;:&quot;Panjak&quot;,&quot;parse-names&quot;:false,&quot;dropping-particle&quot;:&quot;&quot;,&quot;non-dropping-particle&quot;:&quot;&quot;},{&quot;family&quot;:&quot;Oldfield&quot;,&quot;given&quot;:&quot;Mark F.&quot;,&quot;parse-names&quot;:false,&quot;dropping-particle&quot;:&quot;&quot;,&quot;non-dropping-particle&quot;:&quot;&quot;},{&quot;family&quot;:&quot;Botting&quot;,&quot;given&quot;:&quot;Nigel P.&quot;,&quot;parse-names&quot;:false,&quot;dropping-particle&quot;:&quot;&quot;,&quot;non-dropping-particle&quot;:&quot;&quot;},{&quot;family&quot;:&quot;Cassidy&quot;,&quot;given&quot;:&quot;Aedin&quot;,&quot;parse-names&quot;:false,&quot;dropping-particle&quot;:&quot;&quot;,&quot;non-dropping-particle&quot;:&quot;&quot;}],&quot;container-title&quot;:&quot;American Journal of Clinical Nutrition&quot;,&quot;DOI&quot;:&quot;10.1093/ajcn/77.2.411&quot;,&quot;ISSN&quot;:&quot;00029165&quot;,&quot;issued&quot;:{&quot;date-parts&quot;:[[2003]]},&quot;abstract&quot;:&quot;Background: Despite significant interest in the risks and benefits of phytoestrogens to human health, few data exist on their pharmacokinetics in humans. Objective: We investigated the pharmacokinetics of the 13C isotopic forms of daidzein and genistein in healthy humans, specifically addressing intraindividual variability, effect of increasing intake, and influence of prolonged exposure to a soy food diet. Design: Premenopausal women (n = 16) were administered 0.4 mg [13C]daidzein or [13C] genistein/kg body wt orally on 3 occasions, including once after eating soy foods for 7 d. On a further occasion the dose was doubled. Plasma and urinary [13C] isoflavone concentrations were measured by mass spectrometry. Results: Serum concentrations of [13C] genistein and [13C]daidzein peaked after 5.5 and 7.4 h, respectively. The systemic bioavailability and maximum serum concentration of [13C] genistein were significantly greater than those of [13C]daidzein. The bioavailability of both isoflavones did not increase linearly when the dietary intake was doubled. The mean volume of distribution normalized to bioavailability (Vd/F), clearance rate, and half-life of [13C]daidzein were 336.25 L, 30.09 L/h, and 7.75 h, respectively; the corresponding values for [13C]genistein were 258.76 L, 21.85 L/h, and 7.77 h. The average recovery of [13C]daidzein and [13C]genistein in urine was 30.1% and 9.0% of the dose ingested, respectively. Conclusions: The serum pharmacokinetics of [13C]daidzein and [13C] genistein were reproducible among healthy women, and genistein was more bioavailable than was daidzein. Pharmacokinetics were unaffected by chronic exposure to soy foods. Urinary isoflavone concentrations correlated poorly with maximal serum concentrations, indicating the limitations of urine measurements as a predictor of systemic bioavailability. The bioavailability of both isoflavones was nonlinear at higher intakes, suggesting that uptake is rate-limiting and saturable.&quot;,&quot;issue&quot;:&quot;2&quot;,&quot;volume&quot;:&quot;77&quot;,&quot;container-title-short&quot;:&quot;&quot;},&quot;isTemporary&quot;:false}]},{&quot;citationID&quot;:&quot;MENDELEY_CITATION_a7354a2e-b992-4f35-b385-56fed8518b29&quot;,&quot;properties&quot;:{&quot;noteIndex&quot;:0},&quot;isEdited&quot;:false,&quot;manualOverride&quot;:{&quot;isManuallyOverridden&quot;:false,&quot;citeprocText&quot;:&quot;(Setchell et al., 2003)&quot;,&quot;manualOverrideText&quot;:&quot;&quot;},&quot;citationTag&quot;:&quot;MENDELEY_CITATION_v3_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&quot;,&quot;citationItems&quot;:[{&quot;id&quot;:&quot;303c830d-855a-366d-893d-34cd89989b52&quot;,&quot;itemData&quot;:{&quot;type&quot;:&quot;article-journal&quot;,&quot;id&quot;:&quot;303c830d-855a-366d-893d-34cd89989b52&quot;,&quot;title&quot;:&quot;Comparing the pharmacokinetics of daidzein and genistein with the use of 13C-labeled tracers in premenopausal women&quot;,&quot;author&quot;:[{&quot;family&quot;:&quot;Setchell&quot;,&quot;given&quot;:&quot;Kenneth D.R.&quot;,&quot;parse-names&quot;:false,&quot;dropping-particle&quot;:&quot;&quot;,&quot;non-dropping-particle&quot;:&quot;&quot;},{&quot;family&quot;:&quot;Faughnan&quot;,&quot;given&quot;:&quot;Marian S.&quot;,&quot;parse-names&quot;:false,&quot;dropping-particle&quot;:&quot;&quot;,&quot;non-dropping-particle&quot;:&quot;&quot;},{&quot;family&quot;:&quot;Avades&quot;,&quot;given&quot;:&quot;Tony&quot;,&quot;parse-names&quot;:false,&quot;dropping-particle&quot;:&quot;&quot;,&quot;non-dropping-particle&quot;:&quot;&quot;},{&quot;family&quot;:&quot;Zimmer-Nechemias&quot;,&quot;given&quot;:&quot;Linda&quot;,&quot;parse-names&quot;:false,&quot;dropping-particle&quot;:&quot;&quot;,&quot;non-dropping-particle&quot;:&quot;&quot;},{&quot;family&quot;:&quot;Brown&quot;,&quot;given&quot;:&quot;Nadine M.&quot;,&quot;parse-names&quot;:false,&quot;dropping-particle&quot;:&quot;&quot;,&quot;non-dropping-particle&quot;:&quot;&quot;},{&quot;family&quot;:&quot;Wolfe&quot;,&quot;given&quot;:&quot;Brian E.&quot;,&quot;parse-names&quot;:false,&quot;dropping-particle&quot;:&quot;&quot;,&quot;non-dropping-particle&quot;:&quot;&quot;},{&quot;family&quot;:&quot;Brashear&quot;,&quot;given&quot;:&quot;Wayne T.&quot;,&quot;parse-names&quot;:false,&quot;dropping-particle&quot;:&quot;&quot;,&quot;non-dropping-particle&quot;:&quot;&quot;},{&quot;family&quot;:&quot;Desai&quot;,&quot;given&quot;:&quot;Panjak&quot;,&quot;parse-names&quot;:false,&quot;dropping-particle&quot;:&quot;&quot;,&quot;non-dropping-particle&quot;:&quot;&quot;},{&quot;family&quot;:&quot;Oldfield&quot;,&quot;given&quot;:&quot;Mark F.&quot;,&quot;parse-names&quot;:false,&quot;dropping-particle&quot;:&quot;&quot;,&quot;non-dropping-particle&quot;:&quot;&quot;},{&quot;family&quot;:&quot;Botting&quot;,&quot;given&quot;:&quot;Nigel P.&quot;,&quot;parse-names&quot;:false,&quot;dropping-particle&quot;:&quot;&quot;,&quot;non-dropping-particle&quot;:&quot;&quot;},{&quot;family&quot;:&quot;Cassidy&quot;,&quot;given&quot;:&quot;Aedin&quot;,&quot;parse-names&quot;:false,&quot;dropping-particle&quot;:&quot;&quot;,&quot;non-dropping-particle&quot;:&quot;&quot;}],&quot;container-title&quot;:&quot;American Journal of Clinical Nutrition&quot;,&quot;DOI&quot;:&quot;10.1093/ajcn/77.2.411&quot;,&quot;ISSN&quot;:&quot;00029165&quot;,&quot;issued&quot;:{&quot;date-parts&quot;:[[2003]]},&quot;abstract&quot;:&quot;Background: Despite significant interest in the risks and benefits of phytoestrogens to human health, few data exist on their pharmacokinetics in humans. Objective: We investigated the pharmacokinetics of the 13C isotopic forms of daidzein and genistein in healthy humans, specifically addressing intraindividual variability, effect of increasing intake, and influence of prolonged exposure to a soy food diet. Design: Premenopausal women (n = 16) were administered 0.4 mg [13C]daidzein or [13C] genistein/kg body wt orally on 3 occasions, including once after eating soy foods for 7 d. On a further occasion the dose was doubled. Plasma and urinary [13C] isoflavone concentrations were measured by mass spectrometry. Results: Serum concentrations of [13C] genistein and [13C]daidzein peaked after 5.5 and 7.4 h, respectively. The systemic bioavailability and maximum serum concentration of [13C] genistein were significantly greater than those of [13C]daidzein. The bioavailability of both isoflavones did not increase linearly when the dietary intake was doubled. The mean volume of distribution normalized to bioavailability (Vd/F), clearance rate, and half-life of [13C]daidzein were 336.25 L, 30.09 L/h, and 7.75 h, respectively; the corresponding values for [13C]genistein were 258.76 L, 21.85 L/h, and 7.77 h. The average recovery of [13C]daidzein and [13C]genistein in urine was 30.1% and 9.0% of the dose ingested, respectively. Conclusions: The serum pharmacokinetics of [13C]daidzein and [13C] genistein were reproducible among healthy women, and genistein was more bioavailable than was daidzein. Pharmacokinetics were unaffected by chronic exposure to soy foods. Urinary isoflavone concentrations correlated poorly with maximal serum concentrations, indicating the limitations of urine measurements as a predictor of systemic bioavailability. The bioavailability of both isoflavones was nonlinear at higher intakes, suggesting that uptake is rate-limiting and saturable.&quot;,&quot;issue&quot;:&quot;2&quot;,&quot;volume&quot;:&quot;77&quot;,&quot;container-title-short&quot;:&quot;&quot;},&quot;isTemporary&quot;:false}]},{&quot;citationID&quot;:&quot;MENDELEY_CITATION_a9b7d1d1-0304-41aa-bbf7-e01bb5e9d55d&quot;,&quot;properties&quot;:{&quot;noteIndex&quot;:0},&quot;isEdited&quot;:false,&quot;manualOverride&quot;:{&quot;isManuallyOverridden&quot;:false,&quot;citeprocText&quot;:&quot;(Setchell et al., 2011)&quot;,&quot;manualOverrideText&quot;:&quot;&quot;},&quot;citationTag&quot;:&quot;MENDELEY_CITATION_v3_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&quot;,&quot;citationItems&quot;:[{&quot;id&quot;:&quot;5c9915c8-4fa5-37bb-85b8-318f86ba30ea&quot;,&quot;itemData&quot;:{&quot;type&quot;:&quot;article-journal&quot;,&quot;id&quot;:&quot;5c9915c8-4fa5-37bb-85b8-318f86ba30ea&quot;,&quot;title&quot;:&quot;Soy isoflavone phase II metabolism differs between rodents and humans: Implications for the effect on breast cancer risk&quot;,&quot;author&quot;:[{&quot;family&quot;:&quot;Setchell&quot;,&quot;given&quot;:&quot;Kenneth D.R.&quot;,&quot;parse-names&quot;:false,&quot;dropping-particle&quot;:&quot;&quot;,&quot;non-dropping-particle&quot;:&quot;&quot;},{&quot;family&quot;:&quot;Brown&quot;,&quot;given&quot;:&quot;Nadine M.&quot;,&quot;parse-names&quot;:false,&quot;dropping-particle&quot;:&quot;&quot;,&quot;non-dropping-particle&quot;:&quot;&quot;},{&quot;family&quot;:&quot;Zhao&quot;,&quot;given&quot;:&quot;Xueheng&quot;,&quot;parse-names&quot;:false,&quot;dropping-particle&quot;:&quot;&quot;,&quot;non-dropping-particle&quot;:&quot;&quot;},{&quot;family&quot;:&quot;Lindley&quot;,&quot;given&quot;:&quot;Stephanie L.&quot;,&quot;parse-names&quot;:false,&quot;dropping-particle&quot;:&quot;&quot;,&quot;non-dropping-particle&quot;:&quot;&quot;},{&quot;family&quot;:&quot;Heubi&quot;,&quot;given&quot;:&quot;James E.&quot;,&quot;parse-names&quot;:false,&quot;dropping-particle&quot;:&quot;&quot;,&quot;non-dropping-particle&quot;:&quot;&quot;},{&quot;family&quot;:&quot;King&quot;,&quot;given&quot;:&quot;Eileen C.&quot;,&quot;parse-names&quot;:false,&quot;dropping-particle&quot;:&quot;&quot;,&quot;non-dropping-particle&quot;:&quot;&quot;},{&quot;family&quot;:&quot;Messina&quot;,&quot;given&quot;:&quot;Mark J.&quot;,&quot;parse-names&quot;:false,&quot;dropping-particle&quot;:&quot;&quot;,&quot;non-dropping-particle&quot;:&quot;&quot;}],&quot;container-title&quot;:&quot;American Journal of Clinical Nutrition&quot;,&quot;DOI&quot;:&quot;10.3945/ajcn.111.019638&quot;,&quot;ISSN&quot;:&quot;00029165&quot;,&quot;issued&quot;:{&quot;date-parts&quot;:[[2011]]},&quot;abstract&quot;:&quot;Background: Human and animal studies have produced conflicting results with regard to the effect of soy isoflavones on breast cancer risk. This may be due to differences in isoflavone metabolism. Objective: The objective of this study was to determine whether soy isoflavone phase II metabolism differs between humans and rodents. Design: Circulating total and unconjugated isoflavone concentrations were determined by mass spectrometry in plasma samples from 7 separate studies: 1) in Sprague-Dawley rats and in 3 strains of mice fed commercial soy-containing diets; 2) in Sprague-Dawley rats gavaged with genistein; 3) in healthy adults who consumed single servings of soy nuts, soy milk, and tempeh; 4) in healthy adults subchronically given soy milk; 5) in healthy women orally administered 50 mg genistein; 6) in healthy women orally administered 20 mg pure S-(-)equol; and 7) in 6-mo-old infants fed soy infant formula and later, at age 3 y, a soy germ isoflavone supplement. Results: The proportion of unconjugated genistein in plasma from adults and infants who consumed different soy foods, pure genistein, or an isoflavone supplement was &lt;1% in steady state and &lt;2% at peak concentrations. By contrast, rodents fed soy-containing diets conjugate isoflavones less efficiently. The plasma percentages of unconjugated genistein concentrations in Sprague-Dawley rats and C57BL/6, nude, and transgenic AngptL4B6 mice were 4.0 ± 0.6%, 4.6 ± 0.6%, 11.6 ± 0%, and 30.1 ± 4.3%, respectively, which represent 20, 23, 58, and 150 times that in humans. Conclusion: The markedly higher circulating concentrations of biologically active (unconjugated) genistein in certain strains of mice cast doubt on the value of the use of these rodents for gaining insight into the effects of isoflavones in humans, especially with regard to the effects on breast tissue. © 2011 American Society for Nutrition.&quot;,&quot;issue&quot;:&quot;5&quot;,&quot;volume&quot;:&quot;94&quot;,&quot;container-title-short&quot;:&quot;&quot;},&quot;isTemporary&quot;:false}]},{&quot;citationID&quot;:&quot;MENDELEY_CITATION_97c06b4d-ce3f-4a32-9079-2fa7fd4e3696&quot;,&quot;properties&quot;:{&quot;noteIndex&quot;:0},&quot;isEdited&quot;:false,&quot;manualOverride&quot;:{&quot;isManuallyOverridden&quot;:false,&quot;citeprocText&quot;:&quot;(Becker et al., 2015)&quot;,&quot;manualOverrideText&quot;:&quot;&quot;},&quot;citationTag&quot;:&quot;MENDELEY_CITATION_v3_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&quot;,&quot;citationItems&quot;:[{&quot;id&quot;:&quot;117cddb2-1d35-3d87-886a-89c9b0bc4478&quot;,&quot;itemData&quot;:{&quot;type&quot;:&quot;article-journal&quot;,&quot;id&quot;:&quot;117cddb2-1d35-3d87-886a-89c9b0bc4478&quot;,&quot;title&quot;:&quot;An exposure: Activity profiling method for interpreting high-throughput screening data for estrogenic activity-Proof of concept&quot;,&quot;author&quot;:[{&quot;family&quot;:&quot;Becker&quot;,&quot;given&quot;:&quot;Richard A.&quot;,&quot;parse-names&quot;:false,&quot;dropping-particle&quot;:&quot;&quot;,&quot;non-dropping-particle&quot;:&quot;&quot;},{&quot;family&quot;:&quot;Friedman&quot;,&quot;given&quot;:&quot;Katie Paul&quot;,&quot;parse-names&quot;:false,&quot;dropping-particle&quot;:&quot;&quot;,&quot;non-dropping-particle&quot;:&quot;&quot;},{&quot;family&quot;:&quot;Simon&quot;,&quot;given&quot;:&quot;Ted W.&quot;,&quot;parse-names&quot;:false,&quot;dropping-particle&quot;:&quot;&quot;,&quot;non-dropping-particle&quot;:&quot;&quot;},{&quot;family&quot;:&quot;Marty&quot;,&quot;given&quot;:&quot;M. Sue&quot;,&quot;parse-names&quot;:false,&quot;dropping-particle&quot;:&quot;&quot;,&quot;non-dropping-particle&quot;:&quot;&quot;},{&quot;family&quot;:&quot;Patlewicz&quot;,&quot;given&quot;:&quot;Grace&quot;,&quot;parse-names&quot;:false,&quot;dropping-particle&quot;:&quot;&quot;,&quot;non-dropping-particle&quot;:&quot;&quot;},{&quot;family&quot;:&quot;Rowlands&quot;,&quot;given&quot;:&quot;J. Craig&quot;,&quot;parse-names&quot;:false,&quot;dropping-particle&quot;:&quot;&quot;,&quot;non-dropping-particle&quot;:&quot;&quot;}],&quot;container-title&quot;:&quot;Regulatory Toxicology and Pharmacology&quot;,&quot;DOI&quot;:&quot;10.1016/j.yrtph.2015.01.008&quot;,&quot;ISSN&quot;:&quot;10960295&quot;,&quot;issued&quot;:{&quot;date-parts&quot;:[[2015]]},&quot;abstract&quot;:&quot;Rapid high throughput in vitro screening (HTS) assays are now available for characterizing dose-responses in assays that have been selected for their sensitivity in detecting estrogen-related endpoints. For example, EPA's ToxCast™ program recently released endocrine assay results for more than 1800 substances and the interagency Tox21 consortium is in the process of releasing data for approximately 10,000 chemicals. But such activity measurements alone fall short for the purposes of priority setting or screening because the relevant exposure context is not considered. Here, we extend the method of exposure:activity profiling by calculating the exposure:activity ratios (EARs) using human exposure estimates and AC50 values for a range of chemicals tested in a suite of seven estrogenic assays in ToxCast™ and Tox21. To provide additional context, relative estrogenic exposure:activity quotients (REEAQ) were derived by comparing chemical-specific EARs to the EAR of the ubiquitous dietary phytoestrogen, genistein (GEN). Although the activity of a substance in HTS-endocrine assays is not a measure of health hazard or risk, understanding how such a dose compares to human exposures provides a valuable additional metric that can be used in decision-making; substances with small EARs and REEAQs would indicate low priority for further endocrine screening or testing.&quot;,&quot;issue&quot;:&quot;3&quot;,&quot;volume&quot;:&quot;71&quot;,&quot;container-title-short&quot;:&quot;&quot;},&quot;isTemporary&quot;:false}]},{&quot;citationID&quot;:&quot;MENDELEY_CITATION_36505982-8e0a-48a4-af6a-99f9e807c114&quot;,&quot;properties&quot;:{&quot;noteIndex&quot;:0},&quot;isEdited&quot;:false,&quot;manualOverride&quot;:{&quot;isManuallyOverridden&quot;:false,&quot;citeprocText&quot;:&quot;(Wang et al., 2014)&quot;,&quot;manualOverrideText&quot;:&quot;&quot;},&quot;citationItems&quot;:[{&quot;id&quot;:&quot;c9f8d3cb-65cb-3b46-b0be-4661ac5d2138&quot;,&quot;itemData&quot;:{&quot;type&quot;:&quot;article-journal&quot;,&quot;id&quot;:&quot;c9f8d3cb-65cb-3b46-b0be-4661ac5d2138&quot;,&quot;title&quot;:&quot;Towards an integrated in vitro strategy for estrogenicity testing&quot;,&quot;author&quot;:[{&quot;family&quot;:&quot;Wang&quot;,&quot;given&quot;:&quot;Si&quot;,&quot;parse-names&quot;:false,&quot;dropping-particle&quot;:&quot;&quot;,&quot;non-dropping-particle&quot;:&quot;&quot;},{&quot;family&quot;:&quot;Aarts&quot;,&quot;given&quot;:&quot;Jac M.M.J.G.&quot;,&quot;parse-names&quot;:false,&quot;dropping-particle&quot;:&quot;&quot;,&quot;non-dropping-particle&quot;:&quot;&quot;},{&quot;family&quot;:&quot;Haan&quot;,&quot;given&quot;:&quot;Laura H.J.&quot;,&quot;parse-names&quot;:false,&quot;dropping-particle&quot;:&quot;&quot;,&quot;non-dropping-particle&quot;:&quot;de&quot;},{&quot;family&quot;:&quot;Argyriou&quot;,&quot;given&quot;:&quot;Dimitrios&quot;,&quot;parse-names&quot;:false,&quot;dropping-particle&quot;:&quot;&quot;,&quot;non-dropping-particle&quot;:&quot;&quot;},{&quot;family&quot;:&quot;Peijnenburg&quot;,&quot;given&quot;:&quot;Ad A.C.M.&quot;,&quot;parse-names&quot;:false,&quot;dropping-particle&quot;:&quot;&quot;,&quot;non-dropping-particle&quot;:&quot;&quot;},{&quot;family&quot;:&quot;Rietjens&quot;,&quot;given&quot;:&quot;Ivonne M.C.M.&quot;,&quot;parse-names&quot;:false,&quot;dropping-particle&quot;:&quot;&quot;,&quot;non-dropping-particle&quot;:&quot;&quot;},{&quot;family&quot;:&quot;Bovee&quot;,&quot;given&quot;:&quot;Toine F.H.&quot;,&quot;parse-names&quot;:false,&quot;dropping-particle&quot;:&quot;&quot;,&quot;non-dropping-particle&quot;:&quot;&quot;}],&quot;container-title&quot;:&quot;Journal of Applied Toxicology&quot;,&quot;DOI&quot;:&quot;10.1002/jat.2928&quot;,&quot;ISSN&quot;:&quot;10991263&quot;,&quot;issued&quot;:{&quot;date-parts&quot;:[[2014]]},&quot;abstract&quot;:&quot;In order to define an in vitro integrated testing strategy (ITS) for estrogenicity, a set of 23 reference compounds representing diverse chemical classes were tested in a series of in vitro assays including proliferation and reporter gene assays. Outcomes of these assays were combined with published results for estrogen receptor (ER) binding assays and the OECD validated BG1Luc ER transcriptional activation (TA) assay and compared with the outcomes of the in vivo uterotrophic assay to investigate which assays most accurately predict the in vivo uterotrophic effect and to identify discrepancies between the in vitro assays and the in vivo uterotrophic assay. All in vitro assays used revealed a reasonable to good correlation (R2=0.62-0.87) with the in vivo uterotrophic assay but the combination of the yeast estrogen bioassay with the U2OS ERα-CALUX assay seems most promising for an ITS for in vitro estrogenicity testing. The main outliers identified when correlating data from the different in vitro assays and the in vivo uterotrophic assay were 4-hydroxytamoxifen, testosterone and to a lesser extent apigenin, tamoxifen and kepone. Based on the modes of action possibly underlying these discrepancies it becomes evident that to further improve the ITS and ultimately replace animal testing for (anti-)estrogenic effects, the selected bioassays have to be combined with other types of in vitro assays, including for instance in vitro models for digestion, bioavailability and metabolism of the compounds under investigation. © 2013 John Wiley &amp; Sons, Ltd.&quot;,&quot;issue&quot;:&quot;9&quot;,&quot;volume&quot;:&quot;34&quot;,&quot;container-title-short&quot;:&quot;&quot;},&quot;isTemporary&quot;:false}],&quot;citationTag&quot;:&quot;MENDELEY_CITATION_v3_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&quot;},{&quot;citationID&quot;:&quot;MENDELEY_CITATION_66e28ef4-dcc6-4655-bdc5-ce74f6a72ab9&quot;,&quot;properties&quot;:{&quot;noteIndex&quot;:0},&quot;isEdited&quot;:false,&quot;manualOverride&quot;:{&quot;isManuallyOverridden&quot;:true,&quot;citeprocText&quot;:&quot;(Wang et al., 2014)&quot;,&quot;manualOverrideText&quot;:&quot;(Wang et al., 2014).&quot;},&quot;citationItems&quot;:[{&quot;id&quot;:&quot;c9f8d3cb-65cb-3b46-b0be-4661ac5d2138&quot;,&quot;itemData&quot;:{&quot;type&quot;:&quot;article-journal&quot;,&quot;id&quot;:&quot;c9f8d3cb-65cb-3b46-b0be-4661ac5d2138&quot;,&quot;title&quot;:&quot;Towards an integrated in vitro strategy for estrogenicity testing&quot;,&quot;author&quot;:[{&quot;family&quot;:&quot;Wang&quot;,&quot;given&quot;:&quot;Si&quot;,&quot;parse-names&quot;:false,&quot;dropping-particle&quot;:&quot;&quot;,&quot;non-dropping-particle&quot;:&quot;&quot;},{&quot;family&quot;:&quot;Aarts&quot;,&quot;given&quot;:&quot;Jac M.M.J.G.&quot;,&quot;parse-names&quot;:false,&quot;dropping-particle&quot;:&quot;&quot;,&quot;non-dropping-particle&quot;:&quot;&quot;},{&quot;family&quot;:&quot;Haan&quot;,&quot;given&quot;:&quot;Laura H.J.&quot;,&quot;parse-names&quot;:false,&quot;dropping-particle&quot;:&quot;&quot;,&quot;non-dropping-particle&quot;:&quot;de&quot;},{&quot;family&quot;:&quot;Argyriou&quot;,&quot;given&quot;:&quot;Dimitrios&quot;,&quot;parse-names&quot;:false,&quot;dropping-particle&quot;:&quot;&quot;,&quot;non-dropping-particle&quot;:&quot;&quot;},{&quot;family&quot;:&quot;Peijnenburg&quot;,&quot;given&quot;:&quot;Ad A.C.M.&quot;,&quot;parse-names&quot;:false,&quot;dropping-particle&quot;:&quot;&quot;,&quot;non-dropping-particle&quot;:&quot;&quot;},{&quot;family&quot;:&quot;Rietjens&quot;,&quot;given&quot;:&quot;Ivonne M.C.M.&quot;,&quot;parse-names&quot;:false,&quot;dropping-particle&quot;:&quot;&quot;,&quot;non-dropping-particle&quot;:&quot;&quot;},{&quot;family&quot;:&quot;Bovee&quot;,&quot;given&quot;:&quot;Toine F.H.&quot;,&quot;parse-names&quot;:false,&quot;dropping-particle&quot;:&quot;&quot;,&quot;non-dropping-particle&quot;:&quot;&quot;}],&quot;container-title&quot;:&quot;Journal of Applied Toxicology&quot;,&quot;DOI&quot;:&quot;10.1002/jat.2928&quot;,&quot;ISSN&quot;:&quot;10991263&quot;,&quot;issued&quot;:{&quot;date-parts&quot;:[[2014]]},&quot;abstract&quot;:&quot;In order to define an in vitro integrated testing strategy (ITS) for estrogenicity, a set of 23 reference compounds representing diverse chemical classes were tested in a series of in vitro assays including proliferation and reporter gene assays. Outcomes of these assays were combined with published results for estrogen receptor (ER) binding assays and the OECD validated BG1Luc ER transcriptional activation (TA) assay and compared with the outcomes of the in vivo uterotrophic assay to investigate which assays most accurately predict the in vivo uterotrophic effect and to identify discrepancies between the in vitro assays and the in vivo uterotrophic assay. All in vitro assays used revealed a reasonable to good correlation (R2=0.62-0.87) with the in vivo uterotrophic assay but the combination of the yeast estrogen bioassay with the U2OS ERα-CALUX assay seems most promising for an ITS for in vitro estrogenicity testing. The main outliers identified when correlating data from the different in vitro assays and the in vivo uterotrophic assay were 4-hydroxytamoxifen, testosterone and to a lesser extent apigenin, tamoxifen and kepone. Based on the modes of action possibly underlying these discrepancies it becomes evident that to further improve the ITS and ultimately replace animal testing for (anti-)estrogenic effects, the selected bioassays have to be combined with other types of in vitro assays, including for instance in vitro models for digestion, bioavailability and metabolism of the compounds under investigation. © 2013 John Wiley &amp; Sons, Ltd.&quot;,&quot;issue&quot;:&quot;9&quot;,&quot;volume&quot;:&quot;34&quot;,&quot;container-title-short&quot;:&quot;&quot;},&quot;isTemporary&quot;:false}],&quot;citationTag&quot;:&quot;MENDELEY_CITATION_v3_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&quot;},{&quot;citationID&quot;:&quot;MENDELEY_CITATION_8189e9ca-bc60-4bf2-b3dc-1a00b8ccf7c7&quot;,&quot;properties&quot;:{&quot;noteIndex&quot;:0},&quot;isEdited&quot;:false,&quot;manualOverride&quot;:{&quot;isManuallyOverridden&quot;:false,&quot;citeprocText&quot;:&quot;(Wang et al., 2014)&quot;,&quot;manualOverrideText&quot;:&quot;&quot;},&quot;citationItems&quot;:[{&quot;id&quot;:&quot;c9f8d3cb-65cb-3b46-b0be-4661ac5d2138&quot;,&quot;itemData&quot;:{&quot;type&quot;:&quot;article-journal&quot;,&quot;id&quot;:&quot;c9f8d3cb-65cb-3b46-b0be-4661ac5d2138&quot;,&quot;title&quot;:&quot;Towards an integrated in vitro strategy for estrogenicity testing&quot;,&quot;author&quot;:[{&quot;family&quot;:&quot;Wang&quot;,&quot;given&quot;:&quot;Si&quot;,&quot;parse-names&quot;:false,&quot;dropping-particle&quot;:&quot;&quot;,&quot;non-dropping-particle&quot;:&quot;&quot;},{&quot;family&quot;:&quot;Aarts&quot;,&quot;given&quot;:&quot;Jac M.M.J.G.&quot;,&quot;parse-names&quot;:false,&quot;dropping-particle&quot;:&quot;&quot;,&quot;non-dropping-particle&quot;:&quot;&quot;},{&quot;family&quot;:&quot;Haan&quot;,&quot;given&quot;:&quot;Laura H.J.&quot;,&quot;parse-names&quot;:false,&quot;dropping-particle&quot;:&quot;&quot;,&quot;non-dropping-particle&quot;:&quot;de&quot;},{&quot;family&quot;:&quot;Argyriou&quot;,&quot;given&quot;:&quot;Dimitrios&quot;,&quot;parse-names&quot;:false,&quot;dropping-particle&quot;:&quot;&quot;,&quot;non-dropping-particle&quot;:&quot;&quot;},{&quot;family&quot;:&quot;Peijnenburg&quot;,&quot;given&quot;:&quot;Ad A.C.M.&quot;,&quot;parse-names&quot;:false,&quot;dropping-particle&quot;:&quot;&quot;,&quot;non-dropping-particle&quot;:&quot;&quot;},{&quot;family&quot;:&quot;Rietjens&quot;,&quot;given&quot;:&quot;Ivonne M.C.M.&quot;,&quot;parse-names&quot;:false,&quot;dropping-particle&quot;:&quot;&quot;,&quot;non-dropping-particle&quot;:&quot;&quot;},{&quot;family&quot;:&quot;Bovee&quot;,&quot;given&quot;:&quot;Toine F.H.&quot;,&quot;parse-names&quot;:false,&quot;dropping-particle&quot;:&quot;&quot;,&quot;non-dropping-particle&quot;:&quot;&quot;}],&quot;container-title&quot;:&quot;Journal of Applied Toxicology&quot;,&quot;DOI&quot;:&quot;10.1002/jat.2928&quot;,&quot;ISSN&quot;:&quot;10991263&quot;,&quot;issued&quot;:{&quot;date-parts&quot;:[[2014]]},&quot;abstract&quot;:&quot;In order to define an in vitro integrated testing strategy (ITS) for estrogenicity, a set of 23 reference compounds representing diverse chemical classes were tested in a series of in vitro assays including proliferation and reporter gene assays. Outcomes of these assays were combined with published results for estrogen receptor (ER) binding assays and the OECD validated BG1Luc ER transcriptional activation (TA) assay and compared with the outcomes of the in vivo uterotrophic assay to investigate which assays most accurately predict the in vivo uterotrophic effect and to identify discrepancies between the in vitro assays and the in vivo uterotrophic assay. All in vitro assays used revealed a reasonable to good correlation (R2=0.62-0.87) with the in vivo uterotrophic assay but the combination of the yeast estrogen bioassay with the U2OS ERα-CALUX assay seems most promising for an ITS for in vitro estrogenicity testing. The main outliers identified when correlating data from the different in vitro assays and the in vivo uterotrophic assay were 4-hydroxytamoxifen, testosterone and to a lesser extent apigenin, tamoxifen and kepone. Based on the modes of action possibly underlying these discrepancies it becomes evident that to further improve the ITS and ultimately replace animal testing for (anti-)estrogenic effects, the selected bioassays have to be combined with other types of in vitro assays, including for instance in vitro models for digestion, bioavailability and metabolism of the compounds under investigation. © 2013 John Wiley &amp; Sons, Ltd.&quot;,&quot;issue&quot;:&quot;9&quot;,&quot;volume&quot;:&quot;34&quot;,&quot;container-title-short&quot;:&quot;&quot;},&quot;isTemporary&quot;:false}],&quot;citationTag&quot;:&quot;MENDELEY_CITATION_v3_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&quot;},{&quot;citationID&quot;:&quot;MENDELEY_CITATION_5d23324d-1ead-4391-8291-a0912ecccb37&quot;,&quot;properties&quot;:{&quot;noteIndex&quot;:0},&quot;isEdited&quot;:false,&quot;manualOverride&quot;:{&quot;isManuallyOverridden&quot;:true,&quot;citeprocText&quot;:&quot;(Wang et al., 2014)&quot;,&quot;manualOverrideText&quot;:&quot;(Wang et al., 2014).&quot;},&quot;citationItems&quot;:[{&quot;id&quot;:&quot;c9f8d3cb-65cb-3b46-b0be-4661ac5d2138&quot;,&quot;itemData&quot;:{&quot;type&quot;:&quot;article-journal&quot;,&quot;id&quot;:&quot;c9f8d3cb-65cb-3b46-b0be-4661ac5d2138&quot;,&quot;title&quot;:&quot;Towards an integrated in vitro strategy for estrogenicity testing&quot;,&quot;author&quot;:[{&quot;family&quot;:&quot;Wang&quot;,&quot;given&quot;:&quot;Si&quot;,&quot;parse-names&quot;:false,&quot;dropping-particle&quot;:&quot;&quot;,&quot;non-dropping-particle&quot;:&quot;&quot;},{&quot;family&quot;:&quot;Aarts&quot;,&quot;given&quot;:&quot;Jac M.M.J.G.&quot;,&quot;parse-names&quot;:false,&quot;dropping-particle&quot;:&quot;&quot;,&quot;non-dropping-particle&quot;:&quot;&quot;},{&quot;family&quot;:&quot;Haan&quot;,&quot;given&quot;:&quot;Laura H.J.&quot;,&quot;parse-names&quot;:false,&quot;dropping-particle&quot;:&quot;&quot;,&quot;non-dropping-particle&quot;:&quot;de&quot;},{&quot;family&quot;:&quot;Argyriou&quot;,&quot;given&quot;:&quot;Dimitrios&quot;,&quot;parse-names&quot;:false,&quot;dropping-particle&quot;:&quot;&quot;,&quot;non-dropping-particle&quot;:&quot;&quot;},{&quot;family&quot;:&quot;Peijnenburg&quot;,&quot;given&quot;:&quot;Ad A.C.M.&quot;,&quot;parse-names&quot;:false,&quot;dropping-particle&quot;:&quot;&quot;,&quot;non-dropping-particle&quot;:&quot;&quot;},{&quot;family&quot;:&quot;Rietjens&quot;,&quot;given&quot;:&quot;Ivonne M.C.M.&quot;,&quot;parse-names&quot;:false,&quot;dropping-particle&quot;:&quot;&quot;,&quot;non-dropping-particle&quot;:&quot;&quot;},{&quot;family&quot;:&quot;Bovee&quot;,&quot;given&quot;:&quot;Toine F.H.&quot;,&quot;parse-names&quot;:false,&quot;dropping-particle&quot;:&quot;&quot;,&quot;non-dropping-particle&quot;:&quot;&quot;}],&quot;container-title&quot;:&quot;Journal of Applied Toxicology&quot;,&quot;DOI&quot;:&quot;10.1002/jat.2928&quot;,&quot;ISSN&quot;:&quot;10991263&quot;,&quot;issued&quot;:{&quot;date-parts&quot;:[[2014]]},&quot;abstract&quot;:&quot;In order to define an in vitro integrated testing strategy (ITS) for estrogenicity, a set of 23 reference compounds representing diverse chemical classes were tested in a series of in vitro assays including proliferation and reporter gene assays. Outcomes of these assays were combined with published results for estrogen receptor (ER) binding assays and the OECD validated BG1Luc ER transcriptional activation (TA) assay and compared with the outcomes of the in vivo uterotrophic assay to investigate which assays most accurately predict the in vivo uterotrophic effect and to identify discrepancies between the in vitro assays and the in vivo uterotrophic assay. All in vitro assays used revealed a reasonable to good correlation (R2=0.62-0.87) with the in vivo uterotrophic assay but the combination of the yeast estrogen bioassay with the U2OS ERα-CALUX assay seems most promising for an ITS for in vitro estrogenicity testing. The main outliers identified when correlating data from the different in vitro assays and the in vivo uterotrophic assay were 4-hydroxytamoxifen, testosterone and to a lesser extent apigenin, tamoxifen and kepone. Based on the modes of action possibly underlying these discrepancies it becomes evident that to further improve the ITS and ultimately replace animal testing for (anti-)estrogenic effects, the selected bioassays have to be combined with other types of in vitro assays, including for instance in vitro models for digestion, bioavailability and metabolism of the compounds under investigation. © 2013 John Wiley &amp; Sons, Ltd.&quot;,&quot;issue&quot;:&quot;9&quot;,&quot;volume&quot;:&quot;34&quot;,&quot;container-title-short&quot;:&quot;&quot;},&quot;isTemporary&quot;:false}],&quot;citationTag&quot;:&quot;MENDELEY_CITATION_v3_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&quot;},{&quot;citationID&quot;:&quot;MENDELEY_CITATION_a7fc23e2-1572-4ce8-83c7-5101613ef97d&quot;,&quot;properties&quot;:{&quot;noteIndex&quot;:0},&quot;isEdited&quot;:false,&quot;manualOverride&quot;:{&quot;isManuallyOverridden&quot;:true,&quot;citeprocText&quot;:&quot;(Wang et al., 2014)&quot;,&quot;manualOverrideText&quot;:&quot;(Wang et al., 2014).&quot;},&quot;citationItems&quot;:[{&quot;id&quot;:&quot;c9f8d3cb-65cb-3b46-b0be-4661ac5d2138&quot;,&quot;itemData&quot;:{&quot;type&quot;:&quot;article-journal&quot;,&quot;id&quot;:&quot;c9f8d3cb-65cb-3b46-b0be-4661ac5d2138&quot;,&quot;title&quot;:&quot;Towards an integrated in vitro strategy for estrogenicity testing&quot;,&quot;author&quot;:[{&quot;family&quot;:&quot;Wang&quot;,&quot;given&quot;:&quot;Si&quot;,&quot;parse-names&quot;:false,&quot;dropping-particle&quot;:&quot;&quot;,&quot;non-dropping-particle&quot;:&quot;&quot;},{&quot;family&quot;:&quot;Aarts&quot;,&quot;given&quot;:&quot;Jac M.M.J.G.&quot;,&quot;parse-names&quot;:false,&quot;dropping-particle&quot;:&quot;&quot;,&quot;non-dropping-particle&quot;:&quot;&quot;},{&quot;family&quot;:&quot;Haan&quot;,&quot;given&quot;:&quot;Laura H.J.&quot;,&quot;parse-names&quot;:false,&quot;dropping-particle&quot;:&quot;&quot;,&quot;non-dropping-particle&quot;:&quot;de&quot;},{&quot;family&quot;:&quot;Argyriou&quot;,&quot;given&quot;:&quot;Dimitrios&quot;,&quot;parse-names&quot;:false,&quot;dropping-particle&quot;:&quot;&quot;,&quot;non-dropping-particle&quot;:&quot;&quot;},{&quot;family&quot;:&quot;Peijnenburg&quot;,&quot;given&quot;:&quot;Ad A.C.M.&quot;,&quot;parse-names&quot;:false,&quot;dropping-particle&quot;:&quot;&quot;,&quot;non-dropping-particle&quot;:&quot;&quot;},{&quot;family&quot;:&quot;Rietjens&quot;,&quot;given&quot;:&quot;Ivonne M.C.M.&quot;,&quot;parse-names&quot;:false,&quot;dropping-particle&quot;:&quot;&quot;,&quot;non-dropping-particle&quot;:&quot;&quot;},{&quot;family&quot;:&quot;Bovee&quot;,&quot;given&quot;:&quot;Toine F.H.&quot;,&quot;parse-names&quot;:false,&quot;dropping-particle&quot;:&quot;&quot;,&quot;non-dropping-particle&quot;:&quot;&quot;}],&quot;container-title&quot;:&quot;Journal of Applied Toxicology&quot;,&quot;DOI&quot;:&quot;10.1002/jat.2928&quot;,&quot;ISSN&quot;:&quot;10991263&quot;,&quot;issued&quot;:{&quot;date-parts&quot;:[[2014]]},&quot;abstract&quot;:&quot;In order to define an in vitro integrated testing strategy (ITS) for estrogenicity, a set of 23 reference compounds representing diverse chemical classes were tested in a series of in vitro assays including proliferation and reporter gene assays. Outcomes of these assays were combined with published results for estrogen receptor (ER) binding assays and the OECD validated BG1Luc ER transcriptional activation (TA) assay and compared with the outcomes of the in vivo uterotrophic assay to investigate which assays most accurately predict the in vivo uterotrophic effect and to identify discrepancies between the in vitro assays and the in vivo uterotrophic assay. All in vitro assays used revealed a reasonable to good correlation (R2=0.62-0.87) with the in vivo uterotrophic assay but the combination of the yeast estrogen bioassay with the U2OS ERα-CALUX assay seems most promising for an ITS for in vitro estrogenicity testing. The main outliers identified when correlating data from the different in vitro assays and the in vivo uterotrophic assay were 4-hydroxytamoxifen, testosterone and to a lesser extent apigenin, tamoxifen and kepone. Based on the modes of action possibly underlying these discrepancies it becomes evident that to further improve the ITS and ultimately replace animal testing for (anti-)estrogenic effects, the selected bioassays have to be combined with other types of in vitro assays, including for instance in vitro models for digestion, bioavailability and metabolism of the compounds under investigation. © 2013 John Wiley &amp; Sons, Ltd.&quot;,&quot;issue&quot;:&quot;9&quot;,&quot;volume&quot;:&quot;34&quot;,&quot;container-title-short&quot;:&quot;&quot;},&quot;isTemporary&quot;:false}],&quot;citationTag&quot;:&quot;MENDELEY_CITATION_v3_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C6A1B-DE03-4A6D-B546-96CBF4CF1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21</Pages>
  <Words>3098</Words>
  <Characters>17664</Characters>
  <Application>Microsoft Office Word</Application>
  <DocSecurity>0</DocSecurity>
  <Lines>147</Lines>
  <Paragraphs>41</Paragraphs>
  <ScaleCrop>false</ScaleCrop>
  <Company/>
  <LinksUpToDate>false</LinksUpToDate>
  <CharactersWithSpaces>20721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Tongeren, Tessa van</dc:creator>
  <cp:keywords/>
  <dc:description/>
  <cp:lastModifiedBy>Tongeren, Tessa van</cp:lastModifiedBy>
  <cp:revision>27</cp:revision>
  <dcterms:created xsi:type="dcterms:W3CDTF">2023-03-29T14:29:00Z</dcterms:created>
  <dcterms:modified xsi:type="dcterms:W3CDTF">2023-03-30T09:31:00Z</dcterms:modified>
</cp:coreProperties>
</file>