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956" w:rsidRDefault="000A5956" w:rsidP="000A5956">
      <w:pPr>
        <w:spacing w:line="480" w:lineRule="auto"/>
        <w:jc w:val="both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Rifabutin but not rifampicin can partly out-balance P-glycoprotein induction by concurrent P-glycoprotein inhibition through high affinity binding to the inhibitory site</w:t>
      </w:r>
    </w:p>
    <w:p w:rsidR="000A5956" w:rsidRDefault="000A5956" w:rsidP="000A5956">
      <w:pPr>
        <w:autoSpaceDE w:val="0"/>
        <w:autoSpaceDN w:val="0"/>
        <w:adjustRightInd w:val="0"/>
        <w:spacing w:line="480" w:lineRule="auto"/>
        <w:jc w:val="both"/>
        <w:rPr>
          <w:sz w:val="24"/>
          <w:szCs w:val="24"/>
          <w:lang w:val="en-GB"/>
        </w:rPr>
      </w:pPr>
    </w:p>
    <w:p w:rsidR="000A5956" w:rsidRPr="009E7E4E" w:rsidRDefault="000A5956" w:rsidP="000A5956">
      <w:pPr>
        <w:autoSpaceDE w:val="0"/>
        <w:autoSpaceDN w:val="0"/>
        <w:adjustRightInd w:val="0"/>
        <w:spacing w:line="480" w:lineRule="auto"/>
        <w:jc w:val="both"/>
        <w:rPr>
          <w:sz w:val="24"/>
          <w:szCs w:val="24"/>
          <w:lang w:val="en-US"/>
        </w:rPr>
      </w:pPr>
      <w:r w:rsidRPr="00EF6CEA">
        <w:rPr>
          <w:sz w:val="24"/>
          <w:szCs w:val="24"/>
          <w:lang w:val="en-US"/>
        </w:rPr>
        <w:t xml:space="preserve">Lottida </w:t>
      </w:r>
      <w:r w:rsidRPr="009E7E4E">
        <w:rPr>
          <w:sz w:val="24"/>
          <w:szCs w:val="24"/>
          <w:lang w:val="en-US"/>
        </w:rPr>
        <w:t>Phondeth</w:t>
      </w:r>
      <w:r w:rsidRPr="009E7E4E">
        <w:rPr>
          <w:sz w:val="24"/>
          <w:szCs w:val="24"/>
          <w:vertAlign w:val="superscript"/>
          <w:lang w:val="en-US"/>
        </w:rPr>
        <w:t>1*</w:t>
      </w:r>
      <w:r w:rsidRPr="009E7E4E">
        <w:rPr>
          <w:sz w:val="24"/>
          <w:szCs w:val="24"/>
          <w:lang w:val="en-US"/>
        </w:rPr>
        <w:t xml:space="preserve">, </w:t>
      </w:r>
      <w:proofErr w:type="spellStart"/>
      <w:r w:rsidRPr="009E7E4E">
        <w:rPr>
          <w:sz w:val="24"/>
          <w:szCs w:val="24"/>
          <w:lang w:val="en-US"/>
        </w:rPr>
        <w:t>Rajamanikkam</w:t>
      </w:r>
      <w:proofErr w:type="spellEnd"/>
      <w:r w:rsidRPr="009E7E4E">
        <w:rPr>
          <w:sz w:val="24"/>
          <w:szCs w:val="24"/>
          <w:lang w:val="en-US"/>
        </w:rPr>
        <w:t xml:space="preserve"> Kamaraj</w:t>
      </w:r>
      <w:r w:rsidRPr="009E7E4E">
        <w:rPr>
          <w:sz w:val="24"/>
          <w:szCs w:val="24"/>
          <w:vertAlign w:val="superscript"/>
          <w:lang w:val="en-US"/>
        </w:rPr>
        <w:t>2*</w:t>
      </w:r>
      <w:r w:rsidRPr="009E7E4E">
        <w:rPr>
          <w:sz w:val="24"/>
          <w:szCs w:val="24"/>
          <w:lang w:val="en-US"/>
        </w:rPr>
        <w:t>, Julie Nilles</w:t>
      </w:r>
      <w:r w:rsidRPr="009E7E4E">
        <w:rPr>
          <w:sz w:val="24"/>
          <w:szCs w:val="24"/>
          <w:vertAlign w:val="superscript"/>
          <w:lang w:val="en-US"/>
        </w:rPr>
        <w:t>1,3</w:t>
      </w:r>
      <w:r w:rsidRPr="009E7E4E">
        <w:rPr>
          <w:sz w:val="24"/>
          <w:szCs w:val="24"/>
          <w:lang w:val="en-US"/>
        </w:rPr>
        <w:t>, Johanna Weiss</w:t>
      </w:r>
      <w:r w:rsidRPr="009E7E4E">
        <w:rPr>
          <w:sz w:val="24"/>
          <w:szCs w:val="24"/>
          <w:vertAlign w:val="superscript"/>
          <w:lang w:val="en-US"/>
        </w:rPr>
        <w:t>1</w:t>
      </w:r>
      <w:r w:rsidRPr="009E7E4E">
        <w:rPr>
          <w:sz w:val="24"/>
          <w:szCs w:val="24"/>
          <w:lang w:val="en-US"/>
        </w:rPr>
        <w:t>, Walter E. Haefeli</w:t>
      </w:r>
      <w:r w:rsidRPr="009E7E4E">
        <w:rPr>
          <w:sz w:val="24"/>
          <w:szCs w:val="24"/>
          <w:vertAlign w:val="superscript"/>
          <w:lang w:val="en-US"/>
        </w:rPr>
        <w:t>1</w:t>
      </w:r>
      <w:r w:rsidRPr="009E7E4E">
        <w:rPr>
          <w:sz w:val="24"/>
          <w:szCs w:val="24"/>
          <w:lang w:val="en-US"/>
        </w:rPr>
        <w:t>, Petr Pávek</w:t>
      </w:r>
      <w:r w:rsidRPr="009E7E4E">
        <w:rPr>
          <w:sz w:val="24"/>
          <w:szCs w:val="24"/>
          <w:vertAlign w:val="superscript"/>
          <w:lang w:val="en-US"/>
        </w:rPr>
        <w:t>2</w:t>
      </w:r>
      <w:r w:rsidRPr="009E7E4E">
        <w:rPr>
          <w:sz w:val="24"/>
          <w:szCs w:val="24"/>
          <w:lang w:val="en-US"/>
        </w:rPr>
        <w:t>, Dirk Theile</w:t>
      </w:r>
      <w:r w:rsidRPr="009E7E4E">
        <w:rPr>
          <w:sz w:val="24"/>
          <w:szCs w:val="24"/>
          <w:vertAlign w:val="superscript"/>
          <w:lang w:val="en-US"/>
        </w:rPr>
        <w:t>1</w:t>
      </w:r>
    </w:p>
    <w:p w:rsidR="000A5956" w:rsidRDefault="000A5956" w:rsidP="000A5956">
      <w:pPr>
        <w:pStyle w:val="Textkrper"/>
        <w:spacing w:line="480" w:lineRule="auto"/>
        <w:jc w:val="both"/>
        <w:rPr>
          <w:b/>
          <w:bCs/>
          <w:lang w:val="en-US"/>
        </w:rPr>
      </w:pPr>
      <w:bookmarkStart w:id="0" w:name="_GoBack"/>
      <w:bookmarkEnd w:id="0"/>
    </w:p>
    <w:p w:rsidR="000A5956" w:rsidRPr="00E36BCC" w:rsidRDefault="000A5956" w:rsidP="000A5956">
      <w:pPr>
        <w:pStyle w:val="Textkrper"/>
        <w:spacing w:line="480" w:lineRule="auto"/>
        <w:jc w:val="both"/>
        <w:rPr>
          <w:b/>
          <w:bCs/>
          <w:lang w:val="en-US"/>
        </w:rPr>
      </w:pPr>
      <w:r w:rsidRPr="00E36BCC">
        <w:rPr>
          <w:b/>
          <w:bCs/>
          <w:lang w:val="en-US"/>
        </w:rPr>
        <w:t>Supplementary material:</w:t>
      </w:r>
    </w:p>
    <w:p w:rsidR="000A5956" w:rsidRDefault="000A5956" w:rsidP="000A5956">
      <w:pPr>
        <w:pStyle w:val="Textkrper"/>
        <w:spacing w:line="480" w:lineRule="auto"/>
        <w:jc w:val="both"/>
        <w:rPr>
          <w:bCs/>
          <w:lang w:val="en-US"/>
        </w:rPr>
      </w:pPr>
    </w:p>
    <w:p w:rsidR="000A5956" w:rsidRDefault="000A5956" w:rsidP="000A5956">
      <w:pPr>
        <w:pStyle w:val="Textkrper"/>
        <w:spacing w:line="480" w:lineRule="auto"/>
        <w:jc w:val="both"/>
        <w:rPr>
          <w:bCs/>
          <w:lang w:val="en-US"/>
        </w:rPr>
      </w:pPr>
      <w:r>
        <w:rPr>
          <w:bCs/>
          <w:lang w:val="en-US"/>
        </w:rPr>
        <w:t xml:space="preserve">Supplementary Table S1: </w:t>
      </w:r>
      <w:r w:rsidRPr="004C2B21">
        <w:rPr>
          <w:bCs/>
          <w:lang w:val="en-US"/>
        </w:rPr>
        <w:t xml:space="preserve">Summary of </w:t>
      </w:r>
      <w:r>
        <w:rPr>
          <w:bCs/>
          <w:lang w:val="en-US"/>
        </w:rPr>
        <w:t xml:space="preserve">obtained data. 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992"/>
        <w:gridCol w:w="1134"/>
        <w:gridCol w:w="993"/>
        <w:gridCol w:w="1134"/>
        <w:gridCol w:w="992"/>
        <w:gridCol w:w="1134"/>
        <w:gridCol w:w="1026"/>
      </w:tblGrid>
      <w:tr w:rsidR="000A5956" w:rsidRPr="00BF4181" w:rsidTr="00737497">
        <w:tc>
          <w:tcPr>
            <w:tcW w:w="817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b/>
              </w:rPr>
            </w:pPr>
            <w:proofErr w:type="spellStart"/>
            <w:r w:rsidRPr="00BF4181">
              <w:rPr>
                <w:rFonts w:eastAsia="Calibri"/>
                <w:b/>
              </w:rPr>
              <w:t>Induction</w:t>
            </w:r>
            <w:proofErr w:type="spellEnd"/>
            <w:r w:rsidRPr="00BF4181">
              <w:rPr>
                <w:rFonts w:eastAsia="Calibri"/>
                <w:b/>
              </w:rPr>
              <w:t xml:space="preserve"> </w:t>
            </w:r>
            <w:proofErr w:type="spellStart"/>
            <w:r w:rsidRPr="00BF4181">
              <w:rPr>
                <w:rFonts w:eastAsia="Calibri"/>
                <w:b/>
              </w:rPr>
              <w:t>effect</w:t>
            </w:r>
            <w:r w:rsidRPr="003D75FA">
              <w:rPr>
                <w:rFonts w:eastAsia="Calibri"/>
                <w:b/>
                <w:vertAlign w:val="superscript"/>
              </w:rPr>
              <w:t>a</w:t>
            </w:r>
            <w:proofErr w:type="spellEnd"/>
          </w:p>
          <w:p w:rsidR="000A5956" w:rsidRPr="00E53960" w:rsidRDefault="000A5956" w:rsidP="00737497">
            <w:pPr>
              <w:spacing w:line="480" w:lineRule="auto"/>
              <w:rPr>
                <w:rFonts w:eastAsia="Calibri"/>
                <w:b/>
                <w:sz w:val="16"/>
                <w:szCs w:val="16"/>
                <w:lang w:val="en-US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0A5956" w:rsidRPr="000447B0" w:rsidRDefault="000A5956" w:rsidP="00737497">
            <w:pPr>
              <w:spacing w:line="480" w:lineRule="auto"/>
              <w:rPr>
                <w:rFonts w:eastAsia="Calibri"/>
                <w:b/>
                <w:lang w:val="en-US"/>
              </w:rPr>
            </w:pPr>
            <w:r w:rsidRPr="00BF4181">
              <w:rPr>
                <w:rFonts w:eastAsia="Calibri"/>
                <w:b/>
                <w:lang w:val="en-US"/>
              </w:rPr>
              <w:t xml:space="preserve">Significant out-balancing </w:t>
            </w:r>
            <w:proofErr w:type="spellStart"/>
            <w:r w:rsidRPr="00BF4181">
              <w:rPr>
                <w:rFonts w:eastAsia="Calibri"/>
                <w:b/>
                <w:lang w:val="en-US"/>
              </w:rPr>
              <w:t>concentration</w:t>
            </w:r>
            <w:r w:rsidRPr="000447B0">
              <w:rPr>
                <w:rFonts w:eastAsia="Calibri"/>
                <w:b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</w:tcPr>
          <w:p w:rsidR="000A5956" w:rsidRPr="000447B0" w:rsidRDefault="000A5956" w:rsidP="00737497">
            <w:pPr>
              <w:spacing w:line="480" w:lineRule="auto"/>
              <w:rPr>
                <w:rFonts w:eastAsia="Calibri"/>
                <w:b/>
              </w:rPr>
            </w:pPr>
            <w:r w:rsidRPr="00BF4181">
              <w:rPr>
                <w:rFonts w:eastAsia="Calibri"/>
                <w:b/>
              </w:rPr>
              <w:t>Maximum out-</w:t>
            </w:r>
            <w:proofErr w:type="spellStart"/>
            <w:r w:rsidRPr="00BF4181">
              <w:rPr>
                <w:rFonts w:eastAsia="Calibri"/>
                <w:b/>
              </w:rPr>
              <w:t>balance</w:t>
            </w:r>
            <w:r w:rsidRPr="000447B0">
              <w:rPr>
                <w:rFonts w:eastAsia="Calibri"/>
                <w:b/>
                <w:vertAlign w:val="superscript"/>
              </w:rPr>
              <w:t>c</w:t>
            </w:r>
            <w:proofErr w:type="spellEnd"/>
          </w:p>
        </w:tc>
        <w:tc>
          <w:tcPr>
            <w:tcW w:w="2160" w:type="dxa"/>
            <w:gridSpan w:val="2"/>
            <w:shd w:val="clear" w:color="auto" w:fill="auto"/>
          </w:tcPr>
          <w:p w:rsidR="000A5956" w:rsidRPr="000447B0" w:rsidRDefault="000A5956" w:rsidP="00737497">
            <w:pPr>
              <w:spacing w:line="480" w:lineRule="auto"/>
              <w:rPr>
                <w:rFonts w:eastAsia="Calibri"/>
                <w:b/>
                <w:lang w:val="en-US"/>
              </w:rPr>
            </w:pPr>
            <w:r w:rsidRPr="00BF4181">
              <w:rPr>
                <w:rFonts w:eastAsia="Calibri"/>
                <w:b/>
                <w:lang w:val="en-US"/>
              </w:rPr>
              <w:t>Percentual maximum out-balance</w:t>
            </w:r>
            <w:r w:rsidRPr="000447B0">
              <w:rPr>
                <w:rFonts w:eastAsia="Calibri"/>
                <w:b/>
                <w:vertAlign w:val="superscript"/>
                <w:lang w:val="en-US"/>
              </w:rPr>
              <w:t>d</w:t>
            </w:r>
          </w:p>
        </w:tc>
      </w:tr>
      <w:tr w:rsidR="000A5956" w:rsidRPr="008C20A8" w:rsidTr="00737497">
        <w:tc>
          <w:tcPr>
            <w:tcW w:w="817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</w:rPr>
            </w:pPr>
            <w:r w:rsidRPr="00BF4181">
              <w:rPr>
                <w:rFonts w:eastAsia="Calibri"/>
              </w:rPr>
              <w:t>Rifampicin</w:t>
            </w:r>
          </w:p>
        </w:tc>
        <w:tc>
          <w:tcPr>
            <w:tcW w:w="992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</w:rPr>
            </w:pPr>
            <w:proofErr w:type="spellStart"/>
            <w:r w:rsidRPr="00BF4181">
              <w:rPr>
                <w:rFonts w:eastAsia="Calibri"/>
              </w:rPr>
              <w:t>Rifabutin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</w:rPr>
            </w:pPr>
            <w:r w:rsidRPr="00BF4181">
              <w:rPr>
                <w:rFonts w:eastAsia="Calibri"/>
              </w:rPr>
              <w:t>Rifampicin</w:t>
            </w:r>
          </w:p>
        </w:tc>
        <w:tc>
          <w:tcPr>
            <w:tcW w:w="993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</w:rPr>
            </w:pPr>
            <w:proofErr w:type="spellStart"/>
            <w:r w:rsidRPr="00BF4181">
              <w:rPr>
                <w:rFonts w:eastAsia="Calibri"/>
              </w:rPr>
              <w:t>Rifabutin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</w:rPr>
            </w:pPr>
            <w:r w:rsidRPr="00BF4181">
              <w:rPr>
                <w:rFonts w:eastAsia="Calibri"/>
              </w:rPr>
              <w:t>Rifampicin</w:t>
            </w:r>
          </w:p>
        </w:tc>
        <w:tc>
          <w:tcPr>
            <w:tcW w:w="992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</w:rPr>
            </w:pPr>
            <w:proofErr w:type="spellStart"/>
            <w:r w:rsidRPr="00BF4181">
              <w:rPr>
                <w:rFonts w:eastAsia="Calibri"/>
              </w:rPr>
              <w:t>Rifabutin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</w:rPr>
            </w:pPr>
            <w:r w:rsidRPr="00BF4181">
              <w:rPr>
                <w:rFonts w:eastAsia="Calibri"/>
              </w:rPr>
              <w:t>Rifampicin</w:t>
            </w:r>
          </w:p>
        </w:tc>
        <w:tc>
          <w:tcPr>
            <w:tcW w:w="1026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</w:rPr>
            </w:pPr>
            <w:proofErr w:type="spellStart"/>
            <w:r w:rsidRPr="00BF4181">
              <w:rPr>
                <w:rFonts w:eastAsia="Calibri"/>
              </w:rPr>
              <w:t>Rifabutin</w:t>
            </w:r>
            <w:proofErr w:type="spellEnd"/>
          </w:p>
        </w:tc>
      </w:tr>
      <w:tr w:rsidR="000A5956" w:rsidRPr="008C20A8" w:rsidTr="00737497">
        <w:tc>
          <w:tcPr>
            <w:tcW w:w="817" w:type="dxa"/>
            <w:vMerge w:val="restart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  <w:lang w:val="en-US"/>
              </w:rPr>
            </w:pPr>
            <w:r w:rsidRPr="00BF4181">
              <w:rPr>
                <w:rFonts w:eastAsia="Calibri"/>
                <w:b/>
              </w:rPr>
              <w:t>2 µM</w:t>
            </w:r>
          </w:p>
        </w:tc>
        <w:tc>
          <w:tcPr>
            <w:tcW w:w="1134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22"/>
                <w:szCs w:val="22"/>
              </w:rPr>
            </w:pPr>
            <w:r w:rsidRPr="00BF4181">
              <w:rPr>
                <w:rFonts w:eastAsia="Calibri"/>
                <w:sz w:val="18"/>
                <w:szCs w:val="18"/>
              </w:rPr>
              <w:t xml:space="preserve">0.55 </w:t>
            </w:r>
            <w:r w:rsidRPr="00BF4181">
              <w:rPr>
                <w:rFonts w:eastAsia="Calibri"/>
                <w:sz w:val="18"/>
                <w:szCs w:val="16"/>
              </w:rPr>
              <w:t>± 0.041</w:t>
            </w:r>
          </w:p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  <w:r w:rsidRPr="00BF4181">
              <w:rPr>
                <w:rFonts w:eastAsia="Calibri"/>
                <w:sz w:val="16"/>
                <w:szCs w:val="16"/>
              </w:rPr>
              <w:t>P = 0.00</w:t>
            </w:r>
            <w:r>
              <w:rPr>
                <w:rFonts w:eastAsia="Calibri"/>
                <w:sz w:val="16"/>
                <w:szCs w:val="16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BF4181">
              <w:rPr>
                <w:rFonts w:eastAsia="Calibri"/>
                <w:sz w:val="18"/>
                <w:szCs w:val="18"/>
              </w:rPr>
              <w:t>0.56 ±</w:t>
            </w:r>
            <w:r w:rsidRPr="00BF4181">
              <w:rPr>
                <w:rFonts w:eastAsia="Calibri"/>
                <w:sz w:val="22"/>
                <w:szCs w:val="22"/>
              </w:rPr>
              <w:t xml:space="preserve"> </w:t>
            </w:r>
            <w:r w:rsidRPr="00BF4181">
              <w:rPr>
                <w:rFonts w:eastAsia="Calibri"/>
                <w:sz w:val="18"/>
                <w:szCs w:val="16"/>
              </w:rPr>
              <w:t>0.017</w:t>
            </w:r>
          </w:p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  <w:r w:rsidRPr="00BF4181">
              <w:rPr>
                <w:rFonts w:eastAsia="Calibri"/>
                <w:sz w:val="16"/>
                <w:szCs w:val="16"/>
              </w:rPr>
              <w:t>P = 0.001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  <w:r w:rsidRPr="00BF4181">
              <w:rPr>
                <w:rFonts w:eastAsia="Calibri"/>
                <w:sz w:val="16"/>
                <w:szCs w:val="16"/>
              </w:rPr>
              <w:t>X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BF4181">
              <w:rPr>
                <w:rFonts w:eastAsia="Calibri"/>
                <w:sz w:val="18"/>
                <w:szCs w:val="18"/>
              </w:rPr>
              <w:t>5 µM</w:t>
            </w:r>
          </w:p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  <w:r w:rsidRPr="00BF4181">
              <w:rPr>
                <w:rFonts w:eastAsia="Calibri"/>
                <w:sz w:val="16"/>
                <w:szCs w:val="16"/>
              </w:rPr>
              <w:t>P = 0.047;</w:t>
            </w:r>
          </w:p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</w:p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BF4181">
              <w:rPr>
                <w:rFonts w:eastAsia="Calibri"/>
                <w:sz w:val="18"/>
                <w:szCs w:val="18"/>
              </w:rPr>
              <w:t>10 µM</w:t>
            </w:r>
          </w:p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  <w:r w:rsidRPr="00BF4181">
              <w:rPr>
                <w:rFonts w:eastAsia="Calibri"/>
                <w:sz w:val="16"/>
                <w:szCs w:val="16"/>
              </w:rPr>
              <w:t>P = 0.014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  <w:r w:rsidRPr="00BF4181">
              <w:rPr>
                <w:rFonts w:eastAsia="Calibri"/>
                <w:sz w:val="16"/>
                <w:szCs w:val="16"/>
              </w:rPr>
              <w:t>X</w:t>
            </w:r>
          </w:p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8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8"/>
                <w:szCs w:val="16"/>
              </w:rPr>
            </w:pPr>
            <w:r w:rsidRPr="00BF4181">
              <w:rPr>
                <w:rFonts w:eastAsia="Calibri"/>
                <w:sz w:val="18"/>
                <w:szCs w:val="18"/>
              </w:rPr>
              <w:t xml:space="preserve">0.83 </w:t>
            </w:r>
            <w:r w:rsidRPr="00BF4181">
              <w:rPr>
                <w:rFonts w:eastAsia="Calibri"/>
                <w:sz w:val="18"/>
                <w:szCs w:val="16"/>
              </w:rPr>
              <w:t>± 0.026</w:t>
            </w:r>
          </w:p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8"/>
                <w:szCs w:val="16"/>
              </w:rPr>
            </w:pPr>
            <w:r w:rsidRPr="00BF4181">
              <w:rPr>
                <w:rFonts w:eastAsia="Calibri"/>
                <w:sz w:val="16"/>
                <w:szCs w:val="16"/>
              </w:rPr>
              <w:t>P = 0.0020</w:t>
            </w:r>
          </w:p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8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BF4181">
              <w:rPr>
                <w:rFonts w:eastAsia="Calibri"/>
                <w:sz w:val="16"/>
                <w:szCs w:val="16"/>
              </w:rPr>
              <w:t>X</w:t>
            </w:r>
          </w:p>
        </w:tc>
        <w:tc>
          <w:tcPr>
            <w:tcW w:w="1026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BF4181">
              <w:rPr>
                <w:rFonts w:eastAsia="Calibri"/>
                <w:sz w:val="18"/>
                <w:szCs w:val="18"/>
              </w:rPr>
              <w:t>49.0 % ± 1.9 %</w:t>
            </w:r>
          </w:p>
        </w:tc>
      </w:tr>
      <w:tr w:rsidR="000A5956" w:rsidRPr="008C20A8" w:rsidTr="00737497">
        <w:tc>
          <w:tcPr>
            <w:tcW w:w="817" w:type="dxa"/>
            <w:vMerge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</w:rPr>
            </w:pPr>
            <w:r w:rsidRPr="00BF4181">
              <w:rPr>
                <w:rFonts w:eastAsia="Calibri"/>
                <w:sz w:val="16"/>
                <w:szCs w:val="16"/>
              </w:rPr>
              <w:t>X</w:t>
            </w:r>
          </w:p>
        </w:tc>
        <w:tc>
          <w:tcPr>
            <w:tcW w:w="1134" w:type="dxa"/>
            <w:vMerge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</w:rPr>
            </w:pPr>
            <w:r w:rsidRPr="00BF4181">
              <w:rPr>
                <w:rFonts w:eastAsia="Calibri"/>
                <w:sz w:val="16"/>
                <w:szCs w:val="16"/>
              </w:rPr>
              <w:t>X</w:t>
            </w:r>
          </w:p>
        </w:tc>
      </w:tr>
      <w:tr w:rsidR="000A5956" w:rsidRPr="008C20A8" w:rsidTr="00737497">
        <w:trPr>
          <w:trHeight w:val="471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b/>
              </w:rPr>
            </w:pPr>
            <w:r w:rsidRPr="00BF4181">
              <w:rPr>
                <w:rFonts w:eastAsia="Calibri"/>
                <w:b/>
              </w:rPr>
              <w:t>10 µM</w:t>
            </w:r>
          </w:p>
        </w:tc>
        <w:tc>
          <w:tcPr>
            <w:tcW w:w="1134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22"/>
                <w:szCs w:val="22"/>
              </w:rPr>
            </w:pPr>
            <w:r w:rsidRPr="00BF4181">
              <w:rPr>
                <w:rFonts w:eastAsia="Calibri"/>
                <w:sz w:val="18"/>
                <w:szCs w:val="18"/>
              </w:rPr>
              <w:t xml:space="preserve">0.31 </w:t>
            </w:r>
            <w:r w:rsidRPr="00BF4181">
              <w:rPr>
                <w:rFonts w:eastAsia="Calibri"/>
                <w:sz w:val="18"/>
                <w:szCs w:val="16"/>
              </w:rPr>
              <w:t>± 0.0026</w:t>
            </w:r>
          </w:p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  <w:r w:rsidRPr="00BF4181">
              <w:rPr>
                <w:rFonts w:eastAsia="Calibri"/>
                <w:sz w:val="16"/>
                <w:szCs w:val="16"/>
              </w:rPr>
              <w:t>P = 0.00</w:t>
            </w: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22"/>
                <w:szCs w:val="22"/>
              </w:rPr>
            </w:pPr>
            <w:r w:rsidRPr="00BF4181">
              <w:rPr>
                <w:rFonts w:eastAsia="Calibri"/>
                <w:sz w:val="18"/>
                <w:szCs w:val="18"/>
              </w:rPr>
              <w:t xml:space="preserve">0.29 </w:t>
            </w:r>
            <w:r w:rsidRPr="00BF4181">
              <w:rPr>
                <w:rFonts w:eastAsia="Calibri"/>
                <w:sz w:val="18"/>
                <w:szCs w:val="16"/>
              </w:rPr>
              <w:t>± 0.010</w:t>
            </w:r>
          </w:p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  <w:r w:rsidRPr="00BF4181">
              <w:rPr>
                <w:rFonts w:eastAsia="Calibri"/>
                <w:sz w:val="16"/>
                <w:szCs w:val="16"/>
              </w:rPr>
              <w:t>P &lt; 0.0001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  <w:r w:rsidRPr="00BF4181">
              <w:rPr>
                <w:rFonts w:eastAsia="Calibri"/>
                <w:sz w:val="16"/>
                <w:szCs w:val="16"/>
              </w:rPr>
              <w:t>X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BF4181">
              <w:rPr>
                <w:rFonts w:eastAsia="Calibri"/>
                <w:sz w:val="18"/>
                <w:szCs w:val="18"/>
              </w:rPr>
              <w:t>10 µM</w:t>
            </w:r>
          </w:p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  <w:r w:rsidRPr="00BF4181">
              <w:rPr>
                <w:rFonts w:eastAsia="Calibri"/>
                <w:sz w:val="16"/>
                <w:szCs w:val="16"/>
              </w:rPr>
              <w:t>P = 0.005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2"/>
                <w:szCs w:val="12"/>
              </w:rPr>
            </w:pPr>
            <w:r w:rsidRPr="00BF4181">
              <w:rPr>
                <w:rFonts w:eastAsia="Calibri"/>
                <w:sz w:val="18"/>
                <w:szCs w:val="18"/>
              </w:rPr>
              <w:t xml:space="preserve">0.37 </w:t>
            </w:r>
            <w:r w:rsidRPr="00BF4181">
              <w:rPr>
                <w:rFonts w:eastAsia="Calibri"/>
                <w:sz w:val="18"/>
                <w:szCs w:val="16"/>
              </w:rPr>
              <w:t>± 0.0036</w:t>
            </w:r>
          </w:p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  <w:r w:rsidRPr="00BF4181">
              <w:rPr>
                <w:rFonts w:eastAsia="Calibri"/>
                <w:sz w:val="16"/>
                <w:szCs w:val="16"/>
              </w:rPr>
              <w:t>P = 0.00</w:t>
            </w:r>
            <w:r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BF4181">
              <w:rPr>
                <w:rFonts w:eastAsia="Calibri"/>
                <w:sz w:val="18"/>
                <w:szCs w:val="18"/>
              </w:rPr>
              <w:t xml:space="preserve">0.46 </w:t>
            </w:r>
            <w:r w:rsidRPr="00BF4181">
              <w:rPr>
                <w:rFonts w:eastAsia="Calibri"/>
                <w:sz w:val="18"/>
                <w:szCs w:val="16"/>
              </w:rPr>
              <w:t>± 0.0084</w:t>
            </w:r>
          </w:p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  <w:r w:rsidRPr="00BF4181">
              <w:rPr>
                <w:rFonts w:eastAsia="Calibri"/>
                <w:sz w:val="16"/>
                <w:szCs w:val="16"/>
              </w:rPr>
              <w:t>P = 0.0004</w:t>
            </w:r>
          </w:p>
        </w:tc>
        <w:tc>
          <w:tcPr>
            <w:tcW w:w="1134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BF4181">
              <w:rPr>
                <w:rFonts w:eastAsia="Calibri"/>
                <w:sz w:val="18"/>
                <w:szCs w:val="18"/>
              </w:rPr>
              <w:t>16.2 % ± 1.7 %</w:t>
            </w:r>
          </w:p>
        </w:tc>
        <w:tc>
          <w:tcPr>
            <w:tcW w:w="1026" w:type="dxa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BF4181">
              <w:rPr>
                <w:rFonts w:eastAsia="Calibri"/>
                <w:sz w:val="18"/>
                <w:szCs w:val="18"/>
              </w:rPr>
              <w:t>55.4 % ± 7.5 %</w:t>
            </w:r>
          </w:p>
        </w:tc>
      </w:tr>
      <w:tr w:rsidR="000A5956" w:rsidRPr="008C20A8" w:rsidTr="00737497">
        <w:trPr>
          <w:trHeight w:val="471"/>
        </w:trPr>
        <w:tc>
          <w:tcPr>
            <w:tcW w:w="817" w:type="dxa"/>
            <w:vMerge/>
            <w:shd w:val="clear" w:color="auto" w:fill="auto"/>
            <w:vAlign w:val="center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b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  <w:r w:rsidRPr="00BF4181">
              <w:rPr>
                <w:rFonts w:eastAsia="Calibri"/>
                <w:sz w:val="16"/>
                <w:szCs w:val="16"/>
              </w:rPr>
              <w:t>X</w:t>
            </w:r>
          </w:p>
        </w:tc>
        <w:tc>
          <w:tcPr>
            <w:tcW w:w="1134" w:type="dxa"/>
            <w:vMerge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:rsidR="000A5956" w:rsidRPr="00BF4181" w:rsidRDefault="000A5956" w:rsidP="00737497">
            <w:pPr>
              <w:spacing w:line="480" w:lineRule="auto"/>
              <w:rPr>
                <w:rFonts w:eastAsia="Calibri"/>
                <w:sz w:val="18"/>
                <w:szCs w:val="18"/>
              </w:rPr>
            </w:pPr>
            <w:r w:rsidRPr="00BF4181">
              <w:rPr>
                <w:rFonts w:eastAsia="Calibri"/>
                <w:sz w:val="18"/>
                <w:szCs w:val="18"/>
              </w:rPr>
              <w:t>P = 0.047</w:t>
            </w:r>
          </w:p>
        </w:tc>
      </w:tr>
      <w:tr w:rsidR="000A5956" w:rsidRPr="000447B0" w:rsidTr="00737497">
        <w:trPr>
          <w:trHeight w:val="471"/>
        </w:trPr>
        <w:tc>
          <w:tcPr>
            <w:tcW w:w="9356" w:type="dxa"/>
            <w:gridSpan w:val="9"/>
            <w:shd w:val="clear" w:color="auto" w:fill="auto"/>
            <w:vAlign w:val="center"/>
          </w:tcPr>
          <w:p w:rsidR="000A5956" w:rsidRPr="000447B0" w:rsidRDefault="000A5956" w:rsidP="000A5956">
            <w:pPr>
              <w:numPr>
                <w:ilvl w:val="0"/>
                <w:numId w:val="1"/>
              </w:numPr>
              <w:spacing w:line="480" w:lineRule="auto"/>
              <w:rPr>
                <w:bCs/>
                <w:lang w:val="en-US"/>
              </w:rPr>
            </w:pPr>
            <w:r w:rsidRPr="000447B0">
              <w:rPr>
                <w:bCs/>
                <w:lang w:val="en-US"/>
              </w:rPr>
              <w:t>Rhodamine 123 fluorescence after six days of exposure compared to non-induced cells.</w:t>
            </w:r>
          </w:p>
          <w:p w:rsidR="000A5956" w:rsidRPr="000447B0" w:rsidRDefault="000A5956" w:rsidP="000A5956">
            <w:pPr>
              <w:numPr>
                <w:ilvl w:val="0"/>
                <w:numId w:val="1"/>
              </w:numPr>
              <w:spacing w:line="480" w:lineRule="auto"/>
              <w:rPr>
                <w:bCs/>
                <w:lang w:val="en-US"/>
              </w:rPr>
            </w:pPr>
            <w:r w:rsidRPr="000447B0">
              <w:rPr>
                <w:bCs/>
                <w:lang w:val="en-US"/>
              </w:rPr>
              <w:t>Distinct re-exposure concentrations that significantly re-increased rhodamine 123 fluorescence compared to induced cells.</w:t>
            </w:r>
          </w:p>
          <w:p w:rsidR="000A5956" w:rsidRPr="000447B0" w:rsidRDefault="000A5956" w:rsidP="000A5956">
            <w:pPr>
              <w:numPr>
                <w:ilvl w:val="0"/>
                <w:numId w:val="1"/>
              </w:numPr>
              <w:spacing w:line="480" w:lineRule="auto"/>
              <w:rPr>
                <w:bCs/>
                <w:lang w:val="en-US"/>
              </w:rPr>
            </w:pPr>
            <w:r w:rsidRPr="000447B0">
              <w:rPr>
                <w:bCs/>
                <w:lang w:val="en-US"/>
              </w:rPr>
              <w:t>Estimated maximum rhodamine 123 fluorescence after drug re-exposure compared to non-induced cells.</w:t>
            </w:r>
          </w:p>
          <w:p w:rsidR="000A5956" w:rsidRPr="000447B0" w:rsidRDefault="000A5956" w:rsidP="000A5956">
            <w:pPr>
              <w:numPr>
                <w:ilvl w:val="0"/>
                <w:numId w:val="1"/>
              </w:numPr>
              <w:spacing w:line="480" w:lineRule="auto"/>
              <w:rPr>
                <w:rFonts w:eastAsia="Calibri"/>
                <w:sz w:val="18"/>
                <w:szCs w:val="18"/>
                <w:lang w:val="en-US"/>
              </w:rPr>
            </w:pPr>
            <w:r w:rsidRPr="000447B0">
              <w:rPr>
                <w:bCs/>
                <w:lang w:val="en-US"/>
              </w:rPr>
              <w:t>Percentual re-increase of rhodamine 123 fluorescence in re-exposed cells compared to induced cells.</w:t>
            </w:r>
          </w:p>
        </w:tc>
      </w:tr>
    </w:tbl>
    <w:p w:rsidR="000A5956" w:rsidRPr="00B72B1C" w:rsidRDefault="000A5956" w:rsidP="000A5956">
      <w:pPr>
        <w:pStyle w:val="Textkrper"/>
        <w:spacing w:line="480" w:lineRule="auto"/>
        <w:jc w:val="both"/>
        <w:rPr>
          <w:bCs/>
          <w:lang w:val="en-US"/>
        </w:rPr>
      </w:pPr>
      <w:r w:rsidRPr="004C2B21">
        <w:rPr>
          <w:bCs/>
          <w:lang w:val="en-US"/>
        </w:rPr>
        <w:t>The</w:t>
      </w:r>
      <w:r>
        <w:rPr>
          <w:bCs/>
          <w:lang w:val="en-US"/>
        </w:rPr>
        <w:t xml:space="preserve"> </w:t>
      </w:r>
      <w:r w:rsidRPr="004C2B21">
        <w:rPr>
          <w:bCs/>
          <w:lang w:val="en-US"/>
        </w:rPr>
        <w:t>induction effect is the mean ± S</w:t>
      </w:r>
      <w:r>
        <w:rPr>
          <w:bCs/>
          <w:lang w:val="en-US"/>
        </w:rPr>
        <w:t>.</w:t>
      </w:r>
      <w:r w:rsidRPr="004C2B21">
        <w:rPr>
          <w:bCs/>
          <w:lang w:val="en-US"/>
        </w:rPr>
        <w:t>E</w:t>
      </w:r>
      <w:r>
        <w:rPr>
          <w:bCs/>
          <w:lang w:val="en-US"/>
        </w:rPr>
        <w:t>.</w:t>
      </w:r>
      <w:r w:rsidRPr="004C2B21">
        <w:rPr>
          <w:bCs/>
          <w:lang w:val="en-US"/>
        </w:rPr>
        <w:t>M</w:t>
      </w:r>
      <w:r>
        <w:rPr>
          <w:bCs/>
          <w:lang w:val="en-US"/>
        </w:rPr>
        <w:t>.</w:t>
      </w:r>
      <w:r w:rsidRPr="004C2B21">
        <w:rPr>
          <w:bCs/>
          <w:lang w:val="en-US"/>
        </w:rPr>
        <w:t xml:space="preserve"> </w:t>
      </w:r>
      <w:r>
        <w:rPr>
          <w:bCs/>
          <w:lang w:val="en-US"/>
        </w:rPr>
        <w:t xml:space="preserve">relative </w:t>
      </w:r>
      <w:r w:rsidRPr="004C2B21">
        <w:rPr>
          <w:bCs/>
          <w:lang w:val="en-US"/>
        </w:rPr>
        <w:t>rhodamine 123 fluorescence in induced cells normalized to untreated controls</w:t>
      </w:r>
      <w:r>
        <w:rPr>
          <w:bCs/>
          <w:lang w:val="en-US"/>
        </w:rPr>
        <w:t xml:space="preserve"> </w:t>
      </w:r>
      <w:r w:rsidRPr="004C2B21">
        <w:rPr>
          <w:bCs/>
          <w:lang w:val="en-US"/>
        </w:rPr>
        <w:t>(Student’s T-test). The maximum out-balance values represent</w:t>
      </w:r>
      <w:r>
        <w:rPr>
          <w:bCs/>
          <w:lang w:val="en-US"/>
        </w:rPr>
        <w:t xml:space="preserve"> </w:t>
      </w:r>
      <w:r w:rsidRPr="004C2B21">
        <w:rPr>
          <w:bCs/>
          <w:lang w:val="en-US"/>
        </w:rPr>
        <w:t xml:space="preserve">the estimated </w:t>
      </w:r>
      <w:r>
        <w:rPr>
          <w:bCs/>
          <w:lang w:val="en-US"/>
        </w:rPr>
        <w:t xml:space="preserve">relative </w:t>
      </w:r>
      <w:proofErr w:type="spellStart"/>
      <w:r w:rsidRPr="004C2B21">
        <w:rPr>
          <w:bCs/>
          <w:lang w:val="en-US"/>
        </w:rPr>
        <w:t>E</w:t>
      </w:r>
      <w:r w:rsidRPr="00410622">
        <w:rPr>
          <w:bCs/>
          <w:vertAlign w:val="subscript"/>
          <w:lang w:val="en-US"/>
        </w:rPr>
        <w:t>max</w:t>
      </w:r>
      <w:proofErr w:type="spellEnd"/>
      <w:r w:rsidRPr="004C2B21">
        <w:rPr>
          <w:bCs/>
          <w:lang w:val="en-US"/>
        </w:rPr>
        <w:t xml:space="preserve"> of the fitted concentration-response curve and was compared to the </w:t>
      </w:r>
      <w:r w:rsidRPr="004C2B21">
        <w:rPr>
          <w:bCs/>
          <w:lang w:val="en-US"/>
        </w:rPr>
        <w:lastRenderedPageBreak/>
        <w:t>induction effect (Student’s</w:t>
      </w:r>
      <w:r>
        <w:rPr>
          <w:bCs/>
          <w:lang w:val="en-US"/>
        </w:rPr>
        <w:t xml:space="preserve"> t</w:t>
      </w:r>
      <w:r w:rsidRPr="004C2B21">
        <w:rPr>
          <w:bCs/>
          <w:lang w:val="en-US"/>
        </w:rPr>
        <w:t xml:space="preserve">-test). The distinct concentrations </w:t>
      </w:r>
      <w:r>
        <w:rPr>
          <w:bCs/>
          <w:lang w:val="en-US"/>
        </w:rPr>
        <w:t xml:space="preserve">having </w:t>
      </w:r>
      <w:r w:rsidRPr="004C2B21">
        <w:rPr>
          <w:bCs/>
          <w:lang w:val="en-US"/>
        </w:rPr>
        <w:t xml:space="preserve">significantly </w:t>
      </w:r>
      <w:r>
        <w:rPr>
          <w:bCs/>
          <w:lang w:val="en-US"/>
        </w:rPr>
        <w:t xml:space="preserve">re-increased relative rhodamine 123 fluorescence </w:t>
      </w:r>
      <w:r w:rsidRPr="004C2B21">
        <w:rPr>
          <w:bCs/>
          <w:lang w:val="en-US"/>
        </w:rPr>
        <w:t xml:space="preserve">were evaluated by ANOVA with the Kruskal-Wallis test. The </w:t>
      </w:r>
      <w:r>
        <w:rPr>
          <w:bCs/>
          <w:lang w:val="en-US"/>
        </w:rPr>
        <w:t>mean</w:t>
      </w:r>
      <w:r w:rsidRPr="004C2B21">
        <w:rPr>
          <w:bCs/>
          <w:lang w:val="en-US"/>
        </w:rPr>
        <w:t xml:space="preserve"> </w:t>
      </w:r>
      <w:r>
        <w:rPr>
          <w:bCs/>
          <w:lang w:val="en-US"/>
        </w:rPr>
        <w:t xml:space="preserve">percentual maximum out-balance </w:t>
      </w:r>
      <w:r w:rsidRPr="004C2B21">
        <w:rPr>
          <w:bCs/>
          <w:lang w:val="en-US"/>
        </w:rPr>
        <w:t xml:space="preserve">was calculated by dividing the </w:t>
      </w:r>
      <w:r>
        <w:rPr>
          <w:bCs/>
          <w:lang w:val="en-US"/>
        </w:rPr>
        <w:t xml:space="preserve">relative </w:t>
      </w:r>
      <w:proofErr w:type="spellStart"/>
      <w:r w:rsidRPr="004C2B21">
        <w:rPr>
          <w:bCs/>
          <w:lang w:val="en-US"/>
        </w:rPr>
        <w:t>E</w:t>
      </w:r>
      <w:r w:rsidRPr="00410622">
        <w:rPr>
          <w:bCs/>
          <w:vertAlign w:val="subscript"/>
          <w:lang w:val="en-US"/>
        </w:rPr>
        <w:t>max</w:t>
      </w:r>
      <w:proofErr w:type="spellEnd"/>
      <w:r w:rsidRPr="004C2B21">
        <w:rPr>
          <w:bCs/>
          <w:lang w:val="en-US"/>
        </w:rPr>
        <w:t xml:space="preserve"> </w:t>
      </w:r>
      <w:r>
        <w:rPr>
          <w:bCs/>
          <w:lang w:val="en-US"/>
        </w:rPr>
        <w:t>by</w:t>
      </w:r>
      <w:r w:rsidRPr="004C2B21">
        <w:rPr>
          <w:bCs/>
          <w:lang w:val="en-US"/>
        </w:rPr>
        <w:t xml:space="preserve"> the induction effect. </w:t>
      </w:r>
      <w:r>
        <w:rPr>
          <w:bCs/>
          <w:lang w:val="en-US"/>
        </w:rPr>
        <w:t xml:space="preserve">Percentual re-increases by rifampicin and rifabutin were compared by </w:t>
      </w:r>
      <w:r w:rsidRPr="004C2B21">
        <w:rPr>
          <w:bCs/>
          <w:lang w:val="en-US"/>
        </w:rPr>
        <w:t xml:space="preserve">Student’s T-test. A </w:t>
      </w:r>
      <w:r>
        <w:rPr>
          <w:bCs/>
          <w:lang w:val="en-US"/>
        </w:rPr>
        <w:t xml:space="preserve">P </w:t>
      </w:r>
      <w:r w:rsidRPr="004C2B21">
        <w:rPr>
          <w:bCs/>
          <w:lang w:val="en-US"/>
        </w:rPr>
        <w:t xml:space="preserve">value </w:t>
      </w:r>
      <w:r>
        <w:rPr>
          <w:bCs/>
          <w:lang w:val="en-US"/>
        </w:rPr>
        <w:t>&lt;</w:t>
      </w:r>
      <w:r w:rsidRPr="004C2B21">
        <w:rPr>
          <w:bCs/>
          <w:lang w:val="en-US"/>
        </w:rPr>
        <w:t xml:space="preserve"> 0.05 was considered significant. </w:t>
      </w:r>
      <w:r>
        <w:rPr>
          <w:rFonts w:ascii="Segoe UI Symbol" w:hAnsi="Segoe UI Symbol" w:cs="Segoe UI Symbol"/>
          <w:bCs/>
          <w:lang w:val="en-US"/>
        </w:rPr>
        <w:t>X</w:t>
      </w:r>
      <w:r w:rsidRPr="004C2B21">
        <w:rPr>
          <w:bCs/>
          <w:lang w:val="en-US"/>
        </w:rPr>
        <w:t xml:space="preserve"> indicates</w:t>
      </w:r>
      <w:r>
        <w:rPr>
          <w:bCs/>
          <w:lang w:val="en-US"/>
        </w:rPr>
        <w:t xml:space="preserve"> </w:t>
      </w:r>
      <w:r w:rsidRPr="004C2B21">
        <w:rPr>
          <w:bCs/>
          <w:lang w:val="en-US"/>
        </w:rPr>
        <w:t>non-significant results or non-significant differences between sub-columns.</w:t>
      </w:r>
    </w:p>
    <w:p w:rsidR="000A5956" w:rsidRPr="000A5956" w:rsidRDefault="000A5956">
      <w:pPr>
        <w:rPr>
          <w:lang w:val="en-US"/>
        </w:rPr>
      </w:pPr>
    </w:p>
    <w:sectPr w:rsidR="000A5956" w:rsidRPr="000A5956">
      <w:footerReference w:type="even" r:id="rId5"/>
      <w:footerReference w:type="default" r:id="rId6"/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BCC" w:rsidRDefault="000A5956" w:rsidP="00F4525D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E36BCC" w:rsidRDefault="000A595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BCC" w:rsidRDefault="000A5956" w:rsidP="00F4525D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:rsidR="00E36BCC" w:rsidRDefault="000A5956">
    <w:pPr>
      <w:pStyle w:val="Fuzeil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727E09"/>
    <w:multiLevelType w:val="hybridMultilevel"/>
    <w:tmpl w:val="AB986A9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56"/>
    <w:rsid w:val="000A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A8821"/>
  <w15:chartTrackingRefBased/>
  <w15:docId w15:val="{880E1E8A-B269-4A80-BF46-9DE0F06FC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A59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0A5956"/>
    <w:rPr>
      <w:sz w:val="24"/>
    </w:rPr>
  </w:style>
  <w:style w:type="character" w:customStyle="1" w:styleId="TextkrperZchn">
    <w:name w:val="Textkörper Zchn"/>
    <w:basedOn w:val="Absatz-Standardschriftart"/>
    <w:link w:val="Textkrper"/>
    <w:rsid w:val="000A5956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rsid w:val="000A595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A5956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Seitenzahl">
    <w:name w:val="page number"/>
    <w:basedOn w:val="Absatz-Standardschriftart"/>
    <w:rsid w:val="000A5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Theile, Dirk</dc:creator>
  <cp:keywords/>
  <dc:description/>
  <cp:lastModifiedBy>Theile, Dirk</cp:lastModifiedBy>
  <cp:revision>1</cp:revision>
  <dcterms:created xsi:type="dcterms:W3CDTF">2023-08-23T08:51:00Z</dcterms:created>
  <dcterms:modified xsi:type="dcterms:W3CDTF">2023-08-23T08:53:00Z</dcterms:modified>
</cp:coreProperties>
</file>