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76781F" w14:textId="77777777" w:rsidR="00AB6B50" w:rsidRPr="005E151A" w:rsidRDefault="00AB6B50" w:rsidP="00AB6B50">
      <w:pPr>
        <w:spacing w:after="0" w:line="240" w:lineRule="auto"/>
        <w:jc w:val="both"/>
        <w:rPr>
          <w:rFonts w:ascii="Arial" w:hAnsi="Arial" w:cs="Arial"/>
          <w:lang w:val="en-GB"/>
        </w:rPr>
      </w:pPr>
    </w:p>
    <w:p w14:paraId="4EEAFA1A" w14:textId="27D8D159" w:rsidR="00AB6B50" w:rsidRPr="00AB6B50" w:rsidRDefault="00AB6B50" w:rsidP="00AB6B50">
      <w:pPr>
        <w:spacing w:after="0" w:line="240" w:lineRule="auto"/>
        <w:jc w:val="both"/>
        <w:rPr>
          <w:rFonts w:ascii="Arial" w:hAnsi="Arial" w:cs="Arial"/>
          <w:b/>
          <w:bCs/>
          <w:lang w:val="en-US"/>
        </w:rPr>
      </w:pPr>
      <w:r w:rsidRPr="00AB6B50">
        <w:rPr>
          <w:rFonts w:ascii="Arial" w:hAnsi="Arial" w:cs="Arial"/>
          <w:b/>
          <w:bCs/>
          <w:lang w:val="en-US"/>
        </w:rPr>
        <w:t xml:space="preserve">Supplementary </w:t>
      </w:r>
      <w:r>
        <w:rPr>
          <w:rFonts w:ascii="Arial" w:hAnsi="Arial" w:cs="Arial"/>
          <w:b/>
          <w:bCs/>
          <w:lang w:val="en-US"/>
        </w:rPr>
        <w:t>T</w:t>
      </w:r>
      <w:r w:rsidRPr="00AB6B50">
        <w:rPr>
          <w:rFonts w:ascii="Arial" w:hAnsi="Arial" w:cs="Arial"/>
          <w:b/>
          <w:bCs/>
          <w:lang w:val="en-US"/>
        </w:rPr>
        <w:t xml:space="preserve">able 1: </w:t>
      </w:r>
      <w:r w:rsidRPr="00AB6B50">
        <w:rPr>
          <w:rFonts w:ascii="Arial" w:eastAsia="Times New Roman" w:hAnsi="Arial" w:cs="Arial"/>
          <w:b/>
          <w:bCs/>
          <w:iCs/>
          <w:color w:val="000000"/>
          <w:lang w:val="en-US" w:eastAsia="de-DE"/>
        </w:rPr>
        <w:t>List of primers</w:t>
      </w:r>
      <w:bookmarkStart w:id="0" w:name="_GoBack"/>
      <w:bookmarkEnd w:id="0"/>
    </w:p>
    <w:tbl>
      <w:tblPr>
        <w:tblW w:w="9849" w:type="dxa"/>
        <w:tblCellMar>
          <w:left w:w="70" w:type="dxa"/>
          <w:right w:w="70" w:type="dxa"/>
        </w:tblCellMar>
        <w:tblLook w:val="04A0" w:firstRow="1" w:lastRow="0" w:firstColumn="1" w:lastColumn="0" w:noHBand="0" w:noVBand="1"/>
      </w:tblPr>
      <w:tblGrid>
        <w:gridCol w:w="2149"/>
        <w:gridCol w:w="3832"/>
        <w:gridCol w:w="3868"/>
      </w:tblGrid>
      <w:tr w:rsidR="00AB6B50" w:rsidRPr="00AB6B50" w14:paraId="6D0C4B48" w14:textId="77777777" w:rsidTr="00DC1805">
        <w:trPr>
          <w:trHeight w:val="300"/>
        </w:trPr>
        <w:tc>
          <w:tcPr>
            <w:tcW w:w="2149" w:type="dxa"/>
            <w:tcBorders>
              <w:top w:val="nil"/>
              <w:left w:val="nil"/>
              <w:bottom w:val="single" w:sz="4" w:space="0" w:color="auto"/>
              <w:right w:val="nil"/>
            </w:tcBorders>
            <w:shd w:val="clear" w:color="auto" w:fill="auto"/>
            <w:noWrap/>
            <w:vAlign w:val="center"/>
            <w:hideMark/>
          </w:tcPr>
          <w:p w14:paraId="2789A42B" w14:textId="77777777" w:rsidR="00AB6B50" w:rsidRPr="000E5F28" w:rsidRDefault="00AB6B50" w:rsidP="00DC1805">
            <w:pPr>
              <w:spacing w:after="0" w:line="240" w:lineRule="auto"/>
              <w:rPr>
                <w:rFonts w:ascii="Arial" w:eastAsia="Times New Roman" w:hAnsi="Arial" w:cs="Arial"/>
                <w:iCs/>
                <w:color w:val="000000"/>
                <w:lang w:val="en-GB" w:eastAsia="de-DE"/>
              </w:rPr>
            </w:pPr>
          </w:p>
        </w:tc>
        <w:tc>
          <w:tcPr>
            <w:tcW w:w="3832" w:type="dxa"/>
            <w:tcBorders>
              <w:top w:val="nil"/>
              <w:left w:val="nil"/>
              <w:bottom w:val="single" w:sz="4" w:space="0" w:color="auto"/>
              <w:right w:val="nil"/>
            </w:tcBorders>
            <w:shd w:val="clear" w:color="auto" w:fill="auto"/>
            <w:noWrap/>
            <w:vAlign w:val="bottom"/>
            <w:hideMark/>
          </w:tcPr>
          <w:p w14:paraId="666BCE99" w14:textId="77777777" w:rsidR="00AB6B50" w:rsidRPr="000E5F28" w:rsidRDefault="00AB6B50" w:rsidP="00DC1805">
            <w:pPr>
              <w:spacing w:after="0" w:line="240" w:lineRule="auto"/>
              <w:rPr>
                <w:rFonts w:ascii="Arial" w:eastAsia="Times New Roman" w:hAnsi="Arial" w:cs="Arial"/>
                <w:color w:val="000000"/>
                <w:lang w:val="en-GB" w:eastAsia="de-DE"/>
              </w:rPr>
            </w:pPr>
            <w:r w:rsidRPr="000E5F28">
              <w:rPr>
                <w:rFonts w:ascii="Arial" w:eastAsia="Times New Roman" w:hAnsi="Arial" w:cs="Arial"/>
                <w:color w:val="000000"/>
                <w:lang w:val="en-GB" w:eastAsia="de-DE"/>
              </w:rPr>
              <w:t> </w:t>
            </w:r>
          </w:p>
          <w:p w14:paraId="50E1C0A3" w14:textId="77777777" w:rsidR="00AB6B50" w:rsidRPr="000E5F28" w:rsidRDefault="00AB6B50" w:rsidP="00DC1805">
            <w:pPr>
              <w:spacing w:after="0" w:line="240" w:lineRule="auto"/>
              <w:rPr>
                <w:rFonts w:ascii="Arial" w:eastAsia="Times New Roman" w:hAnsi="Arial" w:cs="Arial"/>
                <w:color w:val="000000"/>
                <w:lang w:val="en-GB" w:eastAsia="de-DE"/>
              </w:rPr>
            </w:pPr>
          </w:p>
        </w:tc>
        <w:tc>
          <w:tcPr>
            <w:tcW w:w="3868" w:type="dxa"/>
            <w:tcBorders>
              <w:top w:val="nil"/>
              <w:left w:val="nil"/>
              <w:bottom w:val="single" w:sz="4" w:space="0" w:color="auto"/>
              <w:right w:val="nil"/>
            </w:tcBorders>
            <w:shd w:val="clear" w:color="auto" w:fill="auto"/>
            <w:noWrap/>
            <w:vAlign w:val="bottom"/>
            <w:hideMark/>
          </w:tcPr>
          <w:p w14:paraId="7FA80D1F" w14:textId="77777777" w:rsidR="00AB6B50" w:rsidRPr="000E5F28" w:rsidRDefault="00AB6B50" w:rsidP="00DC1805">
            <w:pPr>
              <w:spacing w:after="0" w:line="240" w:lineRule="auto"/>
              <w:rPr>
                <w:rFonts w:ascii="Arial" w:eastAsia="Times New Roman" w:hAnsi="Arial" w:cs="Arial"/>
                <w:color w:val="000000"/>
                <w:lang w:val="en-GB" w:eastAsia="de-DE"/>
              </w:rPr>
            </w:pPr>
            <w:r w:rsidRPr="000E5F28">
              <w:rPr>
                <w:rFonts w:ascii="Arial" w:eastAsia="Times New Roman" w:hAnsi="Arial" w:cs="Arial"/>
                <w:color w:val="000000"/>
                <w:lang w:val="en-GB" w:eastAsia="de-DE"/>
              </w:rPr>
              <w:t> </w:t>
            </w:r>
          </w:p>
        </w:tc>
      </w:tr>
      <w:tr w:rsidR="00AB6B50" w:rsidRPr="006E4B7F" w14:paraId="248AAA7C" w14:textId="77777777" w:rsidTr="00DC1805">
        <w:trPr>
          <w:trHeight w:val="300"/>
        </w:trPr>
        <w:tc>
          <w:tcPr>
            <w:tcW w:w="2149" w:type="dxa"/>
            <w:tcBorders>
              <w:top w:val="nil"/>
              <w:left w:val="nil"/>
              <w:bottom w:val="nil"/>
              <w:right w:val="nil"/>
            </w:tcBorders>
            <w:shd w:val="clear" w:color="auto" w:fill="auto"/>
            <w:noWrap/>
            <w:vAlign w:val="center"/>
            <w:hideMark/>
          </w:tcPr>
          <w:p w14:paraId="0BB0EE17" w14:textId="77777777" w:rsidR="00AB6B50" w:rsidRPr="000E5F28" w:rsidRDefault="00AB6B50" w:rsidP="00DC1805">
            <w:pPr>
              <w:spacing w:after="0" w:line="240" w:lineRule="auto"/>
              <w:rPr>
                <w:rFonts w:ascii="Arial" w:eastAsia="Times New Roman" w:hAnsi="Arial" w:cs="Arial"/>
                <w:color w:val="000000"/>
                <w:lang w:val="en-GB" w:eastAsia="de-DE"/>
              </w:rPr>
            </w:pPr>
          </w:p>
        </w:tc>
        <w:tc>
          <w:tcPr>
            <w:tcW w:w="3832" w:type="dxa"/>
            <w:tcBorders>
              <w:top w:val="nil"/>
              <w:left w:val="nil"/>
              <w:bottom w:val="single" w:sz="8" w:space="0" w:color="auto"/>
              <w:right w:val="nil"/>
            </w:tcBorders>
            <w:shd w:val="clear" w:color="auto" w:fill="auto"/>
            <w:noWrap/>
            <w:vAlign w:val="center"/>
            <w:hideMark/>
          </w:tcPr>
          <w:p w14:paraId="1DAA8F3F"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Primer sequence (5′–3′)</w:t>
            </w:r>
          </w:p>
        </w:tc>
        <w:tc>
          <w:tcPr>
            <w:tcW w:w="3868" w:type="dxa"/>
            <w:tcBorders>
              <w:top w:val="nil"/>
              <w:left w:val="nil"/>
              <w:bottom w:val="single" w:sz="8" w:space="0" w:color="auto"/>
              <w:right w:val="nil"/>
            </w:tcBorders>
            <w:shd w:val="clear" w:color="auto" w:fill="auto"/>
            <w:noWrap/>
            <w:vAlign w:val="center"/>
            <w:hideMark/>
          </w:tcPr>
          <w:p w14:paraId="334621C7"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 </w:t>
            </w:r>
          </w:p>
        </w:tc>
      </w:tr>
      <w:tr w:rsidR="00AB6B50" w:rsidRPr="006E4B7F" w14:paraId="1C2715F9" w14:textId="77777777" w:rsidTr="00DC1805">
        <w:trPr>
          <w:trHeight w:val="315"/>
        </w:trPr>
        <w:tc>
          <w:tcPr>
            <w:tcW w:w="2149" w:type="dxa"/>
            <w:tcBorders>
              <w:top w:val="nil"/>
              <w:left w:val="nil"/>
              <w:bottom w:val="nil"/>
              <w:right w:val="nil"/>
            </w:tcBorders>
            <w:shd w:val="clear" w:color="auto" w:fill="auto"/>
            <w:noWrap/>
            <w:vAlign w:val="bottom"/>
            <w:hideMark/>
          </w:tcPr>
          <w:p w14:paraId="76BB0CB1" w14:textId="77777777" w:rsidR="00AB6B50" w:rsidRPr="006E4B7F" w:rsidRDefault="00AB6B50" w:rsidP="00DC1805">
            <w:pPr>
              <w:spacing w:after="0" w:line="240" w:lineRule="auto"/>
              <w:rPr>
                <w:rFonts w:ascii="Arial" w:eastAsia="Times New Roman" w:hAnsi="Arial" w:cs="Arial"/>
                <w:color w:val="000000"/>
                <w:lang w:eastAsia="de-DE"/>
              </w:rPr>
            </w:pPr>
          </w:p>
        </w:tc>
        <w:tc>
          <w:tcPr>
            <w:tcW w:w="3832" w:type="dxa"/>
            <w:tcBorders>
              <w:top w:val="nil"/>
              <w:left w:val="nil"/>
              <w:bottom w:val="single" w:sz="8" w:space="0" w:color="auto"/>
              <w:right w:val="nil"/>
            </w:tcBorders>
            <w:shd w:val="clear" w:color="auto" w:fill="auto"/>
            <w:noWrap/>
            <w:vAlign w:val="center"/>
            <w:hideMark/>
          </w:tcPr>
          <w:p w14:paraId="00E2E49B"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Forward</w:t>
            </w:r>
          </w:p>
        </w:tc>
        <w:tc>
          <w:tcPr>
            <w:tcW w:w="3868" w:type="dxa"/>
            <w:tcBorders>
              <w:top w:val="nil"/>
              <w:left w:val="nil"/>
              <w:bottom w:val="single" w:sz="8" w:space="0" w:color="auto"/>
              <w:right w:val="nil"/>
            </w:tcBorders>
            <w:shd w:val="clear" w:color="auto" w:fill="auto"/>
            <w:noWrap/>
            <w:vAlign w:val="center"/>
            <w:hideMark/>
          </w:tcPr>
          <w:p w14:paraId="1B68BCFE"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Reverse</w:t>
            </w:r>
          </w:p>
        </w:tc>
      </w:tr>
      <w:tr w:rsidR="00AB6B50" w:rsidRPr="006E4B7F" w14:paraId="0BF65534" w14:textId="77777777" w:rsidTr="00DC1805">
        <w:trPr>
          <w:trHeight w:val="300"/>
        </w:trPr>
        <w:tc>
          <w:tcPr>
            <w:tcW w:w="2149" w:type="dxa"/>
            <w:tcBorders>
              <w:top w:val="nil"/>
              <w:left w:val="nil"/>
              <w:bottom w:val="single" w:sz="4" w:space="0" w:color="auto"/>
              <w:right w:val="nil"/>
            </w:tcBorders>
            <w:shd w:val="clear" w:color="auto" w:fill="auto"/>
            <w:noWrap/>
            <w:vAlign w:val="bottom"/>
            <w:hideMark/>
          </w:tcPr>
          <w:p w14:paraId="2282AB31"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 </w:t>
            </w:r>
          </w:p>
        </w:tc>
        <w:tc>
          <w:tcPr>
            <w:tcW w:w="3832" w:type="dxa"/>
            <w:tcBorders>
              <w:top w:val="nil"/>
              <w:left w:val="nil"/>
              <w:bottom w:val="single" w:sz="4" w:space="0" w:color="auto"/>
              <w:right w:val="nil"/>
            </w:tcBorders>
            <w:shd w:val="clear" w:color="auto" w:fill="auto"/>
            <w:noWrap/>
            <w:vAlign w:val="bottom"/>
            <w:hideMark/>
          </w:tcPr>
          <w:p w14:paraId="09EE3BB3"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 </w:t>
            </w:r>
          </w:p>
        </w:tc>
        <w:tc>
          <w:tcPr>
            <w:tcW w:w="3868" w:type="dxa"/>
            <w:tcBorders>
              <w:top w:val="nil"/>
              <w:left w:val="nil"/>
              <w:bottom w:val="single" w:sz="4" w:space="0" w:color="auto"/>
              <w:right w:val="nil"/>
            </w:tcBorders>
            <w:shd w:val="clear" w:color="auto" w:fill="auto"/>
            <w:noWrap/>
            <w:vAlign w:val="bottom"/>
            <w:hideMark/>
          </w:tcPr>
          <w:p w14:paraId="13750966"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 </w:t>
            </w:r>
          </w:p>
        </w:tc>
      </w:tr>
      <w:tr w:rsidR="00AB6B50" w:rsidRPr="006E4B7F" w14:paraId="79AA5D16" w14:textId="77777777" w:rsidTr="00DC1805">
        <w:trPr>
          <w:trHeight w:val="285"/>
        </w:trPr>
        <w:tc>
          <w:tcPr>
            <w:tcW w:w="2149" w:type="dxa"/>
            <w:tcBorders>
              <w:top w:val="nil"/>
              <w:left w:val="nil"/>
              <w:bottom w:val="nil"/>
              <w:right w:val="nil"/>
            </w:tcBorders>
            <w:shd w:val="clear" w:color="auto" w:fill="auto"/>
            <w:noWrap/>
            <w:vAlign w:val="center"/>
            <w:hideMark/>
          </w:tcPr>
          <w:p w14:paraId="042F5E22"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ACA2</w:t>
            </w:r>
          </w:p>
        </w:tc>
        <w:tc>
          <w:tcPr>
            <w:tcW w:w="3832" w:type="dxa"/>
            <w:tcBorders>
              <w:top w:val="nil"/>
              <w:left w:val="nil"/>
              <w:bottom w:val="nil"/>
              <w:right w:val="nil"/>
            </w:tcBorders>
            <w:shd w:val="clear" w:color="auto" w:fill="auto"/>
            <w:noWrap/>
            <w:vAlign w:val="center"/>
            <w:hideMark/>
          </w:tcPr>
          <w:p w14:paraId="283AFCF5"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ACTTGGCTTACTTGAGAACAGGA</w:t>
            </w:r>
          </w:p>
        </w:tc>
        <w:tc>
          <w:tcPr>
            <w:tcW w:w="3868" w:type="dxa"/>
            <w:tcBorders>
              <w:top w:val="nil"/>
              <w:left w:val="nil"/>
              <w:bottom w:val="nil"/>
              <w:right w:val="nil"/>
            </w:tcBorders>
            <w:shd w:val="clear" w:color="auto" w:fill="auto"/>
            <w:noWrap/>
            <w:vAlign w:val="center"/>
            <w:hideMark/>
          </w:tcPr>
          <w:p w14:paraId="7A07007B"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CAGTCAGTGGCATCTCACCTA</w:t>
            </w:r>
          </w:p>
        </w:tc>
      </w:tr>
      <w:tr w:rsidR="00AB6B50" w:rsidRPr="006E4B7F" w14:paraId="26AAEEE1" w14:textId="77777777" w:rsidTr="00DC1805">
        <w:trPr>
          <w:trHeight w:val="285"/>
        </w:trPr>
        <w:tc>
          <w:tcPr>
            <w:tcW w:w="2149" w:type="dxa"/>
            <w:tcBorders>
              <w:top w:val="nil"/>
              <w:left w:val="nil"/>
              <w:bottom w:val="nil"/>
              <w:right w:val="nil"/>
            </w:tcBorders>
            <w:shd w:val="clear" w:color="auto" w:fill="auto"/>
            <w:noWrap/>
            <w:vAlign w:val="center"/>
            <w:hideMark/>
          </w:tcPr>
          <w:p w14:paraId="17C21AE4"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ACTB</w:t>
            </w:r>
          </w:p>
        </w:tc>
        <w:tc>
          <w:tcPr>
            <w:tcW w:w="3832" w:type="dxa"/>
            <w:tcBorders>
              <w:top w:val="nil"/>
              <w:left w:val="nil"/>
              <w:bottom w:val="nil"/>
              <w:right w:val="nil"/>
            </w:tcBorders>
            <w:shd w:val="clear" w:color="auto" w:fill="auto"/>
            <w:noWrap/>
            <w:vAlign w:val="center"/>
            <w:hideMark/>
          </w:tcPr>
          <w:p w14:paraId="0C8E6716"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 xml:space="preserve">CCTTGCACATGCCGGAG </w:t>
            </w:r>
          </w:p>
        </w:tc>
        <w:tc>
          <w:tcPr>
            <w:tcW w:w="3868" w:type="dxa"/>
            <w:tcBorders>
              <w:top w:val="nil"/>
              <w:left w:val="nil"/>
              <w:bottom w:val="nil"/>
              <w:right w:val="nil"/>
            </w:tcBorders>
            <w:shd w:val="clear" w:color="auto" w:fill="auto"/>
            <w:noWrap/>
            <w:vAlign w:val="center"/>
            <w:hideMark/>
          </w:tcPr>
          <w:p w14:paraId="4E156AB1"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 xml:space="preserve">GCACAGAGCCTCGCCTT </w:t>
            </w:r>
          </w:p>
        </w:tc>
      </w:tr>
      <w:tr w:rsidR="00AB6B50" w:rsidRPr="006E4B7F" w14:paraId="10226ED3" w14:textId="77777777" w:rsidTr="00DC1805">
        <w:trPr>
          <w:trHeight w:val="285"/>
        </w:trPr>
        <w:tc>
          <w:tcPr>
            <w:tcW w:w="2149" w:type="dxa"/>
            <w:tcBorders>
              <w:top w:val="nil"/>
              <w:left w:val="nil"/>
              <w:bottom w:val="nil"/>
              <w:right w:val="nil"/>
            </w:tcBorders>
            <w:shd w:val="clear" w:color="auto" w:fill="auto"/>
            <w:noWrap/>
            <w:vAlign w:val="center"/>
            <w:hideMark/>
          </w:tcPr>
          <w:p w14:paraId="069AFAC5"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ADH4</w:t>
            </w:r>
          </w:p>
        </w:tc>
        <w:tc>
          <w:tcPr>
            <w:tcW w:w="3832" w:type="dxa"/>
            <w:tcBorders>
              <w:top w:val="nil"/>
              <w:left w:val="nil"/>
              <w:bottom w:val="nil"/>
              <w:right w:val="nil"/>
            </w:tcBorders>
            <w:shd w:val="clear" w:color="auto" w:fill="auto"/>
            <w:noWrap/>
            <w:vAlign w:val="center"/>
            <w:hideMark/>
          </w:tcPr>
          <w:p w14:paraId="0293008E"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GGGTTGTAAAGCAGCAGGAG</w:t>
            </w:r>
          </w:p>
        </w:tc>
        <w:tc>
          <w:tcPr>
            <w:tcW w:w="3868" w:type="dxa"/>
            <w:tcBorders>
              <w:top w:val="nil"/>
              <w:left w:val="nil"/>
              <w:bottom w:val="nil"/>
              <w:right w:val="nil"/>
            </w:tcBorders>
            <w:shd w:val="clear" w:color="auto" w:fill="auto"/>
            <w:noWrap/>
            <w:vAlign w:val="center"/>
            <w:hideMark/>
          </w:tcPr>
          <w:p w14:paraId="5C8908C6"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AGGATTGAGGCAGTCAGTGG</w:t>
            </w:r>
          </w:p>
        </w:tc>
      </w:tr>
      <w:tr w:rsidR="00AB6B50" w:rsidRPr="006E4B7F" w14:paraId="0B0A24F3" w14:textId="77777777" w:rsidTr="00DC1805">
        <w:trPr>
          <w:trHeight w:val="285"/>
        </w:trPr>
        <w:tc>
          <w:tcPr>
            <w:tcW w:w="2149" w:type="dxa"/>
            <w:tcBorders>
              <w:top w:val="nil"/>
              <w:left w:val="nil"/>
              <w:bottom w:val="nil"/>
              <w:right w:val="nil"/>
            </w:tcBorders>
            <w:shd w:val="clear" w:color="auto" w:fill="auto"/>
            <w:noWrap/>
            <w:vAlign w:val="center"/>
            <w:hideMark/>
          </w:tcPr>
          <w:p w14:paraId="1402456F"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ANXA10</w:t>
            </w:r>
          </w:p>
        </w:tc>
        <w:tc>
          <w:tcPr>
            <w:tcW w:w="3832" w:type="dxa"/>
            <w:tcBorders>
              <w:top w:val="nil"/>
              <w:left w:val="nil"/>
              <w:bottom w:val="nil"/>
              <w:right w:val="nil"/>
            </w:tcBorders>
            <w:shd w:val="clear" w:color="auto" w:fill="auto"/>
            <w:noWrap/>
            <w:vAlign w:val="center"/>
            <w:hideMark/>
          </w:tcPr>
          <w:p w14:paraId="362E7051"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 xml:space="preserve">TGGAGTGCTCCTCCTAGCAT </w:t>
            </w:r>
          </w:p>
        </w:tc>
        <w:tc>
          <w:tcPr>
            <w:tcW w:w="3868" w:type="dxa"/>
            <w:tcBorders>
              <w:top w:val="nil"/>
              <w:left w:val="nil"/>
              <w:bottom w:val="nil"/>
              <w:right w:val="nil"/>
            </w:tcBorders>
            <w:shd w:val="clear" w:color="auto" w:fill="auto"/>
            <w:noWrap/>
            <w:vAlign w:val="center"/>
            <w:hideMark/>
          </w:tcPr>
          <w:p w14:paraId="2E97A7B9"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CGATCAAATATTTTCATCCCTGA</w:t>
            </w:r>
          </w:p>
        </w:tc>
      </w:tr>
      <w:tr w:rsidR="00AB6B50" w:rsidRPr="006E4B7F" w14:paraId="7DADF5E1" w14:textId="77777777" w:rsidTr="00DC1805">
        <w:trPr>
          <w:trHeight w:val="285"/>
        </w:trPr>
        <w:tc>
          <w:tcPr>
            <w:tcW w:w="2149" w:type="dxa"/>
            <w:tcBorders>
              <w:top w:val="nil"/>
              <w:left w:val="nil"/>
              <w:bottom w:val="nil"/>
              <w:right w:val="nil"/>
            </w:tcBorders>
            <w:shd w:val="clear" w:color="auto" w:fill="auto"/>
            <w:noWrap/>
            <w:vAlign w:val="center"/>
            <w:hideMark/>
          </w:tcPr>
          <w:p w14:paraId="1F382F5C"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ARG1</w:t>
            </w:r>
          </w:p>
        </w:tc>
        <w:tc>
          <w:tcPr>
            <w:tcW w:w="3832" w:type="dxa"/>
            <w:tcBorders>
              <w:top w:val="nil"/>
              <w:left w:val="nil"/>
              <w:bottom w:val="nil"/>
              <w:right w:val="nil"/>
            </w:tcBorders>
            <w:shd w:val="clear" w:color="auto" w:fill="auto"/>
            <w:noWrap/>
            <w:vAlign w:val="center"/>
            <w:hideMark/>
          </w:tcPr>
          <w:p w14:paraId="497D8EEC"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 xml:space="preserve">GTTTCTCAAGCAGACCAGCC </w:t>
            </w:r>
          </w:p>
        </w:tc>
        <w:tc>
          <w:tcPr>
            <w:tcW w:w="3868" w:type="dxa"/>
            <w:tcBorders>
              <w:top w:val="nil"/>
              <w:left w:val="nil"/>
              <w:bottom w:val="nil"/>
              <w:right w:val="nil"/>
            </w:tcBorders>
            <w:shd w:val="clear" w:color="auto" w:fill="auto"/>
            <w:noWrap/>
            <w:vAlign w:val="center"/>
            <w:hideMark/>
          </w:tcPr>
          <w:p w14:paraId="70E0DDE8"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GCTCAAGTGCAGCAAAGAGA</w:t>
            </w:r>
          </w:p>
        </w:tc>
      </w:tr>
      <w:tr w:rsidR="00AB6B50" w:rsidRPr="006E4B7F" w14:paraId="16B79D98" w14:textId="77777777" w:rsidTr="00DC1805">
        <w:trPr>
          <w:trHeight w:val="285"/>
        </w:trPr>
        <w:tc>
          <w:tcPr>
            <w:tcW w:w="2149" w:type="dxa"/>
            <w:tcBorders>
              <w:top w:val="nil"/>
              <w:left w:val="nil"/>
              <w:bottom w:val="nil"/>
              <w:right w:val="nil"/>
            </w:tcBorders>
            <w:shd w:val="clear" w:color="auto" w:fill="auto"/>
            <w:noWrap/>
            <w:vAlign w:val="center"/>
            <w:hideMark/>
          </w:tcPr>
          <w:p w14:paraId="15BEA876"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CCL20</w:t>
            </w:r>
          </w:p>
        </w:tc>
        <w:tc>
          <w:tcPr>
            <w:tcW w:w="3832" w:type="dxa"/>
            <w:tcBorders>
              <w:top w:val="nil"/>
              <w:left w:val="nil"/>
              <w:bottom w:val="nil"/>
              <w:right w:val="nil"/>
            </w:tcBorders>
            <w:shd w:val="clear" w:color="auto" w:fill="auto"/>
            <w:noWrap/>
            <w:vAlign w:val="center"/>
            <w:hideMark/>
          </w:tcPr>
          <w:p w14:paraId="4E5163C0"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CGTGTGAAGCCCACAATAAA</w:t>
            </w:r>
          </w:p>
        </w:tc>
        <w:tc>
          <w:tcPr>
            <w:tcW w:w="3868" w:type="dxa"/>
            <w:tcBorders>
              <w:top w:val="nil"/>
              <w:left w:val="nil"/>
              <w:bottom w:val="nil"/>
              <w:right w:val="nil"/>
            </w:tcBorders>
            <w:shd w:val="clear" w:color="auto" w:fill="auto"/>
            <w:noWrap/>
            <w:vAlign w:val="center"/>
            <w:hideMark/>
          </w:tcPr>
          <w:p w14:paraId="236C8F06"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 xml:space="preserve">CAAGAGTTTGCTCCTGGCTG </w:t>
            </w:r>
          </w:p>
        </w:tc>
      </w:tr>
      <w:tr w:rsidR="00AB6B50" w:rsidRPr="006E4B7F" w14:paraId="08C3DD40" w14:textId="77777777" w:rsidTr="00DC1805">
        <w:trPr>
          <w:trHeight w:val="285"/>
        </w:trPr>
        <w:tc>
          <w:tcPr>
            <w:tcW w:w="2149" w:type="dxa"/>
            <w:tcBorders>
              <w:top w:val="nil"/>
              <w:left w:val="nil"/>
              <w:bottom w:val="nil"/>
              <w:right w:val="nil"/>
            </w:tcBorders>
            <w:shd w:val="clear" w:color="auto" w:fill="auto"/>
            <w:noWrap/>
            <w:vAlign w:val="center"/>
            <w:hideMark/>
          </w:tcPr>
          <w:p w14:paraId="1D257D7A"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CD36</w:t>
            </w:r>
          </w:p>
        </w:tc>
        <w:tc>
          <w:tcPr>
            <w:tcW w:w="3832" w:type="dxa"/>
            <w:tcBorders>
              <w:top w:val="nil"/>
              <w:left w:val="nil"/>
              <w:bottom w:val="nil"/>
              <w:right w:val="nil"/>
            </w:tcBorders>
            <w:shd w:val="clear" w:color="auto" w:fill="auto"/>
            <w:noWrap/>
            <w:vAlign w:val="center"/>
            <w:hideMark/>
          </w:tcPr>
          <w:p w14:paraId="424B8012"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 xml:space="preserve">CAAATCAACAGCAAGACATGAA </w:t>
            </w:r>
          </w:p>
        </w:tc>
        <w:tc>
          <w:tcPr>
            <w:tcW w:w="3868" w:type="dxa"/>
            <w:tcBorders>
              <w:top w:val="nil"/>
              <w:left w:val="nil"/>
              <w:bottom w:val="nil"/>
              <w:right w:val="nil"/>
            </w:tcBorders>
            <w:shd w:val="clear" w:color="auto" w:fill="auto"/>
            <w:noWrap/>
            <w:vAlign w:val="center"/>
            <w:hideMark/>
          </w:tcPr>
          <w:p w14:paraId="657D08B4"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 xml:space="preserve">GCAAGACTCTGGAGCCAGTC </w:t>
            </w:r>
          </w:p>
        </w:tc>
      </w:tr>
      <w:tr w:rsidR="00AB6B50" w:rsidRPr="006E4B7F" w14:paraId="5692D864" w14:textId="77777777" w:rsidTr="00DC1805">
        <w:trPr>
          <w:trHeight w:val="285"/>
        </w:trPr>
        <w:tc>
          <w:tcPr>
            <w:tcW w:w="2149" w:type="dxa"/>
            <w:tcBorders>
              <w:top w:val="nil"/>
              <w:left w:val="nil"/>
              <w:bottom w:val="nil"/>
              <w:right w:val="nil"/>
            </w:tcBorders>
            <w:shd w:val="clear" w:color="auto" w:fill="auto"/>
            <w:noWrap/>
            <w:vAlign w:val="center"/>
            <w:hideMark/>
          </w:tcPr>
          <w:p w14:paraId="5D0B9D64"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CPT1A</w:t>
            </w:r>
          </w:p>
        </w:tc>
        <w:tc>
          <w:tcPr>
            <w:tcW w:w="3832" w:type="dxa"/>
            <w:tcBorders>
              <w:top w:val="nil"/>
              <w:left w:val="nil"/>
              <w:bottom w:val="nil"/>
              <w:right w:val="nil"/>
            </w:tcBorders>
            <w:shd w:val="clear" w:color="auto" w:fill="auto"/>
            <w:noWrap/>
            <w:vAlign w:val="center"/>
            <w:hideMark/>
          </w:tcPr>
          <w:p w14:paraId="21A1E790"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ACGCTACTTCAAGGTCTGGC</w:t>
            </w:r>
          </w:p>
        </w:tc>
        <w:tc>
          <w:tcPr>
            <w:tcW w:w="3868" w:type="dxa"/>
            <w:tcBorders>
              <w:top w:val="nil"/>
              <w:left w:val="nil"/>
              <w:bottom w:val="nil"/>
              <w:right w:val="nil"/>
            </w:tcBorders>
            <w:shd w:val="clear" w:color="auto" w:fill="auto"/>
            <w:noWrap/>
            <w:vAlign w:val="center"/>
            <w:hideMark/>
          </w:tcPr>
          <w:p w14:paraId="5B3D37CF"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GGCTCCGAGGTATTGTCCAG</w:t>
            </w:r>
          </w:p>
        </w:tc>
      </w:tr>
      <w:tr w:rsidR="00AB6B50" w:rsidRPr="006E4B7F" w14:paraId="085FD4BF" w14:textId="77777777" w:rsidTr="00DC1805">
        <w:trPr>
          <w:trHeight w:val="285"/>
        </w:trPr>
        <w:tc>
          <w:tcPr>
            <w:tcW w:w="2149" w:type="dxa"/>
            <w:tcBorders>
              <w:top w:val="nil"/>
              <w:left w:val="nil"/>
              <w:bottom w:val="nil"/>
              <w:right w:val="nil"/>
            </w:tcBorders>
            <w:shd w:val="clear" w:color="auto" w:fill="auto"/>
            <w:noWrap/>
            <w:vAlign w:val="center"/>
            <w:hideMark/>
          </w:tcPr>
          <w:p w14:paraId="5A844626"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CYP3A4</w:t>
            </w:r>
          </w:p>
        </w:tc>
        <w:tc>
          <w:tcPr>
            <w:tcW w:w="3832" w:type="dxa"/>
            <w:tcBorders>
              <w:top w:val="nil"/>
              <w:left w:val="nil"/>
              <w:bottom w:val="nil"/>
              <w:right w:val="nil"/>
            </w:tcBorders>
            <w:shd w:val="clear" w:color="auto" w:fill="auto"/>
            <w:noWrap/>
            <w:vAlign w:val="center"/>
            <w:hideMark/>
          </w:tcPr>
          <w:p w14:paraId="1F840722"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TCACAAACCGGAGGCCTTTT</w:t>
            </w:r>
          </w:p>
        </w:tc>
        <w:tc>
          <w:tcPr>
            <w:tcW w:w="3868" w:type="dxa"/>
            <w:tcBorders>
              <w:top w:val="nil"/>
              <w:left w:val="nil"/>
              <w:bottom w:val="nil"/>
              <w:right w:val="nil"/>
            </w:tcBorders>
            <w:shd w:val="clear" w:color="auto" w:fill="auto"/>
            <w:noWrap/>
            <w:vAlign w:val="center"/>
            <w:hideMark/>
          </w:tcPr>
          <w:p w14:paraId="27126956"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TGGTGAAGGTTGGAGACAGC</w:t>
            </w:r>
          </w:p>
        </w:tc>
      </w:tr>
      <w:tr w:rsidR="00AB6B50" w:rsidRPr="006E4B7F" w14:paraId="33DC952A" w14:textId="77777777" w:rsidTr="00DC1805">
        <w:trPr>
          <w:trHeight w:val="285"/>
        </w:trPr>
        <w:tc>
          <w:tcPr>
            <w:tcW w:w="2149" w:type="dxa"/>
            <w:tcBorders>
              <w:top w:val="nil"/>
              <w:left w:val="nil"/>
              <w:bottom w:val="nil"/>
              <w:right w:val="nil"/>
            </w:tcBorders>
            <w:shd w:val="clear" w:color="auto" w:fill="auto"/>
            <w:noWrap/>
            <w:vAlign w:val="center"/>
            <w:hideMark/>
          </w:tcPr>
          <w:p w14:paraId="5F716852"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CYP7A1</w:t>
            </w:r>
          </w:p>
        </w:tc>
        <w:tc>
          <w:tcPr>
            <w:tcW w:w="3832" w:type="dxa"/>
            <w:tcBorders>
              <w:top w:val="nil"/>
              <w:left w:val="nil"/>
              <w:bottom w:val="nil"/>
              <w:right w:val="nil"/>
            </w:tcBorders>
            <w:shd w:val="clear" w:color="auto" w:fill="auto"/>
            <w:noWrap/>
            <w:vAlign w:val="center"/>
            <w:hideMark/>
          </w:tcPr>
          <w:p w14:paraId="1CBBEFD4"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GACACACCTCGTGGTCCTCT</w:t>
            </w:r>
          </w:p>
        </w:tc>
        <w:tc>
          <w:tcPr>
            <w:tcW w:w="3868" w:type="dxa"/>
            <w:tcBorders>
              <w:top w:val="nil"/>
              <w:left w:val="nil"/>
              <w:bottom w:val="nil"/>
              <w:right w:val="nil"/>
            </w:tcBorders>
            <w:shd w:val="clear" w:color="auto" w:fill="auto"/>
            <w:noWrap/>
            <w:vAlign w:val="center"/>
            <w:hideMark/>
          </w:tcPr>
          <w:p w14:paraId="70EC49EA"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TTTCATTGCTTCTGGGTTCC</w:t>
            </w:r>
          </w:p>
        </w:tc>
      </w:tr>
      <w:tr w:rsidR="00AB6B50" w:rsidRPr="006E4B7F" w14:paraId="501B33D2" w14:textId="77777777" w:rsidTr="00DC1805">
        <w:trPr>
          <w:trHeight w:val="285"/>
        </w:trPr>
        <w:tc>
          <w:tcPr>
            <w:tcW w:w="2149" w:type="dxa"/>
            <w:tcBorders>
              <w:top w:val="nil"/>
              <w:left w:val="nil"/>
              <w:bottom w:val="nil"/>
              <w:right w:val="nil"/>
            </w:tcBorders>
            <w:shd w:val="clear" w:color="auto" w:fill="auto"/>
            <w:noWrap/>
            <w:vAlign w:val="center"/>
            <w:hideMark/>
          </w:tcPr>
          <w:p w14:paraId="3053292D"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CYP2B6</w:t>
            </w:r>
          </w:p>
        </w:tc>
        <w:tc>
          <w:tcPr>
            <w:tcW w:w="3832" w:type="dxa"/>
            <w:tcBorders>
              <w:top w:val="nil"/>
              <w:left w:val="nil"/>
              <w:bottom w:val="nil"/>
              <w:right w:val="nil"/>
            </w:tcBorders>
            <w:shd w:val="clear" w:color="auto" w:fill="auto"/>
            <w:noWrap/>
            <w:vAlign w:val="center"/>
            <w:hideMark/>
          </w:tcPr>
          <w:p w14:paraId="015F70AE"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TTCCTACTGCTTCCGTCTATCAAA</w:t>
            </w:r>
          </w:p>
        </w:tc>
        <w:tc>
          <w:tcPr>
            <w:tcW w:w="3868" w:type="dxa"/>
            <w:tcBorders>
              <w:top w:val="nil"/>
              <w:left w:val="nil"/>
              <w:bottom w:val="nil"/>
              <w:right w:val="nil"/>
            </w:tcBorders>
            <w:shd w:val="clear" w:color="auto" w:fill="auto"/>
            <w:noWrap/>
            <w:vAlign w:val="center"/>
            <w:hideMark/>
          </w:tcPr>
          <w:p w14:paraId="457261B5"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GTGCAGAATCCCACAGCTCA</w:t>
            </w:r>
          </w:p>
        </w:tc>
      </w:tr>
      <w:tr w:rsidR="00AB6B50" w:rsidRPr="006E4B7F" w14:paraId="5BDFD729" w14:textId="77777777" w:rsidTr="00DC1805">
        <w:trPr>
          <w:trHeight w:val="285"/>
        </w:trPr>
        <w:tc>
          <w:tcPr>
            <w:tcW w:w="2149" w:type="dxa"/>
            <w:tcBorders>
              <w:top w:val="nil"/>
              <w:left w:val="nil"/>
              <w:bottom w:val="nil"/>
              <w:right w:val="nil"/>
            </w:tcBorders>
            <w:shd w:val="clear" w:color="auto" w:fill="auto"/>
            <w:noWrap/>
            <w:vAlign w:val="center"/>
            <w:hideMark/>
          </w:tcPr>
          <w:p w14:paraId="3E9FE724"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CYP2D6</w:t>
            </w:r>
          </w:p>
        </w:tc>
        <w:tc>
          <w:tcPr>
            <w:tcW w:w="3832" w:type="dxa"/>
            <w:tcBorders>
              <w:top w:val="nil"/>
              <w:left w:val="nil"/>
              <w:bottom w:val="nil"/>
              <w:right w:val="nil"/>
            </w:tcBorders>
            <w:shd w:val="clear" w:color="auto" w:fill="auto"/>
            <w:noWrap/>
            <w:vAlign w:val="center"/>
            <w:hideMark/>
          </w:tcPr>
          <w:p w14:paraId="1773207B"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GCCTTCCTGCCTTTCTCAGCAG</w:t>
            </w:r>
          </w:p>
        </w:tc>
        <w:tc>
          <w:tcPr>
            <w:tcW w:w="3868" w:type="dxa"/>
            <w:tcBorders>
              <w:top w:val="nil"/>
              <w:left w:val="nil"/>
              <w:bottom w:val="nil"/>
              <w:right w:val="nil"/>
            </w:tcBorders>
            <w:shd w:val="clear" w:color="auto" w:fill="auto"/>
            <w:noWrap/>
            <w:vAlign w:val="center"/>
            <w:hideMark/>
          </w:tcPr>
          <w:p w14:paraId="36B1BE57"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ATGGGCTCACCAGGAAAGCAAA</w:t>
            </w:r>
          </w:p>
        </w:tc>
      </w:tr>
      <w:tr w:rsidR="00AB6B50" w:rsidRPr="006E4B7F" w14:paraId="7F017CBB" w14:textId="77777777" w:rsidTr="00DC1805">
        <w:trPr>
          <w:trHeight w:val="285"/>
        </w:trPr>
        <w:tc>
          <w:tcPr>
            <w:tcW w:w="2149" w:type="dxa"/>
            <w:tcBorders>
              <w:top w:val="nil"/>
              <w:left w:val="nil"/>
              <w:bottom w:val="nil"/>
              <w:right w:val="nil"/>
            </w:tcBorders>
            <w:shd w:val="clear" w:color="auto" w:fill="auto"/>
            <w:noWrap/>
            <w:vAlign w:val="center"/>
            <w:hideMark/>
          </w:tcPr>
          <w:p w14:paraId="354E2BA4"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FABP1</w:t>
            </w:r>
          </w:p>
        </w:tc>
        <w:tc>
          <w:tcPr>
            <w:tcW w:w="3832" w:type="dxa"/>
            <w:tcBorders>
              <w:top w:val="nil"/>
              <w:left w:val="nil"/>
              <w:bottom w:val="nil"/>
              <w:right w:val="nil"/>
            </w:tcBorders>
            <w:shd w:val="clear" w:color="auto" w:fill="auto"/>
            <w:noWrap/>
            <w:vAlign w:val="center"/>
            <w:hideMark/>
          </w:tcPr>
          <w:p w14:paraId="12ED1410"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CAAGTTCACCATCACCGCTGGGTC</w:t>
            </w:r>
          </w:p>
        </w:tc>
        <w:tc>
          <w:tcPr>
            <w:tcW w:w="3868" w:type="dxa"/>
            <w:tcBorders>
              <w:top w:val="nil"/>
              <w:left w:val="nil"/>
              <w:bottom w:val="nil"/>
              <w:right w:val="nil"/>
            </w:tcBorders>
            <w:shd w:val="clear" w:color="auto" w:fill="auto"/>
            <w:noWrap/>
            <w:vAlign w:val="center"/>
            <w:hideMark/>
          </w:tcPr>
          <w:p w14:paraId="2C27695A"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TCATTGTCTCCAGCTCACATTCCTC</w:t>
            </w:r>
          </w:p>
        </w:tc>
      </w:tr>
      <w:tr w:rsidR="00AB6B50" w:rsidRPr="006E4B7F" w14:paraId="3D7B721A" w14:textId="77777777" w:rsidTr="00DC1805">
        <w:trPr>
          <w:trHeight w:val="285"/>
        </w:trPr>
        <w:tc>
          <w:tcPr>
            <w:tcW w:w="2149" w:type="dxa"/>
            <w:tcBorders>
              <w:top w:val="nil"/>
              <w:left w:val="nil"/>
              <w:bottom w:val="nil"/>
              <w:right w:val="nil"/>
            </w:tcBorders>
            <w:shd w:val="clear" w:color="auto" w:fill="auto"/>
            <w:noWrap/>
            <w:vAlign w:val="center"/>
            <w:hideMark/>
          </w:tcPr>
          <w:p w14:paraId="771B065E"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FASN</w:t>
            </w:r>
          </w:p>
        </w:tc>
        <w:tc>
          <w:tcPr>
            <w:tcW w:w="3832" w:type="dxa"/>
            <w:tcBorders>
              <w:top w:val="nil"/>
              <w:left w:val="nil"/>
              <w:bottom w:val="nil"/>
              <w:right w:val="nil"/>
            </w:tcBorders>
            <w:shd w:val="clear" w:color="auto" w:fill="auto"/>
            <w:noWrap/>
            <w:vAlign w:val="center"/>
            <w:hideMark/>
          </w:tcPr>
          <w:p w14:paraId="62D04ED7"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ACAGCGGGGAATGGGTACT</w:t>
            </w:r>
          </w:p>
        </w:tc>
        <w:tc>
          <w:tcPr>
            <w:tcW w:w="3868" w:type="dxa"/>
            <w:tcBorders>
              <w:top w:val="nil"/>
              <w:left w:val="nil"/>
              <w:bottom w:val="nil"/>
              <w:right w:val="nil"/>
            </w:tcBorders>
            <w:shd w:val="clear" w:color="auto" w:fill="auto"/>
            <w:noWrap/>
            <w:vAlign w:val="center"/>
            <w:hideMark/>
          </w:tcPr>
          <w:p w14:paraId="6C6D7056"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GACTGGTACAACGAGCGGAT</w:t>
            </w:r>
          </w:p>
        </w:tc>
      </w:tr>
      <w:tr w:rsidR="00AB6B50" w:rsidRPr="006E4B7F" w14:paraId="62CCCDF8" w14:textId="77777777" w:rsidTr="00DC1805">
        <w:trPr>
          <w:trHeight w:val="255"/>
        </w:trPr>
        <w:tc>
          <w:tcPr>
            <w:tcW w:w="2149" w:type="dxa"/>
            <w:tcBorders>
              <w:top w:val="nil"/>
              <w:left w:val="nil"/>
              <w:bottom w:val="nil"/>
              <w:right w:val="nil"/>
            </w:tcBorders>
            <w:shd w:val="clear" w:color="auto" w:fill="auto"/>
            <w:noWrap/>
            <w:vAlign w:val="center"/>
            <w:hideMark/>
          </w:tcPr>
          <w:p w14:paraId="43D527C9"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GAPDH</w:t>
            </w:r>
          </w:p>
        </w:tc>
        <w:tc>
          <w:tcPr>
            <w:tcW w:w="3832" w:type="dxa"/>
            <w:tcBorders>
              <w:top w:val="nil"/>
              <w:left w:val="nil"/>
              <w:bottom w:val="nil"/>
              <w:right w:val="nil"/>
            </w:tcBorders>
            <w:shd w:val="clear" w:color="auto" w:fill="auto"/>
            <w:noWrap/>
            <w:vAlign w:val="center"/>
            <w:hideMark/>
          </w:tcPr>
          <w:p w14:paraId="636429C7"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 xml:space="preserve">TTAAAAGCAGCCCTGGTGAC </w:t>
            </w:r>
          </w:p>
        </w:tc>
        <w:tc>
          <w:tcPr>
            <w:tcW w:w="3868" w:type="dxa"/>
            <w:tcBorders>
              <w:top w:val="nil"/>
              <w:left w:val="nil"/>
              <w:bottom w:val="nil"/>
              <w:right w:val="nil"/>
            </w:tcBorders>
            <w:shd w:val="clear" w:color="auto" w:fill="auto"/>
            <w:noWrap/>
            <w:vAlign w:val="center"/>
            <w:hideMark/>
          </w:tcPr>
          <w:p w14:paraId="14A39661"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 xml:space="preserve">CTCTGCTCCTCCTGTTCGAC </w:t>
            </w:r>
          </w:p>
        </w:tc>
      </w:tr>
      <w:tr w:rsidR="00AB6B50" w:rsidRPr="006E4B7F" w14:paraId="2A7094EF" w14:textId="77777777" w:rsidTr="00DC1805">
        <w:trPr>
          <w:trHeight w:val="285"/>
        </w:trPr>
        <w:tc>
          <w:tcPr>
            <w:tcW w:w="2149" w:type="dxa"/>
            <w:tcBorders>
              <w:top w:val="nil"/>
              <w:left w:val="nil"/>
              <w:bottom w:val="nil"/>
              <w:right w:val="nil"/>
            </w:tcBorders>
            <w:shd w:val="clear" w:color="auto" w:fill="auto"/>
            <w:noWrap/>
            <w:vAlign w:val="center"/>
            <w:hideMark/>
          </w:tcPr>
          <w:p w14:paraId="66068EEA"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HMGCR</w:t>
            </w:r>
          </w:p>
        </w:tc>
        <w:tc>
          <w:tcPr>
            <w:tcW w:w="3832" w:type="dxa"/>
            <w:tcBorders>
              <w:top w:val="nil"/>
              <w:left w:val="nil"/>
              <w:bottom w:val="nil"/>
              <w:right w:val="nil"/>
            </w:tcBorders>
            <w:shd w:val="clear" w:color="auto" w:fill="auto"/>
            <w:noWrap/>
            <w:vAlign w:val="center"/>
            <w:hideMark/>
          </w:tcPr>
          <w:p w14:paraId="24A58F76"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GACGTGAACCTATGCTGGTCAG</w:t>
            </w:r>
          </w:p>
        </w:tc>
        <w:tc>
          <w:tcPr>
            <w:tcW w:w="3868" w:type="dxa"/>
            <w:tcBorders>
              <w:top w:val="nil"/>
              <w:left w:val="nil"/>
              <w:bottom w:val="nil"/>
              <w:right w:val="nil"/>
            </w:tcBorders>
            <w:shd w:val="clear" w:color="auto" w:fill="auto"/>
            <w:noWrap/>
            <w:vAlign w:val="center"/>
            <w:hideMark/>
          </w:tcPr>
          <w:p w14:paraId="7E7D5D48"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GGTATCTGTTTCAGCCACTAAGG</w:t>
            </w:r>
          </w:p>
        </w:tc>
      </w:tr>
      <w:tr w:rsidR="00AB6B50" w:rsidRPr="006E4B7F" w14:paraId="56384B8E" w14:textId="77777777" w:rsidTr="00DC1805">
        <w:trPr>
          <w:trHeight w:val="285"/>
        </w:trPr>
        <w:tc>
          <w:tcPr>
            <w:tcW w:w="2149" w:type="dxa"/>
            <w:tcBorders>
              <w:top w:val="nil"/>
              <w:left w:val="nil"/>
              <w:bottom w:val="nil"/>
              <w:right w:val="nil"/>
            </w:tcBorders>
            <w:shd w:val="clear" w:color="auto" w:fill="auto"/>
            <w:noWrap/>
            <w:vAlign w:val="center"/>
            <w:hideMark/>
          </w:tcPr>
          <w:p w14:paraId="3C0E5F61"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HMGCS2</w:t>
            </w:r>
          </w:p>
        </w:tc>
        <w:tc>
          <w:tcPr>
            <w:tcW w:w="3832" w:type="dxa"/>
            <w:tcBorders>
              <w:top w:val="nil"/>
              <w:left w:val="nil"/>
              <w:bottom w:val="nil"/>
              <w:right w:val="nil"/>
            </w:tcBorders>
            <w:shd w:val="clear" w:color="auto" w:fill="auto"/>
            <w:noWrap/>
            <w:vAlign w:val="center"/>
            <w:hideMark/>
          </w:tcPr>
          <w:p w14:paraId="0E6DDBD1"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GTAGCCCCATAAGCATCAGC</w:t>
            </w:r>
          </w:p>
        </w:tc>
        <w:tc>
          <w:tcPr>
            <w:tcW w:w="3868" w:type="dxa"/>
            <w:tcBorders>
              <w:top w:val="nil"/>
              <w:left w:val="nil"/>
              <w:bottom w:val="nil"/>
              <w:right w:val="nil"/>
            </w:tcBorders>
            <w:shd w:val="clear" w:color="auto" w:fill="auto"/>
            <w:noWrap/>
            <w:vAlign w:val="center"/>
            <w:hideMark/>
          </w:tcPr>
          <w:p w14:paraId="279690A8"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TAGCACCATAAGCCCAGGAC</w:t>
            </w:r>
          </w:p>
        </w:tc>
      </w:tr>
      <w:tr w:rsidR="00AB6B50" w:rsidRPr="006E4B7F" w14:paraId="79C7EB09" w14:textId="77777777" w:rsidTr="00DC1805">
        <w:trPr>
          <w:trHeight w:val="285"/>
        </w:trPr>
        <w:tc>
          <w:tcPr>
            <w:tcW w:w="2149" w:type="dxa"/>
            <w:tcBorders>
              <w:top w:val="nil"/>
              <w:left w:val="nil"/>
              <w:bottom w:val="nil"/>
              <w:right w:val="nil"/>
            </w:tcBorders>
            <w:shd w:val="clear" w:color="auto" w:fill="auto"/>
            <w:noWrap/>
            <w:vAlign w:val="center"/>
            <w:hideMark/>
          </w:tcPr>
          <w:p w14:paraId="48B76E36"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INSIG1</w:t>
            </w:r>
          </w:p>
        </w:tc>
        <w:tc>
          <w:tcPr>
            <w:tcW w:w="3832" w:type="dxa"/>
            <w:tcBorders>
              <w:top w:val="nil"/>
              <w:left w:val="nil"/>
              <w:bottom w:val="nil"/>
              <w:right w:val="nil"/>
            </w:tcBorders>
            <w:shd w:val="clear" w:color="auto" w:fill="auto"/>
            <w:noWrap/>
            <w:vAlign w:val="center"/>
            <w:hideMark/>
          </w:tcPr>
          <w:p w14:paraId="400BEF79"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 xml:space="preserve">TCCTTGCTCTCAGAATCGGT </w:t>
            </w:r>
          </w:p>
        </w:tc>
        <w:tc>
          <w:tcPr>
            <w:tcW w:w="3868" w:type="dxa"/>
            <w:tcBorders>
              <w:top w:val="nil"/>
              <w:left w:val="nil"/>
              <w:bottom w:val="nil"/>
              <w:right w:val="nil"/>
            </w:tcBorders>
            <w:shd w:val="clear" w:color="auto" w:fill="auto"/>
            <w:noWrap/>
            <w:vAlign w:val="center"/>
            <w:hideMark/>
          </w:tcPr>
          <w:p w14:paraId="24EED757"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CGTTCTTGGCTCCCTTGTAT</w:t>
            </w:r>
          </w:p>
        </w:tc>
      </w:tr>
      <w:tr w:rsidR="00AB6B50" w:rsidRPr="006E4B7F" w14:paraId="74C76D16" w14:textId="77777777" w:rsidTr="00DC1805">
        <w:trPr>
          <w:trHeight w:val="285"/>
        </w:trPr>
        <w:tc>
          <w:tcPr>
            <w:tcW w:w="2149" w:type="dxa"/>
            <w:tcBorders>
              <w:top w:val="nil"/>
              <w:left w:val="nil"/>
              <w:bottom w:val="nil"/>
              <w:right w:val="nil"/>
            </w:tcBorders>
            <w:shd w:val="clear" w:color="auto" w:fill="auto"/>
            <w:noWrap/>
            <w:vAlign w:val="center"/>
            <w:hideMark/>
          </w:tcPr>
          <w:p w14:paraId="0590AE96"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PDK4</w:t>
            </w:r>
          </w:p>
        </w:tc>
        <w:tc>
          <w:tcPr>
            <w:tcW w:w="3832" w:type="dxa"/>
            <w:tcBorders>
              <w:top w:val="nil"/>
              <w:left w:val="nil"/>
              <w:bottom w:val="nil"/>
              <w:right w:val="nil"/>
            </w:tcBorders>
            <w:shd w:val="clear" w:color="auto" w:fill="auto"/>
            <w:noWrap/>
            <w:vAlign w:val="center"/>
            <w:hideMark/>
          </w:tcPr>
          <w:p w14:paraId="1A865CC7"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AGGTGGTGTTCCCCTGAGA</w:t>
            </w:r>
          </w:p>
        </w:tc>
        <w:tc>
          <w:tcPr>
            <w:tcW w:w="3868" w:type="dxa"/>
            <w:tcBorders>
              <w:top w:val="nil"/>
              <w:left w:val="nil"/>
              <w:bottom w:val="nil"/>
              <w:right w:val="nil"/>
            </w:tcBorders>
            <w:shd w:val="clear" w:color="auto" w:fill="auto"/>
            <w:noWrap/>
            <w:vAlign w:val="center"/>
            <w:hideMark/>
          </w:tcPr>
          <w:p w14:paraId="2FA1FF2F"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AACCAAAACCAGCCAAAGGAG</w:t>
            </w:r>
          </w:p>
        </w:tc>
      </w:tr>
      <w:tr w:rsidR="00AB6B50" w:rsidRPr="006E4B7F" w14:paraId="5C3C3CA3" w14:textId="77777777" w:rsidTr="00DC1805">
        <w:trPr>
          <w:trHeight w:val="285"/>
        </w:trPr>
        <w:tc>
          <w:tcPr>
            <w:tcW w:w="2149" w:type="dxa"/>
            <w:tcBorders>
              <w:top w:val="nil"/>
              <w:left w:val="nil"/>
              <w:bottom w:val="nil"/>
              <w:right w:val="nil"/>
            </w:tcBorders>
            <w:shd w:val="clear" w:color="auto" w:fill="auto"/>
            <w:noWrap/>
            <w:vAlign w:val="center"/>
            <w:hideMark/>
          </w:tcPr>
          <w:p w14:paraId="21B0DBFB"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PLIN2</w:t>
            </w:r>
          </w:p>
        </w:tc>
        <w:tc>
          <w:tcPr>
            <w:tcW w:w="3832" w:type="dxa"/>
            <w:tcBorders>
              <w:top w:val="nil"/>
              <w:left w:val="nil"/>
              <w:bottom w:val="nil"/>
              <w:right w:val="nil"/>
            </w:tcBorders>
            <w:shd w:val="clear" w:color="auto" w:fill="auto"/>
            <w:noWrap/>
            <w:vAlign w:val="center"/>
            <w:hideMark/>
          </w:tcPr>
          <w:p w14:paraId="18F3F0BF"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ACTGGCTGGTAGGTCCCTTT</w:t>
            </w:r>
          </w:p>
        </w:tc>
        <w:tc>
          <w:tcPr>
            <w:tcW w:w="3868" w:type="dxa"/>
            <w:tcBorders>
              <w:top w:val="nil"/>
              <w:left w:val="nil"/>
              <w:bottom w:val="nil"/>
              <w:right w:val="nil"/>
            </w:tcBorders>
            <w:shd w:val="clear" w:color="auto" w:fill="auto"/>
            <w:noWrap/>
            <w:vAlign w:val="center"/>
            <w:hideMark/>
          </w:tcPr>
          <w:p w14:paraId="61678A94"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GTCTCCTGGCTGCTCTTGTC</w:t>
            </w:r>
          </w:p>
        </w:tc>
      </w:tr>
      <w:tr w:rsidR="00AB6B50" w:rsidRPr="006E4B7F" w14:paraId="3EA552F7" w14:textId="77777777" w:rsidTr="00DC1805">
        <w:trPr>
          <w:trHeight w:val="255"/>
        </w:trPr>
        <w:tc>
          <w:tcPr>
            <w:tcW w:w="2149" w:type="dxa"/>
            <w:tcBorders>
              <w:top w:val="nil"/>
              <w:left w:val="nil"/>
              <w:bottom w:val="nil"/>
              <w:right w:val="nil"/>
            </w:tcBorders>
            <w:shd w:val="clear" w:color="auto" w:fill="auto"/>
            <w:noWrap/>
            <w:vAlign w:val="center"/>
            <w:hideMark/>
          </w:tcPr>
          <w:p w14:paraId="0DEF1023"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POR</w:t>
            </w:r>
          </w:p>
        </w:tc>
        <w:tc>
          <w:tcPr>
            <w:tcW w:w="3832" w:type="dxa"/>
            <w:tcBorders>
              <w:top w:val="nil"/>
              <w:left w:val="nil"/>
              <w:bottom w:val="nil"/>
              <w:right w:val="nil"/>
            </w:tcBorders>
            <w:shd w:val="clear" w:color="auto" w:fill="auto"/>
            <w:noWrap/>
            <w:vAlign w:val="center"/>
            <w:hideMark/>
          </w:tcPr>
          <w:p w14:paraId="274AB6CE"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 xml:space="preserve">GATGTTCCTCCCCGTTTTCT </w:t>
            </w:r>
          </w:p>
        </w:tc>
        <w:tc>
          <w:tcPr>
            <w:tcW w:w="3868" w:type="dxa"/>
            <w:tcBorders>
              <w:top w:val="nil"/>
              <w:left w:val="nil"/>
              <w:bottom w:val="nil"/>
              <w:right w:val="nil"/>
            </w:tcBorders>
            <w:shd w:val="clear" w:color="auto" w:fill="auto"/>
            <w:noWrap/>
            <w:vAlign w:val="center"/>
            <w:hideMark/>
          </w:tcPr>
          <w:p w14:paraId="7853B721"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 xml:space="preserve">TCATCGTGGGTCTCCTAACC </w:t>
            </w:r>
          </w:p>
        </w:tc>
      </w:tr>
      <w:tr w:rsidR="00AB6B50" w:rsidRPr="006E4B7F" w14:paraId="1E5707C2" w14:textId="77777777" w:rsidTr="00DC1805">
        <w:trPr>
          <w:trHeight w:val="255"/>
        </w:trPr>
        <w:tc>
          <w:tcPr>
            <w:tcW w:w="2149" w:type="dxa"/>
            <w:tcBorders>
              <w:top w:val="nil"/>
              <w:left w:val="nil"/>
              <w:bottom w:val="nil"/>
              <w:right w:val="nil"/>
            </w:tcBorders>
            <w:shd w:val="clear" w:color="auto" w:fill="auto"/>
            <w:noWrap/>
            <w:vAlign w:val="center"/>
            <w:hideMark/>
          </w:tcPr>
          <w:p w14:paraId="676CAFCF"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SLCO1B1</w:t>
            </w:r>
          </w:p>
        </w:tc>
        <w:tc>
          <w:tcPr>
            <w:tcW w:w="3832" w:type="dxa"/>
            <w:tcBorders>
              <w:top w:val="nil"/>
              <w:left w:val="nil"/>
              <w:bottom w:val="nil"/>
              <w:right w:val="nil"/>
            </w:tcBorders>
            <w:shd w:val="clear" w:color="auto" w:fill="auto"/>
            <w:noWrap/>
            <w:vAlign w:val="center"/>
            <w:hideMark/>
          </w:tcPr>
          <w:p w14:paraId="4FA18F7C"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 xml:space="preserve">GCCAAGAACATCTTCAATCCA </w:t>
            </w:r>
          </w:p>
        </w:tc>
        <w:tc>
          <w:tcPr>
            <w:tcW w:w="3868" w:type="dxa"/>
            <w:tcBorders>
              <w:top w:val="nil"/>
              <w:left w:val="nil"/>
              <w:bottom w:val="nil"/>
              <w:right w:val="nil"/>
            </w:tcBorders>
            <w:shd w:val="clear" w:color="auto" w:fill="auto"/>
            <w:noWrap/>
            <w:vAlign w:val="center"/>
            <w:hideMark/>
          </w:tcPr>
          <w:p w14:paraId="040A687C"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 xml:space="preserve">TCAAACTGAGCATCAACAACAA </w:t>
            </w:r>
          </w:p>
        </w:tc>
      </w:tr>
      <w:tr w:rsidR="00AB6B50" w:rsidRPr="006E4B7F" w14:paraId="494C4800" w14:textId="77777777" w:rsidTr="00DC1805">
        <w:trPr>
          <w:trHeight w:val="255"/>
        </w:trPr>
        <w:tc>
          <w:tcPr>
            <w:tcW w:w="2149" w:type="dxa"/>
            <w:tcBorders>
              <w:top w:val="nil"/>
              <w:left w:val="nil"/>
              <w:bottom w:val="nil"/>
              <w:right w:val="nil"/>
            </w:tcBorders>
            <w:shd w:val="clear" w:color="auto" w:fill="auto"/>
            <w:noWrap/>
            <w:vAlign w:val="center"/>
            <w:hideMark/>
          </w:tcPr>
          <w:p w14:paraId="0BD1657C"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SREBF1</w:t>
            </w:r>
          </w:p>
        </w:tc>
        <w:tc>
          <w:tcPr>
            <w:tcW w:w="3832" w:type="dxa"/>
            <w:tcBorders>
              <w:top w:val="nil"/>
              <w:left w:val="nil"/>
              <w:bottom w:val="nil"/>
              <w:right w:val="nil"/>
            </w:tcBorders>
            <w:shd w:val="clear" w:color="auto" w:fill="auto"/>
            <w:noWrap/>
            <w:vAlign w:val="center"/>
            <w:hideMark/>
          </w:tcPr>
          <w:p w14:paraId="7B2F0EE0"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CGGAACCATCTTGGCAACAGT</w:t>
            </w:r>
          </w:p>
        </w:tc>
        <w:tc>
          <w:tcPr>
            <w:tcW w:w="3868" w:type="dxa"/>
            <w:tcBorders>
              <w:top w:val="nil"/>
              <w:left w:val="nil"/>
              <w:bottom w:val="nil"/>
              <w:right w:val="nil"/>
            </w:tcBorders>
            <w:shd w:val="clear" w:color="auto" w:fill="auto"/>
            <w:noWrap/>
            <w:vAlign w:val="center"/>
            <w:hideMark/>
          </w:tcPr>
          <w:p w14:paraId="575A967E"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CGCTTCTCAATGGCGTTGT</w:t>
            </w:r>
          </w:p>
        </w:tc>
      </w:tr>
      <w:tr w:rsidR="00AB6B50" w:rsidRPr="006E4B7F" w14:paraId="557F09B8" w14:textId="77777777" w:rsidTr="00DC1805">
        <w:trPr>
          <w:trHeight w:val="255"/>
        </w:trPr>
        <w:tc>
          <w:tcPr>
            <w:tcW w:w="2149" w:type="dxa"/>
            <w:tcBorders>
              <w:top w:val="nil"/>
              <w:left w:val="nil"/>
              <w:bottom w:val="single" w:sz="4" w:space="0" w:color="auto"/>
              <w:right w:val="nil"/>
            </w:tcBorders>
            <w:shd w:val="clear" w:color="auto" w:fill="auto"/>
            <w:noWrap/>
            <w:vAlign w:val="center"/>
            <w:hideMark/>
          </w:tcPr>
          <w:p w14:paraId="0E72F4E1"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18SrRNA</w:t>
            </w:r>
          </w:p>
        </w:tc>
        <w:tc>
          <w:tcPr>
            <w:tcW w:w="3832" w:type="dxa"/>
            <w:tcBorders>
              <w:top w:val="nil"/>
              <w:left w:val="nil"/>
              <w:bottom w:val="single" w:sz="4" w:space="0" w:color="auto"/>
              <w:right w:val="nil"/>
            </w:tcBorders>
            <w:shd w:val="clear" w:color="auto" w:fill="auto"/>
            <w:noWrap/>
            <w:vAlign w:val="center"/>
            <w:hideMark/>
          </w:tcPr>
          <w:p w14:paraId="6B291D26"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TTCCAATTACAGGGCCTCGA</w:t>
            </w:r>
          </w:p>
        </w:tc>
        <w:tc>
          <w:tcPr>
            <w:tcW w:w="3868" w:type="dxa"/>
            <w:tcBorders>
              <w:top w:val="nil"/>
              <w:left w:val="nil"/>
              <w:bottom w:val="single" w:sz="4" w:space="0" w:color="auto"/>
              <w:right w:val="nil"/>
            </w:tcBorders>
            <w:shd w:val="clear" w:color="auto" w:fill="auto"/>
            <w:noWrap/>
            <w:vAlign w:val="center"/>
            <w:hideMark/>
          </w:tcPr>
          <w:p w14:paraId="23502A9A" w14:textId="77777777" w:rsidR="00AB6B50" w:rsidRPr="006E4B7F" w:rsidRDefault="00AB6B50" w:rsidP="00DC1805">
            <w:pPr>
              <w:spacing w:after="0" w:line="240" w:lineRule="auto"/>
              <w:rPr>
                <w:rFonts w:ascii="Arial" w:eastAsia="Times New Roman" w:hAnsi="Arial" w:cs="Arial"/>
                <w:color w:val="000000"/>
                <w:lang w:eastAsia="de-DE"/>
              </w:rPr>
            </w:pPr>
            <w:r w:rsidRPr="006E4B7F">
              <w:rPr>
                <w:rFonts w:ascii="Arial" w:eastAsia="Times New Roman" w:hAnsi="Arial" w:cs="Arial"/>
                <w:color w:val="000000"/>
                <w:lang w:eastAsia="de-DE"/>
              </w:rPr>
              <w:t>CCTGAGAAACGGCTACCACT</w:t>
            </w:r>
          </w:p>
        </w:tc>
      </w:tr>
    </w:tbl>
    <w:p w14:paraId="05A4C565" w14:textId="77777777" w:rsidR="00AB6B50" w:rsidRPr="006E4B7F" w:rsidRDefault="00AB6B50" w:rsidP="00AB6B50">
      <w:pPr>
        <w:rPr>
          <w:rFonts w:ascii="Arial" w:hAnsi="Arial" w:cs="Arial"/>
        </w:rPr>
      </w:pPr>
    </w:p>
    <w:p w14:paraId="1D35563C" w14:textId="3F82FAF5" w:rsidR="00AB6B50" w:rsidRDefault="00AB6B50" w:rsidP="00AB6B50">
      <w:pPr>
        <w:spacing w:after="0" w:line="240" w:lineRule="auto"/>
        <w:jc w:val="both"/>
        <w:rPr>
          <w:rFonts w:ascii="Arial" w:hAnsi="Arial" w:cs="Arial"/>
          <w:lang w:val="en-US"/>
        </w:rPr>
      </w:pPr>
    </w:p>
    <w:p w14:paraId="1EE2688A" w14:textId="6ED1404F" w:rsidR="00AB6B50" w:rsidRDefault="00AB6B50" w:rsidP="00AB6B50">
      <w:pPr>
        <w:spacing w:after="0" w:line="240" w:lineRule="auto"/>
        <w:jc w:val="both"/>
        <w:rPr>
          <w:rFonts w:ascii="Arial" w:hAnsi="Arial" w:cs="Arial"/>
          <w:lang w:val="en-US"/>
        </w:rPr>
      </w:pPr>
    </w:p>
    <w:p w14:paraId="6C9D1028" w14:textId="77777777" w:rsidR="00AB6B50" w:rsidRDefault="00AB6B50" w:rsidP="00AB6B50">
      <w:pPr>
        <w:spacing w:after="0" w:line="240" w:lineRule="auto"/>
        <w:jc w:val="both"/>
        <w:rPr>
          <w:rFonts w:ascii="Arial" w:hAnsi="Arial" w:cs="Arial"/>
          <w:lang w:val="en-US"/>
        </w:rPr>
      </w:pPr>
    </w:p>
    <w:p w14:paraId="37A4BA83" w14:textId="77777777" w:rsidR="00AB6B50" w:rsidRDefault="00AB6B50" w:rsidP="00441406">
      <w:pPr>
        <w:spacing w:after="0" w:line="240" w:lineRule="auto"/>
        <w:jc w:val="both"/>
        <w:rPr>
          <w:rFonts w:ascii="Arial" w:hAnsi="Arial" w:cs="Arial"/>
          <w:b/>
          <w:bCs/>
          <w:lang w:val="en-US"/>
        </w:rPr>
      </w:pPr>
    </w:p>
    <w:p w14:paraId="5C74FF64" w14:textId="77777777" w:rsidR="00AB6B50" w:rsidRDefault="00AB6B50" w:rsidP="00441406">
      <w:pPr>
        <w:spacing w:after="0" w:line="240" w:lineRule="auto"/>
        <w:jc w:val="both"/>
        <w:rPr>
          <w:rFonts w:ascii="Arial" w:hAnsi="Arial" w:cs="Arial"/>
          <w:b/>
          <w:bCs/>
          <w:lang w:val="en-US"/>
        </w:rPr>
      </w:pPr>
    </w:p>
    <w:p w14:paraId="1D02CF22" w14:textId="1E51B46A" w:rsidR="000E5F28" w:rsidRPr="00541881" w:rsidRDefault="00541881" w:rsidP="00441406">
      <w:pPr>
        <w:spacing w:after="0" w:line="240" w:lineRule="auto"/>
        <w:jc w:val="both"/>
        <w:rPr>
          <w:rFonts w:ascii="Arial" w:hAnsi="Arial" w:cs="Arial"/>
          <w:b/>
          <w:bCs/>
          <w:lang w:val="en-US"/>
        </w:rPr>
      </w:pPr>
      <w:r>
        <w:rPr>
          <w:rFonts w:ascii="Arial" w:hAnsi="Arial" w:cs="Arial"/>
          <w:b/>
          <w:bCs/>
          <w:lang w:val="en-US"/>
        </w:rPr>
        <w:t xml:space="preserve">Supplementary </w:t>
      </w:r>
      <w:r w:rsidR="00AB6B50">
        <w:rPr>
          <w:rFonts w:ascii="Arial" w:hAnsi="Arial" w:cs="Arial"/>
          <w:b/>
          <w:bCs/>
          <w:lang w:val="en-US"/>
        </w:rPr>
        <w:t>I</w:t>
      </w:r>
      <w:r>
        <w:rPr>
          <w:rFonts w:ascii="Arial" w:hAnsi="Arial" w:cs="Arial"/>
          <w:b/>
          <w:bCs/>
          <w:lang w:val="en-US"/>
        </w:rPr>
        <w:t>nformation on g</w:t>
      </w:r>
      <w:r w:rsidR="000E5F28" w:rsidRPr="00541881">
        <w:rPr>
          <w:rFonts w:ascii="Arial" w:hAnsi="Arial" w:cs="Arial"/>
          <w:b/>
          <w:bCs/>
          <w:lang w:val="en-US"/>
        </w:rPr>
        <w:t>ene selection</w:t>
      </w:r>
    </w:p>
    <w:p w14:paraId="20DAF114" w14:textId="0A5F4EA8" w:rsidR="00541881" w:rsidRDefault="00541881" w:rsidP="00441406">
      <w:pPr>
        <w:spacing w:after="0" w:line="240" w:lineRule="auto"/>
        <w:jc w:val="both"/>
        <w:rPr>
          <w:rFonts w:ascii="Arial" w:hAnsi="Arial" w:cs="Arial"/>
          <w:lang w:val="en-US"/>
        </w:rPr>
      </w:pPr>
    </w:p>
    <w:p w14:paraId="055933F7" w14:textId="4A2B2F4C" w:rsidR="00541881" w:rsidRDefault="00541881" w:rsidP="00441406">
      <w:pPr>
        <w:spacing w:after="0" w:line="240" w:lineRule="auto"/>
        <w:jc w:val="both"/>
        <w:rPr>
          <w:rFonts w:ascii="Arial" w:hAnsi="Arial" w:cs="Arial"/>
          <w:lang w:val="en-US"/>
        </w:rPr>
      </w:pPr>
      <w:r>
        <w:rPr>
          <w:rFonts w:ascii="Arial" w:hAnsi="Arial" w:cs="Arial"/>
          <w:lang w:val="en-US"/>
        </w:rPr>
        <w:t xml:space="preserve">For gene expression analysis, genes were selected according to published data on gene expression in </w:t>
      </w:r>
      <w:proofErr w:type="spellStart"/>
      <w:r>
        <w:rPr>
          <w:rFonts w:ascii="Arial" w:hAnsi="Arial" w:cs="Arial"/>
          <w:lang w:val="en-US"/>
        </w:rPr>
        <w:t>HepaRG</w:t>
      </w:r>
      <w:proofErr w:type="spellEnd"/>
      <w:r>
        <w:rPr>
          <w:rFonts w:ascii="Arial" w:hAnsi="Arial" w:cs="Arial"/>
          <w:lang w:val="en-US"/>
        </w:rPr>
        <w:t xml:space="preserve"> cells. A set of ten marker genes for steatosis was taken from Lichtenstein et al. (2020b). A set of 13 genes associated with lipid and cholesterol metabolism in </w:t>
      </w:r>
      <w:proofErr w:type="spellStart"/>
      <w:r>
        <w:rPr>
          <w:rFonts w:ascii="Arial" w:hAnsi="Arial" w:cs="Arial"/>
          <w:lang w:val="en-US"/>
        </w:rPr>
        <w:t>HepaRG</w:t>
      </w:r>
      <w:proofErr w:type="spellEnd"/>
      <w:r>
        <w:rPr>
          <w:rFonts w:ascii="Arial" w:hAnsi="Arial" w:cs="Arial"/>
          <w:lang w:val="en-US"/>
        </w:rPr>
        <w:t xml:space="preserve"> cells including several PPARα and </w:t>
      </w:r>
      <w:proofErr w:type="spellStart"/>
      <w:r>
        <w:rPr>
          <w:rFonts w:ascii="Arial" w:hAnsi="Arial" w:cs="Arial"/>
          <w:lang w:val="en-US"/>
        </w:rPr>
        <w:t>PPARγ</w:t>
      </w:r>
      <w:proofErr w:type="spellEnd"/>
      <w:r>
        <w:rPr>
          <w:rFonts w:ascii="Arial" w:hAnsi="Arial" w:cs="Arial"/>
          <w:lang w:val="en-US"/>
        </w:rPr>
        <w:t xml:space="preserve"> target genes was selected according to the publications from </w:t>
      </w:r>
      <w:proofErr w:type="spellStart"/>
      <w:r>
        <w:rPr>
          <w:rFonts w:ascii="Arial" w:hAnsi="Arial" w:cs="Arial"/>
          <w:lang w:val="en-US"/>
        </w:rPr>
        <w:t>Louisse</w:t>
      </w:r>
      <w:proofErr w:type="spellEnd"/>
      <w:r>
        <w:rPr>
          <w:rFonts w:ascii="Arial" w:hAnsi="Arial" w:cs="Arial"/>
          <w:lang w:val="en-US"/>
        </w:rPr>
        <w:t xml:space="preserve"> et al. (2020), Pant et al. (2019) and Rogue et al. (2011).</w:t>
      </w:r>
    </w:p>
    <w:p w14:paraId="127F70B1" w14:textId="3E12FB03" w:rsidR="000E5F28" w:rsidRDefault="000E5F28" w:rsidP="00441406">
      <w:pPr>
        <w:spacing w:after="0" w:line="240" w:lineRule="auto"/>
        <w:jc w:val="both"/>
        <w:rPr>
          <w:rFonts w:ascii="Arial" w:hAnsi="Arial" w:cs="Arial"/>
          <w:lang w:val="en-US"/>
        </w:rPr>
      </w:pPr>
    </w:p>
    <w:p w14:paraId="79346B37" w14:textId="4F314E59" w:rsidR="000E5F28" w:rsidRPr="00AB6B50" w:rsidRDefault="000E5F28" w:rsidP="00441406">
      <w:pPr>
        <w:spacing w:after="0" w:line="240" w:lineRule="auto"/>
        <w:jc w:val="both"/>
        <w:rPr>
          <w:rFonts w:ascii="Arial" w:hAnsi="Arial" w:cs="Arial"/>
          <w:u w:val="single"/>
          <w:lang w:val="en-GB"/>
        </w:rPr>
      </w:pPr>
      <w:r w:rsidRPr="00AB6B50">
        <w:rPr>
          <w:rFonts w:ascii="Arial" w:hAnsi="Arial" w:cs="Arial"/>
          <w:u w:val="single"/>
          <w:lang w:val="en-GB"/>
        </w:rPr>
        <w:t>Steatosis marker genes</w:t>
      </w:r>
    </w:p>
    <w:p w14:paraId="4F789808" w14:textId="52A44730" w:rsidR="000E5F28" w:rsidRPr="00AB6B50" w:rsidRDefault="000E5F28" w:rsidP="00441406">
      <w:pPr>
        <w:spacing w:after="0" w:line="240" w:lineRule="auto"/>
        <w:jc w:val="both"/>
        <w:rPr>
          <w:rFonts w:ascii="Arial" w:hAnsi="Arial" w:cs="Arial"/>
          <w:lang w:val="en-GB"/>
        </w:rPr>
      </w:pPr>
    </w:p>
    <w:p w14:paraId="034BDFF2" w14:textId="3113A225" w:rsidR="000E5F28" w:rsidRPr="006E5FA6" w:rsidRDefault="000E5F28" w:rsidP="00441406">
      <w:pPr>
        <w:spacing w:after="0" w:line="240" w:lineRule="auto"/>
        <w:jc w:val="both"/>
        <w:rPr>
          <w:rFonts w:ascii="Arial" w:hAnsi="Arial" w:cs="Arial"/>
          <w:lang w:val="en-GB"/>
        </w:rPr>
      </w:pPr>
      <w:r w:rsidRPr="006E5FA6">
        <w:rPr>
          <w:rFonts w:ascii="Arial" w:hAnsi="Arial" w:cs="Arial"/>
          <w:lang w:val="en-GB"/>
        </w:rPr>
        <w:t>ANXA10</w:t>
      </w:r>
      <w:r w:rsidR="006E5FA6" w:rsidRPr="006E5FA6">
        <w:rPr>
          <w:rFonts w:ascii="Arial" w:hAnsi="Arial" w:cs="Arial"/>
          <w:lang w:val="en-GB"/>
        </w:rPr>
        <w:t xml:space="preserve"> – annexin A10</w:t>
      </w:r>
    </w:p>
    <w:p w14:paraId="750BF6E5" w14:textId="31CC218A" w:rsidR="000E5F28" w:rsidRDefault="000E5F28" w:rsidP="00441406">
      <w:pPr>
        <w:spacing w:after="0" w:line="240" w:lineRule="auto"/>
        <w:jc w:val="both"/>
        <w:rPr>
          <w:rFonts w:ascii="Arial" w:hAnsi="Arial" w:cs="Arial"/>
          <w:lang w:val="en-GB"/>
        </w:rPr>
      </w:pPr>
      <w:r w:rsidRPr="000E5F28">
        <w:rPr>
          <w:rFonts w:ascii="Arial" w:hAnsi="Arial" w:cs="Arial"/>
          <w:lang w:val="en-GB"/>
        </w:rPr>
        <w:t>A</w:t>
      </w:r>
      <w:r w:rsidR="006E5FA6">
        <w:rPr>
          <w:rFonts w:ascii="Arial" w:hAnsi="Arial" w:cs="Arial"/>
          <w:lang w:val="en-GB"/>
        </w:rPr>
        <w:t>NX</w:t>
      </w:r>
      <w:r w:rsidRPr="000E5F28">
        <w:rPr>
          <w:rFonts w:ascii="Arial" w:hAnsi="Arial" w:cs="Arial"/>
          <w:lang w:val="en-GB"/>
        </w:rPr>
        <w:t>A10 is a m</w:t>
      </w:r>
      <w:r>
        <w:rPr>
          <w:rFonts w:ascii="Arial" w:hAnsi="Arial" w:cs="Arial"/>
          <w:lang w:val="en-GB"/>
        </w:rPr>
        <w:t xml:space="preserve">ember of the annexin family encoding a calcium-dependent phospholipid-binding protein. Annexins play a role in the regulation of cellular growth and in different signal transduction pathways. The exact function of </w:t>
      </w:r>
      <w:r w:rsidR="006E5FA6">
        <w:rPr>
          <w:rFonts w:ascii="Arial" w:hAnsi="Arial" w:cs="Arial"/>
          <w:lang w:val="en-GB"/>
        </w:rPr>
        <w:t>ANX</w:t>
      </w:r>
      <w:r>
        <w:rPr>
          <w:rFonts w:ascii="Arial" w:hAnsi="Arial" w:cs="Arial"/>
          <w:lang w:val="en-GB"/>
        </w:rPr>
        <w:t>A10 is not determined yet.</w:t>
      </w:r>
    </w:p>
    <w:p w14:paraId="111C8530" w14:textId="77777777" w:rsidR="000E5F28" w:rsidRPr="000E5F28" w:rsidRDefault="000E5F28" w:rsidP="00441406">
      <w:pPr>
        <w:spacing w:after="0" w:line="240" w:lineRule="auto"/>
        <w:jc w:val="both"/>
        <w:rPr>
          <w:rFonts w:ascii="Arial" w:hAnsi="Arial" w:cs="Arial"/>
          <w:lang w:val="en-GB"/>
        </w:rPr>
      </w:pPr>
    </w:p>
    <w:p w14:paraId="46462829" w14:textId="4EA12980" w:rsidR="000E5F28" w:rsidRPr="000E5F28" w:rsidRDefault="000E5F28" w:rsidP="00441406">
      <w:pPr>
        <w:spacing w:after="0" w:line="240" w:lineRule="auto"/>
        <w:jc w:val="both"/>
        <w:rPr>
          <w:rFonts w:ascii="Arial" w:hAnsi="Arial" w:cs="Arial"/>
          <w:lang w:val="en-GB"/>
        </w:rPr>
      </w:pPr>
      <w:r w:rsidRPr="000E5F28">
        <w:rPr>
          <w:rFonts w:ascii="Arial" w:hAnsi="Arial" w:cs="Arial"/>
          <w:lang w:val="en-GB"/>
        </w:rPr>
        <w:lastRenderedPageBreak/>
        <w:t>ARG1</w:t>
      </w:r>
      <w:r w:rsidR="006E5FA6">
        <w:rPr>
          <w:rFonts w:ascii="Arial" w:hAnsi="Arial" w:cs="Arial"/>
          <w:lang w:val="en-GB"/>
        </w:rPr>
        <w:t xml:space="preserve"> – arginase 1</w:t>
      </w:r>
    </w:p>
    <w:p w14:paraId="4763BB41" w14:textId="03A69DE1" w:rsidR="000E5F28" w:rsidRDefault="006E5FA6" w:rsidP="00441406">
      <w:pPr>
        <w:spacing w:after="0" w:line="240" w:lineRule="auto"/>
        <w:jc w:val="both"/>
        <w:rPr>
          <w:rFonts w:ascii="Arial" w:hAnsi="Arial" w:cs="Arial"/>
          <w:lang w:val="en-GB"/>
        </w:rPr>
      </w:pPr>
      <w:r>
        <w:rPr>
          <w:rFonts w:ascii="Arial" w:hAnsi="Arial" w:cs="Arial"/>
          <w:lang w:val="en-GB"/>
        </w:rPr>
        <w:t xml:space="preserve">ARG1 </w:t>
      </w:r>
      <w:proofErr w:type="spellStart"/>
      <w:r>
        <w:rPr>
          <w:rFonts w:ascii="Arial" w:hAnsi="Arial" w:cs="Arial"/>
          <w:lang w:val="en-GB"/>
        </w:rPr>
        <w:t>catalyzes</w:t>
      </w:r>
      <w:proofErr w:type="spellEnd"/>
      <w:r>
        <w:rPr>
          <w:rFonts w:ascii="Arial" w:hAnsi="Arial" w:cs="Arial"/>
          <w:lang w:val="en-GB"/>
        </w:rPr>
        <w:t xml:space="preserve"> the hydrolysis of arginine to ornithine and urea. The enzyme encoded by ARG1 is a cytosolic protein that is predominantly expressed in the liver as a component of the urea cycle.</w:t>
      </w:r>
    </w:p>
    <w:p w14:paraId="1C58D4E2" w14:textId="77777777" w:rsidR="000E5F28" w:rsidRPr="000E5F28" w:rsidRDefault="000E5F28" w:rsidP="00441406">
      <w:pPr>
        <w:spacing w:after="0" w:line="240" w:lineRule="auto"/>
        <w:jc w:val="both"/>
        <w:rPr>
          <w:rFonts w:ascii="Arial" w:hAnsi="Arial" w:cs="Arial"/>
          <w:lang w:val="en-GB"/>
        </w:rPr>
      </w:pPr>
    </w:p>
    <w:p w14:paraId="01CECE29" w14:textId="2DD0FA7B" w:rsidR="000E5F28" w:rsidRDefault="000E5F28" w:rsidP="00441406">
      <w:pPr>
        <w:spacing w:after="0" w:line="240" w:lineRule="auto"/>
        <w:jc w:val="both"/>
        <w:rPr>
          <w:rFonts w:ascii="Arial" w:hAnsi="Arial" w:cs="Arial"/>
          <w:lang w:val="en-GB"/>
        </w:rPr>
      </w:pPr>
      <w:r w:rsidRPr="006F111A">
        <w:rPr>
          <w:rFonts w:ascii="Arial" w:hAnsi="Arial" w:cs="Arial"/>
          <w:lang w:val="en-GB"/>
        </w:rPr>
        <w:t>CCL20</w:t>
      </w:r>
      <w:r w:rsidR="006F111A" w:rsidRPr="006F111A">
        <w:rPr>
          <w:rFonts w:ascii="Arial" w:hAnsi="Arial" w:cs="Arial"/>
          <w:lang w:val="en-GB"/>
        </w:rPr>
        <w:t xml:space="preserve"> – C-C motif c</w:t>
      </w:r>
      <w:r w:rsidR="006F111A">
        <w:rPr>
          <w:rFonts w:ascii="Arial" w:hAnsi="Arial" w:cs="Arial"/>
          <w:lang w:val="en-GB"/>
        </w:rPr>
        <w:t>hemokine ligand 20</w:t>
      </w:r>
    </w:p>
    <w:p w14:paraId="4525FB94" w14:textId="31D53075" w:rsidR="006F111A" w:rsidRPr="006F111A" w:rsidRDefault="006F111A" w:rsidP="00441406">
      <w:pPr>
        <w:spacing w:after="0" w:line="240" w:lineRule="auto"/>
        <w:jc w:val="both"/>
        <w:rPr>
          <w:rFonts w:ascii="Arial" w:hAnsi="Arial" w:cs="Arial"/>
          <w:lang w:val="en-GB"/>
        </w:rPr>
      </w:pPr>
      <w:r>
        <w:rPr>
          <w:rFonts w:ascii="Arial" w:hAnsi="Arial" w:cs="Arial"/>
          <w:lang w:val="en-GB"/>
        </w:rPr>
        <w:t>CCL20 belongs to the subfamily of small cytokine CC genes that encode for proteins involved in immunoregulatory and inflammatory processes. The protein encoded by CCL20 displays chemotactic activity for lymphocytes and can repress proliferation of myeloid progenitors. It is predominantly expressed in gall bladder, but also in liver and intestine.</w:t>
      </w:r>
    </w:p>
    <w:p w14:paraId="06C3C24D" w14:textId="1F01C2D7" w:rsidR="000E5F28" w:rsidRPr="006F111A" w:rsidRDefault="000E5F28" w:rsidP="00441406">
      <w:pPr>
        <w:spacing w:after="0" w:line="240" w:lineRule="auto"/>
        <w:jc w:val="both"/>
        <w:rPr>
          <w:rFonts w:ascii="Arial" w:hAnsi="Arial" w:cs="Arial"/>
          <w:lang w:val="en-GB"/>
        </w:rPr>
      </w:pPr>
    </w:p>
    <w:p w14:paraId="219C74CB" w14:textId="4A840BCD" w:rsidR="000E5F28" w:rsidRPr="00AB6B50" w:rsidRDefault="000E5F28" w:rsidP="00441406">
      <w:pPr>
        <w:spacing w:after="0" w:line="240" w:lineRule="auto"/>
        <w:jc w:val="both"/>
        <w:rPr>
          <w:rFonts w:ascii="Arial" w:hAnsi="Arial" w:cs="Arial"/>
          <w:lang w:val="en-GB"/>
        </w:rPr>
      </w:pPr>
      <w:r w:rsidRPr="00AB6B50">
        <w:rPr>
          <w:rFonts w:ascii="Arial" w:hAnsi="Arial" w:cs="Arial"/>
          <w:lang w:val="en-GB"/>
        </w:rPr>
        <w:t>CD36</w:t>
      </w:r>
      <w:r w:rsidR="006F111A" w:rsidRPr="00AB6B50">
        <w:rPr>
          <w:rFonts w:ascii="Arial" w:hAnsi="Arial" w:cs="Arial"/>
          <w:lang w:val="en-GB"/>
        </w:rPr>
        <w:t xml:space="preserve"> – CD36 molecule</w:t>
      </w:r>
    </w:p>
    <w:p w14:paraId="46C58CBE" w14:textId="1AF68CE5" w:rsidR="006F111A" w:rsidRPr="004F22C3" w:rsidRDefault="004F22C3" w:rsidP="00441406">
      <w:pPr>
        <w:spacing w:after="0" w:line="240" w:lineRule="auto"/>
        <w:jc w:val="both"/>
        <w:rPr>
          <w:rFonts w:ascii="Arial" w:hAnsi="Arial" w:cs="Arial"/>
          <w:lang w:val="en-GB"/>
        </w:rPr>
      </w:pPr>
      <w:r w:rsidRPr="004F22C3">
        <w:rPr>
          <w:rFonts w:ascii="Arial" w:hAnsi="Arial" w:cs="Arial"/>
          <w:lang w:val="en-GB"/>
        </w:rPr>
        <w:t>The protein encoded by C</w:t>
      </w:r>
      <w:r>
        <w:rPr>
          <w:rFonts w:ascii="Arial" w:hAnsi="Arial" w:cs="Arial"/>
          <w:lang w:val="en-GB"/>
        </w:rPr>
        <w:t>D36 is a major glycoprotein of the platelet surface and serves as a receptor for thrombospondin. Moreover, it has various functions as adhesion molecule in different tissues as it also binds to collagen, anionic phospholipids, oxidized LDL and long-chain fatty acids. CD36 is regulated by PPARα and is involved in the regulation of fatty acid transport.</w:t>
      </w:r>
    </w:p>
    <w:p w14:paraId="53CC164E" w14:textId="5780A210" w:rsidR="000E5F28" w:rsidRPr="004F22C3" w:rsidRDefault="000E5F28" w:rsidP="00441406">
      <w:pPr>
        <w:spacing w:after="0" w:line="240" w:lineRule="auto"/>
        <w:jc w:val="both"/>
        <w:rPr>
          <w:rFonts w:ascii="Arial" w:hAnsi="Arial" w:cs="Arial"/>
          <w:lang w:val="en-GB"/>
        </w:rPr>
      </w:pPr>
    </w:p>
    <w:p w14:paraId="7CD61B5F" w14:textId="64D63F12" w:rsidR="000E5F28" w:rsidRDefault="000E5F28" w:rsidP="00441406">
      <w:pPr>
        <w:spacing w:after="0" w:line="240" w:lineRule="auto"/>
        <w:jc w:val="both"/>
        <w:rPr>
          <w:rFonts w:ascii="Arial" w:hAnsi="Arial" w:cs="Arial"/>
          <w:lang w:val="en-GB"/>
        </w:rPr>
      </w:pPr>
      <w:r w:rsidRPr="004F22C3">
        <w:rPr>
          <w:rFonts w:ascii="Arial" w:hAnsi="Arial" w:cs="Arial"/>
          <w:lang w:val="en-GB"/>
        </w:rPr>
        <w:t>CYP2D6</w:t>
      </w:r>
      <w:r w:rsidR="004F22C3" w:rsidRPr="004F22C3">
        <w:rPr>
          <w:rFonts w:ascii="Arial" w:hAnsi="Arial" w:cs="Arial"/>
          <w:lang w:val="en-GB"/>
        </w:rPr>
        <w:t xml:space="preserve"> </w:t>
      </w:r>
      <w:r w:rsidR="004F22C3">
        <w:rPr>
          <w:rFonts w:ascii="Arial" w:hAnsi="Arial" w:cs="Arial"/>
          <w:lang w:val="en-GB"/>
        </w:rPr>
        <w:t>–</w:t>
      </w:r>
      <w:r w:rsidR="004F22C3" w:rsidRPr="004F22C3">
        <w:rPr>
          <w:rFonts w:ascii="Arial" w:hAnsi="Arial" w:cs="Arial"/>
          <w:lang w:val="en-GB"/>
        </w:rPr>
        <w:t xml:space="preserve"> cy</w:t>
      </w:r>
      <w:r w:rsidR="004F22C3">
        <w:rPr>
          <w:rFonts w:ascii="Arial" w:hAnsi="Arial" w:cs="Arial"/>
          <w:lang w:val="en-GB"/>
        </w:rPr>
        <w:t>tochrome P450 family 2 subfamily D member 6</w:t>
      </w:r>
    </w:p>
    <w:p w14:paraId="0A3E8B2F" w14:textId="40B30B69" w:rsidR="004F22C3" w:rsidRPr="004F22C3" w:rsidRDefault="00656058" w:rsidP="00441406">
      <w:pPr>
        <w:spacing w:after="0" w:line="240" w:lineRule="auto"/>
        <w:jc w:val="both"/>
        <w:rPr>
          <w:rFonts w:ascii="Arial" w:hAnsi="Arial" w:cs="Arial"/>
          <w:lang w:val="en-GB"/>
        </w:rPr>
      </w:pPr>
      <w:r>
        <w:rPr>
          <w:rFonts w:ascii="Arial" w:hAnsi="Arial" w:cs="Arial"/>
          <w:lang w:val="en-GB"/>
        </w:rPr>
        <w:t xml:space="preserve">The protein encoded by CYP2D6 is a member of the cytochrome P450 superfamily. It is a monooxygenase being involved in many oxidative reactions in drug metabolism and in synthesis of cholesterol, steroids and other lipids. CYP2D6 is mainly expressed in liver. </w:t>
      </w:r>
    </w:p>
    <w:p w14:paraId="65D233F4" w14:textId="4C200F13" w:rsidR="000E5F28" w:rsidRPr="004F22C3" w:rsidRDefault="000E5F28" w:rsidP="00441406">
      <w:pPr>
        <w:spacing w:after="0" w:line="240" w:lineRule="auto"/>
        <w:jc w:val="both"/>
        <w:rPr>
          <w:rFonts w:ascii="Arial" w:hAnsi="Arial" w:cs="Arial"/>
          <w:lang w:val="en-GB"/>
        </w:rPr>
      </w:pPr>
    </w:p>
    <w:p w14:paraId="04EF3A47" w14:textId="421A16DE" w:rsidR="000E5F28" w:rsidRDefault="000E5F28" w:rsidP="00441406">
      <w:pPr>
        <w:spacing w:after="0" w:line="240" w:lineRule="auto"/>
        <w:jc w:val="both"/>
        <w:rPr>
          <w:rFonts w:ascii="Arial" w:hAnsi="Arial" w:cs="Arial"/>
          <w:lang w:val="en-US"/>
        </w:rPr>
      </w:pPr>
      <w:r>
        <w:rPr>
          <w:rFonts w:ascii="Arial" w:hAnsi="Arial" w:cs="Arial"/>
          <w:lang w:val="en-US"/>
        </w:rPr>
        <w:t>FASN</w:t>
      </w:r>
      <w:r w:rsidR="00656058">
        <w:rPr>
          <w:rFonts w:ascii="Arial" w:hAnsi="Arial" w:cs="Arial"/>
          <w:lang w:val="en-US"/>
        </w:rPr>
        <w:t xml:space="preserve"> – fatty acid synthase</w:t>
      </w:r>
    </w:p>
    <w:p w14:paraId="7DEC2434" w14:textId="24E1EF38" w:rsidR="00656058" w:rsidRDefault="00656058" w:rsidP="00441406">
      <w:pPr>
        <w:spacing w:after="0" w:line="240" w:lineRule="auto"/>
        <w:jc w:val="both"/>
        <w:rPr>
          <w:rFonts w:ascii="Arial" w:hAnsi="Arial" w:cs="Arial"/>
          <w:lang w:val="en-US"/>
        </w:rPr>
      </w:pPr>
      <w:r>
        <w:rPr>
          <w:rFonts w:ascii="Arial" w:hAnsi="Arial" w:cs="Arial"/>
          <w:lang w:val="en-US"/>
        </w:rPr>
        <w:t>The protein encoded by FASN is an enzyme catalyzing the synthesis of palmitate from acetyl-CoA and malonyl-CoA, in the presence of NADPH, into long-chain saturated fatty acids. FASN is mainly expressed in fat tissue.</w:t>
      </w:r>
    </w:p>
    <w:p w14:paraId="35C3C21F" w14:textId="31FAFD00" w:rsidR="000E5F28" w:rsidRDefault="000E5F28" w:rsidP="00441406">
      <w:pPr>
        <w:spacing w:after="0" w:line="240" w:lineRule="auto"/>
        <w:jc w:val="both"/>
        <w:rPr>
          <w:rFonts w:ascii="Arial" w:hAnsi="Arial" w:cs="Arial"/>
          <w:lang w:val="en-US"/>
        </w:rPr>
      </w:pPr>
    </w:p>
    <w:p w14:paraId="04C8A565" w14:textId="36C2BB7D" w:rsidR="000E5F28" w:rsidRDefault="000E5F28" w:rsidP="00441406">
      <w:pPr>
        <w:spacing w:after="0" w:line="240" w:lineRule="auto"/>
        <w:jc w:val="both"/>
        <w:rPr>
          <w:rFonts w:ascii="Arial" w:hAnsi="Arial" w:cs="Arial"/>
          <w:lang w:val="en-US"/>
        </w:rPr>
      </w:pPr>
      <w:r>
        <w:rPr>
          <w:rFonts w:ascii="Arial" w:hAnsi="Arial" w:cs="Arial"/>
          <w:lang w:val="en-US"/>
        </w:rPr>
        <w:t>INSIG</w:t>
      </w:r>
      <w:r w:rsidR="00F93F9F">
        <w:rPr>
          <w:rFonts w:ascii="Arial" w:hAnsi="Arial" w:cs="Arial"/>
          <w:lang w:val="en-US"/>
        </w:rPr>
        <w:t>1 – insulin induced gene 1</w:t>
      </w:r>
    </w:p>
    <w:p w14:paraId="679F7C4E" w14:textId="382C8285" w:rsidR="00F93F9F" w:rsidRDefault="00F93F9F" w:rsidP="00441406">
      <w:pPr>
        <w:spacing w:after="0" w:line="240" w:lineRule="auto"/>
        <w:jc w:val="both"/>
        <w:rPr>
          <w:rFonts w:ascii="Arial" w:hAnsi="Arial" w:cs="Arial"/>
          <w:lang w:val="en-US"/>
        </w:rPr>
      </w:pPr>
      <w:r>
        <w:rPr>
          <w:rFonts w:ascii="Arial" w:hAnsi="Arial" w:cs="Arial"/>
          <w:lang w:val="en-US"/>
        </w:rPr>
        <w:t xml:space="preserve">The protein encoded by INSIG1 is an </w:t>
      </w:r>
      <w:proofErr w:type="spellStart"/>
      <w:r>
        <w:rPr>
          <w:rFonts w:ascii="Arial" w:hAnsi="Arial" w:cs="Arial"/>
          <w:lang w:val="en-US"/>
        </w:rPr>
        <w:t>endoplasmatic</w:t>
      </w:r>
      <w:proofErr w:type="spellEnd"/>
      <w:r>
        <w:rPr>
          <w:rFonts w:ascii="Arial" w:hAnsi="Arial" w:cs="Arial"/>
          <w:lang w:val="en-US"/>
        </w:rPr>
        <w:t xml:space="preserve"> reticulum membrane protein that is involved in the regulation of cholesterol metabolism, lipogenesis, and glucose homeostasis. It is essential for the sterol-mediated trafficking of several proteins via the endoplasmic reticulum. INSIG1 is mainly expressed in liver. </w:t>
      </w:r>
    </w:p>
    <w:p w14:paraId="1C33504B" w14:textId="779C05D1" w:rsidR="000E5F28" w:rsidRDefault="000E5F28" w:rsidP="00441406">
      <w:pPr>
        <w:spacing w:after="0" w:line="240" w:lineRule="auto"/>
        <w:jc w:val="both"/>
        <w:rPr>
          <w:rFonts w:ascii="Arial" w:hAnsi="Arial" w:cs="Arial"/>
          <w:lang w:val="en-US"/>
        </w:rPr>
      </w:pPr>
    </w:p>
    <w:p w14:paraId="37981917" w14:textId="1F835A91" w:rsidR="000E5F28" w:rsidRDefault="000E5F28" w:rsidP="00441406">
      <w:pPr>
        <w:spacing w:after="0" w:line="240" w:lineRule="auto"/>
        <w:jc w:val="both"/>
        <w:rPr>
          <w:rFonts w:ascii="Arial" w:hAnsi="Arial" w:cs="Arial"/>
          <w:lang w:val="en-US"/>
        </w:rPr>
      </w:pPr>
      <w:r>
        <w:rPr>
          <w:rFonts w:ascii="Arial" w:hAnsi="Arial" w:cs="Arial"/>
          <w:lang w:val="en-US"/>
        </w:rPr>
        <w:t>POR</w:t>
      </w:r>
      <w:r w:rsidR="00621149">
        <w:rPr>
          <w:rFonts w:ascii="Arial" w:hAnsi="Arial" w:cs="Arial"/>
          <w:lang w:val="en-US"/>
        </w:rPr>
        <w:t xml:space="preserve"> – cytochrome P450 oxidoreductase</w:t>
      </w:r>
    </w:p>
    <w:p w14:paraId="0D362181" w14:textId="012D7B20" w:rsidR="00621149" w:rsidRDefault="00621149" w:rsidP="00441406">
      <w:pPr>
        <w:spacing w:after="0" w:line="240" w:lineRule="auto"/>
        <w:jc w:val="both"/>
        <w:rPr>
          <w:rFonts w:ascii="Arial" w:hAnsi="Arial" w:cs="Arial"/>
          <w:lang w:val="en-US"/>
        </w:rPr>
      </w:pPr>
      <w:r>
        <w:rPr>
          <w:rFonts w:ascii="Arial" w:hAnsi="Arial" w:cs="Arial"/>
          <w:lang w:val="en-US"/>
        </w:rPr>
        <w:t xml:space="preserve">The protein encoded by POR is an endoplasmic reticulum membrane oxidoreductase that is essential for multiple metabolic processes, including reactions catalyzed by cytochrome P450 proteins for metabolism of steroid hormones, drugs and xenobiotics. POR is ubiquitously expressed in various tissues. </w:t>
      </w:r>
    </w:p>
    <w:p w14:paraId="33D4EF18" w14:textId="0AE538D3" w:rsidR="000E5F28" w:rsidRDefault="000E5F28" w:rsidP="00441406">
      <w:pPr>
        <w:spacing w:after="0" w:line="240" w:lineRule="auto"/>
        <w:jc w:val="both"/>
        <w:rPr>
          <w:rFonts w:ascii="Arial" w:hAnsi="Arial" w:cs="Arial"/>
          <w:lang w:val="en-US"/>
        </w:rPr>
      </w:pPr>
    </w:p>
    <w:p w14:paraId="16C1A69C" w14:textId="5F310CC1" w:rsidR="000E5F28" w:rsidRDefault="000E5F28" w:rsidP="00441406">
      <w:pPr>
        <w:spacing w:after="0" w:line="240" w:lineRule="auto"/>
        <w:jc w:val="both"/>
        <w:rPr>
          <w:rFonts w:ascii="Arial" w:hAnsi="Arial" w:cs="Arial"/>
          <w:lang w:val="en-US"/>
        </w:rPr>
      </w:pPr>
      <w:r>
        <w:rPr>
          <w:rFonts w:ascii="Arial" w:hAnsi="Arial" w:cs="Arial"/>
          <w:lang w:val="en-US"/>
        </w:rPr>
        <w:t>SLCO1B1</w:t>
      </w:r>
      <w:r w:rsidR="00621149">
        <w:rPr>
          <w:rFonts w:ascii="Arial" w:hAnsi="Arial" w:cs="Arial"/>
          <w:lang w:val="en-US"/>
        </w:rPr>
        <w:t xml:space="preserve"> – solute carrier organic anion transporter family member 1B1</w:t>
      </w:r>
    </w:p>
    <w:p w14:paraId="77C3397A" w14:textId="5865E3D1" w:rsidR="00621149" w:rsidRDefault="00621149" w:rsidP="00441406">
      <w:pPr>
        <w:spacing w:after="0" w:line="240" w:lineRule="auto"/>
        <w:jc w:val="both"/>
        <w:rPr>
          <w:rFonts w:ascii="Arial" w:hAnsi="Arial" w:cs="Arial"/>
          <w:lang w:val="en-US"/>
        </w:rPr>
      </w:pPr>
      <w:r>
        <w:rPr>
          <w:rFonts w:ascii="Arial" w:hAnsi="Arial" w:cs="Arial"/>
          <w:lang w:val="en-US"/>
        </w:rPr>
        <w:t xml:space="preserve">The protein encoded by SLCO1B1 is a liver-specific member of the organic anion transporter family. </w:t>
      </w:r>
      <w:r w:rsidR="00874B1D">
        <w:rPr>
          <w:rFonts w:ascii="Arial" w:hAnsi="Arial" w:cs="Arial"/>
          <w:lang w:val="en-US"/>
        </w:rPr>
        <w:t xml:space="preserve">It is a transmembrane receptor that mediates the sodium-independent uptake of numerous endogenous compounds, e. g. bilirubin, and numerous xenobiotics from the blood into the hepatocyte. </w:t>
      </w:r>
    </w:p>
    <w:p w14:paraId="6664BAB9" w14:textId="415C4A5C" w:rsidR="000E5F28" w:rsidRDefault="000E5F28" w:rsidP="00441406">
      <w:pPr>
        <w:spacing w:after="0" w:line="240" w:lineRule="auto"/>
        <w:jc w:val="both"/>
        <w:rPr>
          <w:rFonts w:ascii="Arial" w:hAnsi="Arial" w:cs="Arial"/>
          <w:lang w:val="en-US"/>
        </w:rPr>
      </w:pPr>
    </w:p>
    <w:p w14:paraId="0C9D8EA1" w14:textId="76CAF812" w:rsidR="000E5F28" w:rsidRDefault="000E5F28" w:rsidP="00441406">
      <w:pPr>
        <w:spacing w:after="0" w:line="240" w:lineRule="auto"/>
        <w:jc w:val="both"/>
        <w:rPr>
          <w:rFonts w:ascii="Arial" w:hAnsi="Arial" w:cs="Arial"/>
          <w:lang w:val="en-US"/>
        </w:rPr>
      </w:pPr>
      <w:r>
        <w:rPr>
          <w:rFonts w:ascii="Arial" w:hAnsi="Arial" w:cs="Arial"/>
          <w:lang w:val="en-US"/>
        </w:rPr>
        <w:t>SREBF1</w:t>
      </w:r>
      <w:r w:rsidR="00874B1D">
        <w:rPr>
          <w:rFonts w:ascii="Arial" w:hAnsi="Arial" w:cs="Arial"/>
          <w:lang w:val="en-US"/>
        </w:rPr>
        <w:t xml:space="preserve"> – sterol regulatory element binding transcription factor 1</w:t>
      </w:r>
    </w:p>
    <w:p w14:paraId="639BBE4D" w14:textId="61C92AB4" w:rsidR="00874B1D" w:rsidRDefault="00005ED7" w:rsidP="00441406">
      <w:pPr>
        <w:spacing w:after="0" w:line="240" w:lineRule="auto"/>
        <w:jc w:val="both"/>
        <w:rPr>
          <w:rFonts w:ascii="Arial" w:hAnsi="Arial" w:cs="Arial"/>
          <w:lang w:val="en-US"/>
        </w:rPr>
      </w:pPr>
      <w:r>
        <w:rPr>
          <w:rFonts w:ascii="Arial" w:hAnsi="Arial" w:cs="Arial"/>
          <w:lang w:val="en-US"/>
        </w:rPr>
        <w:t>SREBF1 encodes a transcription factor that binds to the sterol regulatory element-1 (SRE1), which is a motif that is found in the promoters of several genes involved in sterol biosynthesis. SREBF1 is ubiquitously expressed in various tissues.</w:t>
      </w:r>
    </w:p>
    <w:p w14:paraId="3D069185" w14:textId="40096426" w:rsidR="000E5F28" w:rsidRDefault="000E5F28" w:rsidP="00441406">
      <w:pPr>
        <w:spacing w:after="0" w:line="240" w:lineRule="auto"/>
        <w:jc w:val="both"/>
        <w:rPr>
          <w:rFonts w:ascii="Arial" w:hAnsi="Arial" w:cs="Arial"/>
          <w:lang w:val="en-US"/>
        </w:rPr>
      </w:pPr>
    </w:p>
    <w:p w14:paraId="5CC7AFFA" w14:textId="6081B94D" w:rsidR="000E5F28" w:rsidRDefault="000E5F28" w:rsidP="00441406">
      <w:pPr>
        <w:spacing w:after="0" w:line="240" w:lineRule="auto"/>
        <w:jc w:val="both"/>
        <w:rPr>
          <w:rFonts w:ascii="Arial" w:hAnsi="Arial" w:cs="Arial"/>
          <w:lang w:val="en-US"/>
        </w:rPr>
      </w:pPr>
    </w:p>
    <w:p w14:paraId="6BAEB907" w14:textId="28FD3DA0" w:rsidR="00AB6B50" w:rsidRDefault="00AB6B50" w:rsidP="00441406">
      <w:pPr>
        <w:spacing w:after="0" w:line="240" w:lineRule="auto"/>
        <w:jc w:val="both"/>
        <w:rPr>
          <w:rFonts w:ascii="Arial" w:hAnsi="Arial" w:cs="Arial"/>
          <w:lang w:val="en-US"/>
        </w:rPr>
      </w:pPr>
    </w:p>
    <w:p w14:paraId="1631F52D" w14:textId="15976EDB" w:rsidR="00AB6B50" w:rsidRDefault="00AB6B50" w:rsidP="00441406">
      <w:pPr>
        <w:spacing w:after="0" w:line="240" w:lineRule="auto"/>
        <w:jc w:val="both"/>
        <w:rPr>
          <w:rFonts w:ascii="Arial" w:hAnsi="Arial" w:cs="Arial"/>
          <w:lang w:val="en-US"/>
        </w:rPr>
      </w:pPr>
    </w:p>
    <w:p w14:paraId="6D84812D" w14:textId="0F5C8F57" w:rsidR="00AB6B50" w:rsidRDefault="00AB6B50" w:rsidP="00441406">
      <w:pPr>
        <w:spacing w:after="0" w:line="240" w:lineRule="auto"/>
        <w:jc w:val="both"/>
        <w:rPr>
          <w:rFonts w:ascii="Arial" w:hAnsi="Arial" w:cs="Arial"/>
          <w:lang w:val="en-US"/>
        </w:rPr>
      </w:pPr>
    </w:p>
    <w:p w14:paraId="6CF3B6F9" w14:textId="77777777" w:rsidR="00AB6B50" w:rsidRDefault="00AB6B50" w:rsidP="00441406">
      <w:pPr>
        <w:spacing w:after="0" w:line="240" w:lineRule="auto"/>
        <w:jc w:val="both"/>
        <w:rPr>
          <w:rFonts w:ascii="Arial" w:hAnsi="Arial" w:cs="Arial"/>
          <w:lang w:val="en-US"/>
        </w:rPr>
      </w:pPr>
    </w:p>
    <w:p w14:paraId="4D08DC62" w14:textId="62D05993" w:rsidR="000E5F28" w:rsidRPr="00541881" w:rsidRDefault="000E5F28" w:rsidP="00441406">
      <w:pPr>
        <w:spacing w:after="0" w:line="240" w:lineRule="auto"/>
        <w:jc w:val="both"/>
        <w:rPr>
          <w:rFonts w:ascii="Arial" w:hAnsi="Arial" w:cs="Arial"/>
          <w:u w:val="single"/>
          <w:lang w:val="en-US"/>
        </w:rPr>
      </w:pPr>
      <w:r w:rsidRPr="00541881">
        <w:rPr>
          <w:rFonts w:ascii="Arial" w:hAnsi="Arial" w:cs="Arial"/>
          <w:u w:val="single"/>
          <w:lang w:val="en-US"/>
        </w:rPr>
        <w:lastRenderedPageBreak/>
        <w:t>PPARα target genes</w:t>
      </w:r>
    </w:p>
    <w:p w14:paraId="6E09520A" w14:textId="769D2A36" w:rsidR="000E5F28" w:rsidRDefault="000E5F28" w:rsidP="00441406">
      <w:pPr>
        <w:spacing w:after="0" w:line="240" w:lineRule="auto"/>
        <w:jc w:val="both"/>
        <w:rPr>
          <w:rFonts w:ascii="Arial" w:hAnsi="Arial" w:cs="Arial"/>
          <w:lang w:val="en-US"/>
        </w:rPr>
      </w:pPr>
    </w:p>
    <w:p w14:paraId="06695F11" w14:textId="0D6DE4EB" w:rsidR="000E5F28" w:rsidRDefault="000E5F28" w:rsidP="00441406">
      <w:pPr>
        <w:spacing w:after="0" w:line="240" w:lineRule="auto"/>
        <w:jc w:val="both"/>
        <w:rPr>
          <w:rFonts w:ascii="Arial" w:hAnsi="Arial" w:cs="Arial"/>
          <w:lang w:val="en-US"/>
        </w:rPr>
      </w:pPr>
      <w:r>
        <w:rPr>
          <w:rFonts w:ascii="Arial" w:hAnsi="Arial" w:cs="Arial"/>
          <w:lang w:val="en-US"/>
        </w:rPr>
        <w:t>ACAT2</w:t>
      </w:r>
      <w:r w:rsidR="00005ED7">
        <w:rPr>
          <w:rFonts w:ascii="Arial" w:hAnsi="Arial" w:cs="Arial"/>
          <w:lang w:val="en-US"/>
        </w:rPr>
        <w:t xml:space="preserve"> – acetyl-CoA acetyltransferase 2</w:t>
      </w:r>
    </w:p>
    <w:p w14:paraId="4BF3BE66" w14:textId="29C88AE8" w:rsidR="00005ED7" w:rsidRDefault="00005ED7" w:rsidP="00441406">
      <w:pPr>
        <w:spacing w:after="0" w:line="240" w:lineRule="auto"/>
        <w:jc w:val="both"/>
        <w:rPr>
          <w:rFonts w:ascii="Arial" w:hAnsi="Arial" w:cs="Arial"/>
          <w:lang w:val="en-US"/>
        </w:rPr>
      </w:pPr>
      <w:r>
        <w:rPr>
          <w:rFonts w:ascii="Arial" w:hAnsi="Arial" w:cs="Arial"/>
          <w:lang w:val="en-US"/>
        </w:rPr>
        <w:t xml:space="preserve">The protein encoded by ACAT2 is a cytosolic </w:t>
      </w:r>
      <w:proofErr w:type="spellStart"/>
      <w:r>
        <w:rPr>
          <w:rFonts w:ascii="Arial" w:hAnsi="Arial" w:cs="Arial"/>
          <w:lang w:val="en-US"/>
        </w:rPr>
        <w:t>acetoacetyl</w:t>
      </w:r>
      <w:proofErr w:type="spellEnd"/>
      <w:r>
        <w:rPr>
          <w:rFonts w:ascii="Arial" w:hAnsi="Arial" w:cs="Arial"/>
          <w:lang w:val="en-US"/>
        </w:rPr>
        <w:t xml:space="preserve">-CoA </w:t>
      </w:r>
      <w:proofErr w:type="spellStart"/>
      <w:r>
        <w:rPr>
          <w:rFonts w:ascii="Arial" w:hAnsi="Arial" w:cs="Arial"/>
          <w:lang w:val="en-US"/>
        </w:rPr>
        <w:t>thiolase</w:t>
      </w:r>
      <w:proofErr w:type="spellEnd"/>
      <w:r>
        <w:rPr>
          <w:rFonts w:ascii="Arial" w:hAnsi="Arial" w:cs="Arial"/>
          <w:lang w:val="en-US"/>
        </w:rPr>
        <w:t xml:space="preserve"> that is involved in lipid metabolism. ACAT2 is ubiquitously expressed in various tissues.</w:t>
      </w:r>
    </w:p>
    <w:p w14:paraId="613D1C7F" w14:textId="007B1BD7" w:rsidR="000E5F28" w:rsidRDefault="000E5F28" w:rsidP="00441406">
      <w:pPr>
        <w:spacing w:after="0" w:line="240" w:lineRule="auto"/>
        <w:jc w:val="both"/>
        <w:rPr>
          <w:rFonts w:ascii="Arial" w:hAnsi="Arial" w:cs="Arial"/>
          <w:lang w:val="en-US"/>
        </w:rPr>
      </w:pPr>
    </w:p>
    <w:p w14:paraId="0DE7C992" w14:textId="067EEEC8" w:rsidR="000E5F28" w:rsidRDefault="000E5F28" w:rsidP="00441406">
      <w:pPr>
        <w:spacing w:after="0" w:line="240" w:lineRule="auto"/>
        <w:jc w:val="both"/>
        <w:rPr>
          <w:rFonts w:ascii="Arial" w:hAnsi="Arial" w:cs="Arial"/>
          <w:lang w:val="en-US"/>
        </w:rPr>
      </w:pPr>
      <w:r>
        <w:rPr>
          <w:rFonts w:ascii="Arial" w:hAnsi="Arial" w:cs="Arial"/>
          <w:lang w:val="en-US"/>
        </w:rPr>
        <w:t>ADH4</w:t>
      </w:r>
      <w:r w:rsidR="00005ED7">
        <w:rPr>
          <w:rFonts w:ascii="Arial" w:hAnsi="Arial" w:cs="Arial"/>
          <w:lang w:val="en-US"/>
        </w:rPr>
        <w:t xml:space="preserve"> – alcohol dehydrogenase 4 (class II), pi polypeptide</w:t>
      </w:r>
    </w:p>
    <w:p w14:paraId="4E9B3098" w14:textId="47BC6B16" w:rsidR="00005ED7" w:rsidRDefault="001436F9" w:rsidP="00441406">
      <w:pPr>
        <w:spacing w:after="0" w:line="240" w:lineRule="auto"/>
        <w:jc w:val="both"/>
        <w:rPr>
          <w:rFonts w:ascii="Arial" w:hAnsi="Arial" w:cs="Arial"/>
          <w:lang w:val="en-US"/>
        </w:rPr>
      </w:pPr>
      <w:r>
        <w:rPr>
          <w:rFonts w:ascii="Arial" w:hAnsi="Arial" w:cs="Arial"/>
          <w:lang w:val="en-US"/>
        </w:rPr>
        <w:t>The protein encoded by ADH4 is a member of the alcohol dehydrogenase family that facilitates oxidation of a wide variety of substrates, including long-chain aliphatic alcohols and aromatic alcohols. ADH4 is expressed in liver.</w:t>
      </w:r>
    </w:p>
    <w:p w14:paraId="1C21E2A3" w14:textId="5B004C39" w:rsidR="000E5F28" w:rsidRDefault="000E5F28" w:rsidP="00441406">
      <w:pPr>
        <w:spacing w:after="0" w:line="240" w:lineRule="auto"/>
        <w:jc w:val="both"/>
        <w:rPr>
          <w:rFonts w:ascii="Arial" w:hAnsi="Arial" w:cs="Arial"/>
          <w:lang w:val="en-US"/>
        </w:rPr>
      </w:pPr>
    </w:p>
    <w:p w14:paraId="35790BB6" w14:textId="361E2AAD" w:rsidR="000E5F28" w:rsidRDefault="000E5F28" w:rsidP="00441406">
      <w:pPr>
        <w:spacing w:after="0" w:line="240" w:lineRule="auto"/>
        <w:jc w:val="both"/>
        <w:rPr>
          <w:rFonts w:ascii="Arial" w:hAnsi="Arial" w:cs="Arial"/>
          <w:lang w:val="en-US"/>
        </w:rPr>
      </w:pPr>
      <w:r>
        <w:rPr>
          <w:rFonts w:ascii="Arial" w:hAnsi="Arial" w:cs="Arial"/>
          <w:lang w:val="en-US"/>
        </w:rPr>
        <w:t>CPT1A</w:t>
      </w:r>
      <w:r w:rsidR="001436F9">
        <w:rPr>
          <w:rFonts w:ascii="Arial" w:hAnsi="Arial" w:cs="Arial"/>
          <w:lang w:val="en-US"/>
        </w:rPr>
        <w:t xml:space="preserve"> – carnitine </w:t>
      </w:r>
      <w:proofErr w:type="spellStart"/>
      <w:r w:rsidR="001436F9">
        <w:rPr>
          <w:rFonts w:ascii="Arial" w:hAnsi="Arial" w:cs="Arial"/>
          <w:lang w:val="en-US"/>
        </w:rPr>
        <w:t>palmitoyltransferase</w:t>
      </w:r>
      <w:proofErr w:type="spellEnd"/>
      <w:r w:rsidR="001436F9">
        <w:rPr>
          <w:rFonts w:ascii="Arial" w:hAnsi="Arial" w:cs="Arial"/>
          <w:lang w:val="en-US"/>
        </w:rPr>
        <w:t xml:space="preserve"> 1A</w:t>
      </w:r>
    </w:p>
    <w:p w14:paraId="3E57ED1D" w14:textId="3B1E9F02" w:rsidR="001436F9" w:rsidRDefault="000B587B" w:rsidP="00441406">
      <w:pPr>
        <w:spacing w:after="0" w:line="240" w:lineRule="auto"/>
        <w:jc w:val="both"/>
        <w:rPr>
          <w:rFonts w:ascii="Arial" w:hAnsi="Arial" w:cs="Arial"/>
          <w:lang w:val="en-US"/>
        </w:rPr>
      </w:pPr>
      <w:r>
        <w:rPr>
          <w:rFonts w:ascii="Arial" w:hAnsi="Arial" w:cs="Arial"/>
          <w:lang w:val="en-US"/>
        </w:rPr>
        <w:t xml:space="preserve">The protein encoded by CPT1A is involved in mitochondrial oxidation of long-chain fatty acids. It is located in the outer mitochondrial membrane. CPT1A is ubiquitously expressed in various tissues. </w:t>
      </w:r>
    </w:p>
    <w:p w14:paraId="06B61161" w14:textId="11C55988" w:rsidR="000E5F28" w:rsidRDefault="000E5F28" w:rsidP="00441406">
      <w:pPr>
        <w:spacing w:after="0" w:line="240" w:lineRule="auto"/>
        <w:jc w:val="both"/>
        <w:rPr>
          <w:rFonts w:ascii="Arial" w:hAnsi="Arial" w:cs="Arial"/>
          <w:lang w:val="en-US"/>
        </w:rPr>
      </w:pPr>
    </w:p>
    <w:p w14:paraId="5B087F16" w14:textId="6D00DBCA" w:rsidR="000E5F28" w:rsidRDefault="000E5F28" w:rsidP="00441406">
      <w:pPr>
        <w:spacing w:after="0" w:line="240" w:lineRule="auto"/>
        <w:jc w:val="both"/>
        <w:rPr>
          <w:rFonts w:ascii="Arial" w:hAnsi="Arial" w:cs="Arial"/>
          <w:lang w:val="en-US"/>
        </w:rPr>
      </w:pPr>
      <w:r>
        <w:rPr>
          <w:rFonts w:ascii="Arial" w:hAnsi="Arial" w:cs="Arial"/>
          <w:lang w:val="en-US"/>
        </w:rPr>
        <w:t>PDK4</w:t>
      </w:r>
      <w:r w:rsidR="000B587B">
        <w:rPr>
          <w:rFonts w:ascii="Arial" w:hAnsi="Arial" w:cs="Arial"/>
          <w:lang w:val="en-US"/>
        </w:rPr>
        <w:t xml:space="preserve"> – pyruvate dehydrogenase kinase 4</w:t>
      </w:r>
    </w:p>
    <w:p w14:paraId="54FCB650" w14:textId="1A401F26" w:rsidR="000B587B" w:rsidRDefault="000B587B" w:rsidP="00441406">
      <w:pPr>
        <w:spacing w:after="0" w:line="240" w:lineRule="auto"/>
        <w:jc w:val="both"/>
        <w:rPr>
          <w:rFonts w:ascii="Arial" w:hAnsi="Arial" w:cs="Arial"/>
          <w:lang w:val="en-US"/>
        </w:rPr>
      </w:pPr>
      <w:r>
        <w:rPr>
          <w:rFonts w:ascii="Arial" w:hAnsi="Arial" w:cs="Arial"/>
          <w:lang w:val="en-US"/>
        </w:rPr>
        <w:t xml:space="preserve">The protein encoded by PDK4 is a member of the PDK/BCKDK protein kinase family that is located in the matrix of mitochondria. Its function is to inhibit the pyruvate dehydrogenase complex by phosphorylating one of its subunits, thereby contributing to the regulation of glucose metabolism. PDK4 is expressed in various tissues. </w:t>
      </w:r>
    </w:p>
    <w:p w14:paraId="10076B08" w14:textId="07A1C430" w:rsidR="000E5F28" w:rsidRDefault="000E5F28" w:rsidP="00441406">
      <w:pPr>
        <w:spacing w:after="0" w:line="240" w:lineRule="auto"/>
        <w:jc w:val="both"/>
        <w:rPr>
          <w:rFonts w:ascii="Arial" w:hAnsi="Arial" w:cs="Arial"/>
          <w:lang w:val="en-US"/>
        </w:rPr>
      </w:pPr>
    </w:p>
    <w:p w14:paraId="21B9F8D8" w14:textId="64230C42" w:rsidR="000E5F28" w:rsidRDefault="000E5F28" w:rsidP="00441406">
      <w:pPr>
        <w:spacing w:after="0" w:line="240" w:lineRule="auto"/>
        <w:jc w:val="both"/>
        <w:rPr>
          <w:rFonts w:ascii="Arial" w:hAnsi="Arial" w:cs="Arial"/>
          <w:lang w:val="en-US"/>
        </w:rPr>
      </w:pPr>
      <w:r>
        <w:rPr>
          <w:rFonts w:ascii="Arial" w:hAnsi="Arial" w:cs="Arial"/>
          <w:lang w:val="en-US"/>
        </w:rPr>
        <w:t>PLIN2</w:t>
      </w:r>
      <w:r w:rsidR="007367AD">
        <w:rPr>
          <w:rFonts w:ascii="Arial" w:hAnsi="Arial" w:cs="Arial"/>
          <w:lang w:val="en-US"/>
        </w:rPr>
        <w:t xml:space="preserve"> – perilipin 2</w:t>
      </w:r>
    </w:p>
    <w:p w14:paraId="2F9A280E" w14:textId="3431AF7D" w:rsidR="007367AD" w:rsidRDefault="007367AD" w:rsidP="00441406">
      <w:pPr>
        <w:spacing w:after="0" w:line="240" w:lineRule="auto"/>
        <w:jc w:val="both"/>
        <w:rPr>
          <w:rFonts w:ascii="Arial" w:hAnsi="Arial" w:cs="Arial"/>
          <w:lang w:val="en-US"/>
        </w:rPr>
      </w:pPr>
      <w:r>
        <w:rPr>
          <w:rFonts w:ascii="Arial" w:hAnsi="Arial" w:cs="Arial"/>
          <w:lang w:val="en-US"/>
        </w:rPr>
        <w:t>The protein encoded by PLIN2 belongs to the perilipin family and is involved in the coating of intracellular lipid storage droplets. It is not restricted to adipocytes, but is found in many tissues, suggesting that it may serve as a marker of lipid accumulation in diverse cell types and diseases.</w:t>
      </w:r>
    </w:p>
    <w:p w14:paraId="341200FD" w14:textId="2881BEFB" w:rsidR="000E5F28" w:rsidRDefault="000E5F28" w:rsidP="00441406">
      <w:pPr>
        <w:spacing w:after="0" w:line="240" w:lineRule="auto"/>
        <w:jc w:val="both"/>
        <w:rPr>
          <w:rFonts w:ascii="Arial" w:hAnsi="Arial" w:cs="Arial"/>
          <w:lang w:val="en-US"/>
        </w:rPr>
      </w:pPr>
    </w:p>
    <w:p w14:paraId="1488795B" w14:textId="77777777" w:rsidR="000E5F28" w:rsidRDefault="000E5F28" w:rsidP="00441406">
      <w:pPr>
        <w:spacing w:after="0" w:line="240" w:lineRule="auto"/>
        <w:jc w:val="both"/>
        <w:rPr>
          <w:rFonts w:ascii="Arial" w:hAnsi="Arial" w:cs="Arial"/>
          <w:lang w:val="en-US"/>
        </w:rPr>
      </w:pPr>
    </w:p>
    <w:p w14:paraId="2FE2831E" w14:textId="477C5F03" w:rsidR="000E5F28" w:rsidRPr="00541881" w:rsidRDefault="000E5F28" w:rsidP="00441406">
      <w:pPr>
        <w:spacing w:after="0" w:line="240" w:lineRule="auto"/>
        <w:jc w:val="both"/>
        <w:rPr>
          <w:rFonts w:ascii="Arial" w:hAnsi="Arial" w:cs="Arial"/>
          <w:u w:val="single"/>
          <w:lang w:val="en-US"/>
        </w:rPr>
      </w:pPr>
      <w:r w:rsidRPr="00541881">
        <w:rPr>
          <w:rFonts w:ascii="Arial" w:hAnsi="Arial" w:cs="Arial"/>
          <w:u w:val="single"/>
          <w:lang w:val="en-US"/>
        </w:rPr>
        <w:t>Genes associated with cholesterol metabolism</w:t>
      </w:r>
    </w:p>
    <w:p w14:paraId="0955C405" w14:textId="7A7137BD" w:rsidR="000E5F28" w:rsidRDefault="000E5F28" w:rsidP="00441406">
      <w:pPr>
        <w:spacing w:after="0" w:line="240" w:lineRule="auto"/>
        <w:jc w:val="both"/>
        <w:rPr>
          <w:rFonts w:ascii="Arial" w:hAnsi="Arial" w:cs="Arial"/>
          <w:lang w:val="en-US"/>
        </w:rPr>
      </w:pPr>
    </w:p>
    <w:p w14:paraId="64743F79" w14:textId="66E8EE93" w:rsidR="000E5F28" w:rsidRDefault="000E5F28" w:rsidP="00441406">
      <w:pPr>
        <w:spacing w:after="0" w:line="240" w:lineRule="auto"/>
        <w:jc w:val="both"/>
        <w:rPr>
          <w:rFonts w:ascii="Arial" w:hAnsi="Arial" w:cs="Arial"/>
          <w:lang w:val="en-US"/>
        </w:rPr>
      </w:pPr>
      <w:r>
        <w:rPr>
          <w:rFonts w:ascii="Arial" w:hAnsi="Arial" w:cs="Arial"/>
          <w:lang w:val="en-US"/>
        </w:rPr>
        <w:t>CYP7A1</w:t>
      </w:r>
      <w:r w:rsidR="007367AD">
        <w:rPr>
          <w:rFonts w:ascii="Arial" w:hAnsi="Arial" w:cs="Arial"/>
          <w:lang w:val="en-US"/>
        </w:rPr>
        <w:t xml:space="preserve"> – cytochrome P450 family 7 subfamily A member 1</w:t>
      </w:r>
    </w:p>
    <w:p w14:paraId="11156003" w14:textId="71C7EB2E" w:rsidR="007367AD" w:rsidRDefault="007367AD" w:rsidP="00441406">
      <w:pPr>
        <w:spacing w:after="0" w:line="240" w:lineRule="auto"/>
        <w:jc w:val="both"/>
        <w:rPr>
          <w:rFonts w:ascii="Arial" w:hAnsi="Arial" w:cs="Arial"/>
          <w:lang w:val="en-US"/>
        </w:rPr>
      </w:pPr>
      <w:r>
        <w:rPr>
          <w:rFonts w:ascii="Arial" w:hAnsi="Arial" w:cs="Arial"/>
          <w:lang w:val="en-US"/>
        </w:rPr>
        <w:t>The protein encoded by CYP7A1 is an endoplasmic reticulum membrane protein that catalyzes the first reaction in the cholesterol catabolic pathway in the liver, which converts cholesterol to bile acids. This reaction is the rate-limiting step and the major site of regulation of bile acid synthesis. CYP7A1 expression is restricted to liver.</w:t>
      </w:r>
    </w:p>
    <w:p w14:paraId="171A8828" w14:textId="6FE6332E" w:rsidR="000E5F28" w:rsidRDefault="000E5F28" w:rsidP="00441406">
      <w:pPr>
        <w:spacing w:after="0" w:line="240" w:lineRule="auto"/>
        <w:jc w:val="both"/>
        <w:rPr>
          <w:rFonts w:ascii="Arial" w:hAnsi="Arial" w:cs="Arial"/>
          <w:lang w:val="en-US"/>
        </w:rPr>
      </w:pPr>
    </w:p>
    <w:p w14:paraId="6D4664F1" w14:textId="19800D40" w:rsidR="000E5F28" w:rsidRDefault="000E5F28" w:rsidP="00441406">
      <w:pPr>
        <w:spacing w:after="0" w:line="240" w:lineRule="auto"/>
        <w:jc w:val="both"/>
        <w:rPr>
          <w:rFonts w:ascii="Arial" w:hAnsi="Arial" w:cs="Arial"/>
          <w:lang w:val="en-US"/>
        </w:rPr>
      </w:pPr>
      <w:r>
        <w:rPr>
          <w:rFonts w:ascii="Arial" w:hAnsi="Arial" w:cs="Arial"/>
          <w:lang w:val="en-US"/>
        </w:rPr>
        <w:t>HMGCR</w:t>
      </w:r>
      <w:r w:rsidR="003B741C">
        <w:rPr>
          <w:rFonts w:ascii="Arial" w:hAnsi="Arial" w:cs="Arial"/>
          <w:lang w:val="en-US"/>
        </w:rPr>
        <w:t xml:space="preserve"> – 3-hydroxy-3-methylglutaryl-CoA reductase</w:t>
      </w:r>
    </w:p>
    <w:p w14:paraId="60890A65" w14:textId="66B64D12" w:rsidR="003B741C" w:rsidRDefault="003B741C" w:rsidP="00441406">
      <w:pPr>
        <w:spacing w:after="0" w:line="240" w:lineRule="auto"/>
        <w:jc w:val="both"/>
        <w:rPr>
          <w:rFonts w:ascii="Arial" w:hAnsi="Arial" w:cs="Arial"/>
          <w:lang w:val="en-US"/>
        </w:rPr>
      </w:pPr>
      <w:r>
        <w:rPr>
          <w:rFonts w:ascii="Arial" w:hAnsi="Arial" w:cs="Arial"/>
          <w:lang w:val="en-US"/>
        </w:rPr>
        <w:t>The protein encoded by HMGCR catalyzes the rate-limiting step in cholesterol synthesis. It is inhibited by its own product, mevalonate, thereby regulating cholesterol synthesis. HMGCR is ubiquitously expressed in various tissues.</w:t>
      </w:r>
    </w:p>
    <w:p w14:paraId="74E22EF7" w14:textId="2430B18B" w:rsidR="000E5F28" w:rsidRDefault="000E5F28" w:rsidP="00441406">
      <w:pPr>
        <w:spacing w:after="0" w:line="240" w:lineRule="auto"/>
        <w:jc w:val="both"/>
        <w:rPr>
          <w:rFonts w:ascii="Arial" w:hAnsi="Arial" w:cs="Arial"/>
          <w:lang w:val="en-US"/>
        </w:rPr>
      </w:pPr>
    </w:p>
    <w:p w14:paraId="7B17E60D" w14:textId="1D3B2593" w:rsidR="000E5F28" w:rsidRDefault="000E5F28" w:rsidP="00441406">
      <w:pPr>
        <w:spacing w:after="0" w:line="240" w:lineRule="auto"/>
        <w:jc w:val="both"/>
        <w:rPr>
          <w:rFonts w:ascii="Arial" w:hAnsi="Arial" w:cs="Arial"/>
          <w:lang w:val="en-US"/>
        </w:rPr>
      </w:pPr>
      <w:r>
        <w:rPr>
          <w:rFonts w:ascii="Arial" w:hAnsi="Arial" w:cs="Arial"/>
          <w:lang w:val="en-US"/>
        </w:rPr>
        <w:t>HMGCS2</w:t>
      </w:r>
      <w:r w:rsidR="003B741C">
        <w:rPr>
          <w:rFonts w:ascii="Arial" w:hAnsi="Arial" w:cs="Arial"/>
          <w:lang w:val="en-US"/>
        </w:rPr>
        <w:t xml:space="preserve"> – 3-hydroxy-3-methylglutaryl-CoA synthase 2</w:t>
      </w:r>
    </w:p>
    <w:p w14:paraId="011D4522" w14:textId="71B8E166" w:rsidR="003B741C" w:rsidRDefault="003B741C" w:rsidP="00441406">
      <w:pPr>
        <w:spacing w:after="0" w:line="240" w:lineRule="auto"/>
        <w:jc w:val="both"/>
        <w:rPr>
          <w:rFonts w:ascii="Arial" w:hAnsi="Arial" w:cs="Arial"/>
          <w:lang w:val="en-US"/>
        </w:rPr>
      </w:pPr>
      <w:r>
        <w:rPr>
          <w:rFonts w:ascii="Arial" w:hAnsi="Arial" w:cs="Arial"/>
          <w:lang w:val="en-US"/>
        </w:rPr>
        <w:t>The protein encoded by HMGCS2 is a mitochondrial enzyme that catalyzes the first reaction of ketogenesis, a metabolic pathway that provides lipid-derived energy during times of carbohydrate deprivation. HMGCS2 is mainly expressed in liver.</w:t>
      </w:r>
    </w:p>
    <w:p w14:paraId="248CAA66" w14:textId="77777777" w:rsidR="000E5F28" w:rsidRDefault="000E5F28" w:rsidP="00441406">
      <w:pPr>
        <w:spacing w:after="0" w:line="240" w:lineRule="auto"/>
        <w:jc w:val="both"/>
        <w:rPr>
          <w:rFonts w:ascii="Arial" w:hAnsi="Arial" w:cs="Arial"/>
          <w:lang w:val="en-US"/>
        </w:rPr>
      </w:pPr>
    </w:p>
    <w:p w14:paraId="1927D777" w14:textId="5CBF5B67" w:rsidR="000E5F28" w:rsidRDefault="000E5F28" w:rsidP="00441406">
      <w:pPr>
        <w:spacing w:after="0" w:line="240" w:lineRule="auto"/>
        <w:jc w:val="both"/>
        <w:rPr>
          <w:rFonts w:ascii="Arial" w:hAnsi="Arial" w:cs="Arial"/>
          <w:lang w:val="en-US"/>
        </w:rPr>
      </w:pPr>
    </w:p>
    <w:p w14:paraId="34225C74" w14:textId="77777777" w:rsidR="00AB6B50" w:rsidRDefault="00AB6B50" w:rsidP="00441406">
      <w:pPr>
        <w:spacing w:after="0" w:line="240" w:lineRule="auto"/>
        <w:jc w:val="both"/>
        <w:rPr>
          <w:rFonts w:ascii="Arial" w:hAnsi="Arial" w:cs="Arial"/>
          <w:lang w:val="en-US"/>
        </w:rPr>
      </w:pPr>
    </w:p>
    <w:p w14:paraId="4F8DC020" w14:textId="4371DFB9" w:rsidR="000E5F28" w:rsidRPr="00541881" w:rsidRDefault="000E5F28" w:rsidP="00441406">
      <w:pPr>
        <w:spacing w:after="0" w:line="240" w:lineRule="auto"/>
        <w:jc w:val="both"/>
        <w:rPr>
          <w:rFonts w:ascii="Arial" w:hAnsi="Arial" w:cs="Arial"/>
          <w:u w:val="single"/>
          <w:lang w:val="en-US"/>
        </w:rPr>
      </w:pPr>
      <w:r w:rsidRPr="00541881">
        <w:rPr>
          <w:rFonts w:ascii="Arial" w:hAnsi="Arial" w:cs="Arial"/>
          <w:u w:val="single"/>
          <w:lang w:val="en-US"/>
        </w:rPr>
        <w:t>Genes associated with lipid and xenobiotic metabolism</w:t>
      </w:r>
    </w:p>
    <w:p w14:paraId="02A09FCA" w14:textId="2A6D78C3" w:rsidR="000E5F28" w:rsidRDefault="000E5F28" w:rsidP="00441406">
      <w:pPr>
        <w:spacing w:after="0" w:line="240" w:lineRule="auto"/>
        <w:jc w:val="both"/>
        <w:rPr>
          <w:rFonts w:ascii="Arial" w:hAnsi="Arial" w:cs="Arial"/>
          <w:lang w:val="en-US"/>
        </w:rPr>
      </w:pPr>
    </w:p>
    <w:p w14:paraId="44BEA463" w14:textId="7DA06CC1" w:rsidR="000E5F28" w:rsidRDefault="000E5F28" w:rsidP="00441406">
      <w:pPr>
        <w:spacing w:after="0" w:line="240" w:lineRule="auto"/>
        <w:jc w:val="both"/>
        <w:rPr>
          <w:rFonts w:ascii="Arial" w:hAnsi="Arial" w:cs="Arial"/>
          <w:lang w:val="en-US"/>
        </w:rPr>
      </w:pPr>
      <w:r>
        <w:rPr>
          <w:rFonts w:ascii="Arial" w:hAnsi="Arial" w:cs="Arial"/>
          <w:lang w:val="en-US"/>
        </w:rPr>
        <w:t>CYP2B6</w:t>
      </w:r>
      <w:r w:rsidR="00364143">
        <w:rPr>
          <w:rFonts w:ascii="Arial" w:hAnsi="Arial" w:cs="Arial"/>
          <w:lang w:val="en-US"/>
        </w:rPr>
        <w:t xml:space="preserve"> – cytochrome P450 family 2 subfamily B member 6</w:t>
      </w:r>
    </w:p>
    <w:p w14:paraId="0E793009" w14:textId="59BEBF8E" w:rsidR="00364143" w:rsidRDefault="00364143" w:rsidP="00441406">
      <w:pPr>
        <w:spacing w:after="0" w:line="240" w:lineRule="auto"/>
        <w:jc w:val="both"/>
        <w:rPr>
          <w:rFonts w:ascii="Arial" w:hAnsi="Arial" w:cs="Arial"/>
          <w:lang w:val="en-US"/>
        </w:rPr>
      </w:pPr>
      <w:r>
        <w:rPr>
          <w:rFonts w:ascii="Arial" w:hAnsi="Arial" w:cs="Arial"/>
          <w:lang w:val="en-US"/>
        </w:rPr>
        <w:t xml:space="preserve">The protein encoded by CYP2B6 is a member of the cytochrome P450 superfamily of enzymes. It is located in the endoplasmic reticulum and it is known to oxidize some xenobiotics. Expression of CYP2B6 is restricted to liver. </w:t>
      </w:r>
    </w:p>
    <w:p w14:paraId="6A9D91F7" w14:textId="39F59117" w:rsidR="000E5F28" w:rsidRDefault="000E5F28" w:rsidP="00441406">
      <w:pPr>
        <w:spacing w:after="0" w:line="240" w:lineRule="auto"/>
        <w:jc w:val="both"/>
        <w:rPr>
          <w:rFonts w:ascii="Arial" w:hAnsi="Arial" w:cs="Arial"/>
          <w:lang w:val="en-US"/>
        </w:rPr>
      </w:pPr>
    </w:p>
    <w:p w14:paraId="1CCBE976" w14:textId="045F854B" w:rsidR="000E5F28" w:rsidRDefault="000E5F28" w:rsidP="00441406">
      <w:pPr>
        <w:spacing w:after="0" w:line="240" w:lineRule="auto"/>
        <w:jc w:val="both"/>
        <w:rPr>
          <w:rFonts w:ascii="Arial" w:hAnsi="Arial" w:cs="Arial"/>
          <w:lang w:val="en-US"/>
        </w:rPr>
      </w:pPr>
      <w:r>
        <w:rPr>
          <w:rFonts w:ascii="Arial" w:hAnsi="Arial" w:cs="Arial"/>
          <w:lang w:val="en-US"/>
        </w:rPr>
        <w:lastRenderedPageBreak/>
        <w:t>CYP3A4</w:t>
      </w:r>
      <w:r w:rsidR="00364143">
        <w:rPr>
          <w:rFonts w:ascii="Arial" w:hAnsi="Arial" w:cs="Arial"/>
          <w:lang w:val="en-US"/>
        </w:rPr>
        <w:t xml:space="preserve"> </w:t>
      </w:r>
      <w:r w:rsidR="003646E6">
        <w:rPr>
          <w:rFonts w:ascii="Arial" w:hAnsi="Arial" w:cs="Arial"/>
          <w:lang w:val="en-US"/>
        </w:rPr>
        <w:t>–</w:t>
      </w:r>
      <w:r w:rsidR="00364143">
        <w:rPr>
          <w:rFonts w:ascii="Arial" w:hAnsi="Arial" w:cs="Arial"/>
          <w:lang w:val="en-US"/>
        </w:rPr>
        <w:t xml:space="preserve"> </w:t>
      </w:r>
      <w:r w:rsidR="003646E6">
        <w:rPr>
          <w:rFonts w:ascii="Arial" w:hAnsi="Arial" w:cs="Arial"/>
          <w:lang w:val="en-US"/>
        </w:rPr>
        <w:t>cytochrome P450 family 3 subfamily A member 4</w:t>
      </w:r>
    </w:p>
    <w:p w14:paraId="5F894252" w14:textId="1DF563CD" w:rsidR="003646E6" w:rsidRDefault="003646E6" w:rsidP="00441406">
      <w:pPr>
        <w:spacing w:after="0" w:line="240" w:lineRule="auto"/>
        <w:jc w:val="both"/>
        <w:rPr>
          <w:rFonts w:ascii="Arial" w:hAnsi="Arial" w:cs="Arial"/>
          <w:lang w:val="en-US"/>
        </w:rPr>
      </w:pPr>
      <w:r>
        <w:rPr>
          <w:rFonts w:ascii="Arial" w:hAnsi="Arial" w:cs="Arial"/>
          <w:lang w:val="en-US"/>
        </w:rPr>
        <w:t xml:space="preserve">The protein encoded by CYP3A4 belongs to the family of cytochrome P450 monooxygenases. It localizes in the endoplasmic reticulum and is involved in the metabolism of a large variety of drugs, xenobiotics, and steroids. CYP3A4 is expressed in liver and intestine. </w:t>
      </w:r>
    </w:p>
    <w:p w14:paraId="6606B9EF" w14:textId="2B17E5F5" w:rsidR="000E5F28" w:rsidRDefault="000E5F28" w:rsidP="00441406">
      <w:pPr>
        <w:spacing w:after="0" w:line="240" w:lineRule="auto"/>
        <w:jc w:val="both"/>
        <w:rPr>
          <w:rFonts w:ascii="Arial" w:hAnsi="Arial" w:cs="Arial"/>
          <w:lang w:val="en-US"/>
        </w:rPr>
      </w:pPr>
    </w:p>
    <w:p w14:paraId="4EDDC391" w14:textId="57B6EEF8" w:rsidR="000E5F28" w:rsidRDefault="000E5F28" w:rsidP="00441406">
      <w:pPr>
        <w:spacing w:after="0" w:line="240" w:lineRule="auto"/>
        <w:jc w:val="both"/>
        <w:rPr>
          <w:rFonts w:ascii="Arial" w:hAnsi="Arial" w:cs="Arial"/>
          <w:lang w:val="en-US"/>
        </w:rPr>
      </w:pPr>
      <w:r>
        <w:rPr>
          <w:rFonts w:ascii="Arial" w:hAnsi="Arial" w:cs="Arial"/>
          <w:lang w:val="en-US"/>
        </w:rPr>
        <w:t>FABP1</w:t>
      </w:r>
      <w:r w:rsidR="003646E6">
        <w:rPr>
          <w:rFonts w:ascii="Arial" w:hAnsi="Arial" w:cs="Arial"/>
          <w:lang w:val="en-US"/>
        </w:rPr>
        <w:t xml:space="preserve"> – fatty acid binding protein 1</w:t>
      </w:r>
    </w:p>
    <w:p w14:paraId="1FFA8F24" w14:textId="2C579FD7" w:rsidR="003646E6" w:rsidRDefault="003646E6" w:rsidP="00441406">
      <w:pPr>
        <w:spacing w:after="0" w:line="240" w:lineRule="auto"/>
        <w:jc w:val="both"/>
        <w:rPr>
          <w:rFonts w:ascii="Arial" w:hAnsi="Arial" w:cs="Arial"/>
          <w:lang w:val="en-US"/>
        </w:rPr>
      </w:pPr>
      <w:r>
        <w:rPr>
          <w:rFonts w:ascii="Arial" w:hAnsi="Arial" w:cs="Arial"/>
          <w:lang w:val="en-US"/>
        </w:rPr>
        <w:t>The protein encoded by FABP1 is a cytosolic protein that binds long-chain fatty acids, bile acids, and other hydrophobic ligands. It has a function in fatty acid uptake, transport, and metabolism. FABP1 is expressed in liver and intestine.</w:t>
      </w:r>
    </w:p>
    <w:p w14:paraId="1923A94B" w14:textId="77777777" w:rsidR="001436F9" w:rsidRDefault="001436F9" w:rsidP="00441406">
      <w:pPr>
        <w:spacing w:after="0" w:line="240" w:lineRule="auto"/>
        <w:jc w:val="both"/>
        <w:rPr>
          <w:rFonts w:ascii="Arial" w:hAnsi="Arial" w:cs="Arial"/>
          <w:lang w:val="en-US"/>
        </w:rPr>
      </w:pPr>
    </w:p>
    <w:p w14:paraId="3231BE12" w14:textId="60A43C26" w:rsidR="000E5F28" w:rsidRDefault="000E5F28" w:rsidP="00441406">
      <w:pPr>
        <w:spacing w:after="0" w:line="240" w:lineRule="auto"/>
        <w:jc w:val="both"/>
        <w:rPr>
          <w:rFonts w:ascii="Arial" w:hAnsi="Arial" w:cs="Arial"/>
          <w:lang w:val="en-US"/>
        </w:rPr>
      </w:pPr>
      <w:r>
        <w:rPr>
          <w:rFonts w:ascii="Arial" w:hAnsi="Arial" w:cs="Arial"/>
          <w:lang w:val="en-US"/>
        </w:rPr>
        <w:t>UGT1A1</w:t>
      </w:r>
      <w:r w:rsidR="003646E6">
        <w:rPr>
          <w:rFonts w:ascii="Arial" w:hAnsi="Arial" w:cs="Arial"/>
          <w:lang w:val="en-US"/>
        </w:rPr>
        <w:t xml:space="preserve"> </w:t>
      </w:r>
      <w:r w:rsidR="005E151A">
        <w:rPr>
          <w:rFonts w:ascii="Arial" w:hAnsi="Arial" w:cs="Arial"/>
          <w:lang w:val="en-US"/>
        </w:rPr>
        <w:t>–</w:t>
      </w:r>
      <w:r w:rsidR="003646E6">
        <w:rPr>
          <w:rFonts w:ascii="Arial" w:hAnsi="Arial" w:cs="Arial"/>
          <w:lang w:val="en-US"/>
        </w:rPr>
        <w:t xml:space="preserve"> </w:t>
      </w:r>
      <w:r w:rsidR="005E151A">
        <w:rPr>
          <w:rFonts w:ascii="Arial" w:hAnsi="Arial" w:cs="Arial"/>
          <w:lang w:val="en-US"/>
        </w:rPr>
        <w:t>UDP glucuronosyltransferase family 1 member A1</w:t>
      </w:r>
    </w:p>
    <w:p w14:paraId="17A45E64" w14:textId="42211ACC" w:rsidR="005E151A" w:rsidRDefault="005E151A" w:rsidP="00441406">
      <w:pPr>
        <w:spacing w:after="0" w:line="240" w:lineRule="auto"/>
        <w:jc w:val="both"/>
        <w:rPr>
          <w:rFonts w:ascii="Arial" w:hAnsi="Arial" w:cs="Arial"/>
          <w:lang w:val="en-US"/>
        </w:rPr>
      </w:pPr>
      <w:r>
        <w:rPr>
          <w:rFonts w:ascii="Arial" w:hAnsi="Arial" w:cs="Arial"/>
          <w:lang w:val="en-US"/>
        </w:rPr>
        <w:t xml:space="preserve">The protein encoded by UGT1A1 is an enzyme of the glucuronidation pathway that transforms small lipophilic molecules, e. g. bilirubin and C18 steroids, into water-soluble, excretable metabolites. UGT1A1 is expressed in liver, kidney, and intestine. </w:t>
      </w:r>
    </w:p>
    <w:p w14:paraId="0B0DCD51" w14:textId="2B8A61A9" w:rsidR="005E151A" w:rsidRDefault="005E151A" w:rsidP="00441406">
      <w:pPr>
        <w:spacing w:after="0" w:line="240" w:lineRule="auto"/>
        <w:jc w:val="both"/>
        <w:rPr>
          <w:rFonts w:ascii="Arial" w:hAnsi="Arial" w:cs="Arial"/>
          <w:lang w:val="en-US"/>
        </w:rPr>
      </w:pPr>
    </w:p>
    <w:p w14:paraId="76D163F0" w14:textId="7FB1B900" w:rsidR="005E151A" w:rsidRPr="00541881" w:rsidRDefault="005E151A" w:rsidP="00441406">
      <w:pPr>
        <w:spacing w:after="0" w:line="240" w:lineRule="auto"/>
        <w:jc w:val="both"/>
        <w:rPr>
          <w:rFonts w:ascii="Arial" w:hAnsi="Arial" w:cs="Arial"/>
          <w:u w:val="single"/>
          <w:lang w:val="en-US"/>
        </w:rPr>
      </w:pPr>
      <w:r w:rsidRPr="00541881">
        <w:rPr>
          <w:rFonts w:ascii="Arial" w:hAnsi="Arial" w:cs="Arial"/>
          <w:u w:val="single"/>
          <w:lang w:val="en-US"/>
        </w:rPr>
        <w:t>Housekeeping genes</w:t>
      </w:r>
    </w:p>
    <w:p w14:paraId="60133E1E" w14:textId="5D42EE52" w:rsidR="005E151A" w:rsidRDefault="005E151A" w:rsidP="00441406">
      <w:pPr>
        <w:spacing w:after="0" w:line="240" w:lineRule="auto"/>
        <w:jc w:val="both"/>
        <w:rPr>
          <w:rFonts w:ascii="Arial" w:hAnsi="Arial" w:cs="Arial"/>
          <w:lang w:val="en-US"/>
        </w:rPr>
      </w:pPr>
    </w:p>
    <w:p w14:paraId="6BBDAF6E" w14:textId="49874D98" w:rsidR="005E151A" w:rsidRDefault="005E151A" w:rsidP="00441406">
      <w:pPr>
        <w:spacing w:after="0" w:line="240" w:lineRule="auto"/>
        <w:jc w:val="both"/>
        <w:rPr>
          <w:rFonts w:ascii="Arial" w:hAnsi="Arial" w:cs="Arial"/>
          <w:lang w:val="en-US"/>
        </w:rPr>
      </w:pPr>
      <w:r>
        <w:rPr>
          <w:rFonts w:ascii="Arial" w:hAnsi="Arial" w:cs="Arial"/>
          <w:lang w:val="en-US"/>
        </w:rPr>
        <w:t>ACTB – actin beta</w:t>
      </w:r>
    </w:p>
    <w:p w14:paraId="4A08FD3B" w14:textId="5ED6BD86" w:rsidR="005E151A" w:rsidRPr="00AB6B50" w:rsidRDefault="005E151A" w:rsidP="00441406">
      <w:pPr>
        <w:spacing w:after="0" w:line="240" w:lineRule="auto"/>
        <w:jc w:val="both"/>
        <w:rPr>
          <w:rFonts w:ascii="Arial" w:hAnsi="Arial" w:cs="Arial"/>
          <w:lang w:val="en-US"/>
        </w:rPr>
      </w:pPr>
      <w:r w:rsidRPr="00AB6B50">
        <w:rPr>
          <w:rFonts w:ascii="Arial" w:hAnsi="Arial" w:cs="Arial"/>
          <w:lang w:val="en-US"/>
        </w:rPr>
        <w:t>GAPDH – glyceraldehyde-3-phosphate dehydrogenase</w:t>
      </w:r>
    </w:p>
    <w:p w14:paraId="4858EC1B" w14:textId="1E523351" w:rsidR="005E151A" w:rsidRPr="00AB6B50" w:rsidRDefault="005E151A" w:rsidP="00441406">
      <w:pPr>
        <w:spacing w:after="0" w:line="240" w:lineRule="auto"/>
        <w:jc w:val="both"/>
        <w:rPr>
          <w:rFonts w:ascii="Arial" w:hAnsi="Arial" w:cs="Arial"/>
          <w:lang w:val="en-US"/>
        </w:rPr>
      </w:pPr>
      <w:r w:rsidRPr="00AB6B50">
        <w:rPr>
          <w:rFonts w:ascii="Arial" w:hAnsi="Arial" w:cs="Arial"/>
          <w:lang w:val="en-US"/>
        </w:rPr>
        <w:t>18SrRNA – 18S ribosomal RNA</w:t>
      </w:r>
    </w:p>
    <w:p w14:paraId="5287677E" w14:textId="2F9A280A" w:rsidR="005E151A" w:rsidRPr="00AB6B50" w:rsidRDefault="005E151A" w:rsidP="00441406">
      <w:pPr>
        <w:spacing w:after="0" w:line="240" w:lineRule="auto"/>
        <w:jc w:val="both"/>
        <w:rPr>
          <w:rFonts w:ascii="Arial" w:hAnsi="Arial" w:cs="Arial"/>
          <w:lang w:val="en-US"/>
        </w:rPr>
      </w:pPr>
    </w:p>
    <w:p w14:paraId="47FEC440" w14:textId="517A9B8D" w:rsidR="005E151A" w:rsidRPr="005E151A" w:rsidRDefault="005E151A" w:rsidP="00441406">
      <w:pPr>
        <w:spacing w:after="0" w:line="240" w:lineRule="auto"/>
        <w:jc w:val="both"/>
        <w:rPr>
          <w:rFonts w:ascii="Arial" w:hAnsi="Arial" w:cs="Arial"/>
          <w:lang w:val="en-GB"/>
        </w:rPr>
      </w:pPr>
      <w:r w:rsidRPr="005E151A">
        <w:rPr>
          <w:rFonts w:ascii="Arial" w:hAnsi="Arial" w:cs="Arial"/>
          <w:lang w:val="en-GB"/>
        </w:rPr>
        <w:t xml:space="preserve">In </w:t>
      </w:r>
      <w:proofErr w:type="spellStart"/>
      <w:r w:rsidRPr="005E151A">
        <w:rPr>
          <w:rFonts w:ascii="Arial" w:hAnsi="Arial" w:cs="Arial"/>
          <w:lang w:val="en-GB"/>
        </w:rPr>
        <w:t>qRT</w:t>
      </w:r>
      <w:proofErr w:type="spellEnd"/>
      <w:r w:rsidRPr="005E151A">
        <w:rPr>
          <w:rFonts w:ascii="Arial" w:hAnsi="Arial" w:cs="Arial"/>
          <w:lang w:val="en-GB"/>
        </w:rPr>
        <w:t>-PCR studies, ACTB, GAPDH a</w:t>
      </w:r>
      <w:r>
        <w:rPr>
          <w:rFonts w:ascii="Arial" w:hAnsi="Arial" w:cs="Arial"/>
          <w:lang w:val="en-GB"/>
        </w:rPr>
        <w:t>nd 18SrRNA are commonly used as housekeeping genes for normalization purposes.</w:t>
      </w:r>
    </w:p>
    <w:p w14:paraId="62761E09" w14:textId="77777777" w:rsidR="000E5F28" w:rsidRPr="005E151A" w:rsidRDefault="000E5F28" w:rsidP="00441406">
      <w:pPr>
        <w:spacing w:after="0" w:line="240" w:lineRule="auto"/>
        <w:jc w:val="both"/>
        <w:rPr>
          <w:rFonts w:ascii="Arial" w:hAnsi="Arial" w:cs="Arial"/>
          <w:lang w:val="en-GB"/>
        </w:rPr>
      </w:pPr>
    </w:p>
    <w:p w14:paraId="72BA15CB" w14:textId="77777777" w:rsidR="000E5F28" w:rsidRPr="005E151A" w:rsidRDefault="000E5F28" w:rsidP="00441406">
      <w:pPr>
        <w:spacing w:after="0" w:line="240" w:lineRule="auto"/>
        <w:jc w:val="both"/>
        <w:rPr>
          <w:rFonts w:ascii="Arial" w:hAnsi="Arial" w:cs="Arial"/>
          <w:lang w:val="en-GB"/>
        </w:rPr>
      </w:pPr>
    </w:p>
    <w:p w14:paraId="28065FA2" w14:textId="77777777" w:rsidR="006E4B7F" w:rsidRPr="00AB6B50" w:rsidRDefault="006E4B7F" w:rsidP="006E4B7F">
      <w:pPr>
        <w:spacing w:after="0" w:line="240" w:lineRule="auto"/>
        <w:jc w:val="both"/>
        <w:rPr>
          <w:rFonts w:ascii="Arial" w:hAnsi="Arial" w:cs="Arial"/>
          <w:lang w:val="en-GB"/>
        </w:rPr>
      </w:pPr>
    </w:p>
    <w:p w14:paraId="178F990E" w14:textId="77777777" w:rsidR="006E4B7F" w:rsidRDefault="006E4B7F" w:rsidP="006E4B7F">
      <w:pPr>
        <w:spacing w:after="0" w:line="240" w:lineRule="auto"/>
        <w:jc w:val="both"/>
        <w:rPr>
          <w:rFonts w:ascii="Arial" w:hAnsi="Arial" w:cs="Arial"/>
          <w:lang w:val="en-US"/>
        </w:rPr>
      </w:pPr>
    </w:p>
    <w:p w14:paraId="7AEF6155" w14:textId="77777777" w:rsidR="006E4B7F" w:rsidRDefault="006E4B7F" w:rsidP="006E4B7F">
      <w:pPr>
        <w:spacing w:after="0" w:line="240" w:lineRule="auto"/>
        <w:jc w:val="both"/>
        <w:rPr>
          <w:rFonts w:ascii="Arial" w:hAnsi="Arial" w:cs="Arial"/>
          <w:lang w:val="en-US"/>
        </w:rPr>
      </w:pPr>
    </w:p>
    <w:p w14:paraId="4C76035F" w14:textId="77777777" w:rsidR="006E4B7F" w:rsidRDefault="006E4B7F" w:rsidP="006E4B7F">
      <w:pPr>
        <w:spacing w:after="0" w:line="240" w:lineRule="auto"/>
        <w:jc w:val="both"/>
        <w:rPr>
          <w:rFonts w:ascii="Arial" w:hAnsi="Arial" w:cs="Arial"/>
          <w:lang w:val="en-US"/>
        </w:rPr>
      </w:pPr>
    </w:p>
    <w:p w14:paraId="666C3956" w14:textId="77777777" w:rsidR="006E4B7F" w:rsidRDefault="006E4B7F" w:rsidP="006E4B7F">
      <w:pPr>
        <w:spacing w:after="0" w:line="240" w:lineRule="auto"/>
        <w:jc w:val="both"/>
        <w:rPr>
          <w:rFonts w:ascii="Arial" w:hAnsi="Arial" w:cs="Arial"/>
          <w:lang w:val="en-US"/>
        </w:rPr>
      </w:pPr>
    </w:p>
    <w:p w14:paraId="60E092AC" w14:textId="77777777" w:rsidR="006E4B7F" w:rsidRDefault="006E4B7F" w:rsidP="006E4B7F">
      <w:pPr>
        <w:spacing w:after="0" w:line="240" w:lineRule="auto"/>
        <w:jc w:val="both"/>
        <w:rPr>
          <w:rFonts w:ascii="Arial" w:hAnsi="Arial" w:cs="Arial"/>
          <w:lang w:val="en-US"/>
        </w:rPr>
      </w:pPr>
    </w:p>
    <w:p w14:paraId="2267C90C" w14:textId="77777777" w:rsidR="006E4B7F" w:rsidRDefault="006E4B7F" w:rsidP="006E4B7F">
      <w:pPr>
        <w:spacing w:after="0" w:line="240" w:lineRule="auto"/>
        <w:jc w:val="both"/>
        <w:rPr>
          <w:rFonts w:ascii="Arial" w:hAnsi="Arial" w:cs="Arial"/>
          <w:lang w:val="en-US"/>
        </w:rPr>
      </w:pPr>
    </w:p>
    <w:p w14:paraId="02988ECE" w14:textId="77777777" w:rsidR="006E4B7F" w:rsidRDefault="006E4B7F" w:rsidP="006E4B7F">
      <w:pPr>
        <w:spacing w:after="0" w:line="240" w:lineRule="auto"/>
        <w:jc w:val="both"/>
        <w:rPr>
          <w:rFonts w:ascii="Arial" w:hAnsi="Arial" w:cs="Arial"/>
          <w:lang w:val="en-US"/>
        </w:rPr>
      </w:pPr>
    </w:p>
    <w:p w14:paraId="31AB2637" w14:textId="77777777" w:rsidR="006E4B7F" w:rsidRDefault="006E4B7F" w:rsidP="006E4B7F">
      <w:pPr>
        <w:spacing w:after="0" w:line="240" w:lineRule="auto"/>
        <w:jc w:val="both"/>
        <w:rPr>
          <w:rFonts w:ascii="Arial" w:hAnsi="Arial" w:cs="Arial"/>
          <w:lang w:val="en-US"/>
        </w:rPr>
      </w:pPr>
    </w:p>
    <w:p w14:paraId="0DE5DA5C" w14:textId="77777777" w:rsidR="006E4B7F" w:rsidRDefault="006E4B7F" w:rsidP="006E4B7F">
      <w:pPr>
        <w:spacing w:after="0" w:line="240" w:lineRule="auto"/>
        <w:jc w:val="both"/>
        <w:rPr>
          <w:rFonts w:ascii="Arial" w:hAnsi="Arial" w:cs="Arial"/>
          <w:lang w:val="en-US"/>
        </w:rPr>
      </w:pPr>
    </w:p>
    <w:p w14:paraId="45F6C5C0" w14:textId="77777777" w:rsidR="006E4B7F" w:rsidRDefault="006E4B7F" w:rsidP="006E4B7F">
      <w:pPr>
        <w:spacing w:after="0" w:line="240" w:lineRule="auto"/>
        <w:jc w:val="both"/>
        <w:rPr>
          <w:rFonts w:ascii="Arial" w:hAnsi="Arial" w:cs="Arial"/>
          <w:lang w:val="en-US"/>
        </w:rPr>
      </w:pPr>
    </w:p>
    <w:p w14:paraId="270D37C9" w14:textId="77777777" w:rsidR="005E77AF" w:rsidRDefault="005E77AF" w:rsidP="006E4B7F">
      <w:pPr>
        <w:spacing w:after="0" w:line="240" w:lineRule="auto"/>
        <w:jc w:val="both"/>
        <w:rPr>
          <w:rFonts w:ascii="Arial" w:hAnsi="Arial" w:cs="Arial"/>
          <w:lang w:val="en-US"/>
        </w:rPr>
      </w:pPr>
    </w:p>
    <w:p w14:paraId="4121D61D" w14:textId="77777777" w:rsidR="006E4B7F" w:rsidRPr="006E4B7F" w:rsidRDefault="006E4B7F" w:rsidP="006E4B7F">
      <w:pPr>
        <w:spacing w:after="0" w:line="240" w:lineRule="auto"/>
        <w:jc w:val="both"/>
        <w:rPr>
          <w:rFonts w:ascii="Arial" w:hAnsi="Arial" w:cs="Arial"/>
          <w:lang w:val="en-US"/>
        </w:rPr>
      </w:pPr>
    </w:p>
    <w:p w14:paraId="4A1FE3F0" w14:textId="77777777" w:rsidR="006E4B7F" w:rsidRPr="006E4B7F" w:rsidRDefault="006E4B7F" w:rsidP="006E4B7F">
      <w:pPr>
        <w:spacing w:after="0" w:line="240" w:lineRule="auto"/>
        <w:jc w:val="both"/>
        <w:rPr>
          <w:rFonts w:ascii="Arial" w:hAnsi="Arial" w:cs="Arial"/>
          <w:lang w:val="en-US"/>
        </w:rPr>
      </w:pPr>
    </w:p>
    <w:p w14:paraId="44783A04" w14:textId="77777777" w:rsidR="00D47FFC" w:rsidRDefault="00D47FFC" w:rsidP="006E4B7F">
      <w:pPr>
        <w:spacing w:after="0" w:line="240" w:lineRule="auto"/>
        <w:jc w:val="both"/>
        <w:rPr>
          <w:rFonts w:ascii="Arial" w:hAnsi="Arial" w:cs="Arial"/>
          <w:lang w:val="en-US"/>
        </w:rPr>
      </w:pPr>
    </w:p>
    <w:p w14:paraId="53567E66" w14:textId="77777777" w:rsidR="00D47FFC" w:rsidRDefault="00D47FFC" w:rsidP="006E4B7F">
      <w:pPr>
        <w:spacing w:after="0" w:line="240" w:lineRule="auto"/>
        <w:jc w:val="both"/>
        <w:rPr>
          <w:rFonts w:ascii="Arial" w:hAnsi="Arial" w:cs="Arial"/>
          <w:lang w:val="en-US"/>
        </w:rPr>
      </w:pPr>
    </w:p>
    <w:p w14:paraId="383BEBD1" w14:textId="77777777" w:rsidR="00D47FFC" w:rsidRDefault="00D47FFC">
      <w:pPr>
        <w:rPr>
          <w:lang w:val="en-US"/>
        </w:rPr>
      </w:pPr>
    </w:p>
    <w:p w14:paraId="6DD285D1" w14:textId="77777777" w:rsidR="00D47FFC" w:rsidRDefault="00D47FFC" w:rsidP="00D47FFC">
      <w:pPr>
        <w:rPr>
          <w:lang w:val="en-US"/>
        </w:rPr>
      </w:pPr>
    </w:p>
    <w:sectPr w:rsidR="00D47FFC" w:rsidSect="007A31F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4B7F"/>
    <w:rsid w:val="00005ED7"/>
    <w:rsid w:val="00086DE2"/>
    <w:rsid w:val="000B587B"/>
    <w:rsid w:val="000E5F28"/>
    <w:rsid w:val="001436F9"/>
    <w:rsid w:val="00163C3D"/>
    <w:rsid w:val="00325374"/>
    <w:rsid w:val="00344DD0"/>
    <w:rsid w:val="00364143"/>
    <w:rsid w:val="003646E6"/>
    <w:rsid w:val="003B741C"/>
    <w:rsid w:val="003D7574"/>
    <w:rsid w:val="003E6B95"/>
    <w:rsid w:val="00441406"/>
    <w:rsid w:val="004E4030"/>
    <w:rsid w:val="004F22C3"/>
    <w:rsid w:val="0050167F"/>
    <w:rsid w:val="00541881"/>
    <w:rsid w:val="005E151A"/>
    <w:rsid w:val="005E77AF"/>
    <w:rsid w:val="005F2240"/>
    <w:rsid w:val="00621149"/>
    <w:rsid w:val="00656058"/>
    <w:rsid w:val="006E4B7F"/>
    <w:rsid w:val="006E5FA6"/>
    <w:rsid w:val="006F111A"/>
    <w:rsid w:val="007367AD"/>
    <w:rsid w:val="007A31F0"/>
    <w:rsid w:val="00874B1D"/>
    <w:rsid w:val="008C25AC"/>
    <w:rsid w:val="00AB6B50"/>
    <w:rsid w:val="00BF723A"/>
    <w:rsid w:val="00D47FFC"/>
    <w:rsid w:val="00DA3130"/>
    <w:rsid w:val="00E57E29"/>
    <w:rsid w:val="00F93F9F"/>
    <w:rsid w:val="00FD489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AE7FA"/>
  <w15:chartTrackingRefBased/>
  <w15:docId w15:val="{A1E7E194-C37B-4E7F-9EC4-B80B0A5A3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4B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E4B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41406"/>
    <w:pPr>
      <w:spacing w:after="0" w:line="240" w:lineRule="auto"/>
    </w:pPr>
  </w:style>
  <w:style w:type="character" w:styleId="CommentReference">
    <w:name w:val="annotation reference"/>
    <w:basedOn w:val="DefaultParagraphFont"/>
    <w:uiPriority w:val="99"/>
    <w:semiHidden/>
    <w:unhideWhenUsed/>
    <w:rsid w:val="004E4030"/>
    <w:rPr>
      <w:sz w:val="16"/>
      <w:szCs w:val="16"/>
    </w:rPr>
  </w:style>
  <w:style w:type="paragraph" w:styleId="CommentText">
    <w:name w:val="annotation text"/>
    <w:basedOn w:val="Normal"/>
    <w:link w:val="CommentTextChar"/>
    <w:uiPriority w:val="99"/>
    <w:unhideWhenUsed/>
    <w:rsid w:val="004E4030"/>
    <w:pPr>
      <w:spacing w:line="240" w:lineRule="auto"/>
    </w:pPr>
    <w:rPr>
      <w:sz w:val="20"/>
      <w:szCs w:val="20"/>
    </w:rPr>
  </w:style>
  <w:style w:type="character" w:customStyle="1" w:styleId="CommentTextChar">
    <w:name w:val="Comment Text Char"/>
    <w:basedOn w:val="DefaultParagraphFont"/>
    <w:link w:val="CommentText"/>
    <w:uiPriority w:val="99"/>
    <w:rsid w:val="004E4030"/>
    <w:rPr>
      <w:sz w:val="20"/>
      <w:szCs w:val="20"/>
    </w:rPr>
  </w:style>
  <w:style w:type="paragraph" w:styleId="BalloonText">
    <w:name w:val="Balloon Text"/>
    <w:basedOn w:val="Normal"/>
    <w:link w:val="BalloonTextChar"/>
    <w:uiPriority w:val="99"/>
    <w:semiHidden/>
    <w:unhideWhenUsed/>
    <w:rsid w:val="004E40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403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1340</Words>
  <Characters>7640</Characters>
  <Application>Microsoft Office Word</Application>
  <DocSecurity>0</DocSecurity>
  <Lines>63</Lines>
  <Paragraphs>17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Bundesinstitut für Risikobewertung</Company>
  <LinksUpToDate>false</LinksUpToDate>
  <CharactersWithSpaces>8963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Frau Faezeh Sadrabadihaghighi</dc:creator>
  <cp:keywords/>
  <dc:description/>
  <cp:lastModifiedBy>Ananthi Shiyamala</cp:lastModifiedBy>
  <cp:revision>6</cp:revision>
  <dcterms:created xsi:type="dcterms:W3CDTF">2023-10-27T07:23:00Z</dcterms:created>
  <dcterms:modified xsi:type="dcterms:W3CDTF">2023-12-18T03:06:00Z</dcterms:modified>
</cp:coreProperties>
</file>