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F040DB" w14:textId="77777777" w:rsidR="00946640" w:rsidRDefault="00946640" w:rsidP="00946640">
      <w:pPr>
        <w:spacing w:after="0"/>
        <w:rPr>
          <w:rFonts w:ascii="Times New Roman" w:hAnsi="Times New Roman" w:cs="Times New Roman"/>
          <w:b/>
          <w:bCs/>
          <w:sz w:val="24"/>
          <w:szCs w:val="24"/>
        </w:rPr>
      </w:pPr>
    </w:p>
    <w:p w14:paraId="46D13F55" w14:textId="727DE562" w:rsidR="00946640" w:rsidRDefault="00946640" w:rsidP="00946640">
      <w:pPr>
        <w:spacing w:after="0"/>
        <w:rPr>
          <w:rFonts w:ascii="Times New Roman" w:hAnsi="Times New Roman" w:cs="Times New Roman"/>
          <w:color w:val="000000"/>
          <w:sz w:val="24"/>
          <w:szCs w:val="24"/>
        </w:rPr>
      </w:pPr>
      <w:r>
        <w:rPr>
          <w:rFonts w:ascii="Times New Roman" w:hAnsi="Times New Roman" w:cs="Times New Roman"/>
          <w:b/>
          <w:bCs/>
          <w:sz w:val="24"/>
          <w:szCs w:val="24"/>
        </w:rPr>
        <w:t>Title</w:t>
      </w:r>
      <w:r>
        <w:rPr>
          <w:rFonts w:ascii="Times New Roman" w:hAnsi="Times New Roman" w:cs="Times New Roman"/>
          <w:sz w:val="24"/>
          <w:szCs w:val="24"/>
        </w:rPr>
        <w:t xml:space="preserve">: </w:t>
      </w:r>
      <w:r>
        <w:rPr>
          <w:rFonts w:ascii="Times New Roman" w:hAnsi="Times New Roman" w:cs="Times New Roman"/>
          <w:color w:val="000000"/>
          <w:sz w:val="24"/>
          <w:szCs w:val="24"/>
        </w:rPr>
        <w:t>Smaller Scale, Same Impact: Replicating High-Throughput Phenotypic Profiling in a Medium-Throughput Lab for Use in Chemical Risk Assessment</w:t>
      </w:r>
    </w:p>
    <w:p w14:paraId="469D1E6A" w14:textId="77777777" w:rsidR="003B2EB8" w:rsidRDefault="003B2EB8" w:rsidP="00946640">
      <w:pPr>
        <w:spacing w:after="0"/>
        <w:rPr>
          <w:rFonts w:ascii="Times New Roman" w:hAnsi="Times New Roman" w:cs="Times New Roman"/>
          <w:sz w:val="24"/>
          <w:szCs w:val="24"/>
        </w:rPr>
      </w:pPr>
    </w:p>
    <w:p w14:paraId="11AF4AB1" w14:textId="382443FB" w:rsidR="003B2EB8" w:rsidRDefault="003B2EB8" w:rsidP="003B2EB8">
      <w:pPr>
        <w:spacing w:after="0"/>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196AC7">
        <w:rPr>
          <w:rFonts w:ascii="Times New Roman" w:hAnsi="Times New Roman" w:cs="Times New Roman"/>
          <w:b/>
          <w:bCs/>
          <w:sz w:val="24"/>
          <w:szCs w:val="24"/>
        </w:rPr>
        <w:t>Data</w:t>
      </w:r>
    </w:p>
    <w:p w14:paraId="64778122" w14:textId="77777777" w:rsidR="00946640" w:rsidRDefault="00946640" w:rsidP="00946640">
      <w:pPr>
        <w:spacing w:after="0"/>
        <w:rPr>
          <w:rFonts w:ascii="Times New Roman" w:hAnsi="Times New Roman" w:cs="Times New Roman"/>
          <w:sz w:val="24"/>
          <w:szCs w:val="24"/>
        </w:rPr>
      </w:pPr>
    </w:p>
    <w:p w14:paraId="57A1ECB6" w14:textId="77777777" w:rsidR="00946640" w:rsidRDefault="00946640" w:rsidP="00946640">
      <w:pPr>
        <w:spacing w:after="0"/>
        <w:rPr>
          <w:rFonts w:ascii="Times New Roman" w:hAnsi="Times New Roman" w:cs="Times New Roman"/>
          <w:sz w:val="24"/>
          <w:szCs w:val="24"/>
        </w:rPr>
      </w:pPr>
      <w:r>
        <w:rPr>
          <w:rFonts w:ascii="Times New Roman" w:hAnsi="Times New Roman" w:cs="Times New Roman"/>
          <w:b/>
          <w:bCs/>
          <w:sz w:val="24"/>
          <w:szCs w:val="24"/>
        </w:rPr>
        <w:t>Authors</w:t>
      </w:r>
      <w:r>
        <w:rPr>
          <w:rFonts w:ascii="Times New Roman" w:hAnsi="Times New Roman" w:cs="Times New Roman"/>
          <w:sz w:val="24"/>
          <w:szCs w:val="24"/>
        </w:rPr>
        <w:t>: Eunnara Cho</w:t>
      </w:r>
      <w:r>
        <w:rPr>
          <w:rFonts w:ascii="Times New Roman" w:hAnsi="Times New Roman" w:cs="Times New Roman"/>
          <w:sz w:val="24"/>
          <w:szCs w:val="24"/>
          <w:vertAlign w:val="superscript"/>
        </w:rPr>
        <w:t>1</w:t>
      </w:r>
      <w:r>
        <w:rPr>
          <w:rFonts w:ascii="Times New Roman" w:hAnsi="Times New Roman" w:cs="Times New Roman"/>
          <w:sz w:val="24"/>
          <w:szCs w:val="24"/>
        </w:rPr>
        <w:t>, Stephen D. Baird</w:t>
      </w:r>
      <w:r>
        <w:rPr>
          <w:rFonts w:ascii="Times New Roman" w:hAnsi="Times New Roman" w:cs="Times New Roman"/>
          <w:sz w:val="24"/>
          <w:szCs w:val="24"/>
          <w:vertAlign w:val="superscript"/>
        </w:rPr>
        <w:t>2</w:t>
      </w:r>
      <w:r>
        <w:rPr>
          <w:rFonts w:ascii="Times New Roman" w:hAnsi="Times New Roman" w:cs="Times New Roman"/>
          <w:sz w:val="24"/>
          <w:szCs w:val="24"/>
        </w:rPr>
        <w:t>, Kristin M. Eccles</w:t>
      </w:r>
      <w:r>
        <w:rPr>
          <w:rFonts w:ascii="Times New Roman" w:hAnsi="Times New Roman" w:cs="Times New Roman"/>
          <w:sz w:val="24"/>
          <w:szCs w:val="24"/>
          <w:vertAlign w:val="superscript"/>
        </w:rPr>
        <w:t>1</w:t>
      </w:r>
    </w:p>
    <w:p w14:paraId="7A02E984" w14:textId="77777777" w:rsidR="00946640" w:rsidRDefault="00946640" w:rsidP="00946640">
      <w:pPr>
        <w:spacing w:after="0"/>
        <w:rPr>
          <w:rFonts w:ascii="Times New Roman" w:hAnsi="Times New Roman" w:cs="Times New Roman"/>
          <w:sz w:val="24"/>
          <w:szCs w:val="24"/>
        </w:rPr>
      </w:pPr>
      <w:r>
        <w:rPr>
          <w:rFonts w:ascii="Times New Roman" w:hAnsi="Times New Roman" w:cs="Times New Roman"/>
          <w:b/>
          <w:bCs/>
          <w:sz w:val="24"/>
          <w:szCs w:val="24"/>
        </w:rPr>
        <w:t>Affiliations</w:t>
      </w:r>
      <w:r>
        <w:rPr>
          <w:rFonts w:ascii="Times New Roman" w:hAnsi="Times New Roman" w:cs="Times New Roman"/>
          <w:sz w:val="24"/>
          <w:szCs w:val="24"/>
        </w:rPr>
        <w:t>:</w:t>
      </w:r>
    </w:p>
    <w:p w14:paraId="5CC56044" w14:textId="77777777" w:rsidR="00946640" w:rsidRDefault="00946640" w:rsidP="00946640">
      <w:pPr>
        <w:shd w:val="clear" w:color="auto" w:fill="FFFFFF" w:themeFill="background1"/>
        <w:spacing w:after="0"/>
        <w:textAlignment w:val="baseline"/>
        <w:rPr>
          <w:rFonts w:ascii="Times New Roman" w:eastAsia="Times New Roman" w:hAnsi="Times New Roman" w:cs="Times New Roman"/>
          <w:color w:val="2A2A2A"/>
          <w:kern w:val="0"/>
          <w:sz w:val="24"/>
          <w:szCs w:val="24"/>
          <w:lang w:eastAsia="en-CA"/>
          <w14:ligatures w14:val="none"/>
        </w:rPr>
      </w:pPr>
      <w:r>
        <w:rPr>
          <w:rFonts w:ascii="Times New Roman" w:hAnsi="Times New Roman" w:cs="Times New Roman"/>
          <w:sz w:val="24"/>
          <w:szCs w:val="24"/>
          <w:vertAlign w:val="superscript"/>
        </w:rPr>
        <w:t xml:space="preserve">1 </w:t>
      </w:r>
      <w:r>
        <w:rPr>
          <w:rFonts w:ascii="Times New Roman" w:eastAsia="Times New Roman" w:hAnsi="Times New Roman" w:cs="Times New Roman"/>
          <w:color w:val="2A2A2A"/>
          <w:kern w:val="0"/>
          <w:sz w:val="24"/>
          <w:szCs w:val="24"/>
          <w:lang w:eastAsia="en-CA"/>
          <w14:ligatures w14:val="none"/>
        </w:rPr>
        <w:t>Environmental Health Science and Research Bureau, Healthy Environments and Consumer Safety Branch (HECSB) Health Canada</w:t>
      </w:r>
      <w:r>
        <w:rPr>
          <w:rFonts w:ascii="Times New Roman" w:eastAsia="Times New Roman" w:hAnsi="Times New Roman" w:cs="Times New Roman"/>
          <w:color w:val="2A2A2A"/>
          <w:kern w:val="0"/>
          <w:sz w:val="24"/>
          <w:szCs w:val="24"/>
          <w:shd w:val="clear" w:color="auto" w:fill="FFFFFF"/>
          <w:lang w:eastAsia="en-CA"/>
          <w14:ligatures w14:val="none"/>
        </w:rPr>
        <w:t>, Ottawa, Ontario, </w:t>
      </w:r>
      <w:r>
        <w:rPr>
          <w:rFonts w:ascii="Times New Roman" w:eastAsia="Times New Roman" w:hAnsi="Times New Roman" w:cs="Times New Roman"/>
          <w:color w:val="2A2A2A"/>
          <w:kern w:val="0"/>
          <w:sz w:val="24"/>
          <w:szCs w:val="24"/>
          <w:lang w:eastAsia="en-CA"/>
          <w14:ligatures w14:val="none"/>
        </w:rPr>
        <w:t>Canada</w:t>
      </w:r>
    </w:p>
    <w:p w14:paraId="1B0AFF86" w14:textId="77777777" w:rsidR="00946640" w:rsidRDefault="00946640" w:rsidP="00946640">
      <w:pPr>
        <w:shd w:val="clear" w:color="auto" w:fill="FFFFFF" w:themeFill="background1"/>
        <w:spacing w:after="0"/>
        <w:textAlignment w:val="baseline"/>
        <w:rPr>
          <w:rFonts w:ascii="Times New Roman" w:eastAsia="Times New Roman" w:hAnsi="Times New Roman" w:cs="Times New Roman"/>
          <w:color w:val="2A2A2A"/>
          <w:kern w:val="0"/>
          <w:sz w:val="24"/>
          <w:szCs w:val="24"/>
          <w:lang w:eastAsia="en-CA"/>
          <w14:ligatures w14:val="none"/>
        </w:rPr>
      </w:pPr>
      <w:r>
        <w:rPr>
          <w:rFonts w:ascii="Times New Roman" w:eastAsia="Times New Roman" w:hAnsi="Times New Roman" w:cs="Times New Roman"/>
          <w:color w:val="2A2A2A"/>
          <w:kern w:val="0"/>
          <w:sz w:val="24"/>
          <w:szCs w:val="24"/>
          <w:vertAlign w:val="superscript"/>
          <w:lang w:eastAsia="en-CA"/>
          <w14:ligatures w14:val="none"/>
        </w:rPr>
        <w:t>2</w:t>
      </w:r>
      <w:r>
        <w:rPr>
          <w:rFonts w:ascii="Times New Roman" w:eastAsia="Times New Roman" w:hAnsi="Times New Roman" w:cs="Times New Roman"/>
          <w:color w:val="2A2A2A"/>
          <w:kern w:val="0"/>
          <w:sz w:val="24"/>
          <w:szCs w:val="24"/>
          <w:lang w:eastAsia="en-CA"/>
          <w14:ligatures w14:val="none"/>
        </w:rPr>
        <w:t xml:space="preserve"> </w:t>
      </w:r>
      <w:r>
        <w:rPr>
          <w:rFonts w:ascii="Times New Roman" w:eastAsia="Times New Roman" w:hAnsi="Times New Roman" w:cs="Times New Roman"/>
          <w:color w:val="2A2A2A"/>
          <w:sz w:val="24"/>
          <w:szCs w:val="24"/>
          <w:lang w:eastAsia="en-CA"/>
        </w:rPr>
        <w:t>High-Throughput Screening Lab, Children’s Hospital of Eastern Ontario Research Institute, Ottawa, Ontario, Canada</w:t>
      </w:r>
    </w:p>
    <w:p w14:paraId="0FF983F6" w14:textId="77777777" w:rsidR="00946640" w:rsidRDefault="00946640" w:rsidP="00946640">
      <w:pPr>
        <w:shd w:val="clear" w:color="auto" w:fill="FFFFFF" w:themeFill="background1"/>
        <w:spacing w:after="0"/>
        <w:textAlignment w:val="baseline"/>
        <w:rPr>
          <w:rFonts w:ascii="Times New Roman" w:eastAsia="Times New Roman" w:hAnsi="Times New Roman" w:cs="Times New Roman"/>
          <w:color w:val="2A2A2A"/>
          <w:kern w:val="0"/>
          <w:sz w:val="24"/>
          <w:szCs w:val="24"/>
          <w:lang w:eastAsia="en-CA"/>
          <w14:ligatures w14:val="none"/>
        </w:rPr>
      </w:pPr>
    </w:p>
    <w:p w14:paraId="72482465" w14:textId="77777777" w:rsidR="00946640" w:rsidRDefault="00946640" w:rsidP="00946640">
      <w:pPr>
        <w:spacing w:after="0"/>
        <w:rPr>
          <w:rFonts w:ascii="Times New Roman" w:hAnsi="Times New Roman" w:cs="Times New Roman"/>
          <w:sz w:val="24"/>
          <w:szCs w:val="24"/>
        </w:rPr>
      </w:pPr>
    </w:p>
    <w:p w14:paraId="54A92117" w14:textId="77777777" w:rsidR="00946640" w:rsidRDefault="00946640" w:rsidP="00946640">
      <w:pPr>
        <w:spacing w:after="0"/>
        <w:rPr>
          <w:rFonts w:ascii="Times New Roman" w:hAnsi="Times New Roman" w:cs="Times New Roman"/>
          <w:b/>
          <w:bCs/>
          <w:sz w:val="24"/>
          <w:szCs w:val="24"/>
        </w:rPr>
      </w:pPr>
      <w:r>
        <w:rPr>
          <w:rFonts w:ascii="Times New Roman" w:hAnsi="Times New Roman" w:cs="Times New Roman"/>
          <w:b/>
          <w:bCs/>
          <w:sz w:val="24"/>
          <w:szCs w:val="24"/>
        </w:rPr>
        <w:t>Corresponding Author:</w:t>
      </w:r>
    </w:p>
    <w:p w14:paraId="7767467E" w14:textId="77777777" w:rsidR="00946640" w:rsidRDefault="00946640" w:rsidP="00946640">
      <w:pPr>
        <w:spacing w:after="0" w:line="240" w:lineRule="auto"/>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Kristin Eccles</w:t>
      </w:r>
    </w:p>
    <w:p w14:paraId="5008597E" w14:textId="77777777" w:rsidR="00946640" w:rsidRDefault="00946640" w:rsidP="00946640">
      <w:pPr>
        <w:spacing w:after="0" w:line="240" w:lineRule="auto"/>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Health Canada</w:t>
      </w:r>
    </w:p>
    <w:p w14:paraId="6B5E0B37" w14:textId="77777777" w:rsidR="00946640" w:rsidRDefault="00946640" w:rsidP="00946640">
      <w:pPr>
        <w:spacing w:after="0" w:line="240" w:lineRule="auto"/>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251 Sir Fredrick Banting</w:t>
      </w:r>
    </w:p>
    <w:p w14:paraId="11E13206" w14:textId="77777777" w:rsidR="00946640" w:rsidRDefault="00946640" w:rsidP="00946640">
      <w:pPr>
        <w:spacing w:after="0" w:line="240" w:lineRule="auto"/>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Ottawa, ON, K1A 0K9</w:t>
      </w:r>
    </w:p>
    <w:p w14:paraId="0748B92B" w14:textId="77777777" w:rsidR="00946640" w:rsidRDefault="00946640" w:rsidP="00946640">
      <w:pPr>
        <w:spacing w:after="0" w:line="240" w:lineRule="auto"/>
        <w:rPr>
          <w:rFonts w:ascii="Times New Roman" w:hAnsi="Times New Roman" w:cs="Times New Roman"/>
          <w:color w:val="2A2A2A"/>
          <w:sz w:val="24"/>
          <w:szCs w:val="24"/>
          <w:shd w:val="clear" w:color="auto" w:fill="FFFFFF"/>
        </w:rPr>
      </w:pPr>
      <w:r>
        <w:rPr>
          <w:rFonts w:ascii="Times New Roman" w:hAnsi="Times New Roman" w:cs="Times New Roman"/>
          <w:color w:val="2A2A2A"/>
          <w:sz w:val="24"/>
          <w:szCs w:val="24"/>
          <w:shd w:val="clear" w:color="auto" w:fill="FFFFFF"/>
        </w:rPr>
        <w:t>E-mail: </w:t>
      </w:r>
      <w:r>
        <w:rPr>
          <w:rFonts w:ascii="Times New Roman" w:hAnsi="Times New Roman" w:cs="Times New Roman"/>
          <w:sz w:val="24"/>
          <w:szCs w:val="24"/>
          <w:shd w:val="clear" w:color="auto" w:fill="FFFFFF"/>
        </w:rPr>
        <w:t>kristin.eccles@hc-sc.gc.ca</w:t>
      </w:r>
      <w:r>
        <w:rPr>
          <w:rFonts w:ascii="Times New Roman" w:hAnsi="Times New Roman" w:cs="Times New Roman"/>
          <w:color w:val="2A2A2A"/>
          <w:sz w:val="24"/>
          <w:szCs w:val="24"/>
          <w:shd w:val="clear" w:color="auto" w:fill="FFFFFF"/>
        </w:rPr>
        <w:t> </w:t>
      </w:r>
    </w:p>
    <w:p w14:paraId="2930717F" w14:textId="77777777" w:rsidR="00946640" w:rsidRDefault="00946640" w:rsidP="00946640">
      <w:pPr>
        <w:rPr>
          <w:rFonts w:ascii="Times New Roman" w:hAnsi="Times New Roman" w:cs="Times New Roman"/>
          <w:sz w:val="24"/>
          <w:szCs w:val="24"/>
        </w:rPr>
      </w:pPr>
      <w:r>
        <w:br w:type="page"/>
      </w:r>
    </w:p>
    <w:p w14:paraId="68FECA9E" w14:textId="77777777" w:rsidR="00946640" w:rsidRPr="00F858FA" w:rsidRDefault="00946640" w:rsidP="00946640">
      <w:pPr>
        <w:rPr>
          <w:rFonts w:ascii="Times New Roman" w:hAnsi="Times New Roman" w:cs="Times New Roman"/>
          <w:sz w:val="24"/>
          <w:szCs w:val="24"/>
        </w:rPr>
      </w:pPr>
      <w:r>
        <w:rPr>
          <w:noProof/>
          <w:lang w:val="en-IN" w:eastAsia="en-IN"/>
        </w:rPr>
        <w:lastRenderedPageBreak/>
        <w:drawing>
          <wp:inline distT="0" distB="0" distL="0" distR="0" wp14:anchorId="3C8FC421" wp14:editId="7264037F">
            <wp:extent cx="4513580" cy="4010660"/>
            <wp:effectExtent l="0" t="0" r="0" b="0"/>
            <wp:docPr id="7" name="Google Shape;118;p6" descr="A chart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ogle Shape;118;p6" descr="A chart of different colors&#10;&#10;AI-generated content may be incorrect."/>
                    <pic:cNvPicPr>
                      <a:picLocks noChangeAspect="1" noChangeArrowheads="1"/>
                    </pic:cNvPicPr>
                  </pic:nvPicPr>
                  <pic:blipFill>
                    <a:blip r:embed="rId6"/>
                    <a:stretch>
                      <a:fillRect/>
                    </a:stretch>
                  </pic:blipFill>
                  <pic:spPr bwMode="auto">
                    <a:xfrm>
                      <a:off x="0" y="0"/>
                      <a:ext cx="4513580" cy="4010660"/>
                    </a:xfrm>
                    <a:prstGeom prst="rect">
                      <a:avLst/>
                    </a:prstGeom>
                  </pic:spPr>
                </pic:pic>
              </a:graphicData>
            </a:graphic>
          </wp:inline>
        </w:drawing>
      </w:r>
    </w:p>
    <w:p w14:paraId="11B005CA" w14:textId="77777777" w:rsidR="00946640" w:rsidRDefault="00946640" w:rsidP="00946640">
      <w:pPr>
        <w:rPr>
          <w:rFonts w:ascii="Times New Roman" w:hAnsi="Times New Roman" w:cs="Times New Roman"/>
        </w:rPr>
      </w:pPr>
      <w:bookmarkStart w:id="0" w:name="Sup_fig_1"/>
      <w:r>
        <w:rPr>
          <w:rFonts w:ascii="Times New Roman" w:hAnsi="Times New Roman" w:cs="Times New Roman"/>
        </w:rPr>
        <w:t>Supplementary Figure 1</w:t>
      </w:r>
      <w:bookmarkEnd w:id="0"/>
      <w:r>
        <w:rPr>
          <w:rFonts w:ascii="Times New Roman" w:hAnsi="Times New Roman" w:cs="Times New Roman"/>
        </w:rPr>
        <w:t>. Plate layout for chemical exposures and cell painting in a 96-well plate. Three phenotypic chemicals were included in each plate with eight concentrations of staurosporine (cytotoxic control) and sorbitol (negative control) and eight wells treated with the vehicle control (0.5% v/v DMSO). Eight concentrations of each reference compound were included, with the highest concentration in row A and the subsequent concentrations decreasing by half-log unit.</w:t>
      </w:r>
    </w:p>
    <w:p w14:paraId="28DAC990" w14:textId="77777777" w:rsidR="00946640" w:rsidRDefault="00946640" w:rsidP="00946640">
      <w:pPr>
        <w:rPr>
          <w:rFonts w:ascii="Times New Roman" w:hAnsi="Times New Roman" w:cs="Times New Roman"/>
          <w:b/>
          <w:bCs/>
        </w:rPr>
      </w:pPr>
      <w:r>
        <w:rPr>
          <w:noProof/>
          <w:lang w:val="en-IN" w:eastAsia="en-IN"/>
        </w:rPr>
        <w:lastRenderedPageBreak/>
        <w:drawing>
          <wp:inline distT="0" distB="0" distL="0" distR="0" wp14:anchorId="01E7135B" wp14:editId="18DE330C">
            <wp:extent cx="3505200" cy="3505200"/>
            <wp:effectExtent l="0" t="0" r="0" b="0"/>
            <wp:docPr id="8" name="Google Shape;117;p6" descr="A black background with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ogle Shape;117;p6" descr="A black background with squares&#10;&#10;AI-generated content may be incorrect."/>
                    <pic:cNvPicPr>
                      <a:picLocks noChangeAspect="1" noChangeArrowheads="1"/>
                    </pic:cNvPicPr>
                  </pic:nvPicPr>
                  <pic:blipFill>
                    <a:blip r:embed="rId7"/>
                    <a:stretch>
                      <a:fillRect/>
                    </a:stretch>
                  </pic:blipFill>
                  <pic:spPr bwMode="auto">
                    <a:xfrm>
                      <a:off x="0" y="0"/>
                      <a:ext cx="3505200" cy="3505200"/>
                    </a:xfrm>
                    <a:prstGeom prst="rect">
                      <a:avLst/>
                    </a:prstGeom>
                  </pic:spPr>
                </pic:pic>
              </a:graphicData>
            </a:graphic>
          </wp:inline>
        </w:drawing>
      </w:r>
    </w:p>
    <w:p w14:paraId="6C734F1C" w14:textId="77777777" w:rsidR="00946640" w:rsidRDefault="00946640" w:rsidP="00946640">
      <w:pPr>
        <w:rPr>
          <w:rFonts w:ascii="Times New Roman" w:hAnsi="Times New Roman" w:cs="Times New Roman"/>
        </w:rPr>
      </w:pPr>
      <w:bookmarkStart w:id="1" w:name="Sup_fig_2"/>
      <w:r>
        <w:rPr>
          <w:rFonts w:ascii="Times New Roman" w:hAnsi="Times New Roman" w:cs="Times New Roman"/>
        </w:rPr>
        <w:t xml:space="preserve">Supplementary Figure 2. </w:t>
      </w:r>
      <w:bookmarkEnd w:id="1"/>
      <w:r>
        <w:rPr>
          <w:rFonts w:ascii="Times New Roman" w:hAnsi="Times New Roman" w:cs="Times New Roman"/>
        </w:rPr>
        <w:t>Distribution of fields of view across a single DMSO-treated well in a 96-well plate.</w:t>
      </w:r>
    </w:p>
    <w:p w14:paraId="1EAECF0C" w14:textId="77777777" w:rsidR="00946640" w:rsidRDefault="00946640" w:rsidP="00946640">
      <w:pPr>
        <w:rPr>
          <w:rFonts w:ascii="Times New Roman" w:hAnsi="Times New Roman" w:cs="Times New Roman"/>
          <w:b/>
          <w:bCs/>
        </w:rPr>
      </w:pPr>
    </w:p>
    <w:p w14:paraId="3349CC29" w14:textId="77777777" w:rsidR="00946640" w:rsidRDefault="00946640" w:rsidP="00946640">
      <w:pPr>
        <w:rPr>
          <w:rFonts w:ascii="Times New Roman" w:hAnsi="Times New Roman" w:cs="Times New Roman"/>
          <w:b/>
          <w:bCs/>
        </w:rPr>
      </w:pPr>
      <w:r>
        <w:rPr>
          <w:noProof/>
          <w:lang w:val="en-IN" w:eastAsia="en-IN"/>
        </w:rPr>
        <w:drawing>
          <wp:inline distT="0" distB="0" distL="0" distR="0" wp14:anchorId="1F59148D" wp14:editId="377630C0">
            <wp:extent cx="5943600" cy="5943600"/>
            <wp:effectExtent l="0" t="0" r="0" b="0"/>
            <wp:docPr id="9" name="Picture 5" descr="A graph of different types of chemical substa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A graph of different types of chemical substances&#10;&#10;AI-generated content may be incorrect."/>
                    <pic:cNvPicPr>
                      <a:picLocks noChangeAspect="1" noChangeArrowheads="1"/>
                    </pic:cNvPicPr>
                  </pic:nvPicPr>
                  <pic:blipFill>
                    <a:blip r:embed="rId8"/>
                    <a:stretch>
                      <a:fillRect/>
                    </a:stretch>
                  </pic:blipFill>
                  <pic:spPr bwMode="auto">
                    <a:xfrm>
                      <a:off x="0" y="0"/>
                      <a:ext cx="5943600" cy="5943600"/>
                    </a:xfrm>
                    <a:prstGeom prst="rect">
                      <a:avLst/>
                    </a:prstGeom>
                  </pic:spPr>
                </pic:pic>
              </a:graphicData>
            </a:graphic>
          </wp:inline>
        </w:drawing>
      </w:r>
    </w:p>
    <w:p w14:paraId="312A21B4" w14:textId="77777777" w:rsidR="00946640" w:rsidRDefault="00946640" w:rsidP="00946640">
      <w:pPr>
        <w:rPr>
          <w:rFonts w:ascii="Times New Roman" w:hAnsi="Times New Roman" w:cs="Times New Roman"/>
        </w:rPr>
      </w:pPr>
      <w:bookmarkStart w:id="2" w:name="Sup_fig_3"/>
      <w:r>
        <w:rPr>
          <w:rFonts w:ascii="Times New Roman" w:hAnsi="Times New Roman" w:cs="Times New Roman"/>
        </w:rPr>
        <w:t>Supplementary Figure 3</w:t>
      </w:r>
      <w:bookmarkEnd w:id="2"/>
      <w:r>
        <w:rPr>
          <w:rFonts w:ascii="Times New Roman" w:hAnsi="Times New Roman" w:cs="Times New Roman"/>
        </w:rPr>
        <w:t>. Comparison of the benchmark concentrations (BMCs) of the phenotypic reference compounds calculated in the four independent experiments in this study (HC). In analysis 1, each plate was normalized independently to the median and median absolute deviation (MAD) of DMSO-treated cells within the plate. In analysis 2, four plates within each experiment were treated as one 384-sample dataset and were normalized to median and MAD of all DMSO-treated cells across the four plates. The bars represent the 95% confidence intervals (CI) of the BMC values.</w:t>
      </w:r>
    </w:p>
    <w:p w14:paraId="1E76C8BC" w14:textId="77777777" w:rsidR="003145D5" w:rsidRDefault="003145D5" w:rsidP="00946640">
      <w:pPr>
        <w:rPr>
          <w:rFonts w:ascii="Times New Roman" w:hAnsi="Times New Roman" w:cs="Times New Roman"/>
        </w:rPr>
      </w:pPr>
    </w:p>
    <w:p w14:paraId="5EB80C39" w14:textId="77777777" w:rsidR="003145D5" w:rsidRDefault="003145D5" w:rsidP="00946640">
      <w:pPr>
        <w:rPr>
          <w:rFonts w:ascii="Times New Roman" w:hAnsi="Times New Roman" w:cs="Times New Roman"/>
        </w:rPr>
      </w:pPr>
    </w:p>
    <w:p w14:paraId="5216CCCA" w14:textId="77777777" w:rsidR="003145D5" w:rsidRDefault="003145D5" w:rsidP="00946640">
      <w:pPr>
        <w:rPr>
          <w:rFonts w:ascii="Times New Roman" w:hAnsi="Times New Roman" w:cs="Times New Roman"/>
        </w:rPr>
      </w:pPr>
    </w:p>
    <w:p w14:paraId="5078D31E" w14:textId="77777777" w:rsidR="003145D5" w:rsidRDefault="003145D5" w:rsidP="00946640">
      <w:pPr>
        <w:rPr>
          <w:rFonts w:ascii="Times New Roman" w:hAnsi="Times New Roman" w:cs="Times New Roman"/>
        </w:rPr>
      </w:pPr>
    </w:p>
    <w:p w14:paraId="320E5656" w14:textId="77777777" w:rsidR="000C19D0" w:rsidRDefault="005A35FC" w:rsidP="000C19D0">
      <w:pPr>
        <w:rPr>
          <w:rFonts w:ascii="Times New Roman" w:hAnsi="Times New Roman" w:cs="Times New Roman"/>
        </w:rPr>
      </w:pPr>
      <w:r>
        <w:rPr>
          <w:noProof/>
          <w:lang w:val="en-IN" w:eastAsia="en-IN"/>
        </w:rPr>
        <w:drawing>
          <wp:inline distT="0" distB="0" distL="0" distR="0" wp14:anchorId="1688ADC7" wp14:editId="2F59309E">
            <wp:extent cx="5943600" cy="4756150"/>
            <wp:effectExtent l="0" t="0" r="0" b="6350"/>
            <wp:docPr id="806336311" name="Picture 7" descr="A chart showing a number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36311" name="Picture 7" descr="A chart showing a number of different colored dot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r w:rsidR="000C19D0" w:rsidRPr="000C19D0">
        <w:rPr>
          <w:rFonts w:ascii="Times New Roman" w:hAnsi="Times New Roman" w:cs="Times New Roman"/>
        </w:rPr>
        <w:t xml:space="preserve"> </w:t>
      </w:r>
    </w:p>
    <w:p w14:paraId="2C076AF9" w14:textId="463FBCAB" w:rsidR="000C19D0" w:rsidRDefault="000C19D0" w:rsidP="000C19D0">
      <w:pPr>
        <w:rPr>
          <w:rFonts w:ascii="Times New Roman" w:hAnsi="Times New Roman" w:cs="Times New Roman"/>
        </w:rPr>
      </w:pPr>
      <w:r>
        <w:rPr>
          <w:rFonts w:ascii="Times New Roman" w:hAnsi="Times New Roman" w:cs="Times New Roman"/>
        </w:rPr>
        <w:t xml:space="preserve">Supplementary Figure 4. Comparison of the benchmark concentrations (BMCs) of the phenotypic reference compounds </w:t>
      </w:r>
      <w:r w:rsidR="00D00A72">
        <w:rPr>
          <w:rFonts w:ascii="Times New Roman" w:hAnsi="Times New Roman" w:cs="Times New Roman"/>
        </w:rPr>
        <w:t xml:space="preserve">in the Nyffeler et al. (2020) </w:t>
      </w:r>
      <w:r w:rsidR="0079300F">
        <w:rPr>
          <w:rFonts w:ascii="Times New Roman" w:hAnsi="Times New Roman" w:cs="Times New Roman"/>
        </w:rPr>
        <w:t>dataset</w:t>
      </w:r>
      <w:r w:rsidR="00D00A72">
        <w:rPr>
          <w:rFonts w:ascii="Times New Roman" w:hAnsi="Times New Roman" w:cs="Times New Roman"/>
        </w:rPr>
        <w:t xml:space="preserve"> re-</w:t>
      </w:r>
      <w:r>
        <w:rPr>
          <w:rFonts w:ascii="Times New Roman" w:hAnsi="Times New Roman" w:cs="Times New Roman"/>
        </w:rPr>
        <w:t xml:space="preserve">calculated </w:t>
      </w:r>
      <w:r w:rsidR="005F2AF6">
        <w:rPr>
          <w:rFonts w:ascii="Times New Roman" w:hAnsi="Times New Roman" w:cs="Times New Roman"/>
        </w:rPr>
        <w:t xml:space="preserve">using </w:t>
      </w:r>
      <w:r w:rsidR="00D00A72">
        <w:rPr>
          <w:rFonts w:ascii="Times New Roman" w:hAnsi="Times New Roman" w:cs="Times New Roman"/>
        </w:rPr>
        <w:t>our</w:t>
      </w:r>
      <w:r w:rsidR="005F2AF6">
        <w:rPr>
          <w:rFonts w:ascii="Times New Roman" w:hAnsi="Times New Roman" w:cs="Times New Roman"/>
        </w:rPr>
        <w:t xml:space="preserve"> modified pipeline</w:t>
      </w:r>
      <w:r>
        <w:rPr>
          <w:rFonts w:ascii="Times New Roman" w:hAnsi="Times New Roman" w:cs="Times New Roman"/>
        </w:rPr>
        <w:t>. In</w:t>
      </w:r>
      <w:r w:rsidR="00D00A72">
        <w:rPr>
          <w:rFonts w:ascii="Times New Roman" w:hAnsi="Times New Roman" w:cs="Times New Roman"/>
        </w:rPr>
        <w:t xml:space="preserve"> the “All chem” analysis</w:t>
      </w:r>
      <w:r>
        <w:rPr>
          <w:rFonts w:ascii="Times New Roman" w:hAnsi="Times New Roman" w:cs="Times New Roman"/>
        </w:rPr>
        <w:t>,</w:t>
      </w:r>
      <w:r w:rsidR="00B313A5">
        <w:rPr>
          <w:rFonts w:ascii="Times New Roman" w:hAnsi="Times New Roman" w:cs="Times New Roman"/>
        </w:rPr>
        <w:t xml:space="preserve"> </w:t>
      </w:r>
      <w:r w:rsidR="00BB0737">
        <w:rPr>
          <w:rFonts w:ascii="Times New Roman" w:hAnsi="Times New Roman" w:cs="Times New Roman"/>
        </w:rPr>
        <w:t xml:space="preserve">one covariance matrix </w:t>
      </w:r>
      <w:r w:rsidR="009A1D88">
        <w:rPr>
          <w:rFonts w:ascii="Times New Roman" w:hAnsi="Times New Roman" w:cs="Times New Roman"/>
        </w:rPr>
        <w:t xml:space="preserve">containing all test compounds </w:t>
      </w:r>
      <w:r w:rsidR="00BB0737">
        <w:rPr>
          <w:rFonts w:ascii="Times New Roman" w:hAnsi="Times New Roman" w:cs="Times New Roman"/>
        </w:rPr>
        <w:t xml:space="preserve">was generated </w:t>
      </w:r>
      <w:r w:rsidR="005202FE">
        <w:rPr>
          <w:rFonts w:ascii="Times New Roman" w:hAnsi="Times New Roman" w:cs="Times New Roman"/>
        </w:rPr>
        <w:t>for each</w:t>
      </w:r>
      <w:r w:rsidR="009A1D88">
        <w:rPr>
          <w:rFonts w:ascii="Times New Roman" w:hAnsi="Times New Roman" w:cs="Times New Roman"/>
        </w:rPr>
        <w:t xml:space="preserve"> of the 51</w:t>
      </w:r>
      <w:r w:rsidR="005202FE">
        <w:rPr>
          <w:rFonts w:ascii="Times New Roman" w:hAnsi="Times New Roman" w:cs="Times New Roman"/>
        </w:rPr>
        <w:t xml:space="preserve"> plate</w:t>
      </w:r>
      <w:r w:rsidR="009A1D88">
        <w:rPr>
          <w:rFonts w:ascii="Times New Roman" w:hAnsi="Times New Roman" w:cs="Times New Roman"/>
        </w:rPr>
        <w:t>s</w:t>
      </w:r>
      <w:r w:rsidR="00792D12">
        <w:rPr>
          <w:rFonts w:ascii="Times New Roman" w:hAnsi="Times New Roman" w:cs="Times New Roman"/>
        </w:rPr>
        <w:t xml:space="preserve">. </w:t>
      </w:r>
      <w:r>
        <w:rPr>
          <w:rFonts w:ascii="Times New Roman" w:hAnsi="Times New Roman" w:cs="Times New Roman"/>
        </w:rPr>
        <w:t xml:space="preserve">In </w:t>
      </w:r>
      <w:r w:rsidR="00B34A2B">
        <w:rPr>
          <w:rFonts w:ascii="Times New Roman" w:hAnsi="Times New Roman" w:cs="Times New Roman"/>
        </w:rPr>
        <w:t>the “Ref Only” analysis</w:t>
      </w:r>
      <w:r>
        <w:rPr>
          <w:rFonts w:ascii="Times New Roman" w:hAnsi="Times New Roman" w:cs="Times New Roman"/>
        </w:rPr>
        <w:t>,</w:t>
      </w:r>
      <w:r w:rsidR="00B34A2B">
        <w:rPr>
          <w:rFonts w:ascii="Times New Roman" w:hAnsi="Times New Roman" w:cs="Times New Roman"/>
        </w:rPr>
        <w:t xml:space="preserve"> </w:t>
      </w:r>
      <w:r w:rsidR="00BB0737">
        <w:rPr>
          <w:rFonts w:ascii="Times New Roman" w:hAnsi="Times New Roman" w:cs="Times New Roman"/>
        </w:rPr>
        <w:t>the data for reference compounds</w:t>
      </w:r>
      <w:r w:rsidR="005202FE">
        <w:rPr>
          <w:rFonts w:ascii="Times New Roman" w:hAnsi="Times New Roman" w:cs="Times New Roman"/>
        </w:rPr>
        <w:t xml:space="preserve"> </w:t>
      </w:r>
      <w:r w:rsidR="00C40878">
        <w:rPr>
          <w:rFonts w:ascii="Times New Roman" w:hAnsi="Times New Roman" w:cs="Times New Roman"/>
        </w:rPr>
        <w:t>were isolated</w:t>
      </w:r>
      <w:r w:rsidR="00575BB9">
        <w:rPr>
          <w:rFonts w:ascii="Times New Roman" w:hAnsi="Times New Roman" w:cs="Times New Roman"/>
        </w:rPr>
        <w:t xml:space="preserve"> </w:t>
      </w:r>
      <w:r w:rsidR="00A34FB2">
        <w:rPr>
          <w:rFonts w:ascii="Times New Roman" w:hAnsi="Times New Roman" w:cs="Times New Roman"/>
        </w:rPr>
        <w:t>before generating a covariance matrix for each plate</w:t>
      </w:r>
      <w:r>
        <w:rPr>
          <w:rFonts w:ascii="Times New Roman" w:hAnsi="Times New Roman" w:cs="Times New Roman"/>
        </w:rPr>
        <w:t>.</w:t>
      </w:r>
      <w:r w:rsidR="00A34FB2">
        <w:rPr>
          <w:rFonts w:ascii="Times New Roman" w:hAnsi="Times New Roman" w:cs="Times New Roman"/>
        </w:rPr>
        <w:t xml:space="preserve"> </w:t>
      </w:r>
      <w:r w:rsidR="008D05E9">
        <w:rPr>
          <w:rFonts w:ascii="Times New Roman" w:hAnsi="Times New Roman" w:cs="Times New Roman"/>
        </w:rPr>
        <w:t xml:space="preserve">In </w:t>
      </w:r>
      <w:r w:rsidR="00A34FB2">
        <w:rPr>
          <w:rFonts w:ascii="Times New Roman" w:hAnsi="Times New Roman" w:cs="Times New Roman"/>
        </w:rPr>
        <w:t>Nyffeler et al. (2021)</w:t>
      </w:r>
      <w:r w:rsidR="008D05E9">
        <w:rPr>
          <w:rFonts w:ascii="Times New Roman" w:hAnsi="Times New Roman" w:cs="Times New Roman"/>
        </w:rPr>
        <w:t>,</w:t>
      </w:r>
      <w:r w:rsidR="00522AFE">
        <w:rPr>
          <w:rFonts w:ascii="Times New Roman" w:hAnsi="Times New Roman" w:cs="Times New Roman"/>
        </w:rPr>
        <w:t xml:space="preserve"> </w:t>
      </w:r>
      <w:r w:rsidR="0079300F">
        <w:rPr>
          <w:rFonts w:ascii="Times New Roman" w:hAnsi="Times New Roman" w:cs="Times New Roman"/>
        </w:rPr>
        <w:t>48 38</w:t>
      </w:r>
      <w:r w:rsidR="00494DF0">
        <w:rPr>
          <w:rFonts w:ascii="Times New Roman" w:hAnsi="Times New Roman" w:cs="Times New Roman"/>
        </w:rPr>
        <w:t>4-well plates were divided into</w:t>
      </w:r>
      <w:r w:rsidR="008D05E9">
        <w:rPr>
          <w:rFonts w:ascii="Times New Roman" w:hAnsi="Times New Roman" w:cs="Times New Roman"/>
        </w:rPr>
        <w:t xml:space="preserve"> </w:t>
      </w:r>
      <w:r w:rsidR="00494DF0">
        <w:rPr>
          <w:rFonts w:ascii="Times New Roman" w:hAnsi="Times New Roman" w:cs="Times New Roman"/>
        </w:rPr>
        <w:t xml:space="preserve">12 groups, each containing four </w:t>
      </w:r>
      <w:r w:rsidR="008D05E9">
        <w:rPr>
          <w:rFonts w:ascii="Times New Roman" w:hAnsi="Times New Roman" w:cs="Times New Roman"/>
        </w:rPr>
        <w:t>plates from independent cell cultures that were all treated with the same dose plate. Each plate contained rapamycin, etoposide, Ca-074-Me, and berberine chloride as phenotypic positive controls.</w:t>
      </w:r>
      <w:r>
        <w:rPr>
          <w:rFonts w:ascii="Times New Roman" w:hAnsi="Times New Roman" w:cs="Times New Roman"/>
        </w:rPr>
        <w:t xml:space="preserve"> The bars represent the 95% confidence intervals (CI) of the BMC values.</w:t>
      </w:r>
    </w:p>
    <w:p w14:paraId="4E18E49E" w14:textId="339FA9AD" w:rsidR="000C19D0" w:rsidRDefault="000C19D0" w:rsidP="00946640">
      <w:pPr>
        <w:rPr>
          <w:rFonts w:ascii="Times New Roman" w:hAnsi="Times New Roman" w:cs="Times New Roman"/>
        </w:rPr>
      </w:pPr>
    </w:p>
    <w:p w14:paraId="428C6F57" w14:textId="17AF8209" w:rsidR="003145D5" w:rsidRDefault="003145D5" w:rsidP="00946640">
      <w:pPr>
        <w:rPr>
          <w:rFonts w:ascii="Times New Roman" w:hAnsi="Times New Roman" w:cs="Times New Roman"/>
        </w:rPr>
      </w:pPr>
    </w:p>
    <w:p w14:paraId="385BC3F1" w14:textId="6F8B584B" w:rsidR="00946640" w:rsidRDefault="00946640" w:rsidP="00946640">
      <w:pPr>
        <w:rPr>
          <w:rFonts w:ascii="Times New Roman" w:hAnsi="Times New Roman" w:cs="Times New Roman"/>
          <w:b/>
          <w:bCs/>
        </w:rPr>
      </w:pPr>
      <w:r>
        <w:rPr>
          <w:rFonts w:ascii="Times New Roman" w:hAnsi="Times New Roman" w:cs="Times New Roman"/>
          <w:b/>
          <w:bCs/>
        </w:rPr>
        <w:t xml:space="preserve"> </w:t>
      </w:r>
    </w:p>
    <w:p w14:paraId="3378CE51" w14:textId="72FC82A1" w:rsidR="00946640" w:rsidRPr="00D411B3" w:rsidRDefault="007450ED" w:rsidP="00D411B3">
      <w:pPr>
        <w:rPr>
          <w:rFonts w:ascii="Times New Roman" w:hAnsi="Times New Roman" w:cs="Times New Roman"/>
        </w:rPr>
      </w:pPr>
      <w:r>
        <w:rPr>
          <w:rFonts w:ascii="Times New Roman" w:hAnsi="Times New Roman" w:cs="Times New Roman"/>
          <w:b/>
          <w:bCs/>
          <w:noProof/>
          <w:lang w:val="en-IN" w:eastAsia="en-IN"/>
        </w:rPr>
        <w:drawing>
          <wp:anchor distT="0" distB="0" distL="114300" distR="114300" simplePos="0" relativeHeight="251658240" behindDoc="0" locked="0" layoutInCell="1" allowOverlap="1" wp14:anchorId="377B4D75" wp14:editId="42C0E798">
            <wp:simplePos x="914400" y="914400"/>
            <wp:positionH relativeFrom="column">
              <wp:align>left</wp:align>
            </wp:positionH>
            <wp:positionV relativeFrom="paragraph">
              <wp:align>top</wp:align>
            </wp:positionV>
            <wp:extent cx="5943600" cy="4455795"/>
            <wp:effectExtent l="0" t="0" r="0" b="1905"/>
            <wp:wrapSquare wrapText="bothSides"/>
            <wp:docPr id="19850947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anchor>
        </w:drawing>
      </w:r>
      <w:r w:rsidR="00D411B3">
        <w:rPr>
          <w:rFonts w:ascii="Times New Roman" w:hAnsi="Times New Roman" w:cs="Times New Roman"/>
          <w:b/>
          <w:bCs/>
        </w:rPr>
        <w:br w:type="textWrapping" w:clear="all"/>
      </w:r>
      <w:r w:rsidR="00D411B3">
        <w:rPr>
          <w:rFonts w:ascii="Times New Roman" w:hAnsi="Times New Roman" w:cs="Times New Roman"/>
        </w:rPr>
        <w:t xml:space="preserve">Supplementary </w:t>
      </w:r>
      <w:r w:rsidR="00D411B3" w:rsidRPr="00D411B3">
        <w:rPr>
          <w:rFonts w:ascii="Times New Roman" w:hAnsi="Times New Roman" w:cs="Times New Roman"/>
        </w:rPr>
        <w:t xml:space="preserve">Figure </w:t>
      </w:r>
      <w:r w:rsidR="00D411B3">
        <w:rPr>
          <w:rFonts w:ascii="Times New Roman" w:hAnsi="Times New Roman" w:cs="Times New Roman"/>
        </w:rPr>
        <w:t>5</w:t>
      </w:r>
      <w:r w:rsidR="00D411B3" w:rsidRPr="00D411B3">
        <w:rPr>
          <w:rFonts w:ascii="Times New Roman" w:hAnsi="Times New Roman" w:cs="Times New Roman"/>
        </w:rPr>
        <w:t xml:space="preserve">. </w:t>
      </w:r>
      <w:r w:rsidR="00D411B3">
        <w:rPr>
          <w:rFonts w:ascii="Times New Roman" w:hAnsi="Times New Roman" w:cs="Times New Roman"/>
        </w:rPr>
        <w:t>Linear regression of</w:t>
      </w:r>
      <w:r w:rsidR="00D411B3" w:rsidRPr="00D411B3">
        <w:rPr>
          <w:rFonts w:ascii="Times New Roman" w:hAnsi="Times New Roman" w:cs="Times New Roman"/>
        </w:rPr>
        <w:t xml:space="preserve"> cell count </w:t>
      </w:r>
      <w:r w:rsidR="00D411B3">
        <w:rPr>
          <w:rFonts w:ascii="Times New Roman" w:hAnsi="Times New Roman" w:cs="Times New Roman"/>
        </w:rPr>
        <w:t xml:space="preserve">against </w:t>
      </w:r>
      <w:r w:rsidR="00D411B3" w:rsidRPr="00D411B3">
        <w:rPr>
          <w:rFonts w:ascii="Times New Roman" w:hAnsi="Times New Roman" w:cs="Times New Roman"/>
        </w:rPr>
        <w:t>Mahalanobis distance across different control groups.</w:t>
      </w:r>
      <w:r w:rsidR="00D411B3">
        <w:rPr>
          <w:rFonts w:ascii="Times New Roman" w:hAnsi="Times New Roman" w:cs="Times New Roman"/>
        </w:rPr>
        <w:t xml:space="preserve"> </w:t>
      </w:r>
      <w:r w:rsidR="00D411B3" w:rsidRPr="00D411B3">
        <w:rPr>
          <w:rFonts w:ascii="Times New Roman" w:hAnsi="Times New Roman" w:cs="Times New Roman"/>
        </w:rPr>
        <w:t>Control groups correspond to specific plate columns (Column 1–12) or rows (Row A–H)</w:t>
      </w:r>
      <w:r w:rsidR="00D33B5B">
        <w:rPr>
          <w:rFonts w:ascii="Times New Roman" w:hAnsi="Times New Roman" w:cs="Times New Roman"/>
        </w:rPr>
        <w:t xml:space="preserve">. </w:t>
      </w:r>
      <w:r w:rsidR="00D411B3" w:rsidRPr="00D411B3">
        <w:rPr>
          <w:rFonts w:ascii="Times New Roman" w:hAnsi="Times New Roman" w:cs="Times New Roman"/>
        </w:rPr>
        <w:t xml:space="preserve"> The blue line represents the linear regression fit across all data points, with the shaded area denoting the 95% confidence interval.</w:t>
      </w:r>
      <w:r w:rsidR="00B6195E">
        <w:rPr>
          <w:rFonts w:ascii="Times New Roman" w:hAnsi="Times New Roman" w:cs="Times New Roman"/>
        </w:rPr>
        <w:t xml:space="preserve"> The adjusted R-squared value indicated that 0.79% of the variance in Mahalanobis </w:t>
      </w:r>
      <w:r w:rsidR="00173EDD">
        <w:rPr>
          <w:rFonts w:ascii="Times New Roman" w:hAnsi="Times New Roman" w:cs="Times New Roman"/>
        </w:rPr>
        <w:t>distance was attributable to the variance in cell count.</w:t>
      </w:r>
    </w:p>
    <w:p w14:paraId="4A95D1B7" w14:textId="145BE782" w:rsidR="00C247D1" w:rsidRDefault="00C247D1"/>
    <w:p w14:paraId="27881ABE" w14:textId="77777777" w:rsidR="009779D8" w:rsidRDefault="009779D8">
      <w:bookmarkStart w:id="3" w:name="_GoBack"/>
      <w:bookmarkEnd w:id="3"/>
    </w:p>
    <w:p w14:paraId="04B077E1" w14:textId="56583EF2" w:rsidR="009779D8" w:rsidRDefault="009779D8"/>
    <w:sectPr w:rsidR="009779D8">
      <w:headerReference w:type="even" r:id="rId11"/>
      <w:headerReference w:type="default" r:id="rId12"/>
      <w:head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2B205" w14:textId="77777777" w:rsidR="00946640" w:rsidRDefault="00946640" w:rsidP="00946640">
      <w:pPr>
        <w:spacing w:after="0" w:line="240" w:lineRule="auto"/>
      </w:pPr>
      <w:r>
        <w:separator/>
      </w:r>
    </w:p>
  </w:endnote>
  <w:endnote w:type="continuationSeparator" w:id="0">
    <w:p w14:paraId="647362E5" w14:textId="77777777" w:rsidR="00946640" w:rsidRDefault="00946640" w:rsidP="00946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A2559" w14:textId="77777777" w:rsidR="00946640" w:rsidRDefault="00946640" w:rsidP="00946640">
      <w:pPr>
        <w:spacing w:after="0" w:line="240" w:lineRule="auto"/>
      </w:pPr>
      <w:r>
        <w:separator/>
      </w:r>
    </w:p>
  </w:footnote>
  <w:footnote w:type="continuationSeparator" w:id="0">
    <w:p w14:paraId="01B3A320" w14:textId="77777777" w:rsidR="00946640" w:rsidRDefault="00946640" w:rsidP="009466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F5E7D" w14:textId="3744E3DC" w:rsidR="00946640" w:rsidRDefault="00946640">
    <w:pPr>
      <w:pStyle w:val="Header"/>
    </w:pPr>
    <w:r>
      <w:rPr>
        <w:noProof/>
        <w:lang w:val="en-IN" w:eastAsia="en-IN"/>
      </w:rPr>
      <mc:AlternateContent>
        <mc:Choice Requires="wps">
          <w:drawing>
            <wp:anchor distT="0" distB="0" distL="0" distR="0" simplePos="0" relativeHeight="251659264" behindDoc="0" locked="0" layoutInCell="1" allowOverlap="1" wp14:anchorId="68E6362D" wp14:editId="0AC4BC65">
              <wp:simplePos x="635" y="635"/>
              <wp:positionH relativeFrom="page">
                <wp:align>right</wp:align>
              </wp:positionH>
              <wp:positionV relativeFrom="page">
                <wp:align>top</wp:align>
              </wp:positionV>
              <wp:extent cx="1899285" cy="391160"/>
              <wp:effectExtent l="0" t="0" r="0" b="8890"/>
              <wp:wrapNone/>
              <wp:docPr id="1995833372" name="Text Box 2"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1899285" cy="391160"/>
                      </a:xfrm>
                      <a:prstGeom prst="rect">
                        <a:avLst/>
                      </a:prstGeom>
                      <a:noFill/>
                      <a:ln>
                        <a:noFill/>
                      </a:ln>
                    </wps:spPr>
                    <wps:txbx>
                      <w:txbxContent>
                        <w:p w14:paraId="36504D20" w14:textId="41AB8763" w:rsidR="00946640" w:rsidRPr="00946640" w:rsidRDefault="00946640" w:rsidP="00946640">
                          <w:pPr>
                            <w:spacing w:after="0"/>
                            <w:rPr>
                              <w:rFonts w:ascii="Calibri" w:eastAsia="Calibri" w:hAnsi="Calibri" w:cs="Calibri"/>
                              <w:noProof/>
                              <w:color w:val="000000"/>
                              <w:sz w:val="24"/>
                              <w:szCs w:val="24"/>
                            </w:rPr>
                          </w:pPr>
                          <w:r w:rsidRPr="00946640">
                            <w:rPr>
                              <w:rFonts w:ascii="Calibri" w:eastAsia="Calibri" w:hAnsi="Calibri" w:cs="Calibri"/>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E6362D" id="_x0000_t202" coordsize="21600,21600" o:spt="202" path="m,l,21600r21600,l21600,xe">
              <v:stroke joinstyle="miter"/>
              <v:path gradientshapeok="t" o:connecttype="rect"/>
            </v:shapetype>
            <v:shape id="Text Box 2" o:spid="_x0000_s1026" type="#_x0000_t202" alt="Unclassified / Non classifié" style="position:absolute;margin-left:109.55pt;margin-top:0;width:149.55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" filled="f" stroked="f">
              <v:textbox style="mso-fit-shape-to-text:t" inset="0,15pt,20pt,0">
                <w:txbxContent>
                  <w:p w14:paraId="36504D20" w14:textId="41AB8763" w:rsidR="00946640" w:rsidRPr="00946640" w:rsidRDefault="00946640" w:rsidP="00946640">
                    <w:pPr>
                      <w:spacing w:after="0"/>
                      <w:rPr>
                        <w:rFonts w:ascii="Calibri" w:eastAsia="Calibri" w:hAnsi="Calibri" w:cs="Calibri"/>
                        <w:noProof/>
                        <w:color w:val="000000"/>
                        <w:sz w:val="24"/>
                        <w:szCs w:val="24"/>
                      </w:rPr>
                    </w:pPr>
                    <w:r w:rsidRPr="00946640">
                      <w:rPr>
                        <w:rFonts w:ascii="Calibri" w:eastAsia="Calibri" w:hAnsi="Calibri" w:cs="Calibri"/>
                        <w:noProof/>
                        <w:color w:val="000000"/>
                        <w:sz w:val="24"/>
                        <w:szCs w:val="24"/>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CC181" w14:textId="51E77AE9" w:rsidR="003B2EB8" w:rsidRDefault="003B2E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E8F5F" w14:textId="16C064A0" w:rsidR="00946640" w:rsidRDefault="00946640">
    <w:pPr>
      <w:pStyle w:val="Header"/>
    </w:pPr>
    <w:r>
      <w:rPr>
        <w:noProof/>
        <w:lang w:val="en-IN" w:eastAsia="en-IN"/>
      </w:rPr>
      <mc:AlternateContent>
        <mc:Choice Requires="wps">
          <w:drawing>
            <wp:anchor distT="0" distB="0" distL="0" distR="0" simplePos="0" relativeHeight="251658240" behindDoc="0" locked="0" layoutInCell="1" allowOverlap="1" wp14:anchorId="6DE10A4A" wp14:editId="4AEFEE3B">
              <wp:simplePos x="635" y="635"/>
              <wp:positionH relativeFrom="page">
                <wp:align>right</wp:align>
              </wp:positionH>
              <wp:positionV relativeFrom="page">
                <wp:align>top</wp:align>
              </wp:positionV>
              <wp:extent cx="1899285" cy="391160"/>
              <wp:effectExtent l="0" t="0" r="0" b="8890"/>
              <wp:wrapNone/>
              <wp:docPr id="523751431" name="Text Box 1" descr="Unclassified / Non classifié">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1899285" cy="391160"/>
                      </a:xfrm>
                      <a:prstGeom prst="rect">
                        <a:avLst/>
                      </a:prstGeom>
                      <a:noFill/>
                      <a:ln>
                        <a:noFill/>
                      </a:ln>
                    </wps:spPr>
                    <wps:txbx>
                      <w:txbxContent>
                        <w:p w14:paraId="4D5AAAF2" w14:textId="2A5CDDE2" w:rsidR="00946640" w:rsidRPr="00946640" w:rsidRDefault="00946640" w:rsidP="00946640">
                          <w:pPr>
                            <w:spacing w:after="0"/>
                            <w:rPr>
                              <w:rFonts w:ascii="Calibri" w:eastAsia="Calibri" w:hAnsi="Calibri" w:cs="Calibri"/>
                              <w:noProof/>
                              <w:color w:val="000000"/>
                              <w:sz w:val="24"/>
                              <w:szCs w:val="24"/>
                            </w:rPr>
                          </w:pPr>
                          <w:r w:rsidRPr="00946640">
                            <w:rPr>
                              <w:rFonts w:ascii="Calibri" w:eastAsia="Calibri" w:hAnsi="Calibri" w:cs="Calibri"/>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E10A4A" id="_x0000_t202" coordsize="21600,21600" o:spt="202" path="m,l,21600r21600,l21600,xe">
              <v:stroke joinstyle="miter"/>
              <v:path gradientshapeok="t" o:connecttype="rect"/>
            </v:shapetype>
            <v:shape id="Text Box 1" o:spid="_x0000_s1027" type="#_x0000_t202" alt="Unclassified / Non classifié" style="position:absolute;margin-left:109.55pt;margin-top:0;width:149.55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" filled="f" stroked="f">
              <v:textbox style="mso-fit-shape-to-text:t" inset="0,15pt,20pt,0">
                <w:txbxContent>
                  <w:p w14:paraId="4D5AAAF2" w14:textId="2A5CDDE2" w:rsidR="00946640" w:rsidRPr="00946640" w:rsidRDefault="00946640" w:rsidP="00946640">
                    <w:pPr>
                      <w:spacing w:after="0"/>
                      <w:rPr>
                        <w:rFonts w:ascii="Calibri" w:eastAsia="Calibri" w:hAnsi="Calibri" w:cs="Calibri"/>
                        <w:noProof/>
                        <w:color w:val="000000"/>
                        <w:sz w:val="24"/>
                        <w:szCs w:val="24"/>
                      </w:rPr>
                    </w:pPr>
                    <w:r w:rsidRPr="00946640">
                      <w:rPr>
                        <w:rFonts w:ascii="Calibri" w:eastAsia="Calibri" w:hAnsi="Calibri" w:cs="Calibri"/>
                        <w:noProof/>
                        <w:color w:val="000000"/>
                        <w:sz w:val="24"/>
                        <w:szCs w:val="24"/>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640"/>
    <w:rsid w:val="00022470"/>
    <w:rsid w:val="000C19D0"/>
    <w:rsid w:val="00173EDD"/>
    <w:rsid w:val="00196AC7"/>
    <w:rsid w:val="001C73E0"/>
    <w:rsid w:val="002F3FE1"/>
    <w:rsid w:val="003145D5"/>
    <w:rsid w:val="003B2EB8"/>
    <w:rsid w:val="00494DF0"/>
    <w:rsid w:val="005202FE"/>
    <w:rsid w:val="00522AFE"/>
    <w:rsid w:val="00575BB9"/>
    <w:rsid w:val="005A35FC"/>
    <w:rsid w:val="005F2AF6"/>
    <w:rsid w:val="006B60AD"/>
    <w:rsid w:val="007450ED"/>
    <w:rsid w:val="0075663C"/>
    <w:rsid w:val="00770096"/>
    <w:rsid w:val="00792D12"/>
    <w:rsid w:val="0079300F"/>
    <w:rsid w:val="008D05E9"/>
    <w:rsid w:val="00946640"/>
    <w:rsid w:val="00963B8C"/>
    <w:rsid w:val="009779D8"/>
    <w:rsid w:val="009A1D88"/>
    <w:rsid w:val="00A34FB2"/>
    <w:rsid w:val="00AC681C"/>
    <w:rsid w:val="00AF435E"/>
    <w:rsid w:val="00B313A5"/>
    <w:rsid w:val="00B34A2B"/>
    <w:rsid w:val="00B42CD0"/>
    <w:rsid w:val="00B6195E"/>
    <w:rsid w:val="00BB0737"/>
    <w:rsid w:val="00BD120B"/>
    <w:rsid w:val="00C247D1"/>
    <w:rsid w:val="00C40878"/>
    <w:rsid w:val="00CE5A4E"/>
    <w:rsid w:val="00D00A72"/>
    <w:rsid w:val="00D33B5B"/>
    <w:rsid w:val="00D411B3"/>
    <w:rsid w:val="00E45B70"/>
    <w:rsid w:val="00EB21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83280B"/>
  <w15:chartTrackingRefBased/>
  <w15:docId w15:val="{30452282-8EE0-4437-845B-28754AD6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40"/>
    <w:pPr>
      <w:suppressAutoHyphens/>
      <w:spacing w:line="259" w:lineRule="auto"/>
    </w:pPr>
    <w:rPr>
      <w:sz w:val="22"/>
      <w:szCs w:val="22"/>
    </w:rPr>
  </w:style>
  <w:style w:type="paragraph" w:styleId="Heading1">
    <w:name w:val="heading 1"/>
    <w:basedOn w:val="Normal"/>
    <w:next w:val="Normal"/>
    <w:link w:val="Heading1Char"/>
    <w:uiPriority w:val="9"/>
    <w:qFormat/>
    <w:rsid w:val="00946640"/>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640"/>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640"/>
    <w:pPr>
      <w:keepNext/>
      <w:keepLines/>
      <w:suppressAutoHyphens w:val="0"/>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640"/>
    <w:pPr>
      <w:keepNext/>
      <w:keepLines/>
      <w:suppressAutoHyphens w:val="0"/>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46640"/>
    <w:pPr>
      <w:keepNext/>
      <w:keepLines/>
      <w:suppressAutoHyphens w:val="0"/>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46640"/>
    <w:pPr>
      <w:keepNext/>
      <w:keepLines/>
      <w:suppressAutoHyphens w:val="0"/>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46640"/>
    <w:pPr>
      <w:keepNext/>
      <w:keepLines/>
      <w:suppressAutoHyphens w:val="0"/>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46640"/>
    <w:pPr>
      <w:keepNext/>
      <w:keepLines/>
      <w:suppressAutoHyphens w:val="0"/>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46640"/>
    <w:pPr>
      <w:keepNext/>
      <w:keepLines/>
      <w:suppressAutoHyphens w:val="0"/>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640"/>
    <w:rPr>
      <w:rFonts w:eastAsiaTheme="majorEastAsia" w:cstheme="majorBidi"/>
      <w:color w:val="272727" w:themeColor="text1" w:themeTint="D8"/>
    </w:rPr>
  </w:style>
  <w:style w:type="paragraph" w:styleId="Title">
    <w:name w:val="Title"/>
    <w:basedOn w:val="Normal"/>
    <w:next w:val="Normal"/>
    <w:link w:val="TitleChar"/>
    <w:uiPriority w:val="10"/>
    <w:qFormat/>
    <w:rsid w:val="00946640"/>
    <w:pPr>
      <w:suppressAutoHyphens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640"/>
    <w:pPr>
      <w:numPr>
        <w:ilvl w:val="1"/>
      </w:numPr>
      <w:suppressAutoHyphens w:val="0"/>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640"/>
    <w:pPr>
      <w:suppressAutoHyphens w:val="0"/>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46640"/>
    <w:rPr>
      <w:i/>
      <w:iCs/>
      <w:color w:val="404040" w:themeColor="text1" w:themeTint="BF"/>
    </w:rPr>
  </w:style>
  <w:style w:type="paragraph" w:styleId="ListParagraph">
    <w:name w:val="List Paragraph"/>
    <w:basedOn w:val="Normal"/>
    <w:uiPriority w:val="34"/>
    <w:qFormat/>
    <w:rsid w:val="00946640"/>
    <w:pPr>
      <w:suppressAutoHyphens w:val="0"/>
      <w:spacing w:line="278" w:lineRule="auto"/>
      <w:ind w:left="720"/>
      <w:contextualSpacing/>
    </w:pPr>
    <w:rPr>
      <w:sz w:val="24"/>
      <w:szCs w:val="24"/>
    </w:rPr>
  </w:style>
  <w:style w:type="character" w:styleId="IntenseEmphasis">
    <w:name w:val="Intense Emphasis"/>
    <w:basedOn w:val="DefaultParagraphFont"/>
    <w:uiPriority w:val="21"/>
    <w:qFormat/>
    <w:rsid w:val="00946640"/>
    <w:rPr>
      <w:i/>
      <w:iCs/>
      <w:color w:val="0F4761" w:themeColor="accent1" w:themeShade="BF"/>
    </w:rPr>
  </w:style>
  <w:style w:type="paragraph" w:styleId="IntenseQuote">
    <w:name w:val="Intense Quote"/>
    <w:basedOn w:val="Normal"/>
    <w:next w:val="Normal"/>
    <w:link w:val="IntenseQuoteChar"/>
    <w:uiPriority w:val="30"/>
    <w:qFormat/>
    <w:rsid w:val="00946640"/>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46640"/>
    <w:rPr>
      <w:i/>
      <w:iCs/>
      <w:color w:val="0F4761" w:themeColor="accent1" w:themeShade="BF"/>
    </w:rPr>
  </w:style>
  <w:style w:type="character" w:styleId="IntenseReference">
    <w:name w:val="Intense Reference"/>
    <w:basedOn w:val="DefaultParagraphFont"/>
    <w:uiPriority w:val="32"/>
    <w:qFormat/>
    <w:rsid w:val="00946640"/>
    <w:rPr>
      <w:b/>
      <w:bCs/>
      <w:smallCaps/>
      <w:color w:val="0F4761" w:themeColor="accent1" w:themeShade="BF"/>
      <w:spacing w:val="5"/>
    </w:rPr>
  </w:style>
  <w:style w:type="character" w:styleId="Hyperlink">
    <w:name w:val="Hyperlink"/>
    <w:basedOn w:val="DefaultParagraphFont"/>
    <w:uiPriority w:val="99"/>
    <w:unhideWhenUsed/>
    <w:rsid w:val="00946640"/>
    <w:rPr>
      <w:color w:val="467886" w:themeColor="hyperlink"/>
      <w:u w:val="single"/>
    </w:rPr>
  </w:style>
  <w:style w:type="paragraph" w:styleId="Header">
    <w:name w:val="header"/>
    <w:basedOn w:val="Normal"/>
    <w:link w:val="HeaderChar"/>
    <w:uiPriority w:val="99"/>
    <w:unhideWhenUsed/>
    <w:rsid w:val="009466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640"/>
    <w:rPr>
      <w:sz w:val="22"/>
      <w:szCs w:val="22"/>
    </w:rPr>
  </w:style>
  <w:style w:type="paragraph" w:styleId="Footer">
    <w:name w:val="footer"/>
    <w:basedOn w:val="Normal"/>
    <w:link w:val="FooterChar"/>
    <w:uiPriority w:val="99"/>
    <w:unhideWhenUsed/>
    <w:rsid w:val="003B2E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EB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1637</TotalTime>
  <Pages>6</Pages>
  <Words>464</Words>
  <Characters>2647</Characters>
  <Application>Microsoft Office Word</Application>
  <DocSecurity>0</DocSecurity>
  <Lines>22</Lines>
  <Paragraphs>6</Paragraphs>
  <ScaleCrop>false</ScaleCrop>
  <Company>HC-PHAC - SC-ASPC</Company>
  <LinksUpToDate>false</LinksUpToDate>
  <CharactersWithSpaces>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 Eunnara (HC/SC)</dc:creator>
  <cp:keywords/>
  <dc:description/>
  <cp:lastModifiedBy>Priyanka  Ravichandran</cp:lastModifiedBy>
  <cp:revision>37</cp:revision>
  <dcterms:created xsi:type="dcterms:W3CDTF">2025-05-12T14:22:00Z</dcterms:created>
  <dcterms:modified xsi:type="dcterms:W3CDTF">2025-08-26T06:41:00Z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1f37d007,76f6001c,7c337414</vt:lpwstr>
  </property>
  <property fmtid="{D5CDD505-2E9C-101B-9397-08002B2CF9AE}" pid="3" name="ClassificationContentMarkingHeaderFontProps">
    <vt:lpwstr>#000000,12,Calibri</vt:lpwstr>
  </property>
  <property fmtid="{D5CDD505-2E9C-101B-9397-08002B2CF9AE}" pid="4" name="ClassificationContentMarkingHeaderText">
    <vt:lpwstr>Unclassified / Non classifié</vt:lpwstr>
  </property>
  <property fmtid="{D5CDD505-2E9C-101B-9397-08002B2CF9AE}" pid="5" name="MSIP_Label_05d8ed60-cd71-485b-a85b-277aaf32f506_Enabled">
    <vt:lpwstr>true</vt:lpwstr>
  </property>
  <property fmtid="{D5CDD505-2E9C-101B-9397-08002B2CF9AE}" pid="6" name="MSIP_Label_05d8ed60-cd71-485b-a85b-277aaf32f506_SetDate">
    <vt:lpwstr>2025-05-12T14:22:55Z</vt:lpwstr>
  </property>
  <property fmtid="{D5CDD505-2E9C-101B-9397-08002B2CF9AE}" pid="7" name="MSIP_Label_05d8ed60-cd71-485b-a85b-277aaf32f506_Method">
    <vt:lpwstr>Standard</vt:lpwstr>
  </property>
  <property fmtid="{D5CDD505-2E9C-101B-9397-08002B2CF9AE}" pid="8" name="MSIP_Label_05d8ed60-cd71-485b-a85b-277aaf32f506_Name">
    <vt:lpwstr>Unclassified</vt:lpwstr>
  </property>
  <property fmtid="{D5CDD505-2E9C-101B-9397-08002B2CF9AE}" pid="9" name="MSIP_Label_05d8ed60-cd71-485b-a85b-277aaf32f506_SiteId">
    <vt:lpwstr>42fd9015-de4d-4223-a368-baeacab48927</vt:lpwstr>
  </property>
  <property fmtid="{D5CDD505-2E9C-101B-9397-08002B2CF9AE}" pid="10" name="MSIP_Label_05d8ed60-cd71-485b-a85b-277aaf32f506_ActionId">
    <vt:lpwstr>e04e1159-e831-4b0c-8c7e-1abe63e1ba04</vt:lpwstr>
  </property>
  <property fmtid="{D5CDD505-2E9C-101B-9397-08002B2CF9AE}" pid="11" name="MSIP_Label_05d8ed60-cd71-485b-a85b-277aaf32f506_ContentBits">
    <vt:lpwstr>1</vt:lpwstr>
  </property>
  <property fmtid="{D5CDD505-2E9C-101B-9397-08002B2CF9AE}" pid="12" name="MSIP_Label_05d8ed60-cd71-485b-a85b-277aaf32f506_Tag">
    <vt:lpwstr>10, 3, 0, 1</vt:lpwstr>
  </property>
</Properties>
</file>