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83970" w14:textId="39F2E858" w:rsidR="00D046A2" w:rsidRPr="00932E00" w:rsidRDefault="00AA6736" w:rsidP="00D046A2">
      <w:pPr>
        <w:rPr>
          <w:rFonts w:ascii="Times New Roman" w:hAnsi="Times New Roman" w:cs="Times New Roman"/>
        </w:rPr>
      </w:pPr>
      <w:r w:rsidRPr="00932E00">
        <w:rPr>
          <w:rFonts w:ascii="Times New Roman" w:hAnsi="Times New Roman" w:cs="Times New Roman"/>
          <w:b/>
          <w:bCs/>
        </w:rPr>
        <w:t>Table S3.</w:t>
      </w:r>
      <w:r w:rsidRPr="00932E00">
        <w:rPr>
          <w:rFonts w:ascii="Times New Roman" w:hAnsi="Times New Roman" w:cs="Times New Roman"/>
        </w:rPr>
        <w:t xml:space="preserve"> Biotransformation, elemental structure, probability score and Simplified Molecular-Input Line Entry Specification (SMILES) of </w:t>
      </w:r>
      <w:r w:rsidR="0077646F" w:rsidRPr="00932E00">
        <w:rPr>
          <w:rFonts w:ascii="Times New Roman" w:hAnsi="Times New Roman" w:cs="Times New Roman"/>
        </w:rPr>
        <w:t xml:space="preserve">gidazepam </w:t>
      </w:r>
      <w:r w:rsidRPr="00932E00">
        <w:rPr>
          <w:rFonts w:ascii="Times New Roman" w:hAnsi="Times New Roman" w:cs="Times New Roman"/>
        </w:rPr>
        <w:t>metabolites predicted using GLORYx free-base webtool.</w:t>
      </w:r>
    </w:p>
    <w:tbl>
      <w:tblPr>
        <w:tblStyle w:val="PlainTable21"/>
        <w:tblW w:w="11390" w:type="dxa"/>
        <w:tblInd w:w="-900" w:type="dxa"/>
        <w:tblLayout w:type="fixed"/>
        <w:tblLook w:val="04A0" w:firstRow="1" w:lastRow="0" w:firstColumn="1" w:lastColumn="0" w:noHBand="0" w:noVBand="1"/>
      </w:tblPr>
      <w:tblGrid>
        <w:gridCol w:w="1260"/>
        <w:gridCol w:w="2700"/>
        <w:gridCol w:w="1440"/>
        <w:gridCol w:w="1170"/>
        <w:gridCol w:w="4820"/>
      </w:tblGrid>
      <w:tr w:rsidR="00AA6736" w:rsidRPr="00932E00" w14:paraId="2AE2BB11" w14:textId="77777777" w:rsidTr="006E75D6">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tcBorders>
              <w:top w:val="single" w:sz="18" w:space="0" w:color="auto"/>
              <w:bottom w:val="single" w:sz="18" w:space="0" w:color="auto"/>
            </w:tcBorders>
            <w:noWrap/>
            <w:vAlign w:val="center"/>
            <w:hideMark/>
          </w:tcPr>
          <w:p w14:paraId="5BBD1F39" w14:textId="77777777" w:rsidR="00AA6736" w:rsidRPr="00932E00" w:rsidRDefault="00AA6736" w:rsidP="00D046A2">
            <w:pPr>
              <w:jc w:val="center"/>
              <w:rPr>
                <w:rFonts w:ascii="Times New Roman" w:eastAsia="Times New Roman" w:hAnsi="Times New Roman" w:cs="Times New Roman"/>
                <w:i/>
                <w:iCs/>
                <w:color w:val="000000"/>
                <w:kern w:val="0"/>
                <w:sz w:val="20"/>
                <w:szCs w:val="20"/>
                <w14:ligatures w14:val="none"/>
              </w:rPr>
            </w:pPr>
            <w:r w:rsidRPr="00932E00">
              <w:rPr>
                <w:rFonts w:ascii="Times New Roman" w:eastAsia="Times New Roman" w:hAnsi="Times New Roman" w:cs="Times New Roman"/>
                <w:i/>
                <w:iCs/>
                <w:color w:val="000000"/>
                <w:kern w:val="0"/>
                <w:sz w:val="20"/>
                <w:szCs w:val="20"/>
                <w14:ligatures w14:val="none"/>
              </w:rPr>
              <w:t>ID</w:t>
            </w:r>
          </w:p>
        </w:tc>
        <w:tc>
          <w:tcPr>
            <w:tcW w:w="2700" w:type="dxa"/>
            <w:tcBorders>
              <w:top w:val="single" w:sz="18" w:space="0" w:color="auto"/>
              <w:bottom w:val="single" w:sz="18" w:space="0" w:color="auto"/>
            </w:tcBorders>
            <w:noWrap/>
            <w:vAlign w:val="center"/>
            <w:hideMark/>
          </w:tcPr>
          <w:p w14:paraId="0163B75C" w14:textId="77777777" w:rsidR="00AA6736" w:rsidRPr="00932E00" w:rsidRDefault="00AA6736" w:rsidP="00D046A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14:ligatures w14:val="none"/>
              </w:rPr>
            </w:pPr>
            <w:r w:rsidRPr="00932E00">
              <w:rPr>
                <w:rFonts w:ascii="Times New Roman" w:eastAsia="Times New Roman" w:hAnsi="Times New Roman" w:cs="Times New Roman"/>
                <w:i/>
                <w:iCs/>
                <w:color w:val="000000"/>
                <w:kern w:val="0"/>
                <w:sz w:val="20"/>
                <w:szCs w:val="20"/>
                <w14:ligatures w14:val="none"/>
              </w:rPr>
              <w:t>Transformation</w:t>
            </w:r>
          </w:p>
        </w:tc>
        <w:tc>
          <w:tcPr>
            <w:tcW w:w="1440" w:type="dxa"/>
            <w:tcBorders>
              <w:top w:val="single" w:sz="18" w:space="0" w:color="auto"/>
              <w:bottom w:val="single" w:sz="18" w:space="0" w:color="auto"/>
            </w:tcBorders>
            <w:noWrap/>
            <w:vAlign w:val="center"/>
            <w:hideMark/>
          </w:tcPr>
          <w:p w14:paraId="697DFC3E" w14:textId="77777777" w:rsidR="00AA6736" w:rsidRPr="00932E00" w:rsidRDefault="00AA6736" w:rsidP="00D046A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14:ligatures w14:val="none"/>
              </w:rPr>
            </w:pPr>
            <w:r w:rsidRPr="00932E00">
              <w:rPr>
                <w:rFonts w:ascii="Times New Roman" w:eastAsia="Times New Roman" w:hAnsi="Times New Roman" w:cs="Times New Roman"/>
                <w:i/>
                <w:iCs/>
                <w:color w:val="000000"/>
                <w:kern w:val="0"/>
                <w:sz w:val="20"/>
                <w:szCs w:val="20"/>
                <w14:ligatures w14:val="none"/>
              </w:rPr>
              <w:t>Structure</w:t>
            </w:r>
          </w:p>
        </w:tc>
        <w:tc>
          <w:tcPr>
            <w:tcW w:w="1170" w:type="dxa"/>
            <w:tcBorders>
              <w:top w:val="single" w:sz="18" w:space="0" w:color="auto"/>
              <w:bottom w:val="single" w:sz="18" w:space="0" w:color="auto"/>
            </w:tcBorders>
            <w:noWrap/>
            <w:vAlign w:val="center"/>
            <w:hideMark/>
          </w:tcPr>
          <w:p w14:paraId="2142BCBB" w14:textId="77777777" w:rsidR="00AA6736" w:rsidRPr="00932E00" w:rsidRDefault="00AA6736" w:rsidP="00D046A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14:ligatures w14:val="none"/>
              </w:rPr>
            </w:pPr>
            <w:r w:rsidRPr="00932E00">
              <w:rPr>
                <w:rFonts w:ascii="Times New Roman" w:eastAsia="Times New Roman" w:hAnsi="Times New Roman" w:cs="Times New Roman"/>
                <w:i/>
                <w:iCs/>
                <w:color w:val="000000"/>
                <w:kern w:val="0"/>
                <w:sz w:val="20"/>
                <w:szCs w:val="20"/>
                <w14:ligatures w14:val="none"/>
              </w:rPr>
              <w:t>Score (%)</w:t>
            </w:r>
          </w:p>
        </w:tc>
        <w:tc>
          <w:tcPr>
            <w:tcW w:w="4820" w:type="dxa"/>
            <w:tcBorders>
              <w:top w:val="single" w:sz="18" w:space="0" w:color="auto"/>
              <w:bottom w:val="single" w:sz="18" w:space="0" w:color="auto"/>
            </w:tcBorders>
            <w:noWrap/>
            <w:vAlign w:val="center"/>
            <w:hideMark/>
          </w:tcPr>
          <w:p w14:paraId="184F0796" w14:textId="77777777" w:rsidR="00AA6736" w:rsidRPr="00932E00" w:rsidRDefault="00AA6736" w:rsidP="00D046A2">
            <w:pPr>
              <w:ind w:firstLineChars="200" w:firstLine="40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14:ligatures w14:val="none"/>
              </w:rPr>
            </w:pPr>
            <w:r w:rsidRPr="00932E00">
              <w:rPr>
                <w:rFonts w:ascii="Times New Roman" w:eastAsia="Times New Roman" w:hAnsi="Times New Roman" w:cs="Times New Roman"/>
                <w:i/>
                <w:iCs/>
                <w:color w:val="000000"/>
                <w:kern w:val="0"/>
                <w:sz w:val="20"/>
                <w:szCs w:val="20"/>
                <w14:ligatures w14:val="none"/>
              </w:rPr>
              <w:t>SMILES</w:t>
            </w:r>
          </w:p>
        </w:tc>
      </w:tr>
      <w:tr w:rsidR="00AA6736" w:rsidRPr="00932E00" w14:paraId="415D9CF0"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tcBorders>
              <w:top w:val="single" w:sz="18" w:space="0" w:color="auto"/>
            </w:tcBorders>
            <w:noWrap/>
            <w:vAlign w:val="center"/>
            <w:hideMark/>
          </w:tcPr>
          <w:p w14:paraId="572F5025" w14:textId="77777777" w:rsidR="00AA6736" w:rsidRPr="00932E00" w:rsidRDefault="00AA6736" w:rsidP="00D046A2">
            <w:pP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Parent</w:t>
            </w:r>
          </w:p>
        </w:tc>
        <w:tc>
          <w:tcPr>
            <w:tcW w:w="2700" w:type="dxa"/>
            <w:tcBorders>
              <w:top w:val="single" w:sz="18" w:space="0" w:color="auto"/>
            </w:tcBorders>
            <w:noWrap/>
            <w:vAlign w:val="center"/>
            <w:hideMark/>
          </w:tcPr>
          <w:p w14:paraId="4D227488" w14:textId="77777777" w:rsidR="00AA6736" w:rsidRPr="00932E00" w:rsidRDefault="00AA6736" w:rsidP="00D04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Gidazepam</w:t>
            </w:r>
          </w:p>
        </w:tc>
        <w:tc>
          <w:tcPr>
            <w:tcW w:w="1440" w:type="dxa"/>
            <w:tcBorders>
              <w:top w:val="single" w:sz="18" w:space="0" w:color="auto"/>
            </w:tcBorders>
            <w:noWrap/>
            <w:vAlign w:val="center"/>
            <w:hideMark/>
          </w:tcPr>
          <w:p w14:paraId="3DDD5E1F"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15</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2</w:t>
            </w:r>
          </w:p>
        </w:tc>
        <w:tc>
          <w:tcPr>
            <w:tcW w:w="1170" w:type="dxa"/>
            <w:tcBorders>
              <w:top w:val="single" w:sz="18" w:space="0" w:color="auto"/>
            </w:tcBorders>
            <w:noWrap/>
            <w:vAlign w:val="center"/>
            <w:hideMark/>
          </w:tcPr>
          <w:p w14:paraId="7070A77F"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w:t>
            </w:r>
          </w:p>
        </w:tc>
        <w:tc>
          <w:tcPr>
            <w:tcW w:w="4820" w:type="dxa"/>
            <w:tcBorders>
              <w:top w:val="single" w:sz="18" w:space="0" w:color="auto"/>
            </w:tcBorders>
            <w:vAlign w:val="center"/>
            <w:hideMark/>
          </w:tcPr>
          <w:p w14:paraId="2CD6A3FB"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it-IT"/>
                <w14:ligatures w14:val="none"/>
              </w:rPr>
            </w:pPr>
            <w:r w:rsidRPr="00932E00">
              <w:rPr>
                <w:rFonts w:ascii="Times New Roman" w:eastAsia="Times New Roman" w:hAnsi="Times New Roman" w:cs="Times New Roman"/>
                <w:kern w:val="0"/>
                <w:sz w:val="20"/>
                <w:szCs w:val="20"/>
                <w:lang w:val="it-IT"/>
                <w14:ligatures w14:val="none"/>
              </w:rPr>
              <w:t>O=C1CN=C(c2cc(Br)ccc2N1CC(=O)NN)c1ccccc1</w:t>
            </w:r>
          </w:p>
        </w:tc>
      </w:tr>
      <w:tr w:rsidR="00AA6736" w:rsidRPr="00932E00" w14:paraId="3E00C39E"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F5A8B57" w14:textId="77777777" w:rsidR="00AA6736" w:rsidRPr="00932E00" w:rsidRDefault="00AA6736" w:rsidP="00D046A2">
            <w:pP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pM1</w:t>
            </w:r>
          </w:p>
        </w:tc>
        <w:tc>
          <w:tcPr>
            <w:tcW w:w="2700" w:type="dxa"/>
            <w:noWrap/>
            <w:vAlign w:val="center"/>
            <w:hideMark/>
          </w:tcPr>
          <w:p w14:paraId="0FA04E84" w14:textId="77777777" w:rsidR="00AA6736" w:rsidRPr="00932E00" w:rsidRDefault="00AA6736" w:rsidP="00D04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i/>
                <w:iCs/>
                <w:color w:val="000000"/>
                <w:kern w:val="0"/>
                <w:sz w:val="20"/>
                <w:szCs w:val="20"/>
                <w14:ligatures w14:val="none"/>
              </w:rPr>
              <w:t>N</w:t>
            </w:r>
            <w:r w:rsidRPr="00932E00">
              <w:rPr>
                <w:rFonts w:ascii="Times New Roman" w:eastAsia="Times New Roman" w:hAnsi="Times New Roman" w:cs="Times New Roman"/>
                <w:color w:val="000000"/>
                <w:kern w:val="0"/>
                <w:sz w:val="20"/>
                <w:szCs w:val="20"/>
                <w14:ligatures w14:val="none"/>
              </w:rPr>
              <w:t>-Acetylation</w:t>
            </w:r>
          </w:p>
        </w:tc>
        <w:tc>
          <w:tcPr>
            <w:tcW w:w="1440" w:type="dxa"/>
            <w:noWrap/>
            <w:vAlign w:val="center"/>
            <w:hideMark/>
          </w:tcPr>
          <w:p w14:paraId="13F0E37D"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19</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3</w:t>
            </w:r>
          </w:p>
        </w:tc>
        <w:tc>
          <w:tcPr>
            <w:tcW w:w="1170" w:type="dxa"/>
            <w:noWrap/>
            <w:vAlign w:val="center"/>
            <w:hideMark/>
          </w:tcPr>
          <w:p w14:paraId="1B53FB78"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80</w:t>
            </w:r>
          </w:p>
        </w:tc>
        <w:tc>
          <w:tcPr>
            <w:tcW w:w="4820" w:type="dxa"/>
            <w:noWrap/>
            <w:vAlign w:val="center"/>
            <w:hideMark/>
          </w:tcPr>
          <w:p w14:paraId="7FE2E1E3"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O=C1CN=C(c2cc(Br)ccc2N1CC(=O)NNC(=O)C)c1ccccc1</w:t>
            </w:r>
          </w:p>
        </w:tc>
      </w:tr>
      <w:tr w:rsidR="00AA6736" w:rsidRPr="00932E00" w14:paraId="0199A8DF"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E5D4B81"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pM1-1</w:t>
            </w:r>
          </w:p>
        </w:tc>
        <w:tc>
          <w:tcPr>
            <w:tcW w:w="2700" w:type="dxa"/>
            <w:noWrap/>
            <w:vAlign w:val="center"/>
            <w:hideMark/>
          </w:tcPr>
          <w:p w14:paraId="1C267C2A"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Hydroxylation</w:t>
            </w:r>
          </w:p>
        </w:tc>
        <w:tc>
          <w:tcPr>
            <w:tcW w:w="1440" w:type="dxa"/>
            <w:noWrap/>
            <w:vAlign w:val="center"/>
            <w:hideMark/>
          </w:tcPr>
          <w:p w14:paraId="0B762B1B"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19</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4</w:t>
            </w:r>
          </w:p>
        </w:tc>
        <w:tc>
          <w:tcPr>
            <w:tcW w:w="1170" w:type="dxa"/>
            <w:noWrap/>
            <w:vAlign w:val="center"/>
            <w:hideMark/>
          </w:tcPr>
          <w:p w14:paraId="4F606819"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31</w:t>
            </w:r>
          </w:p>
        </w:tc>
        <w:tc>
          <w:tcPr>
            <w:tcW w:w="4820" w:type="dxa"/>
            <w:noWrap/>
            <w:vAlign w:val="center"/>
            <w:hideMark/>
          </w:tcPr>
          <w:p w14:paraId="40867740"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ON(NC(=O)C)C(=O)CN1C(=O)CN=C(c2cc(Br)ccc12)c1ccccc1</w:t>
            </w:r>
          </w:p>
        </w:tc>
      </w:tr>
      <w:tr w:rsidR="00AA6736" w:rsidRPr="00932E00" w14:paraId="3B067F14"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7EF02596"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pM1-2</w:t>
            </w:r>
          </w:p>
        </w:tc>
        <w:tc>
          <w:tcPr>
            <w:tcW w:w="2700" w:type="dxa"/>
            <w:noWrap/>
            <w:vAlign w:val="center"/>
            <w:hideMark/>
          </w:tcPr>
          <w:p w14:paraId="5DDEDCA2"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Carboxylation</w:t>
            </w:r>
          </w:p>
        </w:tc>
        <w:tc>
          <w:tcPr>
            <w:tcW w:w="1440" w:type="dxa"/>
            <w:noWrap/>
            <w:vAlign w:val="center"/>
            <w:hideMark/>
          </w:tcPr>
          <w:p w14:paraId="49C322DE"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19</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15</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5</w:t>
            </w:r>
          </w:p>
        </w:tc>
        <w:tc>
          <w:tcPr>
            <w:tcW w:w="1170" w:type="dxa"/>
            <w:noWrap/>
            <w:vAlign w:val="center"/>
            <w:hideMark/>
          </w:tcPr>
          <w:p w14:paraId="5E1D8DB1"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31</w:t>
            </w:r>
          </w:p>
        </w:tc>
        <w:tc>
          <w:tcPr>
            <w:tcW w:w="4820" w:type="dxa"/>
            <w:noWrap/>
            <w:vAlign w:val="center"/>
            <w:hideMark/>
          </w:tcPr>
          <w:p w14:paraId="2ED1A07C"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OC(=O)C(=O)NNC(=O)CN1C(=O)CN=C(c2cc(Br)ccc12)c1ccccc1</w:t>
            </w:r>
          </w:p>
        </w:tc>
      </w:tr>
      <w:tr w:rsidR="00AA6736" w:rsidRPr="00932E00" w14:paraId="2FD50842"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0345E76E"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pM1-3</w:t>
            </w:r>
          </w:p>
        </w:tc>
        <w:tc>
          <w:tcPr>
            <w:tcW w:w="2700" w:type="dxa"/>
            <w:noWrap/>
            <w:vAlign w:val="center"/>
            <w:hideMark/>
          </w:tcPr>
          <w:p w14:paraId="2BCC0D2D"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De-acetylation</w:t>
            </w:r>
          </w:p>
        </w:tc>
        <w:tc>
          <w:tcPr>
            <w:tcW w:w="1440" w:type="dxa"/>
            <w:noWrap/>
            <w:vAlign w:val="center"/>
            <w:hideMark/>
          </w:tcPr>
          <w:p w14:paraId="4E224340"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15</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2</w:t>
            </w:r>
          </w:p>
        </w:tc>
        <w:tc>
          <w:tcPr>
            <w:tcW w:w="1170" w:type="dxa"/>
            <w:noWrap/>
            <w:vAlign w:val="center"/>
            <w:hideMark/>
          </w:tcPr>
          <w:p w14:paraId="137ADF2C"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31</w:t>
            </w:r>
          </w:p>
        </w:tc>
        <w:tc>
          <w:tcPr>
            <w:tcW w:w="4820" w:type="dxa"/>
            <w:vAlign w:val="center"/>
            <w:hideMark/>
          </w:tcPr>
          <w:p w14:paraId="6BD04431"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it-IT"/>
                <w14:ligatures w14:val="none"/>
              </w:rPr>
            </w:pPr>
            <w:r w:rsidRPr="00932E00">
              <w:rPr>
                <w:rFonts w:ascii="Times New Roman" w:eastAsia="Times New Roman" w:hAnsi="Times New Roman" w:cs="Times New Roman"/>
                <w:kern w:val="0"/>
                <w:sz w:val="20"/>
                <w:szCs w:val="20"/>
                <w:lang w:val="it-IT"/>
                <w14:ligatures w14:val="none"/>
              </w:rPr>
              <w:t>O=C1CN=C(c2cc(Br)ccc2N1CC(=O)NN)c1ccccc1</w:t>
            </w:r>
          </w:p>
        </w:tc>
      </w:tr>
      <w:tr w:rsidR="00AA6736" w:rsidRPr="00932E00" w14:paraId="38457F45"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1AAA9A94"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pM1-4</w:t>
            </w:r>
          </w:p>
        </w:tc>
        <w:tc>
          <w:tcPr>
            <w:tcW w:w="2700" w:type="dxa"/>
            <w:noWrap/>
            <w:vAlign w:val="center"/>
            <w:hideMark/>
          </w:tcPr>
          <w:p w14:paraId="1DF8E800"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Hydroxylation</w:t>
            </w:r>
          </w:p>
        </w:tc>
        <w:tc>
          <w:tcPr>
            <w:tcW w:w="1440" w:type="dxa"/>
            <w:noWrap/>
            <w:vAlign w:val="center"/>
            <w:hideMark/>
          </w:tcPr>
          <w:p w14:paraId="70E8FF5F"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19</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4</w:t>
            </w:r>
          </w:p>
        </w:tc>
        <w:tc>
          <w:tcPr>
            <w:tcW w:w="1170" w:type="dxa"/>
            <w:noWrap/>
            <w:vAlign w:val="center"/>
            <w:hideMark/>
          </w:tcPr>
          <w:p w14:paraId="3599C245"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31</w:t>
            </w:r>
          </w:p>
        </w:tc>
        <w:tc>
          <w:tcPr>
            <w:tcW w:w="4820" w:type="dxa"/>
            <w:noWrap/>
            <w:vAlign w:val="center"/>
            <w:hideMark/>
          </w:tcPr>
          <w:p w14:paraId="66BE9420"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O=C1CN=C(c2cc(Br)ccc2N1CC(=O)NNC(=O)CO)c1ccccc1</w:t>
            </w:r>
          </w:p>
        </w:tc>
      </w:tr>
      <w:tr w:rsidR="00AA6736" w:rsidRPr="00932E00" w14:paraId="17B471D1"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5D304644" w14:textId="77777777" w:rsidR="00AA6736" w:rsidRPr="00932E00" w:rsidRDefault="00AA6736" w:rsidP="00D046A2">
            <w:pP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pM2</w:t>
            </w:r>
          </w:p>
        </w:tc>
        <w:tc>
          <w:tcPr>
            <w:tcW w:w="2700" w:type="dxa"/>
            <w:noWrap/>
            <w:vAlign w:val="center"/>
            <w:hideMark/>
          </w:tcPr>
          <w:p w14:paraId="2004947E" w14:textId="5D9B7383" w:rsidR="00AA6736" w:rsidRPr="00932E00" w:rsidRDefault="00AA6736" w:rsidP="0077646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Hydroxylation [</w:t>
            </w:r>
            <w:r w:rsidR="0077646F" w:rsidRPr="00932E00">
              <w:rPr>
                <w:rFonts w:ascii="Times New Roman" w:eastAsia="Times New Roman" w:hAnsi="Times New Roman" w:cs="Times New Roman"/>
                <w:color w:val="000000"/>
                <w:kern w:val="0"/>
                <w:sz w:val="20"/>
                <w:szCs w:val="20"/>
                <w14:ligatures w14:val="none"/>
              </w:rPr>
              <w:t>phenyl</w:t>
            </w:r>
            <w:r w:rsidRPr="00932E00">
              <w:rPr>
                <w:rFonts w:ascii="Times New Roman" w:eastAsia="Times New Roman" w:hAnsi="Times New Roman" w:cs="Times New Roman"/>
                <w:color w:val="000000"/>
                <w:kern w:val="0"/>
                <w:sz w:val="20"/>
                <w:szCs w:val="20"/>
                <w14:ligatures w14:val="none"/>
              </w:rPr>
              <w:t>]</w:t>
            </w:r>
          </w:p>
        </w:tc>
        <w:tc>
          <w:tcPr>
            <w:tcW w:w="1440" w:type="dxa"/>
            <w:noWrap/>
            <w:vAlign w:val="center"/>
            <w:hideMark/>
          </w:tcPr>
          <w:p w14:paraId="6AC16DED"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15</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3</w:t>
            </w:r>
          </w:p>
        </w:tc>
        <w:tc>
          <w:tcPr>
            <w:tcW w:w="1170" w:type="dxa"/>
            <w:noWrap/>
            <w:vAlign w:val="center"/>
            <w:hideMark/>
          </w:tcPr>
          <w:p w14:paraId="19A31A3B"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31</w:t>
            </w:r>
          </w:p>
        </w:tc>
        <w:tc>
          <w:tcPr>
            <w:tcW w:w="4820" w:type="dxa"/>
            <w:noWrap/>
            <w:vAlign w:val="center"/>
            <w:hideMark/>
          </w:tcPr>
          <w:p w14:paraId="213209F3"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O=C1CN=C(c2cc(Br)ccc2N1CC(=O)NN)c1cc(O)ccc1</w:t>
            </w:r>
          </w:p>
        </w:tc>
      </w:tr>
      <w:tr w:rsidR="00AA6736" w:rsidRPr="00932E00" w14:paraId="69746A6B"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007F1DCB"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pM2-1</w:t>
            </w:r>
          </w:p>
        </w:tc>
        <w:tc>
          <w:tcPr>
            <w:tcW w:w="2700" w:type="dxa"/>
            <w:noWrap/>
            <w:vAlign w:val="center"/>
            <w:hideMark/>
          </w:tcPr>
          <w:p w14:paraId="27A6B76F"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xml:space="preserve">+ </w:t>
            </w:r>
            <w:r w:rsidRPr="00932E00">
              <w:rPr>
                <w:rFonts w:ascii="Times New Roman" w:eastAsia="Times New Roman" w:hAnsi="Times New Roman" w:cs="Times New Roman"/>
                <w:i/>
                <w:iCs/>
                <w:color w:val="000000"/>
                <w:kern w:val="0"/>
                <w:sz w:val="20"/>
                <w:szCs w:val="20"/>
                <w14:ligatures w14:val="none"/>
              </w:rPr>
              <w:t>O</w:t>
            </w:r>
            <w:r w:rsidRPr="00932E00">
              <w:rPr>
                <w:rFonts w:ascii="Times New Roman" w:eastAsia="Times New Roman" w:hAnsi="Times New Roman" w:cs="Times New Roman"/>
                <w:color w:val="000000"/>
                <w:kern w:val="0"/>
                <w:sz w:val="20"/>
                <w:szCs w:val="20"/>
                <w14:ligatures w14:val="none"/>
              </w:rPr>
              <w:t>-Sulfation</w:t>
            </w:r>
          </w:p>
        </w:tc>
        <w:tc>
          <w:tcPr>
            <w:tcW w:w="1440" w:type="dxa"/>
            <w:noWrap/>
            <w:vAlign w:val="center"/>
            <w:hideMark/>
          </w:tcPr>
          <w:p w14:paraId="41D7EA21"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15</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6</w:t>
            </w:r>
            <w:r w:rsidRPr="00932E00">
              <w:rPr>
                <w:rFonts w:ascii="Times New Roman" w:eastAsia="Times New Roman" w:hAnsi="Times New Roman" w:cs="Times New Roman"/>
                <w:color w:val="000000"/>
                <w:kern w:val="0"/>
                <w:sz w:val="20"/>
                <w:szCs w:val="20"/>
                <w14:ligatures w14:val="none"/>
              </w:rPr>
              <w:t>S</w:t>
            </w:r>
          </w:p>
        </w:tc>
        <w:tc>
          <w:tcPr>
            <w:tcW w:w="1170" w:type="dxa"/>
            <w:noWrap/>
            <w:vAlign w:val="center"/>
            <w:hideMark/>
          </w:tcPr>
          <w:p w14:paraId="133DB9F0"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30</w:t>
            </w:r>
          </w:p>
        </w:tc>
        <w:tc>
          <w:tcPr>
            <w:tcW w:w="4820" w:type="dxa"/>
            <w:noWrap/>
            <w:vAlign w:val="center"/>
            <w:hideMark/>
          </w:tcPr>
          <w:p w14:paraId="4212E1FC"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O=S(O)(=O)Oc1cc(ccc1)C1=NCC(=O)N(CC(=O)NN)c2ccc(Br)cc12</w:t>
            </w:r>
          </w:p>
        </w:tc>
      </w:tr>
      <w:tr w:rsidR="00AA6736" w:rsidRPr="00932E00" w14:paraId="3E67ECF8"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2237DF6"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pM2-2</w:t>
            </w:r>
          </w:p>
        </w:tc>
        <w:tc>
          <w:tcPr>
            <w:tcW w:w="2700" w:type="dxa"/>
            <w:noWrap/>
            <w:vAlign w:val="center"/>
            <w:hideMark/>
          </w:tcPr>
          <w:p w14:paraId="16A42036"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xml:space="preserve">+ </w:t>
            </w:r>
            <w:r w:rsidRPr="00932E00">
              <w:rPr>
                <w:rFonts w:ascii="Times New Roman" w:eastAsia="Times New Roman" w:hAnsi="Times New Roman" w:cs="Times New Roman"/>
                <w:i/>
                <w:iCs/>
                <w:color w:val="000000"/>
                <w:kern w:val="0"/>
                <w:sz w:val="20"/>
                <w:szCs w:val="20"/>
                <w14:ligatures w14:val="none"/>
              </w:rPr>
              <w:t>O</w:t>
            </w:r>
            <w:r w:rsidRPr="00932E00">
              <w:rPr>
                <w:rFonts w:ascii="Times New Roman" w:eastAsia="Times New Roman" w:hAnsi="Times New Roman" w:cs="Times New Roman"/>
                <w:color w:val="000000"/>
                <w:kern w:val="0"/>
                <w:sz w:val="20"/>
                <w:szCs w:val="20"/>
                <w14:ligatures w14:val="none"/>
              </w:rPr>
              <w:t>-Glucuronidation</w:t>
            </w:r>
          </w:p>
        </w:tc>
        <w:tc>
          <w:tcPr>
            <w:tcW w:w="1440" w:type="dxa"/>
            <w:noWrap/>
            <w:vAlign w:val="center"/>
            <w:hideMark/>
          </w:tcPr>
          <w:p w14:paraId="317462ED"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22</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23</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8</w:t>
            </w:r>
          </w:p>
        </w:tc>
        <w:tc>
          <w:tcPr>
            <w:tcW w:w="1170" w:type="dxa"/>
            <w:noWrap/>
            <w:vAlign w:val="center"/>
            <w:hideMark/>
          </w:tcPr>
          <w:p w14:paraId="5903F77C"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29</w:t>
            </w:r>
          </w:p>
        </w:tc>
        <w:tc>
          <w:tcPr>
            <w:tcW w:w="4820" w:type="dxa"/>
            <w:vAlign w:val="center"/>
            <w:hideMark/>
          </w:tcPr>
          <w:p w14:paraId="083A44A4"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it-IT"/>
                <w14:ligatures w14:val="none"/>
              </w:rPr>
            </w:pPr>
            <w:r w:rsidRPr="00932E00">
              <w:rPr>
                <w:rFonts w:ascii="Times New Roman" w:eastAsia="Times New Roman" w:hAnsi="Times New Roman" w:cs="Times New Roman"/>
                <w:kern w:val="0"/>
                <w:sz w:val="20"/>
                <w:szCs w:val="20"/>
                <w:lang w:val="it-IT"/>
                <w14:ligatures w14:val="none"/>
              </w:rPr>
              <w:t>OC1OC(Oc2cc(ccc2)C2=NCC(=O)N(CC(=O)NN)c3ccc(Br)cc23)C(O)C(O)C1O</w:t>
            </w:r>
          </w:p>
        </w:tc>
      </w:tr>
      <w:tr w:rsidR="00AA6736" w:rsidRPr="00932E00" w14:paraId="7301AF71"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3FAB212"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pM2-3</w:t>
            </w:r>
          </w:p>
        </w:tc>
        <w:tc>
          <w:tcPr>
            <w:tcW w:w="2700" w:type="dxa"/>
            <w:noWrap/>
            <w:vAlign w:val="center"/>
            <w:hideMark/>
          </w:tcPr>
          <w:p w14:paraId="338E3D6C"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xml:space="preserve">+ </w:t>
            </w:r>
            <w:r w:rsidRPr="00932E00">
              <w:rPr>
                <w:rFonts w:ascii="Times New Roman" w:eastAsia="Times New Roman" w:hAnsi="Times New Roman" w:cs="Times New Roman"/>
                <w:i/>
                <w:iCs/>
                <w:color w:val="000000"/>
                <w:kern w:val="0"/>
                <w:sz w:val="20"/>
                <w:szCs w:val="20"/>
                <w14:ligatures w14:val="none"/>
              </w:rPr>
              <w:t>O</w:t>
            </w:r>
            <w:r w:rsidRPr="00932E00">
              <w:rPr>
                <w:rFonts w:ascii="Times New Roman" w:eastAsia="Times New Roman" w:hAnsi="Times New Roman" w:cs="Times New Roman"/>
                <w:color w:val="000000"/>
                <w:kern w:val="0"/>
                <w:sz w:val="20"/>
                <w:szCs w:val="20"/>
                <w14:ligatures w14:val="none"/>
              </w:rPr>
              <w:t>-Methylation</w:t>
            </w:r>
          </w:p>
        </w:tc>
        <w:tc>
          <w:tcPr>
            <w:tcW w:w="1440" w:type="dxa"/>
            <w:noWrap/>
            <w:vAlign w:val="center"/>
            <w:hideMark/>
          </w:tcPr>
          <w:p w14:paraId="72D72CC0"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18</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3</w:t>
            </w:r>
          </w:p>
        </w:tc>
        <w:tc>
          <w:tcPr>
            <w:tcW w:w="1170" w:type="dxa"/>
            <w:noWrap/>
            <w:vAlign w:val="center"/>
            <w:hideMark/>
          </w:tcPr>
          <w:p w14:paraId="43DCBDC2"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29</w:t>
            </w:r>
          </w:p>
        </w:tc>
        <w:tc>
          <w:tcPr>
            <w:tcW w:w="4820" w:type="dxa"/>
            <w:noWrap/>
            <w:vAlign w:val="center"/>
            <w:hideMark/>
          </w:tcPr>
          <w:p w14:paraId="066886A2"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O=C1CN=C(c2cc(Br)ccc2N1CC(=O)NN)c1cc(ccc1)OC</w:t>
            </w:r>
          </w:p>
        </w:tc>
      </w:tr>
      <w:tr w:rsidR="00AA6736" w:rsidRPr="00932E00" w14:paraId="5A2B56C9"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22B483E7"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pM2-4</w:t>
            </w:r>
          </w:p>
        </w:tc>
        <w:tc>
          <w:tcPr>
            <w:tcW w:w="2700" w:type="dxa"/>
            <w:noWrap/>
            <w:vAlign w:val="center"/>
            <w:hideMark/>
          </w:tcPr>
          <w:p w14:paraId="02350685"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xml:space="preserve">+ </w:t>
            </w:r>
            <w:r w:rsidRPr="00932E00">
              <w:rPr>
                <w:rFonts w:ascii="Times New Roman" w:eastAsia="Times New Roman" w:hAnsi="Times New Roman" w:cs="Times New Roman"/>
                <w:i/>
                <w:iCs/>
                <w:color w:val="000000"/>
                <w:kern w:val="0"/>
                <w:sz w:val="20"/>
                <w:szCs w:val="20"/>
                <w14:ligatures w14:val="none"/>
              </w:rPr>
              <w:t>N-</w:t>
            </w:r>
            <w:r w:rsidRPr="00932E00">
              <w:rPr>
                <w:rFonts w:ascii="Times New Roman" w:eastAsia="Times New Roman" w:hAnsi="Times New Roman" w:cs="Times New Roman"/>
                <w:color w:val="000000"/>
                <w:kern w:val="0"/>
                <w:sz w:val="20"/>
                <w:szCs w:val="20"/>
                <w14:ligatures w14:val="none"/>
              </w:rPr>
              <w:t>Acetylation</w:t>
            </w:r>
          </w:p>
        </w:tc>
        <w:tc>
          <w:tcPr>
            <w:tcW w:w="1440" w:type="dxa"/>
            <w:noWrap/>
            <w:vAlign w:val="center"/>
            <w:hideMark/>
          </w:tcPr>
          <w:p w14:paraId="4747C860"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19</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4</w:t>
            </w:r>
          </w:p>
        </w:tc>
        <w:tc>
          <w:tcPr>
            <w:tcW w:w="1170" w:type="dxa"/>
            <w:noWrap/>
            <w:vAlign w:val="center"/>
            <w:hideMark/>
          </w:tcPr>
          <w:p w14:paraId="27DEDD3A"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25</w:t>
            </w:r>
          </w:p>
        </w:tc>
        <w:tc>
          <w:tcPr>
            <w:tcW w:w="4820" w:type="dxa"/>
            <w:noWrap/>
            <w:vAlign w:val="center"/>
            <w:hideMark/>
          </w:tcPr>
          <w:p w14:paraId="2BD9B617"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O=C1CN=C(c2cc(Br)ccc2N1CC(=O)NNC(=O)C)c1cc(O)ccc1</w:t>
            </w:r>
          </w:p>
        </w:tc>
      </w:tr>
      <w:tr w:rsidR="00AA6736" w:rsidRPr="00932E00" w14:paraId="3E549F20"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4BAD5355" w14:textId="77777777" w:rsidR="00AA6736" w:rsidRPr="00932E00" w:rsidRDefault="00AA6736" w:rsidP="00D046A2">
            <w:pP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pM3</w:t>
            </w:r>
          </w:p>
        </w:tc>
        <w:tc>
          <w:tcPr>
            <w:tcW w:w="2700" w:type="dxa"/>
            <w:vAlign w:val="center"/>
            <w:hideMark/>
          </w:tcPr>
          <w:p w14:paraId="5362B673" w14:textId="4A1978D5" w:rsidR="00AA6736" w:rsidRPr="00932E00" w:rsidRDefault="00AA6736" w:rsidP="0077646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xml:space="preserve">Hydroxylation + </w:t>
            </w:r>
            <w:r w:rsidR="0077646F" w:rsidRPr="00932E00">
              <w:rPr>
                <w:rFonts w:ascii="Times New Roman" w:eastAsia="Times New Roman" w:hAnsi="Times New Roman" w:cs="Times New Roman"/>
                <w:color w:val="000000"/>
                <w:kern w:val="0"/>
                <w:sz w:val="20"/>
                <w:szCs w:val="20"/>
                <w14:ligatures w14:val="none"/>
              </w:rPr>
              <w:t>methoxylation</w:t>
            </w:r>
          </w:p>
        </w:tc>
        <w:tc>
          <w:tcPr>
            <w:tcW w:w="1440" w:type="dxa"/>
            <w:noWrap/>
            <w:vAlign w:val="center"/>
            <w:hideMark/>
          </w:tcPr>
          <w:p w14:paraId="0CFE3A10"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18</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4</w:t>
            </w:r>
          </w:p>
        </w:tc>
        <w:tc>
          <w:tcPr>
            <w:tcW w:w="1170" w:type="dxa"/>
            <w:noWrap/>
            <w:vAlign w:val="center"/>
            <w:hideMark/>
          </w:tcPr>
          <w:p w14:paraId="10063AF4"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31</w:t>
            </w:r>
          </w:p>
        </w:tc>
        <w:tc>
          <w:tcPr>
            <w:tcW w:w="4820" w:type="dxa"/>
            <w:noWrap/>
            <w:vAlign w:val="center"/>
            <w:hideMark/>
          </w:tcPr>
          <w:p w14:paraId="5A104C86"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O=C1CN=C(c2cc(Br)ccc2N1CC(=O)NN)c1cc(cc(O)c1)OC</w:t>
            </w:r>
          </w:p>
        </w:tc>
      </w:tr>
      <w:tr w:rsidR="00AA6736" w:rsidRPr="00932E00" w14:paraId="1D0409B6"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4F695E6C"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pM3-1</w:t>
            </w:r>
          </w:p>
        </w:tc>
        <w:tc>
          <w:tcPr>
            <w:tcW w:w="2700" w:type="dxa"/>
            <w:noWrap/>
            <w:vAlign w:val="center"/>
            <w:hideMark/>
          </w:tcPr>
          <w:p w14:paraId="1858403C"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xml:space="preserve">+ </w:t>
            </w:r>
            <w:r w:rsidRPr="00932E00">
              <w:rPr>
                <w:rFonts w:ascii="Times New Roman" w:eastAsia="Times New Roman" w:hAnsi="Times New Roman" w:cs="Times New Roman"/>
                <w:i/>
                <w:iCs/>
                <w:color w:val="000000"/>
                <w:kern w:val="0"/>
                <w:sz w:val="20"/>
                <w:szCs w:val="20"/>
                <w14:ligatures w14:val="none"/>
              </w:rPr>
              <w:t>N-</w:t>
            </w:r>
            <w:r w:rsidRPr="00932E00">
              <w:rPr>
                <w:rFonts w:ascii="Times New Roman" w:eastAsia="Times New Roman" w:hAnsi="Times New Roman" w:cs="Times New Roman"/>
                <w:color w:val="000000"/>
                <w:kern w:val="0"/>
                <w:sz w:val="20"/>
                <w:szCs w:val="20"/>
                <w14:ligatures w14:val="none"/>
              </w:rPr>
              <w:t>Acetylation</w:t>
            </w:r>
          </w:p>
        </w:tc>
        <w:tc>
          <w:tcPr>
            <w:tcW w:w="1440" w:type="dxa"/>
            <w:noWrap/>
            <w:vAlign w:val="center"/>
            <w:hideMark/>
          </w:tcPr>
          <w:p w14:paraId="0CA4FFF6"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20</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19</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5</w:t>
            </w:r>
          </w:p>
        </w:tc>
        <w:tc>
          <w:tcPr>
            <w:tcW w:w="1170" w:type="dxa"/>
            <w:noWrap/>
            <w:vAlign w:val="center"/>
            <w:hideMark/>
          </w:tcPr>
          <w:p w14:paraId="30FC42C1"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25</w:t>
            </w:r>
          </w:p>
        </w:tc>
        <w:tc>
          <w:tcPr>
            <w:tcW w:w="4820" w:type="dxa"/>
            <w:vAlign w:val="center"/>
            <w:hideMark/>
          </w:tcPr>
          <w:p w14:paraId="5899BD67"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it-IT"/>
                <w14:ligatures w14:val="none"/>
              </w:rPr>
            </w:pPr>
            <w:r w:rsidRPr="00932E00">
              <w:rPr>
                <w:rFonts w:ascii="Times New Roman" w:eastAsia="Times New Roman" w:hAnsi="Times New Roman" w:cs="Times New Roman"/>
                <w:kern w:val="0"/>
                <w:sz w:val="20"/>
                <w:szCs w:val="20"/>
                <w:lang w:val="it-IT"/>
                <w14:ligatures w14:val="none"/>
              </w:rPr>
              <w:t>O=C1CN=C(c2cc(Br)ccc2N1CC(=O)NNC(=O)C)c1cc(cc(O)c1)OC</w:t>
            </w:r>
          </w:p>
        </w:tc>
      </w:tr>
      <w:tr w:rsidR="00AA6736" w:rsidRPr="00932E00" w14:paraId="26B4410A"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EF5572B" w14:textId="77777777" w:rsidR="00AA6736" w:rsidRPr="00932E00" w:rsidRDefault="00AA6736" w:rsidP="00D046A2">
            <w:pPr>
              <w:jc w:val="cente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pM3-2</w:t>
            </w:r>
          </w:p>
        </w:tc>
        <w:tc>
          <w:tcPr>
            <w:tcW w:w="2700" w:type="dxa"/>
            <w:noWrap/>
            <w:vAlign w:val="center"/>
            <w:hideMark/>
          </w:tcPr>
          <w:p w14:paraId="651DF478"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xml:space="preserve">+ </w:t>
            </w:r>
            <w:r w:rsidRPr="00932E00">
              <w:rPr>
                <w:rFonts w:ascii="Times New Roman" w:eastAsia="Times New Roman" w:hAnsi="Times New Roman" w:cs="Times New Roman"/>
                <w:i/>
                <w:iCs/>
                <w:color w:val="000000"/>
                <w:kern w:val="0"/>
                <w:sz w:val="20"/>
                <w:szCs w:val="20"/>
                <w14:ligatures w14:val="none"/>
              </w:rPr>
              <w:t>O</w:t>
            </w:r>
            <w:r w:rsidRPr="00932E00">
              <w:rPr>
                <w:rFonts w:ascii="Times New Roman" w:eastAsia="Times New Roman" w:hAnsi="Times New Roman" w:cs="Times New Roman"/>
                <w:color w:val="000000"/>
                <w:kern w:val="0"/>
                <w:sz w:val="20"/>
                <w:szCs w:val="20"/>
                <w14:ligatures w14:val="none"/>
              </w:rPr>
              <w:t>-Glucuronidation</w:t>
            </w:r>
          </w:p>
        </w:tc>
        <w:tc>
          <w:tcPr>
            <w:tcW w:w="1440" w:type="dxa"/>
            <w:noWrap/>
            <w:vAlign w:val="center"/>
            <w:hideMark/>
          </w:tcPr>
          <w:p w14:paraId="4938965B"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23</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25</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9</w:t>
            </w:r>
          </w:p>
        </w:tc>
        <w:tc>
          <w:tcPr>
            <w:tcW w:w="1170" w:type="dxa"/>
            <w:noWrap/>
            <w:vAlign w:val="center"/>
            <w:hideMark/>
          </w:tcPr>
          <w:p w14:paraId="1AECF714"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25</w:t>
            </w:r>
          </w:p>
        </w:tc>
        <w:tc>
          <w:tcPr>
            <w:tcW w:w="4820" w:type="dxa"/>
            <w:noWrap/>
            <w:vAlign w:val="center"/>
            <w:hideMark/>
          </w:tcPr>
          <w:p w14:paraId="0FCF81D3"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OC1OC(Oc2cc(cc(c2)C2=NCC(=O)N(CC(=O)NN)c3ccc(Br)cc23)OC)C(O)C(O)C1O</w:t>
            </w:r>
          </w:p>
        </w:tc>
      </w:tr>
      <w:tr w:rsidR="00AA6736" w:rsidRPr="00932E00" w14:paraId="0DAD4FAF"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6C2FD7C0" w14:textId="77777777" w:rsidR="00AA6736" w:rsidRPr="00932E00" w:rsidRDefault="00AA6736" w:rsidP="00D046A2">
            <w:pP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pM4</w:t>
            </w:r>
          </w:p>
        </w:tc>
        <w:tc>
          <w:tcPr>
            <w:tcW w:w="2700" w:type="dxa"/>
            <w:noWrap/>
            <w:vAlign w:val="center"/>
            <w:hideMark/>
          </w:tcPr>
          <w:p w14:paraId="0274C6A8" w14:textId="77777777" w:rsidR="00AA6736" w:rsidRPr="00932E00" w:rsidRDefault="00AA6736" w:rsidP="00D04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Hydroxylation</w:t>
            </w:r>
          </w:p>
        </w:tc>
        <w:tc>
          <w:tcPr>
            <w:tcW w:w="1440" w:type="dxa"/>
            <w:noWrap/>
            <w:vAlign w:val="center"/>
            <w:hideMark/>
          </w:tcPr>
          <w:p w14:paraId="54F5CFB4"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15</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3</w:t>
            </w:r>
          </w:p>
        </w:tc>
        <w:tc>
          <w:tcPr>
            <w:tcW w:w="1170" w:type="dxa"/>
            <w:noWrap/>
            <w:vAlign w:val="center"/>
            <w:hideMark/>
          </w:tcPr>
          <w:p w14:paraId="752E20D4"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31</w:t>
            </w:r>
          </w:p>
        </w:tc>
        <w:tc>
          <w:tcPr>
            <w:tcW w:w="4820" w:type="dxa"/>
            <w:vAlign w:val="center"/>
            <w:hideMark/>
          </w:tcPr>
          <w:p w14:paraId="05AE6034"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it-IT"/>
                <w14:ligatures w14:val="none"/>
              </w:rPr>
            </w:pPr>
            <w:r w:rsidRPr="00932E00">
              <w:rPr>
                <w:rFonts w:ascii="Times New Roman" w:eastAsia="Times New Roman" w:hAnsi="Times New Roman" w:cs="Times New Roman"/>
                <w:kern w:val="0"/>
                <w:sz w:val="20"/>
                <w:szCs w:val="20"/>
                <w:lang w:val="it-IT"/>
                <w14:ligatures w14:val="none"/>
              </w:rPr>
              <w:t>O=C1CN=C(c2cc(Br)ccc2N1CC(=O)NN)c1ccc(O)cc1</w:t>
            </w:r>
          </w:p>
        </w:tc>
      </w:tr>
      <w:tr w:rsidR="00AA6736" w:rsidRPr="00932E00" w14:paraId="11608128" w14:textId="77777777" w:rsidTr="006E75D6">
        <w:trPr>
          <w:trHeight w:val="432"/>
        </w:trPr>
        <w:tc>
          <w:tcPr>
            <w:cnfStyle w:val="001000000000" w:firstRow="0" w:lastRow="0" w:firstColumn="1" w:lastColumn="0" w:oddVBand="0" w:evenVBand="0" w:oddHBand="0" w:evenHBand="0" w:firstRowFirstColumn="0" w:firstRowLastColumn="0" w:lastRowFirstColumn="0" w:lastRowLastColumn="0"/>
            <w:tcW w:w="1260" w:type="dxa"/>
            <w:tcBorders>
              <w:bottom w:val="single" w:sz="4" w:space="0" w:color="7F7F7F" w:themeColor="text1" w:themeTint="80"/>
            </w:tcBorders>
            <w:noWrap/>
            <w:vAlign w:val="center"/>
            <w:hideMark/>
          </w:tcPr>
          <w:p w14:paraId="4CD6A72B" w14:textId="77777777" w:rsidR="00AA6736" w:rsidRPr="00932E00" w:rsidRDefault="00AA6736" w:rsidP="00D046A2">
            <w:pP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pM5</w:t>
            </w:r>
          </w:p>
        </w:tc>
        <w:tc>
          <w:tcPr>
            <w:tcW w:w="2700" w:type="dxa"/>
            <w:tcBorders>
              <w:bottom w:val="single" w:sz="4" w:space="0" w:color="7F7F7F" w:themeColor="text1" w:themeTint="80"/>
            </w:tcBorders>
            <w:noWrap/>
            <w:vAlign w:val="center"/>
            <w:hideMark/>
          </w:tcPr>
          <w:p w14:paraId="61D7F81B" w14:textId="77777777" w:rsidR="00AA6736" w:rsidRPr="00932E00" w:rsidRDefault="00AA6736" w:rsidP="00D04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Hydroxylation</w:t>
            </w:r>
          </w:p>
        </w:tc>
        <w:tc>
          <w:tcPr>
            <w:tcW w:w="1440" w:type="dxa"/>
            <w:tcBorders>
              <w:bottom w:val="single" w:sz="4" w:space="0" w:color="7F7F7F" w:themeColor="text1" w:themeTint="80"/>
            </w:tcBorders>
            <w:noWrap/>
            <w:vAlign w:val="center"/>
            <w:hideMark/>
          </w:tcPr>
          <w:p w14:paraId="35561BB2"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15</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4</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3</w:t>
            </w:r>
          </w:p>
        </w:tc>
        <w:tc>
          <w:tcPr>
            <w:tcW w:w="1170" w:type="dxa"/>
            <w:tcBorders>
              <w:bottom w:val="single" w:sz="4" w:space="0" w:color="7F7F7F" w:themeColor="text1" w:themeTint="80"/>
            </w:tcBorders>
            <w:noWrap/>
            <w:vAlign w:val="center"/>
            <w:hideMark/>
          </w:tcPr>
          <w:p w14:paraId="4371471E"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28</w:t>
            </w:r>
          </w:p>
        </w:tc>
        <w:tc>
          <w:tcPr>
            <w:tcW w:w="4820" w:type="dxa"/>
            <w:tcBorders>
              <w:bottom w:val="single" w:sz="4" w:space="0" w:color="7F7F7F" w:themeColor="text1" w:themeTint="80"/>
            </w:tcBorders>
            <w:noWrap/>
            <w:vAlign w:val="center"/>
            <w:hideMark/>
          </w:tcPr>
          <w:p w14:paraId="6BC2205D" w14:textId="77777777" w:rsidR="00AA6736" w:rsidRPr="00932E00" w:rsidRDefault="00AA6736" w:rsidP="00D046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14:ligatures w14:val="none"/>
              </w:rPr>
            </w:pPr>
            <w:r w:rsidRPr="00932E00">
              <w:rPr>
                <w:rFonts w:ascii="Times New Roman" w:eastAsia="Times New Roman" w:hAnsi="Times New Roman" w:cs="Times New Roman"/>
                <w:color w:val="000000"/>
                <w:kern w:val="0"/>
                <w:sz w:val="20"/>
                <w:szCs w:val="20"/>
                <w:lang w:val="it-IT"/>
                <w14:ligatures w14:val="none"/>
              </w:rPr>
              <w:t>ON(N)C(=O)CN1C(=O)CN=C(c2cc(Br)ccc12)c1ccccc1</w:t>
            </w:r>
          </w:p>
        </w:tc>
      </w:tr>
      <w:tr w:rsidR="00AA6736" w:rsidRPr="00932E00" w14:paraId="54094C47" w14:textId="77777777" w:rsidTr="006E75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60" w:type="dxa"/>
            <w:tcBorders>
              <w:bottom w:val="single" w:sz="18" w:space="0" w:color="auto"/>
            </w:tcBorders>
            <w:noWrap/>
            <w:vAlign w:val="center"/>
            <w:hideMark/>
          </w:tcPr>
          <w:p w14:paraId="3E478844" w14:textId="77777777" w:rsidR="00AA6736" w:rsidRPr="00932E00" w:rsidRDefault="00AA6736" w:rsidP="00D046A2">
            <w:pPr>
              <w:rPr>
                <w:rFonts w:ascii="Times New Roman" w:eastAsia="Times New Roman" w:hAnsi="Times New Roman" w:cs="Times New Roman"/>
                <w:b w:val="0"/>
                <w:bCs w:val="0"/>
                <w:color w:val="000000"/>
                <w:kern w:val="0"/>
                <w:sz w:val="20"/>
                <w:szCs w:val="20"/>
                <w14:ligatures w14:val="none"/>
              </w:rPr>
            </w:pPr>
            <w:r w:rsidRPr="00932E00">
              <w:rPr>
                <w:rFonts w:ascii="Times New Roman" w:eastAsia="Times New Roman" w:hAnsi="Times New Roman" w:cs="Times New Roman"/>
                <w:b w:val="0"/>
                <w:bCs w:val="0"/>
                <w:color w:val="000000"/>
                <w:kern w:val="0"/>
                <w:sz w:val="20"/>
                <w:szCs w:val="20"/>
                <w14:ligatures w14:val="none"/>
              </w:rPr>
              <w:t>pM6</w:t>
            </w:r>
          </w:p>
        </w:tc>
        <w:tc>
          <w:tcPr>
            <w:tcW w:w="2700" w:type="dxa"/>
            <w:tcBorders>
              <w:bottom w:val="single" w:sz="18" w:space="0" w:color="auto"/>
            </w:tcBorders>
            <w:vAlign w:val="center"/>
            <w:hideMark/>
          </w:tcPr>
          <w:p w14:paraId="59435D09" w14:textId="36B57F61" w:rsidR="00AA6736" w:rsidRPr="00932E00" w:rsidRDefault="00AA6736" w:rsidP="0077646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 xml:space="preserve">Hydrazide </w:t>
            </w:r>
            <w:r w:rsidR="0077646F" w:rsidRPr="00932E00">
              <w:rPr>
                <w:rFonts w:ascii="Times New Roman" w:eastAsia="Times New Roman" w:hAnsi="Times New Roman" w:cs="Times New Roman"/>
                <w:color w:val="000000"/>
                <w:kern w:val="0"/>
                <w:sz w:val="20"/>
                <w:szCs w:val="20"/>
                <w14:ligatures w14:val="none"/>
              </w:rPr>
              <w:t xml:space="preserve">reduction </w:t>
            </w:r>
            <w:r w:rsidRPr="00932E00">
              <w:rPr>
                <w:rFonts w:ascii="Times New Roman" w:eastAsia="Times New Roman" w:hAnsi="Times New Roman" w:cs="Times New Roman"/>
                <w:color w:val="000000"/>
                <w:kern w:val="0"/>
                <w:sz w:val="20"/>
                <w:szCs w:val="20"/>
                <w14:ligatures w14:val="none"/>
              </w:rPr>
              <w:t xml:space="preserve">+   </w:t>
            </w:r>
            <w:r w:rsidR="0077646F" w:rsidRPr="00932E00">
              <w:rPr>
                <w:rFonts w:ascii="Times New Roman" w:eastAsia="Times New Roman" w:hAnsi="Times New Roman" w:cs="Times New Roman"/>
                <w:color w:val="000000"/>
                <w:kern w:val="0"/>
                <w:sz w:val="20"/>
                <w:szCs w:val="20"/>
                <w14:ligatures w14:val="none"/>
              </w:rPr>
              <w:t>carboxylation</w:t>
            </w:r>
          </w:p>
        </w:tc>
        <w:tc>
          <w:tcPr>
            <w:tcW w:w="1440" w:type="dxa"/>
            <w:tcBorders>
              <w:bottom w:val="single" w:sz="18" w:space="0" w:color="auto"/>
            </w:tcBorders>
            <w:noWrap/>
            <w:vAlign w:val="center"/>
            <w:hideMark/>
          </w:tcPr>
          <w:p w14:paraId="0855154A"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C</w:t>
            </w:r>
            <w:r w:rsidRPr="00932E00">
              <w:rPr>
                <w:rFonts w:ascii="Times New Roman" w:eastAsia="Times New Roman" w:hAnsi="Times New Roman" w:cs="Times New Roman"/>
                <w:color w:val="000000"/>
                <w:kern w:val="0"/>
                <w:sz w:val="20"/>
                <w:szCs w:val="20"/>
                <w:vertAlign w:val="subscript"/>
                <w14:ligatures w14:val="none"/>
              </w:rPr>
              <w:t>17</w:t>
            </w:r>
            <w:r w:rsidRPr="00932E00">
              <w:rPr>
                <w:rFonts w:ascii="Times New Roman" w:eastAsia="Times New Roman" w:hAnsi="Times New Roman" w:cs="Times New Roman"/>
                <w:color w:val="000000"/>
                <w:kern w:val="0"/>
                <w:sz w:val="20"/>
                <w:szCs w:val="20"/>
                <w14:ligatures w14:val="none"/>
              </w:rPr>
              <w:t>H</w:t>
            </w:r>
            <w:r w:rsidRPr="00932E00">
              <w:rPr>
                <w:rFonts w:ascii="Times New Roman" w:eastAsia="Times New Roman" w:hAnsi="Times New Roman" w:cs="Times New Roman"/>
                <w:color w:val="000000"/>
                <w:kern w:val="0"/>
                <w:sz w:val="20"/>
                <w:szCs w:val="20"/>
                <w:vertAlign w:val="subscript"/>
                <w14:ligatures w14:val="none"/>
              </w:rPr>
              <w:t>13</w:t>
            </w:r>
            <w:r w:rsidRPr="00932E00">
              <w:rPr>
                <w:rFonts w:ascii="Times New Roman" w:eastAsia="Times New Roman" w:hAnsi="Times New Roman" w:cs="Times New Roman"/>
                <w:color w:val="000000"/>
                <w:kern w:val="0"/>
                <w:sz w:val="20"/>
                <w:szCs w:val="20"/>
                <w14:ligatures w14:val="none"/>
              </w:rPr>
              <w:t>BrN</w:t>
            </w:r>
            <w:r w:rsidRPr="00932E00">
              <w:rPr>
                <w:rFonts w:ascii="Times New Roman" w:eastAsia="Times New Roman" w:hAnsi="Times New Roman" w:cs="Times New Roman"/>
                <w:color w:val="000000"/>
                <w:kern w:val="0"/>
                <w:sz w:val="20"/>
                <w:szCs w:val="20"/>
                <w:vertAlign w:val="subscript"/>
                <w14:ligatures w14:val="none"/>
              </w:rPr>
              <w:t>2</w:t>
            </w:r>
            <w:r w:rsidRPr="00932E00">
              <w:rPr>
                <w:rFonts w:ascii="Times New Roman" w:eastAsia="Times New Roman" w:hAnsi="Times New Roman" w:cs="Times New Roman"/>
                <w:color w:val="000000"/>
                <w:kern w:val="0"/>
                <w:sz w:val="20"/>
                <w:szCs w:val="20"/>
                <w14:ligatures w14:val="none"/>
              </w:rPr>
              <w:t>O</w:t>
            </w:r>
            <w:r w:rsidRPr="00932E00">
              <w:rPr>
                <w:rFonts w:ascii="Times New Roman" w:eastAsia="Times New Roman" w:hAnsi="Times New Roman" w:cs="Times New Roman"/>
                <w:color w:val="000000"/>
                <w:kern w:val="0"/>
                <w:sz w:val="20"/>
                <w:szCs w:val="20"/>
                <w:vertAlign w:val="subscript"/>
                <w14:ligatures w14:val="none"/>
              </w:rPr>
              <w:t>3</w:t>
            </w:r>
          </w:p>
        </w:tc>
        <w:tc>
          <w:tcPr>
            <w:tcW w:w="1170" w:type="dxa"/>
            <w:tcBorders>
              <w:bottom w:val="single" w:sz="18" w:space="0" w:color="auto"/>
            </w:tcBorders>
            <w:noWrap/>
            <w:vAlign w:val="center"/>
            <w:hideMark/>
          </w:tcPr>
          <w:p w14:paraId="431E6464"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sidRPr="00932E00">
              <w:rPr>
                <w:rFonts w:ascii="Times New Roman" w:eastAsia="Times New Roman" w:hAnsi="Times New Roman" w:cs="Times New Roman"/>
                <w:color w:val="000000"/>
                <w:kern w:val="0"/>
                <w:sz w:val="20"/>
                <w:szCs w:val="20"/>
                <w14:ligatures w14:val="none"/>
              </w:rPr>
              <w:t>28</w:t>
            </w:r>
          </w:p>
        </w:tc>
        <w:tc>
          <w:tcPr>
            <w:tcW w:w="4820" w:type="dxa"/>
            <w:tcBorders>
              <w:bottom w:val="single" w:sz="18" w:space="0" w:color="auto"/>
            </w:tcBorders>
            <w:vAlign w:val="center"/>
            <w:hideMark/>
          </w:tcPr>
          <w:p w14:paraId="7FFE261E" w14:textId="77777777" w:rsidR="00AA6736" w:rsidRPr="00932E00" w:rsidRDefault="00AA6736" w:rsidP="00D046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it-IT"/>
                <w14:ligatures w14:val="none"/>
              </w:rPr>
            </w:pPr>
            <w:r w:rsidRPr="00932E00">
              <w:rPr>
                <w:rFonts w:ascii="Times New Roman" w:eastAsia="Times New Roman" w:hAnsi="Times New Roman" w:cs="Times New Roman"/>
                <w:kern w:val="0"/>
                <w:sz w:val="20"/>
                <w:szCs w:val="20"/>
                <w:lang w:val="it-IT"/>
                <w14:ligatures w14:val="none"/>
              </w:rPr>
              <w:t>OC(=O)CN1C(=O)CN=C(c2cc(Br)ccc12)c1ccccc1</w:t>
            </w:r>
          </w:p>
        </w:tc>
      </w:tr>
    </w:tbl>
    <w:p w14:paraId="1BC50863" w14:textId="4BC71768" w:rsidR="003E2D8D" w:rsidRPr="00932E00" w:rsidRDefault="003E2D8D" w:rsidP="00932E00">
      <w:pPr>
        <w:tabs>
          <w:tab w:val="left" w:pos="1700"/>
        </w:tabs>
        <w:rPr>
          <w:rFonts w:ascii="Times New Roman" w:hAnsi="Times New Roman" w:cs="Times New Roman"/>
          <w:sz w:val="20"/>
          <w:szCs w:val="20"/>
          <w:lang w:val="it-IT"/>
        </w:rPr>
      </w:pPr>
    </w:p>
    <w:sectPr w:rsidR="003E2D8D" w:rsidRPr="00932E00" w:rsidSect="00D046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2887F" w14:textId="77777777" w:rsidR="00F075C1" w:rsidRPr="002D78E5" w:rsidRDefault="00F075C1" w:rsidP="00930BDE">
      <w:pPr>
        <w:spacing w:after="0" w:line="240" w:lineRule="auto"/>
      </w:pPr>
      <w:r w:rsidRPr="002D78E5">
        <w:separator/>
      </w:r>
    </w:p>
  </w:endnote>
  <w:endnote w:type="continuationSeparator" w:id="0">
    <w:p w14:paraId="1984FE3C" w14:textId="77777777" w:rsidR="00F075C1" w:rsidRPr="002D78E5" w:rsidRDefault="00F075C1" w:rsidP="00930BDE">
      <w:pPr>
        <w:spacing w:after="0" w:line="240" w:lineRule="auto"/>
      </w:pPr>
      <w:r w:rsidRPr="002D78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1299" w14:textId="77777777" w:rsidR="00F075C1" w:rsidRPr="002D78E5" w:rsidRDefault="00F075C1" w:rsidP="00930BDE">
      <w:pPr>
        <w:spacing w:after="0" w:line="240" w:lineRule="auto"/>
      </w:pPr>
      <w:r w:rsidRPr="002D78E5">
        <w:separator/>
      </w:r>
    </w:p>
  </w:footnote>
  <w:footnote w:type="continuationSeparator" w:id="0">
    <w:p w14:paraId="69A25D3D" w14:textId="77777777" w:rsidR="00F075C1" w:rsidRPr="002D78E5" w:rsidRDefault="00F075C1" w:rsidP="00930BDE">
      <w:pPr>
        <w:spacing w:after="0" w:line="240" w:lineRule="auto"/>
      </w:pPr>
      <w:r w:rsidRPr="002D78E5">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8C2"/>
    <w:rsid w:val="00000E15"/>
    <w:rsid w:val="0000645A"/>
    <w:rsid w:val="0001508F"/>
    <w:rsid w:val="00017268"/>
    <w:rsid w:val="00017912"/>
    <w:rsid w:val="00020186"/>
    <w:rsid w:val="000248AA"/>
    <w:rsid w:val="0002579B"/>
    <w:rsid w:val="00025AEB"/>
    <w:rsid w:val="000300C9"/>
    <w:rsid w:val="00031476"/>
    <w:rsid w:val="00032AA9"/>
    <w:rsid w:val="00033F94"/>
    <w:rsid w:val="00036627"/>
    <w:rsid w:val="00037FC4"/>
    <w:rsid w:val="00040613"/>
    <w:rsid w:val="00042A0D"/>
    <w:rsid w:val="000439EC"/>
    <w:rsid w:val="00044395"/>
    <w:rsid w:val="000450DC"/>
    <w:rsid w:val="000464C3"/>
    <w:rsid w:val="00046F08"/>
    <w:rsid w:val="00047555"/>
    <w:rsid w:val="00052535"/>
    <w:rsid w:val="00053AC6"/>
    <w:rsid w:val="00055346"/>
    <w:rsid w:val="000559D4"/>
    <w:rsid w:val="00055D40"/>
    <w:rsid w:val="00056CD4"/>
    <w:rsid w:val="000637D9"/>
    <w:rsid w:val="00065C90"/>
    <w:rsid w:val="00065DCA"/>
    <w:rsid w:val="00070290"/>
    <w:rsid w:val="00072DCE"/>
    <w:rsid w:val="00073228"/>
    <w:rsid w:val="00073EC3"/>
    <w:rsid w:val="000765AF"/>
    <w:rsid w:val="0008014A"/>
    <w:rsid w:val="00082306"/>
    <w:rsid w:val="000857AB"/>
    <w:rsid w:val="0008650A"/>
    <w:rsid w:val="00086845"/>
    <w:rsid w:val="000926C5"/>
    <w:rsid w:val="00093E09"/>
    <w:rsid w:val="00094DFA"/>
    <w:rsid w:val="00095231"/>
    <w:rsid w:val="00095430"/>
    <w:rsid w:val="000A008C"/>
    <w:rsid w:val="000A0827"/>
    <w:rsid w:val="000A2F5C"/>
    <w:rsid w:val="000A35E3"/>
    <w:rsid w:val="000A69D3"/>
    <w:rsid w:val="000A7AFC"/>
    <w:rsid w:val="000A7DDD"/>
    <w:rsid w:val="000B1478"/>
    <w:rsid w:val="000B2057"/>
    <w:rsid w:val="000C278E"/>
    <w:rsid w:val="000C3F7D"/>
    <w:rsid w:val="000C60EC"/>
    <w:rsid w:val="000D1508"/>
    <w:rsid w:val="000D150A"/>
    <w:rsid w:val="000D197E"/>
    <w:rsid w:val="000D218F"/>
    <w:rsid w:val="000D27DF"/>
    <w:rsid w:val="000F149D"/>
    <w:rsid w:val="000F1780"/>
    <w:rsid w:val="000F30C1"/>
    <w:rsid w:val="000F5EBD"/>
    <w:rsid w:val="000F6414"/>
    <w:rsid w:val="000F7095"/>
    <w:rsid w:val="00100A89"/>
    <w:rsid w:val="00101914"/>
    <w:rsid w:val="00101995"/>
    <w:rsid w:val="00102D4C"/>
    <w:rsid w:val="0010362F"/>
    <w:rsid w:val="001063C3"/>
    <w:rsid w:val="00110984"/>
    <w:rsid w:val="001117B6"/>
    <w:rsid w:val="00115329"/>
    <w:rsid w:val="00123614"/>
    <w:rsid w:val="0012459F"/>
    <w:rsid w:val="00130672"/>
    <w:rsid w:val="00131F33"/>
    <w:rsid w:val="0013298E"/>
    <w:rsid w:val="00132A13"/>
    <w:rsid w:val="00132B1D"/>
    <w:rsid w:val="00137CBB"/>
    <w:rsid w:val="001402DE"/>
    <w:rsid w:val="00142E5A"/>
    <w:rsid w:val="00146B23"/>
    <w:rsid w:val="001555CE"/>
    <w:rsid w:val="00156A2D"/>
    <w:rsid w:val="001576FB"/>
    <w:rsid w:val="001605D6"/>
    <w:rsid w:val="0016218D"/>
    <w:rsid w:val="001655BA"/>
    <w:rsid w:val="00165B1C"/>
    <w:rsid w:val="00166959"/>
    <w:rsid w:val="0017031B"/>
    <w:rsid w:val="001740BD"/>
    <w:rsid w:val="001752A0"/>
    <w:rsid w:val="001757BB"/>
    <w:rsid w:val="00175F54"/>
    <w:rsid w:val="001816A6"/>
    <w:rsid w:val="0018177D"/>
    <w:rsid w:val="00181934"/>
    <w:rsid w:val="00181DBF"/>
    <w:rsid w:val="00184706"/>
    <w:rsid w:val="00193993"/>
    <w:rsid w:val="0019642C"/>
    <w:rsid w:val="00196B34"/>
    <w:rsid w:val="001A0AE6"/>
    <w:rsid w:val="001A0FB6"/>
    <w:rsid w:val="001A2527"/>
    <w:rsid w:val="001A53CD"/>
    <w:rsid w:val="001A60EF"/>
    <w:rsid w:val="001B029A"/>
    <w:rsid w:val="001B0C6A"/>
    <w:rsid w:val="001B3355"/>
    <w:rsid w:val="001B601C"/>
    <w:rsid w:val="001C43D9"/>
    <w:rsid w:val="001C47DA"/>
    <w:rsid w:val="001C5EBD"/>
    <w:rsid w:val="001C6018"/>
    <w:rsid w:val="001C65BB"/>
    <w:rsid w:val="001D01AC"/>
    <w:rsid w:val="001D0419"/>
    <w:rsid w:val="001D4319"/>
    <w:rsid w:val="001D46A6"/>
    <w:rsid w:val="001D51B7"/>
    <w:rsid w:val="001D5437"/>
    <w:rsid w:val="001D5763"/>
    <w:rsid w:val="001D5D74"/>
    <w:rsid w:val="001D73D3"/>
    <w:rsid w:val="001D77B2"/>
    <w:rsid w:val="001D7CF8"/>
    <w:rsid w:val="001E02B3"/>
    <w:rsid w:val="001E1FC8"/>
    <w:rsid w:val="001E261F"/>
    <w:rsid w:val="001E2669"/>
    <w:rsid w:val="001E3076"/>
    <w:rsid w:val="001E4231"/>
    <w:rsid w:val="001E4A75"/>
    <w:rsid w:val="001E6B4E"/>
    <w:rsid w:val="001F055F"/>
    <w:rsid w:val="001F1093"/>
    <w:rsid w:val="001F5FFE"/>
    <w:rsid w:val="001F6BFA"/>
    <w:rsid w:val="0020156E"/>
    <w:rsid w:val="00203C48"/>
    <w:rsid w:val="00213563"/>
    <w:rsid w:val="00217516"/>
    <w:rsid w:val="00217D2B"/>
    <w:rsid w:val="00220807"/>
    <w:rsid w:val="00222043"/>
    <w:rsid w:val="00223C94"/>
    <w:rsid w:val="00223EC6"/>
    <w:rsid w:val="0022432B"/>
    <w:rsid w:val="0022511E"/>
    <w:rsid w:val="00226C1D"/>
    <w:rsid w:val="00227645"/>
    <w:rsid w:val="00231C31"/>
    <w:rsid w:val="00231CAC"/>
    <w:rsid w:val="00231E56"/>
    <w:rsid w:val="00232DD0"/>
    <w:rsid w:val="002337CE"/>
    <w:rsid w:val="00235072"/>
    <w:rsid w:val="00235FC9"/>
    <w:rsid w:val="002367F0"/>
    <w:rsid w:val="00236A11"/>
    <w:rsid w:val="002414B3"/>
    <w:rsid w:val="00243773"/>
    <w:rsid w:val="00243A24"/>
    <w:rsid w:val="00245974"/>
    <w:rsid w:val="00250039"/>
    <w:rsid w:val="00250573"/>
    <w:rsid w:val="00251436"/>
    <w:rsid w:val="00251B24"/>
    <w:rsid w:val="00254026"/>
    <w:rsid w:val="002556EB"/>
    <w:rsid w:val="0025581B"/>
    <w:rsid w:val="00255A1C"/>
    <w:rsid w:val="00256834"/>
    <w:rsid w:val="00257F58"/>
    <w:rsid w:val="00257FC4"/>
    <w:rsid w:val="00260B13"/>
    <w:rsid w:val="00261D79"/>
    <w:rsid w:val="00263E77"/>
    <w:rsid w:val="00263F7B"/>
    <w:rsid w:val="002643AA"/>
    <w:rsid w:val="00265499"/>
    <w:rsid w:val="00266D00"/>
    <w:rsid w:val="00270E25"/>
    <w:rsid w:val="002733E0"/>
    <w:rsid w:val="00275329"/>
    <w:rsid w:val="00275640"/>
    <w:rsid w:val="0027750E"/>
    <w:rsid w:val="0028189D"/>
    <w:rsid w:val="0028315D"/>
    <w:rsid w:val="00284333"/>
    <w:rsid w:val="00284916"/>
    <w:rsid w:val="002854F2"/>
    <w:rsid w:val="0028737D"/>
    <w:rsid w:val="00287B6E"/>
    <w:rsid w:val="00290993"/>
    <w:rsid w:val="00293213"/>
    <w:rsid w:val="002946A8"/>
    <w:rsid w:val="00294BF9"/>
    <w:rsid w:val="002A01B1"/>
    <w:rsid w:val="002A0D05"/>
    <w:rsid w:val="002A2F07"/>
    <w:rsid w:val="002A4BEA"/>
    <w:rsid w:val="002A62C4"/>
    <w:rsid w:val="002A7E99"/>
    <w:rsid w:val="002B2360"/>
    <w:rsid w:val="002B3155"/>
    <w:rsid w:val="002B4B94"/>
    <w:rsid w:val="002C0FE1"/>
    <w:rsid w:val="002C1C88"/>
    <w:rsid w:val="002C47D3"/>
    <w:rsid w:val="002C48F8"/>
    <w:rsid w:val="002C571F"/>
    <w:rsid w:val="002C6D20"/>
    <w:rsid w:val="002D0CB8"/>
    <w:rsid w:val="002D2206"/>
    <w:rsid w:val="002D2970"/>
    <w:rsid w:val="002D3B73"/>
    <w:rsid w:val="002D4C39"/>
    <w:rsid w:val="002D78E5"/>
    <w:rsid w:val="002E0097"/>
    <w:rsid w:val="002E04E6"/>
    <w:rsid w:val="002E2A0A"/>
    <w:rsid w:val="002E3848"/>
    <w:rsid w:val="002E61D4"/>
    <w:rsid w:val="002E6E97"/>
    <w:rsid w:val="002F0169"/>
    <w:rsid w:val="002F13D3"/>
    <w:rsid w:val="002F21E3"/>
    <w:rsid w:val="002F3C8E"/>
    <w:rsid w:val="002F4F07"/>
    <w:rsid w:val="002F5257"/>
    <w:rsid w:val="002F53F4"/>
    <w:rsid w:val="002F55C9"/>
    <w:rsid w:val="002F581B"/>
    <w:rsid w:val="002F5B53"/>
    <w:rsid w:val="002F5FF9"/>
    <w:rsid w:val="003007E9"/>
    <w:rsid w:val="003015E3"/>
    <w:rsid w:val="00301B33"/>
    <w:rsid w:val="00302644"/>
    <w:rsid w:val="003033F6"/>
    <w:rsid w:val="00303DD1"/>
    <w:rsid w:val="00310814"/>
    <w:rsid w:val="00315866"/>
    <w:rsid w:val="003179DC"/>
    <w:rsid w:val="00320478"/>
    <w:rsid w:val="0032185D"/>
    <w:rsid w:val="00321F54"/>
    <w:rsid w:val="003220A8"/>
    <w:rsid w:val="00322A5A"/>
    <w:rsid w:val="00327A38"/>
    <w:rsid w:val="00332B26"/>
    <w:rsid w:val="00334B5D"/>
    <w:rsid w:val="00334BF0"/>
    <w:rsid w:val="00335470"/>
    <w:rsid w:val="0034008D"/>
    <w:rsid w:val="003423F9"/>
    <w:rsid w:val="00343063"/>
    <w:rsid w:val="00344FA6"/>
    <w:rsid w:val="00345B8D"/>
    <w:rsid w:val="00346318"/>
    <w:rsid w:val="00346C03"/>
    <w:rsid w:val="00352C09"/>
    <w:rsid w:val="00353BC0"/>
    <w:rsid w:val="00357A48"/>
    <w:rsid w:val="0036285F"/>
    <w:rsid w:val="00362FA3"/>
    <w:rsid w:val="00363276"/>
    <w:rsid w:val="00363B94"/>
    <w:rsid w:val="003657EF"/>
    <w:rsid w:val="0036747A"/>
    <w:rsid w:val="003702B4"/>
    <w:rsid w:val="003750A4"/>
    <w:rsid w:val="00375F7C"/>
    <w:rsid w:val="00377D8B"/>
    <w:rsid w:val="00380050"/>
    <w:rsid w:val="00380F25"/>
    <w:rsid w:val="003818BA"/>
    <w:rsid w:val="00382105"/>
    <w:rsid w:val="00385D7D"/>
    <w:rsid w:val="0038616A"/>
    <w:rsid w:val="0039028E"/>
    <w:rsid w:val="00391983"/>
    <w:rsid w:val="0039518C"/>
    <w:rsid w:val="003961BE"/>
    <w:rsid w:val="003A0C71"/>
    <w:rsid w:val="003A11C5"/>
    <w:rsid w:val="003A2965"/>
    <w:rsid w:val="003A37DF"/>
    <w:rsid w:val="003B0231"/>
    <w:rsid w:val="003B02E9"/>
    <w:rsid w:val="003B3F53"/>
    <w:rsid w:val="003B5163"/>
    <w:rsid w:val="003B67F3"/>
    <w:rsid w:val="003C1D29"/>
    <w:rsid w:val="003C248E"/>
    <w:rsid w:val="003C2833"/>
    <w:rsid w:val="003C38EF"/>
    <w:rsid w:val="003C4020"/>
    <w:rsid w:val="003C5273"/>
    <w:rsid w:val="003D032C"/>
    <w:rsid w:val="003D2F06"/>
    <w:rsid w:val="003D4861"/>
    <w:rsid w:val="003D61CD"/>
    <w:rsid w:val="003E0252"/>
    <w:rsid w:val="003E0389"/>
    <w:rsid w:val="003E19B1"/>
    <w:rsid w:val="003E2D8D"/>
    <w:rsid w:val="003E3F0F"/>
    <w:rsid w:val="003E45DB"/>
    <w:rsid w:val="003E693D"/>
    <w:rsid w:val="003F1024"/>
    <w:rsid w:val="003F5560"/>
    <w:rsid w:val="004012B0"/>
    <w:rsid w:val="00404548"/>
    <w:rsid w:val="00405C63"/>
    <w:rsid w:val="00405E2A"/>
    <w:rsid w:val="004074D0"/>
    <w:rsid w:val="004115B6"/>
    <w:rsid w:val="00413BD1"/>
    <w:rsid w:val="004145C8"/>
    <w:rsid w:val="004169D4"/>
    <w:rsid w:val="00416CA5"/>
    <w:rsid w:val="004202D3"/>
    <w:rsid w:val="00420BEC"/>
    <w:rsid w:val="00421043"/>
    <w:rsid w:val="00424F73"/>
    <w:rsid w:val="00425344"/>
    <w:rsid w:val="0042568D"/>
    <w:rsid w:val="00425988"/>
    <w:rsid w:val="004331A4"/>
    <w:rsid w:val="00433315"/>
    <w:rsid w:val="004336D9"/>
    <w:rsid w:val="00433B9C"/>
    <w:rsid w:val="00433C7E"/>
    <w:rsid w:val="004347F5"/>
    <w:rsid w:val="00434D31"/>
    <w:rsid w:val="00436337"/>
    <w:rsid w:val="004372F9"/>
    <w:rsid w:val="00441B2F"/>
    <w:rsid w:val="004451AA"/>
    <w:rsid w:val="0044589E"/>
    <w:rsid w:val="00446B6D"/>
    <w:rsid w:val="00447A89"/>
    <w:rsid w:val="00447DCF"/>
    <w:rsid w:val="004502E6"/>
    <w:rsid w:val="00451847"/>
    <w:rsid w:val="00451FC3"/>
    <w:rsid w:val="0045233C"/>
    <w:rsid w:val="00453225"/>
    <w:rsid w:val="004538C7"/>
    <w:rsid w:val="00453AB4"/>
    <w:rsid w:val="00456845"/>
    <w:rsid w:val="00457D51"/>
    <w:rsid w:val="00462BF8"/>
    <w:rsid w:val="004714F2"/>
    <w:rsid w:val="00471AF3"/>
    <w:rsid w:val="004740F7"/>
    <w:rsid w:val="004744E3"/>
    <w:rsid w:val="00476579"/>
    <w:rsid w:val="00483037"/>
    <w:rsid w:val="00483554"/>
    <w:rsid w:val="00483CFA"/>
    <w:rsid w:val="004871A8"/>
    <w:rsid w:val="00487530"/>
    <w:rsid w:val="00492973"/>
    <w:rsid w:val="004938B0"/>
    <w:rsid w:val="00497871"/>
    <w:rsid w:val="004A19C4"/>
    <w:rsid w:val="004A2A43"/>
    <w:rsid w:val="004A2D9B"/>
    <w:rsid w:val="004A2DFD"/>
    <w:rsid w:val="004A3D58"/>
    <w:rsid w:val="004A4978"/>
    <w:rsid w:val="004A5A97"/>
    <w:rsid w:val="004A6DA6"/>
    <w:rsid w:val="004B02B0"/>
    <w:rsid w:val="004C4A67"/>
    <w:rsid w:val="004C535F"/>
    <w:rsid w:val="004C544F"/>
    <w:rsid w:val="004C57AC"/>
    <w:rsid w:val="004C7942"/>
    <w:rsid w:val="004D2EDC"/>
    <w:rsid w:val="004D3451"/>
    <w:rsid w:val="004D3A4F"/>
    <w:rsid w:val="004D4E48"/>
    <w:rsid w:val="004D674A"/>
    <w:rsid w:val="004E3504"/>
    <w:rsid w:val="004E4119"/>
    <w:rsid w:val="004E48D7"/>
    <w:rsid w:val="004E53AD"/>
    <w:rsid w:val="004E561A"/>
    <w:rsid w:val="004E5A3E"/>
    <w:rsid w:val="004E6CCF"/>
    <w:rsid w:val="004E6E7D"/>
    <w:rsid w:val="004E6F19"/>
    <w:rsid w:val="004F25AB"/>
    <w:rsid w:val="004F3F04"/>
    <w:rsid w:val="004F5314"/>
    <w:rsid w:val="005005B0"/>
    <w:rsid w:val="005020C0"/>
    <w:rsid w:val="00502367"/>
    <w:rsid w:val="00504448"/>
    <w:rsid w:val="00513812"/>
    <w:rsid w:val="00513C44"/>
    <w:rsid w:val="0051437B"/>
    <w:rsid w:val="00514993"/>
    <w:rsid w:val="00515420"/>
    <w:rsid w:val="005206E5"/>
    <w:rsid w:val="00521ED0"/>
    <w:rsid w:val="00522CBB"/>
    <w:rsid w:val="0052365F"/>
    <w:rsid w:val="0052482D"/>
    <w:rsid w:val="0052530B"/>
    <w:rsid w:val="0052565D"/>
    <w:rsid w:val="0052571C"/>
    <w:rsid w:val="005260E6"/>
    <w:rsid w:val="00532736"/>
    <w:rsid w:val="005332E3"/>
    <w:rsid w:val="005333F5"/>
    <w:rsid w:val="00533CD4"/>
    <w:rsid w:val="0054219B"/>
    <w:rsid w:val="005432B6"/>
    <w:rsid w:val="00544893"/>
    <w:rsid w:val="005448C1"/>
    <w:rsid w:val="00544B70"/>
    <w:rsid w:val="005468C3"/>
    <w:rsid w:val="00547D56"/>
    <w:rsid w:val="0055055A"/>
    <w:rsid w:val="00551214"/>
    <w:rsid w:val="00553617"/>
    <w:rsid w:val="0055493B"/>
    <w:rsid w:val="00556DC2"/>
    <w:rsid w:val="005576B6"/>
    <w:rsid w:val="00560273"/>
    <w:rsid w:val="00560BA2"/>
    <w:rsid w:val="0056275B"/>
    <w:rsid w:val="00570E42"/>
    <w:rsid w:val="00571E12"/>
    <w:rsid w:val="00572A65"/>
    <w:rsid w:val="0057412C"/>
    <w:rsid w:val="005742DC"/>
    <w:rsid w:val="0057476B"/>
    <w:rsid w:val="005815E1"/>
    <w:rsid w:val="00581B2D"/>
    <w:rsid w:val="00581C44"/>
    <w:rsid w:val="00582B62"/>
    <w:rsid w:val="005858D1"/>
    <w:rsid w:val="005864E5"/>
    <w:rsid w:val="00590D9F"/>
    <w:rsid w:val="00594665"/>
    <w:rsid w:val="00595B1C"/>
    <w:rsid w:val="005A4D90"/>
    <w:rsid w:val="005A52CE"/>
    <w:rsid w:val="005A573A"/>
    <w:rsid w:val="005A5FA0"/>
    <w:rsid w:val="005A6080"/>
    <w:rsid w:val="005B2DC9"/>
    <w:rsid w:val="005C2261"/>
    <w:rsid w:val="005C2A45"/>
    <w:rsid w:val="005C3A51"/>
    <w:rsid w:val="005C5417"/>
    <w:rsid w:val="005C6188"/>
    <w:rsid w:val="005C7D9C"/>
    <w:rsid w:val="005D15ED"/>
    <w:rsid w:val="005D2635"/>
    <w:rsid w:val="005D3972"/>
    <w:rsid w:val="005D4A26"/>
    <w:rsid w:val="005D5469"/>
    <w:rsid w:val="005D6909"/>
    <w:rsid w:val="005E01B5"/>
    <w:rsid w:val="005E09A9"/>
    <w:rsid w:val="005E2240"/>
    <w:rsid w:val="005E2257"/>
    <w:rsid w:val="005E379D"/>
    <w:rsid w:val="005E4ACD"/>
    <w:rsid w:val="005F1E81"/>
    <w:rsid w:val="005F2103"/>
    <w:rsid w:val="005F274A"/>
    <w:rsid w:val="005F55C0"/>
    <w:rsid w:val="00601DE9"/>
    <w:rsid w:val="00603D6F"/>
    <w:rsid w:val="00610B50"/>
    <w:rsid w:val="006113FB"/>
    <w:rsid w:val="0061381B"/>
    <w:rsid w:val="00613B23"/>
    <w:rsid w:val="00614586"/>
    <w:rsid w:val="00614AE5"/>
    <w:rsid w:val="00617AC7"/>
    <w:rsid w:val="00621756"/>
    <w:rsid w:val="00631F52"/>
    <w:rsid w:val="00633ED6"/>
    <w:rsid w:val="006345B2"/>
    <w:rsid w:val="00634ACC"/>
    <w:rsid w:val="006353CE"/>
    <w:rsid w:val="00641521"/>
    <w:rsid w:val="00642726"/>
    <w:rsid w:val="00645DB1"/>
    <w:rsid w:val="006476FF"/>
    <w:rsid w:val="00651B39"/>
    <w:rsid w:val="0065210A"/>
    <w:rsid w:val="00657ABD"/>
    <w:rsid w:val="00660298"/>
    <w:rsid w:val="006619CA"/>
    <w:rsid w:val="00661E1C"/>
    <w:rsid w:val="00664706"/>
    <w:rsid w:val="00667452"/>
    <w:rsid w:val="006677D1"/>
    <w:rsid w:val="0067188C"/>
    <w:rsid w:val="00673C36"/>
    <w:rsid w:val="0067516B"/>
    <w:rsid w:val="006761FF"/>
    <w:rsid w:val="0068146D"/>
    <w:rsid w:val="006841E9"/>
    <w:rsid w:val="00685C9E"/>
    <w:rsid w:val="0068642B"/>
    <w:rsid w:val="006902EB"/>
    <w:rsid w:val="00694F90"/>
    <w:rsid w:val="00696D5C"/>
    <w:rsid w:val="00697ED7"/>
    <w:rsid w:val="006A2841"/>
    <w:rsid w:val="006A5A68"/>
    <w:rsid w:val="006A6931"/>
    <w:rsid w:val="006A7863"/>
    <w:rsid w:val="006B09F3"/>
    <w:rsid w:val="006B46BE"/>
    <w:rsid w:val="006B51CF"/>
    <w:rsid w:val="006B58C2"/>
    <w:rsid w:val="006B6C98"/>
    <w:rsid w:val="006B7B13"/>
    <w:rsid w:val="006C00D5"/>
    <w:rsid w:val="006C0604"/>
    <w:rsid w:val="006C14DF"/>
    <w:rsid w:val="006C7442"/>
    <w:rsid w:val="006C7693"/>
    <w:rsid w:val="006C7EBB"/>
    <w:rsid w:val="006D09E9"/>
    <w:rsid w:val="006D2405"/>
    <w:rsid w:val="006D5093"/>
    <w:rsid w:val="006E3326"/>
    <w:rsid w:val="006E38CD"/>
    <w:rsid w:val="006E4711"/>
    <w:rsid w:val="006E6D8A"/>
    <w:rsid w:val="006E75D6"/>
    <w:rsid w:val="006F00E2"/>
    <w:rsid w:val="006F0D63"/>
    <w:rsid w:val="006F277A"/>
    <w:rsid w:val="006F2E5A"/>
    <w:rsid w:val="006F5F2A"/>
    <w:rsid w:val="006F6CBF"/>
    <w:rsid w:val="006F6D27"/>
    <w:rsid w:val="00701357"/>
    <w:rsid w:val="007017A4"/>
    <w:rsid w:val="0070517A"/>
    <w:rsid w:val="00706188"/>
    <w:rsid w:val="0070769E"/>
    <w:rsid w:val="007079C9"/>
    <w:rsid w:val="00710338"/>
    <w:rsid w:val="007126EE"/>
    <w:rsid w:val="00712F98"/>
    <w:rsid w:val="00715CBF"/>
    <w:rsid w:val="0071656F"/>
    <w:rsid w:val="00720981"/>
    <w:rsid w:val="00720ADF"/>
    <w:rsid w:val="007211F8"/>
    <w:rsid w:val="007234A9"/>
    <w:rsid w:val="007275C9"/>
    <w:rsid w:val="00730439"/>
    <w:rsid w:val="00731175"/>
    <w:rsid w:val="00733FC1"/>
    <w:rsid w:val="00736C38"/>
    <w:rsid w:val="00737B9E"/>
    <w:rsid w:val="00740D63"/>
    <w:rsid w:val="00741231"/>
    <w:rsid w:val="007412D3"/>
    <w:rsid w:val="00742033"/>
    <w:rsid w:val="00744F21"/>
    <w:rsid w:val="00744F57"/>
    <w:rsid w:val="00745D36"/>
    <w:rsid w:val="00745D96"/>
    <w:rsid w:val="00746456"/>
    <w:rsid w:val="00747B55"/>
    <w:rsid w:val="00751D59"/>
    <w:rsid w:val="00751EC7"/>
    <w:rsid w:val="007523AD"/>
    <w:rsid w:val="00753445"/>
    <w:rsid w:val="00753D31"/>
    <w:rsid w:val="0075518E"/>
    <w:rsid w:val="007565C5"/>
    <w:rsid w:val="00756F75"/>
    <w:rsid w:val="00757772"/>
    <w:rsid w:val="007614FE"/>
    <w:rsid w:val="00764E3F"/>
    <w:rsid w:val="00765915"/>
    <w:rsid w:val="00765E77"/>
    <w:rsid w:val="00767868"/>
    <w:rsid w:val="00767A89"/>
    <w:rsid w:val="00770285"/>
    <w:rsid w:val="007709FB"/>
    <w:rsid w:val="00771B12"/>
    <w:rsid w:val="00772DC9"/>
    <w:rsid w:val="0077432A"/>
    <w:rsid w:val="0077612F"/>
    <w:rsid w:val="0077646F"/>
    <w:rsid w:val="00780AC9"/>
    <w:rsid w:val="0078143C"/>
    <w:rsid w:val="0078180E"/>
    <w:rsid w:val="0078197E"/>
    <w:rsid w:val="00783023"/>
    <w:rsid w:val="007832FE"/>
    <w:rsid w:val="00784793"/>
    <w:rsid w:val="00784BCC"/>
    <w:rsid w:val="00785063"/>
    <w:rsid w:val="007879E4"/>
    <w:rsid w:val="007957B8"/>
    <w:rsid w:val="007A11D6"/>
    <w:rsid w:val="007A280A"/>
    <w:rsid w:val="007A3A96"/>
    <w:rsid w:val="007A4CCF"/>
    <w:rsid w:val="007A5E43"/>
    <w:rsid w:val="007A7592"/>
    <w:rsid w:val="007A7892"/>
    <w:rsid w:val="007B06B1"/>
    <w:rsid w:val="007B29E2"/>
    <w:rsid w:val="007B2F76"/>
    <w:rsid w:val="007B3917"/>
    <w:rsid w:val="007B4068"/>
    <w:rsid w:val="007B4914"/>
    <w:rsid w:val="007B537D"/>
    <w:rsid w:val="007B5694"/>
    <w:rsid w:val="007C3501"/>
    <w:rsid w:val="007C4321"/>
    <w:rsid w:val="007C4A41"/>
    <w:rsid w:val="007C4B2A"/>
    <w:rsid w:val="007D16D6"/>
    <w:rsid w:val="007D3B1E"/>
    <w:rsid w:val="007D3CFA"/>
    <w:rsid w:val="007D4571"/>
    <w:rsid w:val="007D5021"/>
    <w:rsid w:val="007D5B27"/>
    <w:rsid w:val="007D65C9"/>
    <w:rsid w:val="007D7137"/>
    <w:rsid w:val="007D74B5"/>
    <w:rsid w:val="007E479D"/>
    <w:rsid w:val="007E5987"/>
    <w:rsid w:val="007F08AA"/>
    <w:rsid w:val="007F3719"/>
    <w:rsid w:val="007F51C4"/>
    <w:rsid w:val="007F7D84"/>
    <w:rsid w:val="008051D8"/>
    <w:rsid w:val="008059B2"/>
    <w:rsid w:val="0080678D"/>
    <w:rsid w:val="0081005C"/>
    <w:rsid w:val="00810CC5"/>
    <w:rsid w:val="00811E4E"/>
    <w:rsid w:val="00812260"/>
    <w:rsid w:val="00812FE3"/>
    <w:rsid w:val="00813618"/>
    <w:rsid w:val="008149B1"/>
    <w:rsid w:val="00814FA8"/>
    <w:rsid w:val="008158AE"/>
    <w:rsid w:val="0081602C"/>
    <w:rsid w:val="00817707"/>
    <w:rsid w:val="00823307"/>
    <w:rsid w:val="008245E6"/>
    <w:rsid w:val="008308E8"/>
    <w:rsid w:val="00831DFE"/>
    <w:rsid w:val="00835E51"/>
    <w:rsid w:val="00837FEA"/>
    <w:rsid w:val="00841AD8"/>
    <w:rsid w:val="008448D5"/>
    <w:rsid w:val="00844ABA"/>
    <w:rsid w:val="0084566F"/>
    <w:rsid w:val="00845BBC"/>
    <w:rsid w:val="0084624B"/>
    <w:rsid w:val="00847C58"/>
    <w:rsid w:val="008501DD"/>
    <w:rsid w:val="00850601"/>
    <w:rsid w:val="00853F3E"/>
    <w:rsid w:val="00854294"/>
    <w:rsid w:val="00854812"/>
    <w:rsid w:val="00857AB7"/>
    <w:rsid w:val="008636BE"/>
    <w:rsid w:val="00864209"/>
    <w:rsid w:val="0086474C"/>
    <w:rsid w:val="00864DA5"/>
    <w:rsid w:val="008678EA"/>
    <w:rsid w:val="00871E12"/>
    <w:rsid w:val="00873806"/>
    <w:rsid w:val="008739DC"/>
    <w:rsid w:val="00873BCD"/>
    <w:rsid w:val="0087588E"/>
    <w:rsid w:val="00875EBD"/>
    <w:rsid w:val="0087683E"/>
    <w:rsid w:val="00880D7E"/>
    <w:rsid w:val="008840EF"/>
    <w:rsid w:val="00884214"/>
    <w:rsid w:val="00884795"/>
    <w:rsid w:val="00885520"/>
    <w:rsid w:val="00885CFB"/>
    <w:rsid w:val="00890141"/>
    <w:rsid w:val="00890819"/>
    <w:rsid w:val="0089204C"/>
    <w:rsid w:val="008926EE"/>
    <w:rsid w:val="008933F9"/>
    <w:rsid w:val="008968D2"/>
    <w:rsid w:val="00896E51"/>
    <w:rsid w:val="0089740F"/>
    <w:rsid w:val="008A185C"/>
    <w:rsid w:val="008A3092"/>
    <w:rsid w:val="008A77A6"/>
    <w:rsid w:val="008B0834"/>
    <w:rsid w:val="008B3A45"/>
    <w:rsid w:val="008B3BA5"/>
    <w:rsid w:val="008B4796"/>
    <w:rsid w:val="008B55FF"/>
    <w:rsid w:val="008B5B4F"/>
    <w:rsid w:val="008B5C34"/>
    <w:rsid w:val="008B6A95"/>
    <w:rsid w:val="008C58B0"/>
    <w:rsid w:val="008D1565"/>
    <w:rsid w:val="008D1B8E"/>
    <w:rsid w:val="008D2463"/>
    <w:rsid w:val="008D4823"/>
    <w:rsid w:val="008E2EFA"/>
    <w:rsid w:val="008E3D8F"/>
    <w:rsid w:val="008E4D3D"/>
    <w:rsid w:val="008E4FCD"/>
    <w:rsid w:val="008E5196"/>
    <w:rsid w:val="008E6D26"/>
    <w:rsid w:val="008E74D9"/>
    <w:rsid w:val="008E78E7"/>
    <w:rsid w:val="008E7FEC"/>
    <w:rsid w:val="008F27B0"/>
    <w:rsid w:val="008F28F1"/>
    <w:rsid w:val="008F54D6"/>
    <w:rsid w:val="00900210"/>
    <w:rsid w:val="009038D6"/>
    <w:rsid w:val="009046F3"/>
    <w:rsid w:val="009056CB"/>
    <w:rsid w:val="00905F23"/>
    <w:rsid w:val="0091038E"/>
    <w:rsid w:val="009104D5"/>
    <w:rsid w:val="0091087C"/>
    <w:rsid w:val="0091125B"/>
    <w:rsid w:val="00912229"/>
    <w:rsid w:val="00912C0C"/>
    <w:rsid w:val="009145FD"/>
    <w:rsid w:val="00915154"/>
    <w:rsid w:val="00916AFB"/>
    <w:rsid w:val="00916C32"/>
    <w:rsid w:val="009177AE"/>
    <w:rsid w:val="00917E53"/>
    <w:rsid w:val="00920FFD"/>
    <w:rsid w:val="0092132C"/>
    <w:rsid w:val="009227D8"/>
    <w:rsid w:val="0092417F"/>
    <w:rsid w:val="009244C8"/>
    <w:rsid w:val="00927C80"/>
    <w:rsid w:val="00930BDE"/>
    <w:rsid w:val="00932383"/>
    <w:rsid w:val="00932E00"/>
    <w:rsid w:val="00933445"/>
    <w:rsid w:val="00936F27"/>
    <w:rsid w:val="00937EFD"/>
    <w:rsid w:val="009410FC"/>
    <w:rsid w:val="00946185"/>
    <w:rsid w:val="009464AB"/>
    <w:rsid w:val="009502AB"/>
    <w:rsid w:val="009505F9"/>
    <w:rsid w:val="00951AFC"/>
    <w:rsid w:val="0095298D"/>
    <w:rsid w:val="009540AB"/>
    <w:rsid w:val="009543A6"/>
    <w:rsid w:val="00955C34"/>
    <w:rsid w:val="00960144"/>
    <w:rsid w:val="009613CD"/>
    <w:rsid w:val="0096170D"/>
    <w:rsid w:val="009636B4"/>
    <w:rsid w:val="00963AFD"/>
    <w:rsid w:val="00963C8F"/>
    <w:rsid w:val="00963E4A"/>
    <w:rsid w:val="009648C7"/>
    <w:rsid w:val="0096530A"/>
    <w:rsid w:val="00965669"/>
    <w:rsid w:val="009734DB"/>
    <w:rsid w:val="00975FA9"/>
    <w:rsid w:val="009760DF"/>
    <w:rsid w:val="009768A5"/>
    <w:rsid w:val="00977281"/>
    <w:rsid w:val="009778C3"/>
    <w:rsid w:val="00977BEF"/>
    <w:rsid w:val="00981289"/>
    <w:rsid w:val="00981320"/>
    <w:rsid w:val="00982CD7"/>
    <w:rsid w:val="00983B80"/>
    <w:rsid w:val="00983C65"/>
    <w:rsid w:val="009850BA"/>
    <w:rsid w:val="0098563F"/>
    <w:rsid w:val="009867C8"/>
    <w:rsid w:val="0098773E"/>
    <w:rsid w:val="00990FED"/>
    <w:rsid w:val="00991518"/>
    <w:rsid w:val="00991A92"/>
    <w:rsid w:val="00991E24"/>
    <w:rsid w:val="00992DD3"/>
    <w:rsid w:val="00996660"/>
    <w:rsid w:val="009976B3"/>
    <w:rsid w:val="009A09EE"/>
    <w:rsid w:val="009A1204"/>
    <w:rsid w:val="009B2048"/>
    <w:rsid w:val="009B25A5"/>
    <w:rsid w:val="009B41AD"/>
    <w:rsid w:val="009B4A7C"/>
    <w:rsid w:val="009B636F"/>
    <w:rsid w:val="009B7303"/>
    <w:rsid w:val="009C28F5"/>
    <w:rsid w:val="009C390C"/>
    <w:rsid w:val="009C5A2D"/>
    <w:rsid w:val="009C799C"/>
    <w:rsid w:val="009C7AD4"/>
    <w:rsid w:val="009D0D7A"/>
    <w:rsid w:val="009D212D"/>
    <w:rsid w:val="009D4CCD"/>
    <w:rsid w:val="009D5970"/>
    <w:rsid w:val="009E0A38"/>
    <w:rsid w:val="009E1E61"/>
    <w:rsid w:val="009E2058"/>
    <w:rsid w:val="009E3A21"/>
    <w:rsid w:val="009E462B"/>
    <w:rsid w:val="009E5475"/>
    <w:rsid w:val="009E5DF8"/>
    <w:rsid w:val="009E7493"/>
    <w:rsid w:val="009F1418"/>
    <w:rsid w:val="009F184E"/>
    <w:rsid w:val="009F1E33"/>
    <w:rsid w:val="009F2AE2"/>
    <w:rsid w:val="009F33F3"/>
    <w:rsid w:val="009F5875"/>
    <w:rsid w:val="009F6135"/>
    <w:rsid w:val="009F74C3"/>
    <w:rsid w:val="00A00DB9"/>
    <w:rsid w:val="00A00DDD"/>
    <w:rsid w:val="00A0264C"/>
    <w:rsid w:val="00A04117"/>
    <w:rsid w:val="00A05A4D"/>
    <w:rsid w:val="00A063C3"/>
    <w:rsid w:val="00A07C32"/>
    <w:rsid w:val="00A100E4"/>
    <w:rsid w:val="00A1079E"/>
    <w:rsid w:val="00A11BDC"/>
    <w:rsid w:val="00A12132"/>
    <w:rsid w:val="00A12381"/>
    <w:rsid w:val="00A1260D"/>
    <w:rsid w:val="00A12949"/>
    <w:rsid w:val="00A12D79"/>
    <w:rsid w:val="00A14202"/>
    <w:rsid w:val="00A14D48"/>
    <w:rsid w:val="00A168A6"/>
    <w:rsid w:val="00A2582A"/>
    <w:rsid w:val="00A25927"/>
    <w:rsid w:val="00A32803"/>
    <w:rsid w:val="00A33AD3"/>
    <w:rsid w:val="00A33ED0"/>
    <w:rsid w:val="00A34ABA"/>
    <w:rsid w:val="00A353CB"/>
    <w:rsid w:val="00A36AA3"/>
    <w:rsid w:val="00A43476"/>
    <w:rsid w:val="00A4376B"/>
    <w:rsid w:val="00A448E0"/>
    <w:rsid w:val="00A4511C"/>
    <w:rsid w:val="00A47904"/>
    <w:rsid w:val="00A520FF"/>
    <w:rsid w:val="00A5318C"/>
    <w:rsid w:val="00A5672C"/>
    <w:rsid w:val="00A60A87"/>
    <w:rsid w:val="00A61865"/>
    <w:rsid w:val="00A62DF7"/>
    <w:rsid w:val="00A63B83"/>
    <w:rsid w:val="00A63F15"/>
    <w:rsid w:val="00A66E3A"/>
    <w:rsid w:val="00A7006F"/>
    <w:rsid w:val="00A704D2"/>
    <w:rsid w:val="00A711E2"/>
    <w:rsid w:val="00A72DDE"/>
    <w:rsid w:val="00A80435"/>
    <w:rsid w:val="00A819FF"/>
    <w:rsid w:val="00A82956"/>
    <w:rsid w:val="00A8420C"/>
    <w:rsid w:val="00A905DB"/>
    <w:rsid w:val="00A94104"/>
    <w:rsid w:val="00A95C0B"/>
    <w:rsid w:val="00A95E4B"/>
    <w:rsid w:val="00A95E52"/>
    <w:rsid w:val="00A95F01"/>
    <w:rsid w:val="00A96534"/>
    <w:rsid w:val="00A9667C"/>
    <w:rsid w:val="00A97BE9"/>
    <w:rsid w:val="00AA07A9"/>
    <w:rsid w:val="00AA30D8"/>
    <w:rsid w:val="00AA4976"/>
    <w:rsid w:val="00AA4CBE"/>
    <w:rsid w:val="00AA64F3"/>
    <w:rsid w:val="00AA6736"/>
    <w:rsid w:val="00AA7792"/>
    <w:rsid w:val="00AB0A97"/>
    <w:rsid w:val="00AB0FB6"/>
    <w:rsid w:val="00AB5A7E"/>
    <w:rsid w:val="00AB751A"/>
    <w:rsid w:val="00AB75CB"/>
    <w:rsid w:val="00AB7A89"/>
    <w:rsid w:val="00AC0174"/>
    <w:rsid w:val="00AC1175"/>
    <w:rsid w:val="00AC3CFA"/>
    <w:rsid w:val="00AC5340"/>
    <w:rsid w:val="00AD0395"/>
    <w:rsid w:val="00AD0C9D"/>
    <w:rsid w:val="00AD210B"/>
    <w:rsid w:val="00AD41A1"/>
    <w:rsid w:val="00AD49D3"/>
    <w:rsid w:val="00AD607D"/>
    <w:rsid w:val="00AE0344"/>
    <w:rsid w:val="00AE0580"/>
    <w:rsid w:val="00AE49E0"/>
    <w:rsid w:val="00AE7F1A"/>
    <w:rsid w:val="00AF251A"/>
    <w:rsid w:val="00AF4EF9"/>
    <w:rsid w:val="00AF5E19"/>
    <w:rsid w:val="00AF7673"/>
    <w:rsid w:val="00AF794E"/>
    <w:rsid w:val="00B00444"/>
    <w:rsid w:val="00B03005"/>
    <w:rsid w:val="00B034DB"/>
    <w:rsid w:val="00B03C4D"/>
    <w:rsid w:val="00B03E9E"/>
    <w:rsid w:val="00B06174"/>
    <w:rsid w:val="00B06A44"/>
    <w:rsid w:val="00B073A2"/>
    <w:rsid w:val="00B111E8"/>
    <w:rsid w:val="00B11F37"/>
    <w:rsid w:val="00B121DF"/>
    <w:rsid w:val="00B16E0C"/>
    <w:rsid w:val="00B20050"/>
    <w:rsid w:val="00B22745"/>
    <w:rsid w:val="00B233C9"/>
    <w:rsid w:val="00B26A0D"/>
    <w:rsid w:val="00B27CC4"/>
    <w:rsid w:val="00B311A8"/>
    <w:rsid w:val="00B32374"/>
    <w:rsid w:val="00B33B0E"/>
    <w:rsid w:val="00B33ECC"/>
    <w:rsid w:val="00B36DD2"/>
    <w:rsid w:val="00B36F0F"/>
    <w:rsid w:val="00B372EB"/>
    <w:rsid w:val="00B41DF2"/>
    <w:rsid w:val="00B42398"/>
    <w:rsid w:val="00B43B6B"/>
    <w:rsid w:val="00B43C2C"/>
    <w:rsid w:val="00B45898"/>
    <w:rsid w:val="00B462C3"/>
    <w:rsid w:val="00B4789E"/>
    <w:rsid w:val="00B501B0"/>
    <w:rsid w:val="00B52F63"/>
    <w:rsid w:val="00B534AA"/>
    <w:rsid w:val="00B5383A"/>
    <w:rsid w:val="00B53A44"/>
    <w:rsid w:val="00B555FF"/>
    <w:rsid w:val="00B569E9"/>
    <w:rsid w:val="00B56A47"/>
    <w:rsid w:val="00B61EC4"/>
    <w:rsid w:val="00B636ED"/>
    <w:rsid w:val="00B64656"/>
    <w:rsid w:val="00B65E88"/>
    <w:rsid w:val="00B66FE3"/>
    <w:rsid w:val="00B71471"/>
    <w:rsid w:val="00B71719"/>
    <w:rsid w:val="00B71DEC"/>
    <w:rsid w:val="00B725D2"/>
    <w:rsid w:val="00B72CBA"/>
    <w:rsid w:val="00B73890"/>
    <w:rsid w:val="00B75480"/>
    <w:rsid w:val="00B75C93"/>
    <w:rsid w:val="00B75DFA"/>
    <w:rsid w:val="00B765CF"/>
    <w:rsid w:val="00B8063D"/>
    <w:rsid w:val="00B82178"/>
    <w:rsid w:val="00B82553"/>
    <w:rsid w:val="00B82973"/>
    <w:rsid w:val="00B84466"/>
    <w:rsid w:val="00B86681"/>
    <w:rsid w:val="00B927ED"/>
    <w:rsid w:val="00B94D50"/>
    <w:rsid w:val="00B952E7"/>
    <w:rsid w:val="00BA1294"/>
    <w:rsid w:val="00BA1A2D"/>
    <w:rsid w:val="00BA1AEB"/>
    <w:rsid w:val="00BA36D2"/>
    <w:rsid w:val="00BA3AF5"/>
    <w:rsid w:val="00BA5251"/>
    <w:rsid w:val="00BA67FE"/>
    <w:rsid w:val="00BB0228"/>
    <w:rsid w:val="00BB07A3"/>
    <w:rsid w:val="00BB359F"/>
    <w:rsid w:val="00BB47A2"/>
    <w:rsid w:val="00BB744E"/>
    <w:rsid w:val="00BC0C9D"/>
    <w:rsid w:val="00BC191E"/>
    <w:rsid w:val="00BC3CEB"/>
    <w:rsid w:val="00BC3DCD"/>
    <w:rsid w:val="00BC3EC9"/>
    <w:rsid w:val="00BC44F4"/>
    <w:rsid w:val="00BC48BA"/>
    <w:rsid w:val="00BC4B73"/>
    <w:rsid w:val="00BC7E1E"/>
    <w:rsid w:val="00BD0E3D"/>
    <w:rsid w:val="00BD0F95"/>
    <w:rsid w:val="00BD16AB"/>
    <w:rsid w:val="00BD3A28"/>
    <w:rsid w:val="00BD52F9"/>
    <w:rsid w:val="00BD68F2"/>
    <w:rsid w:val="00BD6D72"/>
    <w:rsid w:val="00BE0458"/>
    <w:rsid w:val="00BE1BB8"/>
    <w:rsid w:val="00BE2F6F"/>
    <w:rsid w:val="00BE60A8"/>
    <w:rsid w:val="00BE63EB"/>
    <w:rsid w:val="00BE7946"/>
    <w:rsid w:val="00BF0327"/>
    <w:rsid w:val="00BF1EB4"/>
    <w:rsid w:val="00BF418A"/>
    <w:rsid w:val="00BF4D18"/>
    <w:rsid w:val="00BF7E6B"/>
    <w:rsid w:val="00C00295"/>
    <w:rsid w:val="00C01030"/>
    <w:rsid w:val="00C039AF"/>
    <w:rsid w:val="00C04EB0"/>
    <w:rsid w:val="00C05140"/>
    <w:rsid w:val="00C11A6D"/>
    <w:rsid w:val="00C14A5F"/>
    <w:rsid w:val="00C14A74"/>
    <w:rsid w:val="00C15F28"/>
    <w:rsid w:val="00C16C49"/>
    <w:rsid w:val="00C2029D"/>
    <w:rsid w:val="00C23487"/>
    <w:rsid w:val="00C2395A"/>
    <w:rsid w:val="00C25CA0"/>
    <w:rsid w:val="00C26609"/>
    <w:rsid w:val="00C27BF2"/>
    <w:rsid w:val="00C345B3"/>
    <w:rsid w:val="00C34944"/>
    <w:rsid w:val="00C40E8A"/>
    <w:rsid w:val="00C41769"/>
    <w:rsid w:val="00C436F3"/>
    <w:rsid w:val="00C44E40"/>
    <w:rsid w:val="00C4646F"/>
    <w:rsid w:val="00C468B5"/>
    <w:rsid w:val="00C47C89"/>
    <w:rsid w:val="00C50613"/>
    <w:rsid w:val="00C50DFC"/>
    <w:rsid w:val="00C51CE4"/>
    <w:rsid w:val="00C53156"/>
    <w:rsid w:val="00C54EC8"/>
    <w:rsid w:val="00C6260D"/>
    <w:rsid w:val="00C63951"/>
    <w:rsid w:val="00C63AF9"/>
    <w:rsid w:val="00C65CE1"/>
    <w:rsid w:val="00C70959"/>
    <w:rsid w:val="00C71EA5"/>
    <w:rsid w:val="00C724BB"/>
    <w:rsid w:val="00C72BCB"/>
    <w:rsid w:val="00C76646"/>
    <w:rsid w:val="00C81C25"/>
    <w:rsid w:val="00C81D5E"/>
    <w:rsid w:val="00C8373A"/>
    <w:rsid w:val="00C85354"/>
    <w:rsid w:val="00C870D8"/>
    <w:rsid w:val="00C91C6F"/>
    <w:rsid w:val="00C930D3"/>
    <w:rsid w:val="00C9361C"/>
    <w:rsid w:val="00C93637"/>
    <w:rsid w:val="00C93DA8"/>
    <w:rsid w:val="00C941B5"/>
    <w:rsid w:val="00C94573"/>
    <w:rsid w:val="00C966FE"/>
    <w:rsid w:val="00CA17F9"/>
    <w:rsid w:val="00CA1B06"/>
    <w:rsid w:val="00CA23B3"/>
    <w:rsid w:val="00CA28F5"/>
    <w:rsid w:val="00CA2E01"/>
    <w:rsid w:val="00CA3C09"/>
    <w:rsid w:val="00CA76A5"/>
    <w:rsid w:val="00CA7A86"/>
    <w:rsid w:val="00CB01DA"/>
    <w:rsid w:val="00CB08C9"/>
    <w:rsid w:val="00CB0FFF"/>
    <w:rsid w:val="00CB1E5A"/>
    <w:rsid w:val="00CB2DE8"/>
    <w:rsid w:val="00CB448F"/>
    <w:rsid w:val="00CB45DF"/>
    <w:rsid w:val="00CB5776"/>
    <w:rsid w:val="00CB6A9B"/>
    <w:rsid w:val="00CC0319"/>
    <w:rsid w:val="00CC0C84"/>
    <w:rsid w:val="00CC1B6E"/>
    <w:rsid w:val="00CC43CF"/>
    <w:rsid w:val="00CC4DC7"/>
    <w:rsid w:val="00CC59FC"/>
    <w:rsid w:val="00CC78E2"/>
    <w:rsid w:val="00CD28A4"/>
    <w:rsid w:val="00CD56BF"/>
    <w:rsid w:val="00CD6456"/>
    <w:rsid w:val="00CE0B0D"/>
    <w:rsid w:val="00CF28A9"/>
    <w:rsid w:val="00CF28AB"/>
    <w:rsid w:val="00CF5904"/>
    <w:rsid w:val="00CF597D"/>
    <w:rsid w:val="00CF68BD"/>
    <w:rsid w:val="00CF730B"/>
    <w:rsid w:val="00CF7E53"/>
    <w:rsid w:val="00D0074D"/>
    <w:rsid w:val="00D00DDB"/>
    <w:rsid w:val="00D00F0F"/>
    <w:rsid w:val="00D03015"/>
    <w:rsid w:val="00D044BD"/>
    <w:rsid w:val="00D046A2"/>
    <w:rsid w:val="00D06EBA"/>
    <w:rsid w:val="00D071FA"/>
    <w:rsid w:val="00D10847"/>
    <w:rsid w:val="00D126EA"/>
    <w:rsid w:val="00D129C2"/>
    <w:rsid w:val="00D12B77"/>
    <w:rsid w:val="00D1388D"/>
    <w:rsid w:val="00D16670"/>
    <w:rsid w:val="00D16EB1"/>
    <w:rsid w:val="00D177C3"/>
    <w:rsid w:val="00D201DE"/>
    <w:rsid w:val="00D206D5"/>
    <w:rsid w:val="00D2493F"/>
    <w:rsid w:val="00D25624"/>
    <w:rsid w:val="00D27C39"/>
    <w:rsid w:val="00D334BA"/>
    <w:rsid w:val="00D34802"/>
    <w:rsid w:val="00D36721"/>
    <w:rsid w:val="00D36759"/>
    <w:rsid w:val="00D378FD"/>
    <w:rsid w:val="00D40C94"/>
    <w:rsid w:val="00D4249B"/>
    <w:rsid w:val="00D442FB"/>
    <w:rsid w:val="00D448BC"/>
    <w:rsid w:val="00D4713F"/>
    <w:rsid w:val="00D47906"/>
    <w:rsid w:val="00D51452"/>
    <w:rsid w:val="00D519C0"/>
    <w:rsid w:val="00D56437"/>
    <w:rsid w:val="00D565C4"/>
    <w:rsid w:val="00D63D19"/>
    <w:rsid w:val="00D65067"/>
    <w:rsid w:val="00D65575"/>
    <w:rsid w:val="00D65B8A"/>
    <w:rsid w:val="00D71CD4"/>
    <w:rsid w:val="00D71E77"/>
    <w:rsid w:val="00D72065"/>
    <w:rsid w:val="00D73BE3"/>
    <w:rsid w:val="00D80B0F"/>
    <w:rsid w:val="00D840A1"/>
    <w:rsid w:val="00D91062"/>
    <w:rsid w:val="00D92C5B"/>
    <w:rsid w:val="00D95065"/>
    <w:rsid w:val="00DA0486"/>
    <w:rsid w:val="00DA590D"/>
    <w:rsid w:val="00DA60CB"/>
    <w:rsid w:val="00DA6E0B"/>
    <w:rsid w:val="00DB005B"/>
    <w:rsid w:val="00DB04D2"/>
    <w:rsid w:val="00DB2EE9"/>
    <w:rsid w:val="00DB4084"/>
    <w:rsid w:val="00DB48A8"/>
    <w:rsid w:val="00DB7973"/>
    <w:rsid w:val="00DB7D8A"/>
    <w:rsid w:val="00DC0A48"/>
    <w:rsid w:val="00DC0A68"/>
    <w:rsid w:val="00DC350E"/>
    <w:rsid w:val="00DC6CDF"/>
    <w:rsid w:val="00DD055A"/>
    <w:rsid w:val="00DD2FF4"/>
    <w:rsid w:val="00DD57A8"/>
    <w:rsid w:val="00DE13CB"/>
    <w:rsid w:val="00DE14C8"/>
    <w:rsid w:val="00DE204F"/>
    <w:rsid w:val="00DE58D3"/>
    <w:rsid w:val="00DE7138"/>
    <w:rsid w:val="00DF0E8F"/>
    <w:rsid w:val="00DF1233"/>
    <w:rsid w:val="00DF1475"/>
    <w:rsid w:val="00DF2BCC"/>
    <w:rsid w:val="00DF36C6"/>
    <w:rsid w:val="00DF6672"/>
    <w:rsid w:val="00DF6BC3"/>
    <w:rsid w:val="00E000C5"/>
    <w:rsid w:val="00E00AB3"/>
    <w:rsid w:val="00E02264"/>
    <w:rsid w:val="00E05BA3"/>
    <w:rsid w:val="00E05D09"/>
    <w:rsid w:val="00E06270"/>
    <w:rsid w:val="00E11628"/>
    <w:rsid w:val="00E11C1C"/>
    <w:rsid w:val="00E14997"/>
    <w:rsid w:val="00E17BF2"/>
    <w:rsid w:val="00E26B19"/>
    <w:rsid w:val="00E3032A"/>
    <w:rsid w:val="00E313DC"/>
    <w:rsid w:val="00E315ED"/>
    <w:rsid w:val="00E31DEE"/>
    <w:rsid w:val="00E32044"/>
    <w:rsid w:val="00E342CC"/>
    <w:rsid w:val="00E34D41"/>
    <w:rsid w:val="00E34D8B"/>
    <w:rsid w:val="00E36AB7"/>
    <w:rsid w:val="00E36CE7"/>
    <w:rsid w:val="00E400ED"/>
    <w:rsid w:val="00E401C5"/>
    <w:rsid w:val="00E417BA"/>
    <w:rsid w:val="00E41F35"/>
    <w:rsid w:val="00E43283"/>
    <w:rsid w:val="00E453A8"/>
    <w:rsid w:val="00E454EE"/>
    <w:rsid w:val="00E45EB4"/>
    <w:rsid w:val="00E45F47"/>
    <w:rsid w:val="00E465F8"/>
    <w:rsid w:val="00E47844"/>
    <w:rsid w:val="00E47D7F"/>
    <w:rsid w:val="00E502DE"/>
    <w:rsid w:val="00E50549"/>
    <w:rsid w:val="00E516BE"/>
    <w:rsid w:val="00E532D4"/>
    <w:rsid w:val="00E54E20"/>
    <w:rsid w:val="00E5580E"/>
    <w:rsid w:val="00E56623"/>
    <w:rsid w:val="00E64D77"/>
    <w:rsid w:val="00E66414"/>
    <w:rsid w:val="00E733EE"/>
    <w:rsid w:val="00E73D5A"/>
    <w:rsid w:val="00E75E30"/>
    <w:rsid w:val="00E76FB0"/>
    <w:rsid w:val="00E81BD3"/>
    <w:rsid w:val="00E85CA6"/>
    <w:rsid w:val="00E87ABE"/>
    <w:rsid w:val="00E9181A"/>
    <w:rsid w:val="00E91E7E"/>
    <w:rsid w:val="00E9251C"/>
    <w:rsid w:val="00E94066"/>
    <w:rsid w:val="00E94E94"/>
    <w:rsid w:val="00E9603E"/>
    <w:rsid w:val="00E96243"/>
    <w:rsid w:val="00EA0776"/>
    <w:rsid w:val="00EA1A96"/>
    <w:rsid w:val="00EA39A3"/>
    <w:rsid w:val="00EA3B58"/>
    <w:rsid w:val="00EA3BF5"/>
    <w:rsid w:val="00EA63B0"/>
    <w:rsid w:val="00EA7F8B"/>
    <w:rsid w:val="00EB073F"/>
    <w:rsid w:val="00EB0DB7"/>
    <w:rsid w:val="00EB24F0"/>
    <w:rsid w:val="00EB6634"/>
    <w:rsid w:val="00EC1AD5"/>
    <w:rsid w:val="00EC276B"/>
    <w:rsid w:val="00EC58F6"/>
    <w:rsid w:val="00EC631D"/>
    <w:rsid w:val="00ED23F2"/>
    <w:rsid w:val="00ED2A3A"/>
    <w:rsid w:val="00EE0075"/>
    <w:rsid w:val="00EE1183"/>
    <w:rsid w:val="00EE132E"/>
    <w:rsid w:val="00EE21B2"/>
    <w:rsid w:val="00EE2AE5"/>
    <w:rsid w:val="00EE61E2"/>
    <w:rsid w:val="00EF2E46"/>
    <w:rsid w:val="00EF36F9"/>
    <w:rsid w:val="00EF3D40"/>
    <w:rsid w:val="00EF40FC"/>
    <w:rsid w:val="00EF74D8"/>
    <w:rsid w:val="00EF7B43"/>
    <w:rsid w:val="00F04438"/>
    <w:rsid w:val="00F053F0"/>
    <w:rsid w:val="00F075C1"/>
    <w:rsid w:val="00F115E8"/>
    <w:rsid w:val="00F133BB"/>
    <w:rsid w:val="00F14DA0"/>
    <w:rsid w:val="00F15195"/>
    <w:rsid w:val="00F15524"/>
    <w:rsid w:val="00F156B4"/>
    <w:rsid w:val="00F16CA0"/>
    <w:rsid w:val="00F17B02"/>
    <w:rsid w:val="00F214FC"/>
    <w:rsid w:val="00F3001C"/>
    <w:rsid w:val="00F302BD"/>
    <w:rsid w:val="00F308AF"/>
    <w:rsid w:val="00F30E1D"/>
    <w:rsid w:val="00F34869"/>
    <w:rsid w:val="00F360FC"/>
    <w:rsid w:val="00F46086"/>
    <w:rsid w:val="00F47E9F"/>
    <w:rsid w:val="00F50B28"/>
    <w:rsid w:val="00F540A0"/>
    <w:rsid w:val="00F543A6"/>
    <w:rsid w:val="00F55998"/>
    <w:rsid w:val="00F60A29"/>
    <w:rsid w:val="00F618EC"/>
    <w:rsid w:val="00F63C03"/>
    <w:rsid w:val="00F66181"/>
    <w:rsid w:val="00F66A16"/>
    <w:rsid w:val="00F67B8D"/>
    <w:rsid w:val="00F70734"/>
    <w:rsid w:val="00F709E4"/>
    <w:rsid w:val="00F7107B"/>
    <w:rsid w:val="00F74C7D"/>
    <w:rsid w:val="00F757F2"/>
    <w:rsid w:val="00F7614E"/>
    <w:rsid w:val="00F802E3"/>
    <w:rsid w:val="00F8216F"/>
    <w:rsid w:val="00F83E5F"/>
    <w:rsid w:val="00F8473B"/>
    <w:rsid w:val="00F86E5C"/>
    <w:rsid w:val="00F904BF"/>
    <w:rsid w:val="00F9362B"/>
    <w:rsid w:val="00F93A83"/>
    <w:rsid w:val="00F94EF1"/>
    <w:rsid w:val="00F952A1"/>
    <w:rsid w:val="00F978EA"/>
    <w:rsid w:val="00FA08F5"/>
    <w:rsid w:val="00FA0FDF"/>
    <w:rsid w:val="00FA2979"/>
    <w:rsid w:val="00FB0214"/>
    <w:rsid w:val="00FB1E6D"/>
    <w:rsid w:val="00FB2128"/>
    <w:rsid w:val="00FB2979"/>
    <w:rsid w:val="00FB4840"/>
    <w:rsid w:val="00FB5569"/>
    <w:rsid w:val="00FB59FA"/>
    <w:rsid w:val="00FB6327"/>
    <w:rsid w:val="00FB780C"/>
    <w:rsid w:val="00FC2018"/>
    <w:rsid w:val="00FC2BB2"/>
    <w:rsid w:val="00FC35CB"/>
    <w:rsid w:val="00FC3A7F"/>
    <w:rsid w:val="00FC3F11"/>
    <w:rsid w:val="00FC5CA3"/>
    <w:rsid w:val="00FC6A17"/>
    <w:rsid w:val="00FC6DBE"/>
    <w:rsid w:val="00FC7714"/>
    <w:rsid w:val="00FD072E"/>
    <w:rsid w:val="00FD08F3"/>
    <w:rsid w:val="00FD1464"/>
    <w:rsid w:val="00FD3482"/>
    <w:rsid w:val="00FD37D3"/>
    <w:rsid w:val="00FE0D20"/>
    <w:rsid w:val="00FE0D26"/>
    <w:rsid w:val="00FE12A5"/>
    <w:rsid w:val="00FE2702"/>
    <w:rsid w:val="00FE3CAA"/>
    <w:rsid w:val="00FE5A68"/>
    <w:rsid w:val="00FE788D"/>
    <w:rsid w:val="00FE7A93"/>
    <w:rsid w:val="00FE7D78"/>
    <w:rsid w:val="00FF062C"/>
    <w:rsid w:val="00FF4C67"/>
    <w:rsid w:val="00FF7359"/>
    <w:rsid w:val="00FF7582"/>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A091"/>
  <w15:docId w15:val="{8B3D2509-E4BF-4701-878F-24C39269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5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5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5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5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5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8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58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58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58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58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5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8C2"/>
    <w:rPr>
      <w:rFonts w:eastAsiaTheme="majorEastAsia" w:cstheme="majorBidi"/>
      <w:color w:val="272727" w:themeColor="text1" w:themeTint="D8"/>
    </w:rPr>
  </w:style>
  <w:style w:type="paragraph" w:styleId="Title">
    <w:name w:val="Title"/>
    <w:basedOn w:val="Normal"/>
    <w:next w:val="Normal"/>
    <w:link w:val="TitleChar"/>
    <w:uiPriority w:val="10"/>
    <w:qFormat/>
    <w:rsid w:val="006B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8C2"/>
    <w:pPr>
      <w:spacing w:before="160"/>
      <w:jc w:val="center"/>
    </w:pPr>
    <w:rPr>
      <w:i/>
      <w:iCs/>
      <w:color w:val="404040" w:themeColor="text1" w:themeTint="BF"/>
    </w:rPr>
  </w:style>
  <w:style w:type="character" w:customStyle="1" w:styleId="QuoteChar">
    <w:name w:val="Quote Char"/>
    <w:basedOn w:val="DefaultParagraphFont"/>
    <w:link w:val="Quote"/>
    <w:uiPriority w:val="29"/>
    <w:rsid w:val="006B58C2"/>
    <w:rPr>
      <w:i/>
      <w:iCs/>
      <w:color w:val="404040" w:themeColor="text1" w:themeTint="BF"/>
    </w:rPr>
  </w:style>
  <w:style w:type="paragraph" w:styleId="ListParagraph">
    <w:name w:val="List Paragraph"/>
    <w:basedOn w:val="Normal"/>
    <w:uiPriority w:val="34"/>
    <w:qFormat/>
    <w:rsid w:val="006B58C2"/>
    <w:pPr>
      <w:ind w:left="720"/>
      <w:contextualSpacing/>
    </w:pPr>
  </w:style>
  <w:style w:type="character" w:styleId="IntenseEmphasis">
    <w:name w:val="Intense Emphasis"/>
    <w:basedOn w:val="DefaultParagraphFont"/>
    <w:uiPriority w:val="21"/>
    <w:qFormat/>
    <w:rsid w:val="006B58C2"/>
    <w:rPr>
      <w:i/>
      <w:iCs/>
      <w:color w:val="2F5496" w:themeColor="accent1" w:themeShade="BF"/>
    </w:rPr>
  </w:style>
  <w:style w:type="paragraph" w:styleId="IntenseQuote">
    <w:name w:val="Intense Quote"/>
    <w:basedOn w:val="Normal"/>
    <w:next w:val="Normal"/>
    <w:link w:val="IntenseQuoteChar"/>
    <w:uiPriority w:val="30"/>
    <w:qFormat/>
    <w:rsid w:val="006B5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58C2"/>
    <w:rPr>
      <w:i/>
      <w:iCs/>
      <w:color w:val="2F5496" w:themeColor="accent1" w:themeShade="BF"/>
    </w:rPr>
  </w:style>
  <w:style w:type="character" w:styleId="IntenseReference">
    <w:name w:val="Intense Reference"/>
    <w:basedOn w:val="DefaultParagraphFont"/>
    <w:uiPriority w:val="32"/>
    <w:qFormat/>
    <w:rsid w:val="006B58C2"/>
    <w:rPr>
      <w:b/>
      <w:bCs/>
      <w:smallCaps/>
      <w:color w:val="2F5496" w:themeColor="accent1" w:themeShade="BF"/>
      <w:spacing w:val="5"/>
    </w:rPr>
  </w:style>
  <w:style w:type="character" w:styleId="LineNumber">
    <w:name w:val="line number"/>
    <w:basedOn w:val="DefaultParagraphFont"/>
    <w:uiPriority w:val="99"/>
    <w:semiHidden/>
    <w:unhideWhenUsed/>
    <w:rsid w:val="00977BEF"/>
  </w:style>
  <w:style w:type="paragraph" w:customStyle="1" w:styleId="MDPI23heading3">
    <w:name w:val="MDPI_2.3_heading3"/>
    <w:qFormat/>
    <w:rsid w:val="00130672"/>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lang w:eastAsia="de-DE" w:bidi="en-US"/>
      <w14:ligatures w14:val="none"/>
    </w:rPr>
  </w:style>
  <w:style w:type="character" w:styleId="CommentReference">
    <w:name w:val="annotation reference"/>
    <w:basedOn w:val="DefaultParagraphFont"/>
    <w:uiPriority w:val="99"/>
    <w:semiHidden/>
    <w:unhideWhenUsed/>
    <w:rsid w:val="00EA39A3"/>
    <w:rPr>
      <w:sz w:val="16"/>
      <w:szCs w:val="16"/>
    </w:rPr>
  </w:style>
  <w:style w:type="paragraph" w:styleId="CommentText">
    <w:name w:val="annotation text"/>
    <w:basedOn w:val="Normal"/>
    <w:link w:val="CommentTextChar"/>
    <w:uiPriority w:val="99"/>
    <w:unhideWhenUsed/>
    <w:rsid w:val="00EA39A3"/>
    <w:pPr>
      <w:spacing w:line="240" w:lineRule="auto"/>
    </w:pPr>
    <w:rPr>
      <w:sz w:val="20"/>
      <w:szCs w:val="20"/>
    </w:rPr>
  </w:style>
  <w:style w:type="character" w:customStyle="1" w:styleId="CommentTextChar">
    <w:name w:val="Comment Text Char"/>
    <w:basedOn w:val="DefaultParagraphFont"/>
    <w:link w:val="CommentText"/>
    <w:uiPriority w:val="99"/>
    <w:rsid w:val="00EA39A3"/>
    <w:rPr>
      <w:sz w:val="20"/>
      <w:szCs w:val="20"/>
    </w:rPr>
  </w:style>
  <w:style w:type="paragraph" w:styleId="CommentSubject">
    <w:name w:val="annotation subject"/>
    <w:basedOn w:val="CommentText"/>
    <w:next w:val="CommentText"/>
    <w:link w:val="CommentSubjectChar"/>
    <w:uiPriority w:val="99"/>
    <w:semiHidden/>
    <w:unhideWhenUsed/>
    <w:rsid w:val="00EA39A3"/>
    <w:rPr>
      <w:b/>
      <w:bCs/>
    </w:rPr>
  </w:style>
  <w:style w:type="character" w:customStyle="1" w:styleId="CommentSubjectChar">
    <w:name w:val="Comment Subject Char"/>
    <w:basedOn w:val="CommentTextChar"/>
    <w:link w:val="CommentSubject"/>
    <w:uiPriority w:val="99"/>
    <w:semiHidden/>
    <w:rsid w:val="00EA39A3"/>
    <w:rPr>
      <w:b/>
      <w:bCs/>
      <w:sz w:val="20"/>
      <w:szCs w:val="20"/>
    </w:rPr>
  </w:style>
  <w:style w:type="paragraph" w:customStyle="1" w:styleId="MDPI62BackMatter">
    <w:name w:val="MDPI_6.2_BackMatter"/>
    <w:qFormat/>
    <w:rsid w:val="003033F6"/>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bidi="en-US"/>
      <w14:ligatures w14:val="none"/>
    </w:rPr>
  </w:style>
  <w:style w:type="paragraph" w:styleId="Header">
    <w:name w:val="header"/>
    <w:basedOn w:val="Normal"/>
    <w:link w:val="HeaderChar"/>
    <w:uiPriority w:val="99"/>
    <w:unhideWhenUsed/>
    <w:rsid w:val="00930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BDE"/>
  </w:style>
  <w:style w:type="paragraph" w:styleId="Footer">
    <w:name w:val="footer"/>
    <w:basedOn w:val="Normal"/>
    <w:link w:val="FooterChar"/>
    <w:uiPriority w:val="99"/>
    <w:unhideWhenUsed/>
    <w:rsid w:val="00930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BDE"/>
  </w:style>
  <w:style w:type="paragraph" w:customStyle="1" w:styleId="MDPI42tablebody">
    <w:name w:val="MDPI_4.2_table_body"/>
    <w:qFormat/>
    <w:rsid w:val="0091087C"/>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31text">
    <w:name w:val="MDPI_3.1_text"/>
    <w:qFormat/>
    <w:rsid w:val="002F21E3"/>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character" w:styleId="Hyperlink">
    <w:name w:val="Hyperlink"/>
    <w:basedOn w:val="DefaultParagraphFont"/>
    <w:uiPriority w:val="99"/>
    <w:unhideWhenUsed/>
    <w:rsid w:val="00DF1475"/>
    <w:rPr>
      <w:color w:val="0563C1" w:themeColor="hyperlink"/>
      <w:u w:val="single"/>
    </w:rPr>
  </w:style>
  <w:style w:type="character" w:customStyle="1" w:styleId="UnresolvedMention1">
    <w:name w:val="Unresolved Mention1"/>
    <w:basedOn w:val="DefaultParagraphFont"/>
    <w:uiPriority w:val="99"/>
    <w:semiHidden/>
    <w:unhideWhenUsed/>
    <w:rsid w:val="00DF1475"/>
    <w:rPr>
      <w:color w:val="605E5C"/>
      <w:shd w:val="clear" w:color="auto" w:fill="E1DFDD"/>
    </w:rPr>
  </w:style>
  <w:style w:type="paragraph" w:styleId="Revision">
    <w:name w:val="Revision"/>
    <w:hidden/>
    <w:uiPriority w:val="99"/>
    <w:semiHidden/>
    <w:rsid w:val="003015E3"/>
    <w:pPr>
      <w:spacing w:after="0" w:line="240" w:lineRule="auto"/>
    </w:pPr>
  </w:style>
  <w:style w:type="character" w:styleId="PlaceholderText">
    <w:name w:val="Placeholder Text"/>
    <w:basedOn w:val="DefaultParagraphFont"/>
    <w:uiPriority w:val="99"/>
    <w:semiHidden/>
    <w:rsid w:val="00F63C03"/>
    <w:rPr>
      <w:color w:val="666666"/>
    </w:rPr>
  </w:style>
  <w:style w:type="table" w:styleId="TableGrid">
    <w:name w:val="Table Grid"/>
    <w:basedOn w:val="TableNormal"/>
    <w:uiPriority w:val="39"/>
    <w:rsid w:val="00A2582A"/>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9E20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95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E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114283">
      <w:bodyDiv w:val="1"/>
      <w:marLeft w:val="0"/>
      <w:marRight w:val="0"/>
      <w:marTop w:val="0"/>
      <w:marBottom w:val="0"/>
      <w:divBdr>
        <w:top w:val="none" w:sz="0" w:space="0" w:color="auto"/>
        <w:left w:val="none" w:sz="0" w:space="0" w:color="auto"/>
        <w:bottom w:val="none" w:sz="0" w:space="0" w:color="auto"/>
        <w:right w:val="none" w:sz="0" w:space="0" w:color="auto"/>
      </w:divBdr>
      <w:divsChild>
        <w:div w:id="1609848855">
          <w:marLeft w:val="640"/>
          <w:marRight w:val="0"/>
          <w:marTop w:val="0"/>
          <w:marBottom w:val="0"/>
          <w:divBdr>
            <w:top w:val="none" w:sz="0" w:space="0" w:color="auto"/>
            <w:left w:val="none" w:sz="0" w:space="0" w:color="auto"/>
            <w:bottom w:val="none" w:sz="0" w:space="0" w:color="auto"/>
            <w:right w:val="none" w:sz="0" w:space="0" w:color="auto"/>
          </w:divBdr>
        </w:div>
        <w:div w:id="1518614825">
          <w:marLeft w:val="640"/>
          <w:marRight w:val="0"/>
          <w:marTop w:val="0"/>
          <w:marBottom w:val="0"/>
          <w:divBdr>
            <w:top w:val="none" w:sz="0" w:space="0" w:color="auto"/>
            <w:left w:val="none" w:sz="0" w:space="0" w:color="auto"/>
            <w:bottom w:val="none" w:sz="0" w:space="0" w:color="auto"/>
            <w:right w:val="none" w:sz="0" w:space="0" w:color="auto"/>
          </w:divBdr>
        </w:div>
        <w:div w:id="361828693">
          <w:marLeft w:val="640"/>
          <w:marRight w:val="0"/>
          <w:marTop w:val="0"/>
          <w:marBottom w:val="0"/>
          <w:divBdr>
            <w:top w:val="none" w:sz="0" w:space="0" w:color="auto"/>
            <w:left w:val="none" w:sz="0" w:space="0" w:color="auto"/>
            <w:bottom w:val="none" w:sz="0" w:space="0" w:color="auto"/>
            <w:right w:val="none" w:sz="0" w:space="0" w:color="auto"/>
          </w:divBdr>
        </w:div>
        <w:div w:id="507016419">
          <w:marLeft w:val="640"/>
          <w:marRight w:val="0"/>
          <w:marTop w:val="0"/>
          <w:marBottom w:val="0"/>
          <w:divBdr>
            <w:top w:val="none" w:sz="0" w:space="0" w:color="auto"/>
            <w:left w:val="none" w:sz="0" w:space="0" w:color="auto"/>
            <w:bottom w:val="none" w:sz="0" w:space="0" w:color="auto"/>
            <w:right w:val="none" w:sz="0" w:space="0" w:color="auto"/>
          </w:divBdr>
        </w:div>
        <w:div w:id="1057898320">
          <w:marLeft w:val="640"/>
          <w:marRight w:val="0"/>
          <w:marTop w:val="0"/>
          <w:marBottom w:val="0"/>
          <w:divBdr>
            <w:top w:val="none" w:sz="0" w:space="0" w:color="auto"/>
            <w:left w:val="none" w:sz="0" w:space="0" w:color="auto"/>
            <w:bottom w:val="none" w:sz="0" w:space="0" w:color="auto"/>
            <w:right w:val="none" w:sz="0" w:space="0" w:color="auto"/>
          </w:divBdr>
        </w:div>
        <w:div w:id="2123108409">
          <w:marLeft w:val="640"/>
          <w:marRight w:val="0"/>
          <w:marTop w:val="0"/>
          <w:marBottom w:val="0"/>
          <w:divBdr>
            <w:top w:val="none" w:sz="0" w:space="0" w:color="auto"/>
            <w:left w:val="none" w:sz="0" w:space="0" w:color="auto"/>
            <w:bottom w:val="none" w:sz="0" w:space="0" w:color="auto"/>
            <w:right w:val="none" w:sz="0" w:space="0" w:color="auto"/>
          </w:divBdr>
        </w:div>
        <w:div w:id="1252810678">
          <w:marLeft w:val="640"/>
          <w:marRight w:val="0"/>
          <w:marTop w:val="0"/>
          <w:marBottom w:val="0"/>
          <w:divBdr>
            <w:top w:val="none" w:sz="0" w:space="0" w:color="auto"/>
            <w:left w:val="none" w:sz="0" w:space="0" w:color="auto"/>
            <w:bottom w:val="none" w:sz="0" w:space="0" w:color="auto"/>
            <w:right w:val="none" w:sz="0" w:space="0" w:color="auto"/>
          </w:divBdr>
        </w:div>
        <w:div w:id="1183321338">
          <w:marLeft w:val="640"/>
          <w:marRight w:val="0"/>
          <w:marTop w:val="0"/>
          <w:marBottom w:val="0"/>
          <w:divBdr>
            <w:top w:val="none" w:sz="0" w:space="0" w:color="auto"/>
            <w:left w:val="none" w:sz="0" w:space="0" w:color="auto"/>
            <w:bottom w:val="none" w:sz="0" w:space="0" w:color="auto"/>
            <w:right w:val="none" w:sz="0" w:space="0" w:color="auto"/>
          </w:divBdr>
        </w:div>
        <w:div w:id="795489724">
          <w:marLeft w:val="640"/>
          <w:marRight w:val="0"/>
          <w:marTop w:val="0"/>
          <w:marBottom w:val="0"/>
          <w:divBdr>
            <w:top w:val="none" w:sz="0" w:space="0" w:color="auto"/>
            <w:left w:val="none" w:sz="0" w:space="0" w:color="auto"/>
            <w:bottom w:val="none" w:sz="0" w:space="0" w:color="auto"/>
            <w:right w:val="none" w:sz="0" w:space="0" w:color="auto"/>
          </w:divBdr>
        </w:div>
        <w:div w:id="14158595">
          <w:marLeft w:val="640"/>
          <w:marRight w:val="0"/>
          <w:marTop w:val="0"/>
          <w:marBottom w:val="0"/>
          <w:divBdr>
            <w:top w:val="none" w:sz="0" w:space="0" w:color="auto"/>
            <w:left w:val="none" w:sz="0" w:space="0" w:color="auto"/>
            <w:bottom w:val="none" w:sz="0" w:space="0" w:color="auto"/>
            <w:right w:val="none" w:sz="0" w:space="0" w:color="auto"/>
          </w:divBdr>
        </w:div>
        <w:div w:id="1255481641">
          <w:marLeft w:val="640"/>
          <w:marRight w:val="0"/>
          <w:marTop w:val="0"/>
          <w:marBottom w:val="0"/>
          <w:divBdr>
            <w:top w:val="none" w:sz="0" w:space="0" w:color="auto"/>
            <w:left w:val="none" w:sz="0" w:space="0" w:color="auto"/>
            <w:bottom w:val="none" w:sz="0" w:space="0" w:color="auto"/>
            <w:right w:val="none" w:sz="0" w:space="0" w:color="auto"/>
          </w:divBdr>
        </w:div>
        <w:div w:id="625045339">
          <w:marLeft w:val="640"/>
          <w:marRight w:val="0"/>
          <w:marTop w:val="0"/>
          <w:marBottom w:val="0"/>
          <w:divBdr>
            <w:top w:val="none" w:sz="0" w:space="0" w:color="auto"/>
            <w:left w:val="none" w:sz="0" w:space="0" w:color="auto"/>
            <w:bottom w:val="none" w:sz="0" w:space="0" w:color="auto"/>
            <w:right w:val="none" w:sz="0" w:space="0" w:color="auto"/>
          </w:divBdr>
        </w:div>
        <w:div w:id="1048381065">
          <w:marLeft w:val="640"/>
          <w:marRight w:val="0"/>
          <w:marTop w:val="0"/>
          <w:marBottom w:val="0"/>
          <w:divBdr>
            <w:top w:val="none" w:sz="0" w:space="0" w:color="auto"/>
            <w:left w:val="none" w:sz="0" w:space="0" w:color="auto"/>
            <w:bottom w:val="none" w:sz="0" w:space="0" w:color="auto"/>
            <w:right w:val="none" w:sz="0" w:space="0" w:color="auto"/>
          </w:divBdr>
        </w:div>
        <w:div w:id="202057224">
          <w:marLeft w:val="640"/>
          <w:marRight w:val="0"/>
          <w:marTop w:val="0"/>
          <w:marBottom w:val="0"/>
          <w:divBdr>
            <w:top w:val="none" w:sz="0" w:space="0" w:color="auto"/>
            <w:left w:val="none" w:sz="0" w:space="0" w:color="auto"/>
            <w:bottom w:val="none" w:sz="0" w:space="0" w:color="auto"/>
            <w:right w:val="none" w:sz="0" w:space="0" w:color="auto"/>
          </w:divBdr>
        </w:div>
        <w:div w:id="994800306">
          <w:marLeft w:val="640"/>
          <w:marRight w:val="0"/>
          <w:marTop w:val="0"/>
          <w:marBottom w:val="0"/>
          <w:divBdr>
            <w:top w:val="none" w:sz="0" w:space="0" w:color="auto"/>
            <w:left w:val="none" w:sz="0" w:space="0" w:color="auto"/>
            <w:bottom w:val="none" w:sz="0" w:space="0" w:color="auto"/>
            <w:right w:val="none" w:sz="0" w:space="0" w:color="auto"/>
          </w:divBdr>
        </w:div>
        <w:div w:id="1685354908">
          <w:marLeft w:val="640"/>
          <w:marRight w:val="0"/>
          <w:marTop w:val="0"/>
          <w:marBottom w:val="0"/>
          <w:divBdr>
            <w:top w:val="none" w:sz="0" w:space="0" w:color="auto"/>
            <w:left w:val="none" w:sz="0" w:space="0" w:color="auto"/>
            <w:bottom w:val="none" w:sz="0" w:space="0" w:color="auto"/>
            <w:right w:val="none" w:sz="0" w:space="0" w:color="auto"/>
          </w:divBdr>
        </w:div>
        <w:div w:id="1829857515">
          <w:marLeft w:val="640"/>
          <w:marRight w:val="0"/>
          <w:marTop w:val="0"/>
          <w:marBottom w:val="0"/>
          <w:divBdr>
            <w:top w:val="none" w:sz="0" w:space="0" w:color="auto"/>
            <w:left w:val="none" w:sz="0" w:space="0" w:color="auto"/>
            <w:bottom w:val="none" w:sz="0" w:space="0" w:color="auto"/>
            <w:right w:val="none" w:sz="0" w:space="0" w:color="auto"/>
          </w:divBdr>
        </w:div>
        <w:div w:id="433742936">
          <w:marLeft w:val="640"/>
          <w:marRight w:val="0"/>
          <w:marTop w:val="0"/>
          <w:marBottom w:val="0"/>
          <w:divBdr>
            <w:top w:val="none" w:sz="0" w:space="0" w:color="auto"/>
            <w:left w:val="none" w:sz="0" w:space="0" w:color="auto"/>
            <w:bottom w:val="none" w:sz="0" w:space="0" w:color="auto"/>
            <w:right w:val="none" w:sz="0" w:space="0" w:color="auto"/>
          </w:divBdr>
        </w:div>
        <w:div w:id="197023583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BE5F00-44E8-4887-AD77-5FCEC9B24E31}">
  <we:reference id="wa104382081" version="1.55.1.0" store="en-GB" storeType="OMEX"/>
  <we:alternateReferences>
    <we:reference id="wa104382081" version="1.55.1.0" store="" storeType="OMEX"/>
  </we:alternateReferences>
  <we:properties>
    <we:property name="MENDELEY_CITATIONS" value="[{&quot;citationID&quot;:&quot;MENDELEY_CITATION_a7435b4a-81a3-48b2-8dd4-6e546ea495ea&quot;,&quot;properties&quot;:{&quot;noteIndex&quot;:0},&quot;isEdited&quot;:false,&quot;manualOverride&quot;:{&quot;isManuallyOverridden&quot;:false,&quot;citeprocText&quot;:&quot;(Pulver et al., 2022)&quot;,&quot;manualOverrideText&quot;:&quot;&quot;},&quot;citationTag&quot;:&quot;MENDELEY_CITATION_v3_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&quot;,&quot;citationItems&quot;:[{&quot;id&quot;:&quot;1618acaf-0eba-3522-8673-23723be88bb5&quot;,&quot;itemData&quot;:{&quot;type&quot;:&quot;article-journal&quot;,&quot;id&quot;:&quot;1618acaf-0eba-3522-8673-23723be88bb5&quot;,&quot;title&quot;:&quot;The ADEBAR project: European and international provision of analytical data from structure elucidation and analytical characterization of NPS&quot;,&quot;author&quot;:[{&quot;family&quot;:&quot;Pulver&quot;,&quot;given&quot;:&quot;Benedikt&quot;,&quot;parse-names&quot;:false,&quot;dropping-particle&quot;:&quot;&quot;,&quot;non-dropping-particle&quot;:&quot;&quot;},{&quot;family&quot;:&quot;Fischmann&quot;,&quot;given&quot;:&quot;Svenja&quot;,&quot;parse-names&quot;:false,&quot;dropping-particle&quot;:&quot;&quot;,&quot;non-dropping-particle&quot;:&quot;&quot;},{&quot;family&quot;:&quot;Westphal&quot;,&quot;given&quot;:&quot;Folker&quot;,&quot;parse-names&quot;:false,&quot;dropping-particle&quot;:&quot;&quot;,&quot;non-dropping-particle&quot;:&quot;&quot;},{&quot;family&quot;:&quot;Schönberger&quot;,&quot;given&quot;:&quot;Torsten&quot;,&quot;parse-names&quot;:false,&quot;dropping-particle&quot;:&quot;&quot;,&quot;non-dropping-particle&quot;:&quot;&quot;},{&quot;family&quot;:&quot;Schäper&quot;,&quot;given&quot;:&quot;Jan&quot;,&quot;parse-names&quot;:false,&quot;dropping-particle&quot;:&quot;&quot;,&quot;non-dropping-particle&quot;:&quot;&quot;},{&quot;family&quot;:&quot;Budach&quot;,&quot;given&quot;:&quot;Dennis&quot;,&quot;parse-names&quot;:false,&quot;dropping-particle&quot;:&quot;&quot;,&quot;non-dropping-particle&quot;:&quot;&quot;},{&quot;family&quot;:&quot;Jacobsen-Bauer&quot;,&quot;given&quot;:&quot;Andrea&quot;,&quot;parse-names&quot;:false,&quot;dropping-particle&quot;:&quot;&quot;,&quot;non-dropping-particle&quot;:&quot;&quot;},{&quot;family&quot;:&quot;Dreiseitel&quot;,&quot;given&quot;:&quot;Wolfgang&quot;,&quot;parse-names&quot;:false,&quot;dropping-particle&quot;:&quot;&quot;,&quot;non-dropping-particle&quot;:&quot;&quot;},{&quot;family&quot;:&quot;Zagermann&quot;,&quot;given&quot;:&quot;Johannes&quot;,&quot;parse-names&quot;:false,&quot;dropping-particle&quot;:&quot;&quot;,&quot;non-dropping-particle&quot;:&quot;&quot;},{&quot;family&quot;:&quot;Damm&quot;,&quot;given&quot;:&quot;Angela&quot;,&quot;parse-names&quot;:false,&quot;dropping-particle&quot;:&quot;&quot;,&quot;non-dropping-particle&quot;:&quot;&quot;},{&quot;family&quot;:&quot;Knecht&quot;,&quot;given&quot;:&quot;Siegfried&quot;,&quot;parse-names&quot;:false,&quot;dropping-particle&quot;:&quot;&quot;,&quot;non-dropping-particle&quot;:&quot;&quot;},{&quot;family&quot;:&quot;Opatz&quot;,&quot;given&quot;:&quot;Till&quot;,&quot;parse-names&quot;:false,&quot;dropping-particle&quot;:&quot;&quot;,&quot;non-dropping-particle&quot;:&quot;&quot;},{&quot;family&quot;:&quot;Auwärter&quot;,&quot;given&quot;:&quot;Volker&quot;,&quot;parse-names&quot;:false,&quot;dropping-particle&quot;:&quot;&quot;,&quot;non-dropping-particle&quot;:&quot;&quot;},{&quot;family&quot;:&quot;Pütz&quot;,&quot;given&quot;:&quot;Michael&quot;,&quot;parse-names&quot;:false,&quot;dropping-particle&quot;:&quot;&quot;,&quot;non-dropping-particle&quot;:&quot;&quot;}],&quot;container-title&quot;:&quot;Drug Testing and Analysis&quot;,&quot;container-title-short&quot;:&quot;Drug Test  Anal&quot;,&quot;accessed&quot;:{&quot;date-parts&quot;:[[2024,5,24]]},&quot;DOI&quot;:&quot;10.1002/DTA.3280&quot;,&quot;ISSN&quot;:&quot;1942-7611&quot;,&quot;PMID&quot;:&quot;35524160&quot;,&quot;URL&quot;:&quot;https://onlinelibrary.wiley.com/doi/full/10.1002/dta.3280&quot;,&quot;issued&quot;:{&quot;date-parts&quot;:[[2022,8,1]]},&quot;page&quot;:&quot;1491-1502&quot;,&quot;abstract&quot;:&quot;Novel substances for which none or limited analytical data are available constitute a challenge for police and customs forensic laboratories. The time-consuming process of structural elucidation and acquisition of analytical data has been centralized in the ADEBAR project in Germany, co-funded since 2017 by the EU's Internal Security Fund. The project aims to comprehensively characterize substances relevant for forensic-toxicological casework within the analytical competence network. The analytical datasets are distributed digitally through European and (inter)national channels. Additionally, pharmacological evaluation allows for estimating in vivo potency and potential harm required as scientific evidence for legislative amendments. The ADEBAR project contributes to the availability of analytical data on new substances relevant to the daily work of police and customs laboratories. Since the inception of the ADEBAR project, 549 samples have been registered, and 302 substance reports notified to the EMCDDA, including numerous spectrometric and spectroscopic data. In addition, 3,619 mass spectra have been accumulated in ADEBAR mass spectra databases. A central institution for the structure elucidation and acquisition of valid, high-quality analytical data for police and customs forensic laboratories and forensic medicine institutes is important in the future because there does not seem to be an end to the dynamic of novel NPS appearing on the drug market.&quot;,&quot;publisher&quot;:&quot;John Wiley &amp; Sons, Ltd&quot;,&quot;issue&quot;:&quot;8&quot;,&quot;volume&quot;:&quot;14&quot;},&quot;isTemporary&quot;:false}]},{&quot;citationID&quot;:&quot;MENDELEY_CITATION_3900c31f-3412-4827-8bda-7d9aff56421a&quot;,&quot;properties&quot;:{&quot;noteIndex&quot;:0},&quot;isEdited&quot;:false,&quot;manualOverride&quot;:{&quot;isManuallyOverridden&quot;:false,&quot;citeprocText&quot;:&quot;(Di Trana et al., 2021)&quot;,&quot;manualOverrideText&quot;:&quot;&quot;},&quot;citationTag&quot;:&quot;MENDELEY_CITATION_v3_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&quot;,&quot;citationItems&quot;:[{&quot;id&quot;:&quot;929a728e-65a6-34e2-9f2b-a4c76e8acba8&quot;,&quot;itemData&quot;:{&quot;type&quot;:&quot;article-journal&quot;,&quot;id&quot;:&quot;929a728e-65a6-34e2-9f2b-a4c76e8acba8&quot;,&quot;title&quot;:&quot;In silico prediction, LC-HRMS/MS analysis, and targeted/untargeted data-mining workflow for the profiling of phenylfentanyl in vitro metabolites&quot;,&quot;author&quot;:[{&quot;family&quot;:&quot;Trana&quot;,&quot;given&quot;:&quot;Annagiulia&quot;,&quot;parse-names&quot;:false,&quot;dropping-particle&quot;:&quot;&quot;,&quot;non-dropping-particle&quot;:&quot;Di&quot;},{&quot;family&quot;:&quot;Brunetti&quot;,&quot;given&quot;:&quot;Pietro&quot;,&quot;parse-names&quot;:false,&quot;dropping-particle&quot;:&quot;&quot;,&quot;non-dropping-particle&quot;:&quot;&quot;},{&quot;family&quot;:&quot;Giorgetti&quot;,&quot;given&quot;:&quot;Raffaele&quot;,&quot;parse-names&quot;:false,&quot;dropping-particle&quot;:&quot;&quot;,&quot;non-dropping-particle&quot;:&quot;&quot;},{&quot;family&quot;:&quot;Marinelli&quot;,&quot;given&quot;:&quot;Enrico&quot;,&quot;parse-names&quot;:false,&quot;dropping-particle&quot;:&quot;&quot;,&quot;non-dropping-particle&quot;:&quot;&quot;},{&quot;family&quot;:&quot;Zaami&quot;,&quot;given&quot;:&quot;Simona&quot;,&quot;parse-names&quot;:false,&quot;dropping-particle&quot;:&quot;&quot;,&quot;non-dropping-particle&quot;:&quot;&quot;},{&quot;family&quot;:&quot;Busardò&quot;,&quot;given&quot;:&quot;Francesco Paolo&quot;,&quot;parse-names&quot;:false,&quot;dropping-particle&quot;:&quot;&quot;,&quot;non-dropping-particle&quot;:&quot;&quot;},{&quot;family&quot;:&quot;Carlier&quot;,&quot;given&quot;:&quot;Jeremy&quot;,&quot;parse-names&quot;:false,&quot;dropping-particle&quot;:&quot;&quot;,&quot;non-dropping-particle&quot;:&quot;&quot;}],&quot;container-title&quot;:&quot;Talanta&quot;,&quot;container-title-short&quot;:&quot;Talanta&quot;,&quot;accessed&quot;:{&quot;date-parts&quot;:[[2024,5,6]]},&quot;DOI&quot;:&quot;10.1016/j.talanta.2021.122740&quot;,&quot;URL&quot;:&quot;https://doi.org/10.1016/j.talanta.2021.122740&quot;,&quot;issued&quot;:{&quot;date-parts&quot;:[[2021]]},&quot;page&quot;:&quot;122740&quot;,&quot;abstract&quot;:&quot;A R T I C L E I N F O Keywords: Phenylfentanyl In silico prediction Hepatocyte metabolism Liquid chromatography-High-resolution tandem mass spectrometry Data-dependent analysis Software-assisted data mining A B S T R A C T Illicit fentanyl and analogues have been involved in many fatalities and cases of intoxication across the United States over the last decade, and are becoming a health concern in Europe. New potent analogues emerge onto the drug market every year to circumvent analytical detection and legislation, and little pharmacological/toxico-logical data are available when the substances first appear. However, pharmacokinetic data are crucial to determine specific biomarkers of consumption in clinical and forensic settings, considering the low active doses and the rapid metabolism of fentanyl analogues. Phenylfentanyl is a novel analogue that was first detected in seized material in 2017, and little is currently known about this substance and its metabolism. We studied phenylfentanyl metabolic fate using in silico predictions with GLORYx freeware, human hepatocyte incubations, and liquid chromatography-high-resolution tandem mass spectrometry (LC-HRMS/MS). We applied a specific targeted/untargeted workflow using data-mining software to allow the rapid and partially automated screening of LC-HRMS/MS raw data. Approximately 90,000 substances were initially individuated after 3-h incubation with hepatocytes, and 115 substances were automatically selected for a manual check by the operators. Finally, 13 metabolites, mostly produced by N-dealkylation, amide hydrolysis, oxidation, and combinations thereof, were identified. We suggest phenylnorfentanyl as the main biological marker of phenylfentanyl use, and we proposed the inclusion of its fragmentation pattern in mzCloud and HighResNPS online libraries. Other major metabolites include N-Phenyl-1-(2-phenylethyl)-4-piperidinamine (4-ANPP), 1-(2-phenylethyl)-4-piperidinol, and other non-specific metabolites. Phase II transformations were infrequent, and the hydrolysis of the biological samples is not required to increase the detection capability of non-conjugated metabolites. The overall workflow is easily adaptable for the metabolite profiling of other novel psychoactive substances.&quot;,&quot;volume&quot;:&quot;235&quot;},&quot;isTemporary&quot;:false}]},{&quot;citationID&quot;:&quot;MENDELEY_CITATION_f8235b79-37b7-4479-a204-ff06319676de&quot;,&quot;properties&quot;:{&quot;noteIndex&quot;:0},&quot;isEdited&quot;:false,&quot;manualOverride&quot;:{&quot;isManuallyOverridden&quot;:false,&quot;citeprocText&quot;:&quot;(Kim et al., 2020)&quot;,&quot;manualOverrideText&quot;:&quot;&quot;},&quot;citationTag&quot;:&quot;MENDELEY_CITATION_v3_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&quot;,&quot;citationItems&quot;:[{&quot;id&quot;:&quot;c193e245-237c-3c00-a18d-145499114f8c&quot;,&quot;itemData&quot;:{&quot;type&quot;:&quot;article-journal&quot;,&quot;id&quot;:&quot;c193e245-237c-3c00-a18d-145499114f8c&quot;,&quot;title&quot;:&quot;Shared structural mechanisms of general anaesthetics and benzodiazepines&quot;,&quot;author&quot;:[{&quot;family&quot;:&quot;Kim&quot;,&quot;given&quot;:&quot;Jeong Joo&quot;,&quot;parse-names&quot;:false,&quot;dropping-particle&quot;:&quot;&quot;,&quot;non-dropping-particle&quot;:&quot;&quot;},{&quot;family&quot;:&quot;Gharpure&quot;,&quot;given&quot;:&quot;Anant&quot;,&quot;parse-names&quot;:false,&quot;dropping-particle&quot;:&quot;&quot;,&quot;non-dropping-particle&quot;:&quot;&quot;},{&quot;family&quot;:&quot;Teng&quot;,&quot;given&quot;:&quot;Jinfeng&quot;,&quot;parse-names&quot;:false,&quot;dropping-particle&quot;:&quot;&quot;,&quot;non-dropping-particle&quot;:&quot;&quot;},{&quot;family&quot;:&quot;Zhuang&quot;,&quot;given&quot;:&quot;Yuxuan&quot;,&quot;parse-names&quot;:false,&quot;dropping-particle&quot;:&quot;&quot;,&quot;non-dropping-particle&quot;:&quot;&quot;},{&quot;family&quot;:&quot;Howard&quot;,&quot;given&quot;:&quot;Rebecca J.&quot;,&quot;parse-names&quot;:false,&quot;dropping-particle&quot;:&quot;&quot;,&quot;non-dropping-particle&quot;:&quot;&quot;},{&quot;family&quot;:&quot;Zhu&quot;,&quot;given&quot;:&quot;Shaotong&quot;,&quot;parse-names&quot;:false,&quot;dropping-particle&quot;:&quot;&quot;,&quot;non-dropping-particle&quot;:&quot;&quot;},{&quot;family&quot;:&quot;Noviello&quot;,&quot;given&quot;:&quot;Colleen M.&quot;,&quot;parse-names&quot;:false,&quot;dropping-particle&quot;:&quot;&quot;,&quot;non-dropping-particle&quot;:&quot;&quot;},{&quot;family&quot;:&quot;Walsh&quot;,&quot;given&quot;:&quot;Richard M.&quot;,&quot;parse-names&quot;:false,&quot;dropping-particle&quot;:&quot;&quot;,&quot;non-dropping-particle&quot;:&quot;&quot;},{&quot;family&quot;:&quot;Lindahl&quot;,&quot;given&quot;:&quot;Erik&quot;,&quot;parse-names&quot;:false,&quot;dropping-particle&quot;:&quot;&quot;,&quot;non-dropping-particle&quot;:&quot;&quot;},{&quot;family&quot;:&quot;Hibbs&quot;,&quot;given&quot;:&quot;Ryan E.&quot;,&quot;parse-names&quot;:false,&quot;dropping-particle&quot;:&quot;&quot;,&quot;non-dropping-particle&quot;:&quot;&quot;}],&quot;container-title&quot;:&quot;Nature&quot;,&quot;container-title-short&quot;:&quot;Nature&quot;,&quot;accessed&quot;:{&quot;date-parts&quot;:[[2025,1,11]]},&quot;DOI&quot;:&quot;10.1038/S41586-020-2654-5&quot;,&quot;ISSN&quot;:&quot;1476-4687&quot;,&quot;PMID&quot;:&quot;32879488&quot;,&quot;URL&quot;:&quot;https://pubmed.ncbi.nlm.nih.gov/32879488/&quot;,&quot;issued&quot;:{&quot;date-parts&quot;:[[2020,9,10]]},&quot;page&quot;:&quot;303-308&quot;,&quot;abstract&quot;:&quot;Most general anaesthetics and classical benzodiazepine drugs act through positive modulation of γ-aminobutyric acid type A (GABAA) receptors to dampen neuronal activity in the brain1–5. However, direct structural information on the mechanisms of general anaesthetics at their physiological receptor sites is lacking. Here we present cryo-electron microscopy structures of GABAA receptors bound to intravenous anaesthetics, benzodiazepines and inhibitory modulators. These structures were solved in a lipidic environment and are complemented by electrophysiology and molecular dynamics simulations. Structures of GABAA receptors in complex with the anaesthetics phenobarbital, etomidate and propofol reveal both distinct and common transmembrane binding sites, which are shared in part by the benzodiazepine drug diazepam. Structures in which GABAA receptors are bound by benzodiazepine-site ligands identify an additional membrane binding site for diazepam and suggest an allosteric mechanism for anaesthetic reversal by flumazenil. This study provides a foundation for understanding how pharmacologically diverse and clinically essential drugs act through overlapping and distinct mechanisms to potentiate inhibitory signalling in the brain.&quot;,&quot;publisher&quot;:&quot;Nature&quot;,&quot;issue&quot;:&quot;7824&quot;,&quot;volume&quot;:&quot;585&quot;},&quot;isTemporary&quot;:false}]},{&quot;citationID&quot;:&quot;MENDELEY_CITATION_a318a66a-cfd7-4097-901e-b152deb16718&quot;,&quot;properties&quot;:{&quot;noteIndex&quot;:0},&quot;isEdited&quot;:false,&quot;manualOverride&quot;:{&quot;isManuallyOverridden&quot;:false,&quot;citeprocText&quot;:&quot;(Morris et al., 2009)&quot;,&quot;manualOverrideText&quot;:&quot;&quot;},&quot;citationTag&quot;:&quot;MENDELEY_CITATION_v3_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&quot;,&quot;citationItems&quot;:[{&quot;id&quot;:&quot;2564578c-cc32-36e4-b1a0-df46a3597c15&quot;,&quot;itemData&quot;:{&quot;type&quot;:&quot;article-journal&quot;,&quot;id&quot;:&quot;2564578c-cc32-36e4-b1a0-df46a3597c15&quot;,&quot;title&quot;:&quot;AutoDock4 and AutoDockTools4: Automated docking with selective receptor flexibility&quot;,&quot;author&quot;:[{&quot;family&quot;:&quot;Morris&quot;,&quot;given&quot;:&quot;Garrett M.&quot;,&quot;parse-names&quot;:false,&quot;dropping-particle&quot;:&quot;&quot;,&quot;non-dropping-particle&quot;:&quot;&quot;},{&quot;family&quot;:&quot;Ruth&quot;,&quot;given&quot;:&quot;Huey&quot;,&quot;parse-names&quot;:false,&quot;dropping-particle&quot;:&quot;&quot;,&quot;non-dropping-particle&quot;:&quot;&quot;},{&quot;family&quot;:&quot;Lindstrom&quot;,&quot;given&quot;:&quot;William&quot;,&quot;parse-names&quot;:false,&quot;dropping-particle&quot;:&quot;&quot;,&quot;non-dropping-particle&quot;:&quot;&quot;},{&quot;family&quot;:&quot;Sanner&quot;,&quot;given&quot;:&quot;Michel F.&quot;,&quot;parse-names&quot;:false,&quot;dropping-particle&quot;:&quot;&quot;,&quot;non-dropping-particle&quot;:&quot;&quot;},{&quot;family&quot;:&quot;Belew&quot;,&quot;given&quot;:&quot;Richard K.&quot;,&quot;parse-names&quot;:false,&quot;dropping-particle&quot;:&quot;&quot;,&quot;non-dropping-particle&quot;:&quot;&quot;},{&quot;family&quot;:&quot;Goodsell&quot;,&quot;given&quot;:&quot;David S.&quot;,&quot;parse-names&quot;:false,&quot;dropping-particle&quot;:&quot;&quot;,&quot;non-dropping-particle&quot;:&quot;&quot;},{&quot;family&quot;:&quot;Olson&quot;,&quot;given&quot;:&quot;Arthur J.&quot;,&quot;parse-names&quot;:false,&quot;dropping-particle&quot;:&quot;&quot;,&quot;non-dropping-particle&quot;:&quot;&quot;}],&quot;container-title&quot;:&quot;Journal of computational chemistry&quot;,&quot;container-title-short&quot;:&quot;J Comput Chem&quot;,&quot;accessed&quot;:{&quot;date-parts&quot;:[[2025,1,11]]},&quot;DOI&quot;:&quot;10.1002/JCC.21256&quot;,&quot;ISSN&quot;:&quot;1096-987X&quot;,&quot;PMID&quot;:&quot;19399780&quot;,&quot;URL&quot;:&quot;https://pubmed.ncbi.nlm.nih.gov/19399780/&quot;,&quot;issued&quot;:{&quot;date-parts&quot;:[[2009,12]]},&quot;page&quot;:&quot;2785-2791&quot;,&quot;abstract&quot;:&quot;We describe the testing and release of AutoDock4 and the accompanying graphical user interface Auto- DockTools. AutoDock4 incorporates limited flexibility in the receptor. Several tests are reported here, including a redocking experiment with 188 diverse ligand- protein complexes and a cross-docking experiment using flexible side- chains in 87 HIV protease complexes. We also report its utility in analysis of covalently bound ligands, using both a grid-based docking method and a modification of the flexible sidechain technique. © 2009 Wiley Periodicals, Inc.&quot;,&quot;publisher&quot;:&quot;J Comput Chem&quot;,&quot;issue&quot;:&quot;16&quot;,&quot;volume&quot;:&quot;30&quot;},&quot;isTemporary&quot;:false}]},{&quot;citationID&quot;:&quot;MENDELEY_CITATION_bc9804b2-0c46-4f21-9b2c-4aafbee6aa58&quot;,&quot;properties&quot;:{&quot;noteIndex&quot;:0},&quot;isEdited&quot;:false,&quot;manualOverride&quot;:{&quot;isManuallyOverridden&quot;:false,&quot;citeprocText&quot;:&quot;(Sanner et al., 1999)&quot;,&quot;manualOverrideText&quot;:&quot;&quot;},&quot;citationTag&quot;:&quot;MENDELEY_CITATION_v3_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&quot;,&quot;citationItems&quot;:[{&quot;id&quot;:&quot;58d2b9dc-dee6-3fc9-933b-074dc05981a0&quot;,&quot;itemData&quot;:{&quot;type&quot;:&quot;article-journal&quot;,&quot;id&quot;:&quot;58d2b9dc-dee6-3fc9-933b-074dc05981a0&quot;,&quot;title&quot;:&quot;Integrating computation and visualization for biomolecular analysis: an example using python and AVS&quot;,&quot;author&quot;:[{&quot;family&quot;:&quot;Sanner&quot;,&quot;given&quot;:&quot;M. F.&quot;,&quot;parse-names&quot;:false,&quot;dropping-particle&quot;:&quot;&quot;,&quot;non-dropping-particle&quot;:&quot;&quot;},{&quot;family&quot;:&quot;Duncan&quot;,&quot;given&quot;:&quot;B. S.&quot;,&quot;parse-names&quot;:false,&quot;dropping-particle&quot;:&quot;&quot;,&quot;non-dropping-particle&quot;:&quot;&quot;},{&quot;family&quot;:&quot;Carrillo&quot;,&quot;given&quot;:&quot;C. J.&quot;,&quot;parse-names&quot;:false,&quot;dropping-particle&quot;:&quot;&quot;,&quot;non-dropping-particle&quot;:&quot;&quot;},{&quot;family&quot;:&quot;Olson&quot;,&quot;given&quot;:&quot;A. J.&quot;,&quot;parse-names&quot;:false,&quot;dropping-particle&quot;:&quot;&quot;,&quot;non-dropping-particle&quot;:&quot;&quot;}],&quot;container-title&quot;:&quot;Pacific Symposium on Biocomputing. Pacific Symposium on Biocomputing&quot;,&quot;container-title-short&quot;:&quot;Pac Symp Biocomput&quot;,&quot;accessed&quot;:{&quot;date-parts&quot;:[[2025,1,11]]},&quot;DOI&quot;:&quot;10.1142/9789814447300_0039&quot;,&quot;ISSN&quot;:&quot;2335-6928&quot;,&quot;PMID&quot;:&quot;10380214&quot;,&quot;URL&quot;:&quot;https://pubmed.ncbi.nlm.nih.gov/10380214/&quot;,&quot;issued&quot;:{&quot;date-parts&quot;:[[1999]]},&quot;page&quot;:&quot;401-412&quot;,&quot;abstract&quot;:&quot;One of the challenges in biocomputing is to enable the efficient use of a wide variety of fast-evolving computational methods to simulate, analyze, and understand the complex properties and interactions of molecular systems. Our laboratory investigates several areas including molecular visualization, protein-ligand docking, protein-protein docking, molecular surfaces, and the derivation of phenomenological potentials. In this paper we present an approach based on the Python programming language to achieve a high level of integration between these different computational methods and our primary visualization system AVS. This approach removes many limitations of AVS while increasing dramatically the inter-operability of our computational tools. Several examples are shown to illustrate how this approach enables a high level of integration and inter-operability between different tools, while retaining modularity and avoiding the creation of a large monolithic package that is difficult to extend and maintain.&quot;,&quot;publisher&quot;:&quot;Pac Symp Biocomput&quot;},&quot;isTemporary&quot;:false}]},{&quot;citationID&quot;:&quot;MENDELEY_CITATION_5c693873-32f1-4c08-9be3-35b8ca3486d7&quot;,&quot;properties&quot;:{&quot;noteIndex&quot;:0},&quot;isEdited&quot;:false,&quot;manualOverride&quot;:{&quot;isManuallyOverridden&quot;:false,&quot;citeprocText&quot;:&quot;(Jakalian et al., 2002)&quot;,&quot;manualOverrideText&quot;:&quot;&quot;},&quot;citationTag&quot;:&quot;MENDELEY_CITATION_v3_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&quot;,&quot;citationItems&quot;:[{&quot;id&quot;:&quot;d7338288-32b1-3871-abea-ce500a1fa837&quot;,&quot;itemData&quot;:{&quot;type&quot;:&quot;article-journal&quot;,&quot;id&quot;:&quot;d7338288-32b1-3871-abea-ce500a1fa837&quot;,&quot;title&quot;:&quot;Fast, efficient generation of high-quality atomic charges. AM1-BCC model: II. Parameterization and validation&quot;,&quot;author&quot;:[{&quot;family&quot;:&quot;Jakalian&quot;,&quot;given&quot;:&quot;Araz&quot;,&quot;parse-names&quot;:false,&quot;dropping-particle&quot;:&quot;&quot;,&quot;non-dropping-particle&quot;:&quot;&quot;},{&quot;family&quot;:&quot;Jack&quot;,&quot;given&quot;:&quot;David B.&quot;,&quot;parse-names&quot;:false,&quot;dropping-particle&quot;:&quot;&quot;,&quot;non-dropping-particle&quot;:&quot;&quot;},{&quot;family&quot;:&quot;Bayly&quot;,&quot;given&quot;:&quot;Christopher I.&quot;,&quot;parse-names&quot;:false,&quot;dropping-particle&quot;:&quot;&quot;,&quot;non-dropping-particle&quot;:&quot;&quot;}],&quot;container-title&quot;:&quot;Journal of computational chemistry&quot;,&quot;container-title-short&quot;:&quot;J Comput Chem&quot;,&quot;accessed&quot;:{&quot;date-parts&quot;:[[2025,1,11]]},&quot;DOI&quot;:&quot;10.1002/JCC.10128&quot;,&quot;ISSN&quot;:&quot;0192-8651&quot;,&quot;PMID&quot;:&quot;12395429&quot;,&quot;URL&quot;:&quot;https://pubmed.ncbi.nlm.nih.gov/12395429/&quot;,&quot;issued&quot;:{&quot;date-parts&quot;:[[2002,12]]},&quot;page&quot;:&quot;1623-1641&quot;,&quot;abstract&quot;:&quot;We present the first global parameterization and validation of a novel charge model, called AM1-BCC, which quickly and efficiently generates high-quality atomic charges for computer simulations of organic molecules in polar media. The goal of the charge model is to produce atomic charges that emulate the HF/6-31G* electrostatic potential (ESP) of a molecule. Underlying electronic structure features, including formal charge and electron delocalization, are first captured by AM1 population charges; simple additive bond charge corrections (BCCs) are then applied to these AM1 atomic charges to produce the AM1-BCC charges. The parameterization of BCCs was carried out by fitting to the HF/6-31G* ESP of a training set of &gt;2700 molecules. Most organic functional groups and their combinations were sampled, as well as an extensive variety of cyclic and fused bicyclic heteroaryl systems. The resulting BCC parameters allow the AM1-BCC charging scheme to handle virtually all types of organic compounds listed in The Merck Index and the NCI Database. Validation of the model was done through comparisons of hydrogen-bonded dimer energies and relative free energies of solvation using AM1-BCC charges in conjunction with the 1994 Cornell et al. forcefield for AMBER.13 Homo- and hetero-dimer hydrogen-bond energies of a diverse set of organic molecules were reproduced to within 0.95 kcal/mol RMS deviation from the ab initio values, and for DNA dimers the energies were within 0.9 kcal/mol RMS deviation from ab initio values. The calculated relative free energies of solvation for a diverse set of monofunctional isosteres were reproduced to within 0.69 kcal/mol of experiment. In all these validation tests, AMBER with the AM1-BCC charge model maintained a correlation coefficient above 0.96. Thus, the parameters presented here for use with the AM1-BCC method present a fast, accurate, and robust alternative to HF/6-31G* ESP-fit charges for general use with the AMBER force field in computer simulations involving organic small molecules. © 2002 Wiley Periodicals, Inc. J. Comput. Chem. 23.&quot;,&quot;publisher&quot;:&quot;J Comput Chem&quot;,&quot;issue&quot;:&quot;16&quot;,&quot;volume&quot;:&quot;23&quot;},&quot;isTemporary&quot;:false}]},{&quot;citationID&quot;:&quot;MENDELEY_CITATION_dd12a48e-2daf-4bea-ba38-1e19dc150d81&quot;,&quot;properties&quot;:{&quot;noteIndex&quot;:0},&quot;isEdited&quot;:false,&quot;manualOverride&quot;:{&quot;isManuallyOverridden&quot;:false,&quot;citeprocText&quot;:&quot;(Liu et al., 2023)&quot;,&quot;manualOverrideText&quot;:&quot;&quot;},&quot;citationTag&quot;:&quot;MENDELEY_CITATION_v3_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&quot;,&quot;citationItems&quot;:[{&quot;id&quot;:&quot;3c97d702-47c1-30f9-bdab-18c98b56ac4c&quot;,&quot;itemData&quot;:{&quot;type&quot;:&quot;article-journal&quot;,&quot;id&quot;:&quot;3c97d702-47c1-30f9-bdab-18c98b56ac4c&quot;,&quot;title&quot;:&quot;New TSPO Crystal Structures of Mutant and Heme-Bound Forms with Altered Flexibility, Ligand Binding, and Porphyrin Degradation Activity&quot;,&quot;author&quot;:[{&quot;family&quot;:&quot;Liu&quot;,&quot;given&quot;:&quot;Jian&quot;,&quot;parse-names&quot;:false,&quot;dropping-particle&quot;:&quot;&quot;,&quot;non-dropping-particle&quot;:&quot;&quot;},{&quot;family&quot;:&quot;Hiser&quot;,&quot;given&quot;:&quot;Carrie&quot;,&quot;parse-names&quot;:false,&quot;dropping-particle&quot;:&quot;&quot;,&quot;non-dropping-particle&quot;:&quot;&quot;},{&quot;family&quot;:&quot;Li&quot;,&quot;given&quot;:&quot;Fei&quot;,&quot;parse-names&quot;:false,&quot;dropping-particle&quot;:&quot;&quot;,&quot;non-dropping-particle&quot;:&quot;&quot;},{&quot;family&quot;:&quot;Hall&quot;,&quot;given&quot;:&quot;Robert&quot;,&quot;parse-names&quot;:false,&quot;dropping-particle&quot;:&quot;&quot;,&quot;non-dropping-particle&quot;:&quot;&quot;},{&quot;family&quot;:&quot;Garavito&quot;,&quot;given&quot;:&quot;R. Michael&quot;,&quot;parse-names&quot;:false,&quot;dropping-particle&quot;:&quot;&quot;,&quot;non-dropping-particle&quot;:&quot;&quot;},{&quot;family&quot;:&quot;Ferguson-Miller&quot;,&quot;given&quot;:&quot;Shelagh&quot;,&quot;parse-names&quot;:false,&quot;dropping-particle&quot;:&quot;&quot;,&quot;non-dropping-particle&quot;:&quot;&quot;}],&quot;container-title&quot;:&quot;Biochemistry&quot;,&quot;container-title-short&quot;:&quot;Biochemistry&quot;,&quot;accessed&quot;:{&quot;date-parts&quot;:[[2025,1,11]]},&quot;DOI&quot;:&quot;10.1021/ACS.BIOCHEM.2C00612/SUPPL_FILE/BI2C00612_SI_001.PDF&quot;,&quot;ISSN&quot;:&quot;15204995&quot;,&quot;PMID&quot;:&quot;36947867&quot;,&quot;URL&quot;:&quot;https://pmc.ncbi.nlm.nih.gov/articles/PMC10077581/&quot;,&quot;issued&quot;:{&quot;date-parts&quot;:[[2023,4,4]]},&quot;page&quot;:&quot;1262-1273&quot;,&quot;abstract&quot;:&quot;The ancient protein TSPO (translocator protein 18kD) is found in all kingdoms and was originally identified as a binding site of benzodiazepine drugs. Its physiological function remains unclear, although porphyrins are conserved ligands. Several crystal structures of bacterial TSPO and nuclear magnetic resonance structures of a mouse form have revealed monomer and dimer configurations, but there have been no reports of structures with a physiological ligand. Here, we present the first X-ray structures of Rhodobacter sphaeroides TSPO with a physiological ligand bound. Two different variants (substituting threonine for alanine at position 139 (A139T) and phenylalanine for alanine at position 138 (A138F)) yielded well-diffracting crystals giving structures of both apo- and heme-containing forms. Both variants have wild-type micromolar affinity for heme and protoporphyrin IX, but A139T has very low ability to accelerate the breakdown of porphyrin in the presence of light and oxygen. The binding of heme to one protomer of the dimer of either mutant induces a more rigid structure, both in the heme-binding protomer and the protomer without heme bound, demonstrating an allosteric response. Ensemble refinement of the X-ray data reveals distinct regions of altered flexibility in response to single heme binding to the dimer. The A139T variant shows a more rigid structure overall, which may relate to extra hydrogen bonding of waters captured in the heme crevice. As TSPO has been suggested to have a role in heme delivery from mitochondria to the cytoplasm, the new structures provide potential clues regarding the structural basis of such activity.&quot;,&quot;publisher&quot;:&quot;American Chemical Society&quot;,&quot;issue&quot;:&quot;7&quot;,&quot;volume&quot;:&quot;62&quot;},&quot;isTemporary&quot;:false}]},{&quot;citationID&quot;:&quot;MENDELEY_CITATION_6e9a5b52-4c87-429f-9cbc-bf4540f432ce&quot;,&quot;properties&quot;:{&quot;noteIndex&quot;:0},&quot;isEdited&quot;:false,&quot;manualOverride&quot;:{&quot;isManuallyOverridden&quot;:false,&quot;citeprocText&quot;:&quot;(Lindorff-Larsen et al., 2010)&quot;,&quot;manualOverrideText&quot;:&quot;&quot;},&quot;citationTag&quot;:&quot;MENDELEY_CITATION_v3_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&quot;,&quot;citationItems&quot;:[{&quot;id&quot;:&quot;59c3f8e9-f6d5-384a-915e-aa517f1ac7ea&quot;,&quot;itemData&quot;:{&quot;type&quot;:&quot;article-journal&quot;,&quot;id&quot;:&quot;59c3f8e9-f6d5-384a-915e-aa517f1ac7ea&quot;,&quot;title&quot;:&quot;Improved side-chain torsion potentials for the Amber ff99SB protein force field&quot;,&quot;author&quot;:[{&quot;family&quot;:&quot;Lindorff-Larsen&quot;,&quot;given&quot;:&quot;Kresten&quot;,&quot;parse-names&quot;:false,&quot;dropping-particle&quot;:&quot;&quot;,&quot;non-dropping-particle&quot;:&quot;&quot;},{&quot;family&quot;:&quot;Piana&quot;,&quot;given&quot;:&quot;Stefano&quot;,&quot;parse-names&quot;:false,&quot;dropping-particle&quot;:&quot;&quot;,&quot;non-dropping-particle&quot;:&quot;&quot;},{&quot;family&quot;:&quot;Palmo&quot;,&quot;given&quot;:&quot;Kim&quot;,&quot;parse-names&quot;:false,&quot;dropping-particle&quot;:&quot;&quot;,&quot;non-dropping-particle&quot;:&quot;&quot;},{&quot;family&quot;:&quot;Maragakis&quot;,&quot;given&quot;:&quot;Paul&quot;,&quot;parse-names&quot;:false,&quot;dropping-particle&quot;:&quot;&quot;,&quot;non-dropping-particle&quot;:&quot;&quot;},{&quot;family&quot;:&quot;Klepeis&quot;,&quot;given&quot;:&quot;John L.&quot;,&quot;parse-names&quot;:false,&quot;dropping-particle&quot;:&quot;&quot;,&quot;non-dropping-particle&quot;:&quot;&quot;},{&quot;family&quot;:&quot;Dror&quot;,&quot;given&quot;:&quot;Ron O.&quot;,&quot;parse-names&quot;:false,&quot;dropping-particle&quot;:&quot;&quot;,&quot;non-dropping-particle&quot;:&quot;&quot;},{&quot;family&quot;:&quot;Shaw&quot;,&quot;given&quot;:&quot;David E.&quot;,&quot;parse-names&quot;:false,&quot;dropping-particle&quot;:&quot;&quot;,&quot;non-dropping-particle&quot;:&quot;&quot;}],&quot;container-title&quot;:&quot;Proteins&quot;,&quot;container-title-short&quot;:&quot;Proteins&quot;,&quot;accessed&quot;:{&quot;date-parts&quot;:[[2025,1,11]]},&quot;DOI&quot;:&quot;10.1002/PROT.22711&quot;,&quot;ISSN&quot;:&quot;1097-0134&quot;,&quot;PMID&quot;:&quot;20408171&quot;,&quot;URL&quot;:&quot;https://pubmed.ncbi.nlm.nih.gov/20408171/&quot;,&quot;issued&quot;:{&quot;date-parts&quot;:[[2010,6]]},&quot;page&quot;:&quot;1950-1958&quot;,&quot;abstract&quot;:&quot;Recent advances in hardware and software have enabled increasingly long molecular dynamics (MD) simulations of biomolecules, exposing certain limitations in the accuracy of the force fields used for such simulations and spurring efforts to refine these force fields. Recent modifications to the Amber and CHARMM protein force fields, for example, have improved the backbone torsion potentials, remedying deficiencies in earlier versions. Here, we further advance simulation accuracy by improving the amino acid side-chain torsion potentials of the Amber ff99SB force field. First, we used simulations of model alpha-helical systems to identify the four residue types whose rotamer distribution differed the most from expectations based on Protein Data Bank statistics. Second, we optimized the side-chain torsion potentials of these residues to match new, highlevel quantum-mechanical calculations. Finally, we used microsecond-timescale MD simulations in explicit solvent to validate the resulting force field against a large set of experimental NMR measurements that directly probe side-chain conformations. The new force field, which we have termed Amber ff99SBILDN, exhibits considerably better agreement with the NMR data. © 2010 Wiley-Liss, Inc.&quot;,&quot;publisher&quot;:&quot;Proteins&quot;,&quot;issue&quot;:&quot;8&quot;,&quot;volume&quot;:&quot;78&quot;},&quot;isTemporary&quot;:false}]},{&quot;citationID&quot;:&quot;MENDELEY_CITATION_6e98ac13-4364-47f0-88f5-a33d79ed088f&quot;,&quot;properties&quot;:{&quot;noteIndex&quot;:0},&quot;isEdited&quot;:false,&quot;manualOverride&quot;:{&quot;isManuallyOverridden&quot;:false,&quot;citeprocText&quot;:&quot;(Lomize et al., 2022)&quot;,&quot;manualOverrideText&quot;:&quot;&quot;},&quot;citationTag&quot;:&quot;MENDELEY_CITATION_v3_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&quot;,&quot;citationItems&quot;:[{&quot;id&quot;:&quot;902eb56c-0b78-3c3c-82fe-6cc6ad9daff6&quot;,&quot;itemData&quot;:{&quot;type&quot;:&quot;article-journal&quot;,&quot;id&quot;:&quot;902eb56c-0b78-3c3c-82fe-6cc6ad9daff6&quot;,&quot;title&quot;:&quot;Spatial arrangement of proteins in planar and curved membranes by PPM 3.0&quot;,&quot;author&quot;:[{&quot;family&quot;:&quot;Lomize&quot;,&quot;given&quot;:&quot;Andrei L.&quot;,&quot;parse-names&quot;:false,&quot;dropping-particle&quot;:&quot;&quot;,&quot;non-dropping-particle&quot;:&quot;&quot;},{&quot;family&quot;:&quot;Todd&quot;,&quot;given&quot;:&quot;Spencer C.&quot;,&quot;parse-names&quot;:false,&quot;dropping-particle&quot;:&quot;&quot;,&quot;non-dropping-particle&quot;:&quot;&quot;},{&quot;family&quot;:&quot;Pogozheva&quot;,&quot;given&quot;:&quot;Irina D.&quot;,&quot;parse-names&quot;:false,&quot;dropping-particle&quot;:&quot;&quot;,&quot;non-dropping-particle&quot;:&quot;&quot;}],&quot;container-title&quot;:&quot;Protein science : a publication of the Protein Society&quot;,&quot;container-title-short&quot;:&quot;Protein Sci&quot;,&quot;accessed&quot;:{&quot;date-parts&quot;:[[2025,1,11]]},&quot;DOI&quot;:&quot;10.1002/PRO.4219&quot;,&quot;ISSN&quot;:&quot;1469-896X&quot;,&quot;PMID&quot;:&quot;34716622&quot;,&quot;URL&quot;:&quot;https://pubmed.ncbi.nlm.nih.gov/34716622/&quot;,&quot;issued&quot;:{&quot;date-parts&quot;:[[2022,1,1]]},&quot;page&quot;:&quot;209-220&quot;,&quot;abstract&quot;:&quot;Cellular protrusions, invaginations, and many intracellular organelles have strongly curved membrane regions. Transmembrane and peripheral membrane proteins that induce, sense, or stabilize such regions cannot be properly fitted into a single flat bilayer. To treat such proteins, we developed a new method and a web tool, PPM 3.0, for positioning proteins in curved or planar, single or multiple membranes. This method determines the energetically optimal spatial position, the hydrophobic thickness, and the radius of intrinsic curvature of a membrane-deforming protein structure by arranging it in a single or several sphere-shaped or planar membrane sections. In addition, it can define the lipid-embedded regions of a protein that simultaneously spans several membranes or determine the optimal position of a peptide in a spherical micelle. The PPM 3.0 web server operates with 17 types of biological membranes and 4 types of artificial bilayers. It is publicly available at https://opm.phar.umich.edu/ppm_server3. PPM 3.0 was applied to identify and characterize arrangements in membranes of 128 proteins with a significant intrinsic curvature, such as BAR domains, annexins, Piezo, and MscS mechanosensitive channels, cation-chloride cotransporters, as well as mitochondrial ATP synthases, calcium uniporters, and TOM complexes. These proteins form large complexes that are mainly localized in mitochondria, plasma membranes, and endosomes. Structures of bacterial drug efflux pumps, AcrAB-TolC, MexAB-OrpM, and MacAB-TolC, were positioned in both membranes of the bacterial cell envelop, while structures of multimeric gap-junction channels were arranged in two opposed cellular membranes.&quot;,&quot;publisher&quot;:&quot;Protein Sci&quot;,&quot;issue&quot;:&quot;1&quot;,&quot;volume&quot;:&quot;31&quot;},&quot;isTemporary&quot;:false}]}]"/>
    <we:property name="MENDELEY_CITATIONS_LOCALE_CODE" value="&quot;en-GB&quot;"/>
    <we:property name="MENDELEY_CITATIONS_STYLE" value="{&quot;id&quot;:&quot;https://www.zotero.org/styles/british-journal-of-pharmacology&quot;,&quot;title&quot;:&quot;British Journal of Pharmacology&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B8B28-3F4C-4C1D-B2E2-69B2EB3F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265</Words>
  <Characters>1516</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Uniklinikum Freiburg</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Gameli</dc:creator>
  <cp:lastModifiedBy>Prince</cp:lastModifiedBy>
  <cp:revision>21</cp:revision>
  <dcterms:created xsi:type="dcterms:W3CDTF">2025-07-18T14:16:00Z</dcterms:created>
  <dcterms:modified xsi:type="dcterms:W3CDTF">2025-09-17T02:51:00Z</dcterms:modified>
</cp:coreProperties>
</file>