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DEDE" w14:textId="552BD03D" w:rsidR="003528CC" w:rsidRPr="00BE4728" w:rsidRDefault="00F5574C">
      <w:pPr>
        <w:rPr>
          <w:b/>
          <w:bCs/>
          <w:sz w:val="36"/>
          <w:szCs w:val="36"/>
          <w:lang w:val="en-US"/>
        </w:rPr>
      </w:pPr>
      <w:r w:rsidRPr="00BE4728">
        <w:rPr>
          <w:b/>
          <w:bCs/>
          <w:sz w:val="36"/>
          <w:szCs w:val="36"/>
          <w:lang w:val="en-US"/>
        </w:rPr>
        <w:t>New approach methodologies for metabolic disruption: a high</w:t>
      </w:r>
      <w:r w:rsidR="00B27F52" w:rsidRPr="00BE4728">
        <w:rPr>
          <w:b/>
          <w:bCs/>
          <w:sz w:val="36"/>
          <w:szCs w:val="36"/>
          <w:lang w:val="en-US"/>
        </w:rPr>
        <w:t>-</w:t>
      </w:r>
      <w:r w:rsidRPr="00BE4728">
        <w:rPr>
          <w:b/>
          <w:bCs/>
          <w:sz w:val="36"/>
          <w:szCs w:val="36"/>
          <w:lang w:val="en-US"/>
        </w:rPr>
        <w:t xml:space="preserve">throughput human liver cell phospholipidosis assay </w:t>
      </w:r>
    </w:p>
    <w:p w14:paraId="0CE0883C" w14:textId="232179D0" w:rsidR="00BF065D" w:rsidRPr="00BE4728" w:rsidRDefault="00BF065D">
      <w:pPr>
        <w:rPr>
          <w:b/>
          <w:bCs/>
          <w:sz w:val="36"/>
          <w:szCs w:val="36"/>
          <w:lang w:val="en-US"/>
        </w:rPr>
      </w:pPr>
      <w:r w:rsidRPr="00BE4728">
        <w:rPr>
          <w:b/>
          <w:bCs/>
          <w:sz w:val="36"/>
          <w:szCs w:val="36"/>
          <w:lang w:val="en-US"/>
        </w:rPr>
        <w:t>Archives of Toxicology</w:t>
      </w:r>
    </w:p>
    <w:p w14:paraId="1B3D070E" w14:textId="77777777" w:rsidR="003528CC" w:rsidRPr="003D13A7" w:rsidRDefault="00F5574C">
      <w:pPr>
        <w:rPr>
          <w:b/>
          <w:bCs/>
          <w:sz w:val="24"/>
          <w:szCs w:val="24"/>
          <w:vertAlign w:val="superscript"/>
        </w:rPr>
      </w:pPr>
      <w:r w:rsidRPr="003D13A7">
        <w:rPr>
          <w:b/>
          <w:bCs/>
          <w:sz w:val="24"/>
          <w:szCs w:val="24"/>
        </w:rPr>
        <w:t>Neele Wewer</w:t>
      </w:r>
      <w:r w:rsidRPr="003D13A7">
        <w:rPr>
          <w:b/>
          <w:bCs/>
          <w:sz w:val="24"/>
          <w:szCs w:val="24"/>
          <w:vertAlign w:val="superscript"/>
        </w:rPr>
        <w:t>1</w:t>
      </w:r>
      <w:r w:rsidRPr="003D13A7">
        <w:rPr>
          <w:b/>
          <w:bCs/>
          <w:sz w:val="24"/>
          <w:szCs w:val="24"/>
        </w:rPr>
        <w:t>, Albert Braeuning</w:t>
      </w:r>
      <w:r w:rsidRPr="003D13A7">
        <w:rPr>
          <w:b/>
          <w:bCs/>
          <w:sz w:val="24"/>
          <w:szCs w:val="24"/>
          <w:vertAlign w:val="superscript"/>
        </w:rPr>
        <w:t>1</w:t>
      </w:r>
      <w:r w:rsidRPr="003D13A7">
        <w:rPr>
          <w:b/>
          <w:bCs/>
          <w:sz w:val="24"/>
          <w:szCs w:val="24"/>
        </w:rPr>
        <w:t>, Dajana Lichtenstein</w:t>
      </w:r>
      <w:proofErr w:type="gramStart"/>
      <w:r w:rsidRPr="003D13A7">
        <w:rPr>
          <w:b/>
          <w:bCs/>
          <w:sz w:val="24"/>
          <w:szCs w:val="24"/>
          <w:vertAlign w:val="superscript"/>
        </w:rPr>
        <w:t>1,</w:t>
      </w:r>
      <w:r w:rsidRPr="003D13A7">
        <w:rPr>
          <w:sz w:val="24"/>
          <w:szCs w:val="24"/>
        </w:rPr>
        <w:t>*</w:t>
      </w:r>
      <w:proofErr w:type="gramEnd"/>
    </w:p>
    <w:p w14:paraId="4EBD1702" w14:textId="758F367E" w:rsidR="003528CC" w:rsidRPr="00BE4728" w:rsidRDefault="00F5574C">
      <w:pPr>
        <w:rPr>
          <w:i/>
          <w:iCs/>
          <w:lang w:val="en-US"/>
        </w:rPr>
      </w:pPr>
      <w:r w:rsidRPr="00BE4728">
        <w:rPr>
          <w:vertAlign w:val="superscript"/>
          <w:lang w:val="en-US"/>
        </w:rPr>
        <w:t>1</w:t>
      </w:r>
      <w:r w:rsidRPr="00BE4728">
        <w:rPr>
          <w:i/>
          <w:iCs/>
          <w:lang w:val="en-US"/>
        </w:rPr>
        <w:t>German Federal Institute for Risk Assessment, Dept.</w:t>
      </w:r>
      <w:r w:rsidR="00C60287" w:rsidRPr="00BE4728">
        <w:rPr>
          <w:sz w:val="24"/>
          <w:szCs w:val="24"/>
          <w:lang w:val="en-US"/>
        </w:rPr>
        <w:t xml:space="preserve"> </w:t>
      </w:r>
      <w:r w:rsidR="00C60287" w:rsidRPr="00BE4728">
        <w:rPr>
          <w:i/>
          <w:iCs/>
          <w:lang w:val="en-US"/>
        </w:rPr>
        <w:t>Chemical and Product Safety</w:t>
      </w:r>
      <w:r w:rsidRPr="00BE4728">
        <w:rPr>
          <w:i/>
          <w:iCs/>
          <w:lang w:val="en-US"/>
        </w:rPr>
        <w:t>, Max-</w:t>
      </w:r>
      <w:proofErr w:type="spellStart"/>
      <w:r w:rsidRPr="00BE4728">
        <w:rPr>
          <w:i/>
          <w:iCs/>
          <w:lang w:val="en-US"/>
        </w:rPr>
        <w:t>Dohrn</w:t>
      </w:r>
      <w:proofErr w:type="spellEnd"/>
      <w:r w:rsidRPr="00BE4728">
        <w:rPr>
          <w:i/>
          <w:iCs/>
          <w:lang w:val="en-US"/>
        </w:rPr>
        <w:t>-Str. 8-10, 10589 Berlin, Germany</w:t>
      </w:r>
    </w:p>
    <w:p w14:paraId="71AE30C3" w14:textId="2856BA2B" w:rsidR="005951C6" w:rsidRPr="00BE4728" w:rsidRDefault="00F5574C">
      <w:pPr>
        <w:rPr>
          <w:i/>
          <w:iCs/>
          <w:lang w:val="en-US"/>
        </w:rPr>
      </w:pPr>
      <w:r w:rsidRPr="00BE4728">
        <w:rPr>
          <w:i/>
          <w:iCs/>
          <w:lang w:val="en-US"/>
        </w:rPr>
        <w:t>*Corresponding author</w:t>
      </w:r>
      <w:r w:rsidR="00BF065D" w:rsidRPr="00BE4728">
        <w:rPr>
          <w:i/>
          <w:iCs/>
          <w:lang w:val="en-US"/>
        </w:rPr>
        <w:t xml:space="preserve">. </w:t>
      </w:r>
      <w:r w:rsidRPr="00BE4728">
        <w:rPr>
          <w:i/>
          <w:iCs/>
          <w:lang w:val="en-US"/>
        </w:rPr>
        <w:t xml:space="preserve">E-mail address: </w:t>
      </w:r>
      <w:hyperlink r:id="rId9" w:history="1">
        <w:r w:rsidR="00C60287" w:rsidRPr="00BE4728">
          <w:rPr>
            <w:rStyle w:val="Hyperlink"/>
            <w:i/>
            <w:iCs/>
            <w:lang w:val="en-US"/>
          </w:rPr>
          <w:t>dajana.lichtenstein@bfr.bund.de</w:t>
        </w:r>
      </w:hyperlink>
      <w:r w:rsidR="00C60287" w:rsidRPr="00BE4728">
        <w:rPr>
          <w:i/>
          <w:iCs/>
          <w:lang w:val="en-US"/>
        </w:rPr>
        <w:t xml:space="preserve"> (Dajana Lichtenstein)</w:t>
      </w:r>
    </w:p>
    <w:p w14:paraId="678ACE20" w14:textId="564ADC5B" w:rsidR="005951C6" w:rsidRPr="00BE4728" w:rsidRDefault="005951C6" w:rsidP="005050BA">
      <w:pPr>
        <w:rPr>
          <w:rStyle w:val="berschrift1Zchn"/>
          <w:rFonts w:eastAsiaTheme="minorHAnsi" w:cstheme="minorBidi"/>
          <w:b w:val="0"/>
          <w:sz w:val="22"/>
          <w:szCs w:val="22"/>
          <w:lang w:val="en-US"/>
        </w:rPr>
      </w:pPr>
      <w:r w:rsidRPr="00BE4728">
        <w:rPr>
          <w:rStyle w:val="berschrift1Zchn"/>
          <w:b w:val="0"/>
          <w:lang w:val="en-US"/>
        </w:rPr>
        <w:br w:type="page"/>
      </w:r>
    </w:p>
    <w:p w14:paraId="68895781" w14:textId="1EB1D49C" w:rsidR="003528CC" w:rsidRPr="00BE4728" w:rsidRDefault="00F5574C">
      <w:pPr>
        <w:pStyle w:val="Beschriftung"/>
        <w:keepNext/>
        <w:rPr>
          <w:i w:val="0"/>
          <w:iCs w:val="0"/>
          <w:color w:val="auto"/>
          <w:sz w:val="22"/>
          <w:szCs w:val="22"/>
          <w:lang w:val="en-US"/>
        </w:rPr>
      </w:pPr>
      <w:r w:rsidRPr="00BC4731">
        <w:rPr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>Table</w:t>
      </w:r>
      <w:r w:rsidR="007E592B" w:rsidRPr="00BC4731">
        <w:rPr>
          <w:b/>
          <w:bCs/>
          <w:i w:val="0"/>
          <w:iCs w:val="0"/>
          <w:color w:val="auto"/>
          <w:sz w:val="22"/>
          <w:szCs w:val="22"/>
          <w:lang w:val="en-US"/>
        </w:rPr>
        <w:t> </w:t>
      </w:r>
      <w:r w:rsidR="002B03A9" w:rsidRPr="00BC4731">
        <w:rPr>
          <w:b/>
          <w:bCs/>
          <w:i w:val="0"/>
          <w:iCs w:val="0"/>
          <w:color w:val="auto"/>
          <w:sz w:val="22"/>
          <w:szCs w:val="22"/>
          <w:lang w:val="en-US"/>
        </w:rPr>
        <w:t>S</w:t>
      </w:r>
      <w:r w:rsidR="007E592B" w:rsidRPr="00BC4731">
        <w:rPr>
          <w:b/>
          <w:bCs/>
          <w:i w:val="0"/>
          <w:iCs w:val="0"/>
          <w:color w:val="auto"/>
          <w:sz w:val="22"/>
          <w:szCs w:val="22"/>
          <w:lang w:val="en-US"/>
        </w:rPr>
        <w:t>1</w:t>
      </w:r>
      <w:r w:rsidRPr="00BE4728">
        <w:rPr>
          <w:i w:val="0"/>
          <w:iCs w:val="0"/>
          <w:color w:val="auto"/>
          <w:sz w:val="22"/>
          <w:szCs w:val="22"/>
          <w:lang w:val="en-US"/>
        </w:rPr>
        <w:t xml:space="preserve"> Tested substances with corresponding CAS number, </w:t>
      </w:r>
      <w:r w:rsidR="00AB7C51" w:rsidRPr="00BE4728">
        <w:rPr>
          <w:i w:val="0"/>
          <w:iCs w:val="0"/>
          <w:color w:val="auto"/>
          <w:sz w:val="22"/>
          <w:szCs w:val="22"/>
          <w:lang w:val="en-US"/>
        </w:rPr>
        <w:t>supplier</w:t>
      </w:r>
      <w:r w:rsidRPr="00BE4728">
        <w:rPr>
          <w:i w:val="0"/>
          <w:iCs w:val="0"/>
          <w:color w:val="auto"/>
          <w:sz w:val="22"/>
          <w:szCs w:val="22"/>
          <w:lang w:val="en-US"/>
        </w:rPr>
        <w:t>, used solvent, and stock concentration</w:t>
      </w:r>
    </w:p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275"/>
        <w:gridCol w:w="2127"/>
        <w:gridCol w:w="992"/>
        <w:gridCol w:w="845"/>
      </w:tblGrid>
      <w:tr w:rsidR="005F5E98" w:rsidRPr="00BE4728" w14:paraId="7883E2FC" w14:textId="77777777" w:rsidTr="00AB7C51">
        <w:trPr>
          <w:cantSplit/>
          <w:trHeight w:val="885"/>
        </w:trPr>
        <w:tc>
          <w:tcPr>
            <w:tcW w:w="1838" w:type="dxa"/>
            <w:shd w:val="clear" w:color="auto" w:fill="auto"/>
            <w:vAlign w:val="center"/>
          </w:tcPr>
          <w:p w14:paraId="1E990600" w14:textId="77777777" w:rsidR="005F5E98" w:rsidRPr="00BE4728" w:rsidRDefault="005F5E98" w:rsidP="005F5E98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BE4728">
              <w:rPr>
                <w:rFonts w:cstheme="minorHAnsi"/>
                <w:b/>
                <w:bCs/>
                <w:lang w:val="en-US"/>
              </w:rPr>
              <w:t>Substance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43B087" w14:textId="71212367" w:rsidR="005F5E98" w:rsidRPr="00BE4728" w:rsidRDefault="005F5E98" w:rsidP="005F5E98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BE4728">
              <w:rPr>
                <w:rFonts w:cstheme="minorHAnsi"/>
                <w:b/>
                <w:bCs/>
                <w:lang w:val="en-US"/>
              </w:rPr>
              <w:t>Substance class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87E239" w14:textId="39F5C2EC" w:rsidR="005F5E98" w:rsidRPr="00BE4728" w:rsidRDefault="005F5E98" w:rsidP="005F5E98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BE4728">
              <w:rPr>
                <w:rFonts w:cstheme="minorHAnsi"/>
                <w:b/>
                <w:bCs/>
                <w:lang w:val="en-US"/>
              </w:rPr>
              <w:t>CAS number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AFE95B3" w14:textId="17537345" w:rsidR="005F5E98" w:rsidRPr="00BE4728" w:rsidRDefault="00AB7C51" w:rsidP="005F5E98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BE4728">
              <w:rPr>
                <w:rFonts w:cstheme="minorHAnsi"/>
                <w:b/>
                <w:bCs/>
                <w:lang w:val="en-US"/>
              </w:rPr>
              <w:t>Supplier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C1CA92" w14:textId="77777777" w:rsidR="005F5E98" w:rsidRPr="00BE4728" w:rsidRDefault="005F5E98" w:rsidP="005F5E98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BE4728">
              <w:rPr>
                <w:rFonts w:cstheme="minorHAnsi"/>
                <w:b/>
                <w:bCs/>
                <w:lang w:val="en-US"/>
              </w:rPr>
              <w:t>Solvent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5C851502" w14:textId="77777777" w:rsidR="005F5E98" w:rsidRPr="00BE4728" w:rsidRDefault="005F5E98" w:rsidP="005F5E98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BE4728">
              <w:rPr>
                <w:rFonts w:cstheme="minorHAnsi"/>
                <w:b/>
                <w:bCs/>
                <w:lang w:val="en-US"/>
              </w:rPr>
              <w:t>Stock conc. [M]</w:t>
            </w:r>
          </w:p>
        </w:tc>
      </w:tr>
      <w:tr w:rsidR="005F5E98" w:rsidRPr="00BE4728" w14:paraId="38235E24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76A7E803" w14:textId="1227936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Acetaminophen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E7B5D3" w14:textId="5B31BFD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Painkiller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27CAEB5" w14:textId="12F9E0D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103-90-2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44713B9" w14:textId="6BC64373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CC5C00" w14:textId="6B458D9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1BF243E5" w14:textId="30E77C1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0.2</w:t>
            </w:r>
          </w:p>
        </w:tc>
      </w:tr>
      <w:tr w:rsidR="005F5E98" w:rsidRPr="00BE4728" w14:paraId="118C1AF0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3FDF5C87" w14:textId="259CA82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Amikacin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1EA58B" w14:textId="4F48F83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Antibiotic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6ED6B86" w14:textId="5D3D8E6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37517-28-5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D42F4A2" w14:textId="3B10357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Cayman Chemicals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AFB58E" w14:textId="12300C3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5BD4E618" w14:textId="259B9B2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1DC67C95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46F21219" w14:textId="1D60CBA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Amiodarone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F35BD3" w14:textId="1108F202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Antiarrhythmic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FAD29AA" w14:textId="70E0BCB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19774-82-4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1243DC4" w14:textId="3BBBA4A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Biotechnology Santa Crus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626E55" w14:textId="7B01CB9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292F7C76" w14:textId="13B99E1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1AFCCC0F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62A61F11" w14:textId="3DE0594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Amitriptyline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4753B6" w14:textId="7CA61FD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Antidepressant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A02BF32" w14:textId="67DC3FF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202124"/>
                <w:sz w:val="20"/>
                <w:szCs w:val="20"/>
                <w:lang w:val="en-US"/>
              </w:rPr>
              <w:t>549-18-8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66DA9D7" w14:textId="417A730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Cayman Chemicals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819A4A6" w14:textId="4436AF0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3ACE64C6" w14:textId="0CFEAE8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6990A09F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6F2D23E7" w14:textId="2E2AB7D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Caffeine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1331C3" w14:textId="00CE62A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Stimulant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1C7478F" w14:textId="243FC5E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58-08-2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5110F7E" w14:textId="7AE58D0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8C26BF" w14:textId="06DEC4A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2DB73C4A" w14:textId="1B37D1C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35E256B0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6C6EE760" w14:textId="3855443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Carbamazepine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CFEE18" w14:textId="53FA397E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Antiepileptic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5AF3220" w14:textId="798A0DA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298-46-4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D22F753" w14:textId="6DCB618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77152E" w14:textId="1B00EB0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70743A02" w14:textId="5F5150C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3B315F68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4724706F" w14:textId="256767C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Chloroquine diphosphate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148044" w14:textId="7776381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Antimalarial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FA2BA3" w14:textId="2B0C471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50-63-5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768F9D6" w14:textId="7554896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45569F" w14:textId="773C2D8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5C18B700" w14:textId="2D8CC11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71648DCC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7025E701" w14:textId="42B582C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Chlorpromazine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CE4595" w14:textId="21FB694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Antipsychotic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1C037A" w14:textId="723C768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69-09-0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2BE51BC" w14:textId="082E960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TCI Deutschland GmbH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52813A" w14:textId="121D87C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6A343F12" w14:textId="685C960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356E776E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39A0B968" w14:textId="6A247A8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Clomipramine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A0CC60" w14:textId="48A1FB8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Antidepressant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F58CA4" w14:textId="62C4E96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17321-77-6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82162D2" w14:textId="15E6786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D8D3B3" w14:textId="079174B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03E69D2" w14:textId="57072EA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40E25AF5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69E87E24" w14:textId="5ABC04F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Clozapine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E685D1" w14:textId="76B0805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Antipsychotic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73C1A59" w14:textId="34555B2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5786-21-0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7CB980D" w14:textId="7FD1C89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TCI Deutschland GmbH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95351D" w14:textId="4314372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6F238641" w14:textId="2FBC243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6CAE02B7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46C83FD9" w14:textId="0B22B9F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 xml:space="preserve">Dexamethasone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B2F244" w14:textId="5F0A1C6B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="005F5E98" w:rsidRPr="00BE4728">
              <w:rPr>
                <w:rFonts w:cstheme="minorHAnsi"/>
                <w:sz w:val="20"/>
                <w:szCs w:val="20"/>
                <w:lang w:val="en-US"/>
              </w:rPr>
              <w:t>mmunosuppressant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462F51" w14:textId="5BF6493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50-02-2. 2392-39-4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E91F4D8" w14:textId="26C6CA0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6AC1B5" w14:textId="1070B46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7A962247" w14:textId="1CC0827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  <w:tr w:rsidR="005F5E98" w:rsidRPr="00BE4728" w14:paraId="3233AD10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6AAB094F" w14:textId="262493E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Diclofenac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EE7C22" w14:textId="3C4ED9EE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I</w:t>
            </w:r>
            <w:r w:rsidR="005F5E98"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mmunosuppressant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E910C04" w14:textId="4DBB33E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15307-86-5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D86DA01" w14:textId="2BEEC9B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E4728">
              <w:rPr>
                <w:rFonts w:cstheme="minorHAnsi"/>
                <w:sz w:val="20"/>
                <w:szCs w:val="20"/>
                <w:lang w:val="en-US"/>
              </w:rPr>
              <w:t>Adipogen</w:t>
            </w:r>
            <w:proofErr w:type="spellEnd"/>
            <w:r w:rsidRPr="00BE4728">
              <w:rPr>
                <w:rFonts w:cstheme="minorHAnsi"/>
                <w:sz w:val="20"/>
                <w:szCs w:val="20"/>
                <w:lang w:val="en-US"/>
              </w:rPr>
              <w:t xml:space="preserve"> AG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664F6D" w14:textId="0B7921B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0501D421" w14:textId="59FF117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7F464C47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038305B3" w14:textId="2B89963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Disopyramide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373EAD" w14:textId="682C9FA7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Antiarrhythmic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7E510F" w14:textId="219F324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3737-09-5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CF88CA9" w14:textId="20360C7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TCI Deutschland GmbH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38EB90" w14:textId="51FD851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0B1C7AF" w14:textId="2668C09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0.2</w:t>
            </w:r>
          </w:p>
        </w:tc>
      </w:tr>
      <w:tr w:rsidR="005F5E98" w:rsidRPr="00BE4728" w14:paraId="4E6C6EDF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46E9397A" w14:textId="39DF19D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Doxycycline H</w:t>
            </w:r>
            <w:r w:rsidRPr="00BE4728">
              <w:rPr>
                <w:rFonts w:cstheme="minorHAnsi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EC006A" w14:textId="765D4F13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Antibiotic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4ED68E" w14:textId="6655A3A3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17086-28-1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78A1299" w14:textId="6964A5C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LKT Laboratories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6F87218" w14:textId="7BF8E49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043DB599" w14:textId="7615560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00BC2620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30E63502" w14:textId="3013AC9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Erythromycin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AC2FCC" w14:textId="0003681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Antibiotic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C58F5" w14:textId="0DC4AD2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114-07-8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53D7091" w14:textId="4CAE390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TCI Deutschland GmbH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14420A" w14:textId="729AE25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613671E4" w14:textId="6A82ABA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381F8B23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4D0F5B7D" w14:textId="1DBCF27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Fluoxetine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982628" w14:textId="555BDDB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Antidepressant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1359749" w14:textId="4347928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56296-78-7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FF9BEC2" w14:textId="7905387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TCI Deutschland GmbH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180041" w14:textId="36A0E4F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32CE870B" w14:textId="26D857B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5D3677C3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2D2984E6" w14:textId="0119633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Gentamicin Sulfate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A8D5A6" w14:textId="67B2F9A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Antibiotic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CDC3476" w14:textId="5647160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1405-41-0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6D56298" w14:textId="0B991BA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341EE3" w14:textId="627866A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5191B0BF" w14:textId="0D7350A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247E0CE0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0D9D4EA8" w14:textId="2227DCD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Haloperidol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6D2C0F" w14:textId="0CCE2A1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Antipsychotic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6DF3C33" w14:textId="7D133F2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52-86-8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D156112" w14:textId="1F70DF1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Cayman Chemicals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39C2A2" w14:textId="61566913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3AECAB8D" w14:textId="54D9F7D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5D5C789F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12C0C040" w14:textId="2022D3A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Hydroxyzine 2HCl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C0291D" w14:textId="39EFC61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Antipsychotic/</w:t>
            </w:r>
            <w:r w:rsidR="000026FF" w:rsidRPr="00BE472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BE4728">
              <w:rPr>
                <w:rFonts w:cstheme="minorHAnsi"/>
                <w:sz w:val="20"/>
                <w:szCs w:val="20"/>
                <w:lang w:val="en-US"/>
              </w:rPr>
              <w:t>Antihistamine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9C06AF" w14:textId="252451C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2192-20-3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7B91A3B" w14:textId="186A6803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LKT Laboratories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2FF4D1" w14:textId="33CA2EE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1CFD649" w14:textId="37DFC8C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297058BE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3F8C5E41" w14:textId="26C41ED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Imipramine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510492" w14:textId="20AE8C6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Antidepressant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08AC13" w14:textId="4DA4EB6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113-52-0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2BDFAD0" w14:textId="0890D33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4BFA51" w14:textId="7F7248F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66CEDFE6" w14:textId="06E5B25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338CBEF0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560930DC" w14:textId="60554123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Ketoconazole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263D58" w14:textId="36ACF22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Antifungal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9A45ED5" w14:textId="76EAD63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65277-42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71D6F555" w14:textId="1CD1085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8EA38E" w14:textId="3FF5163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21256B29" w14:textId="2C10443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1118F034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3985DC1F" w14:textId="13A1568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Maprotiline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D2F13D" w14:textId="1DB7B41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Antidepressant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F5A706B" w14:textId="3597BDC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10347-81-6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B97ACF0" w14:textId="7149179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Cayman Chemicals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D23486" w14:textId="716D566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3F35E181" w14:textId="08C3168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54255617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04C3A24F" w14:textId="5044736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Menadione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3BC5D0" w14:textId="0BDB6DF0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Vitamin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03652A4" w14:textId="238D09E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58-27-5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F0D4249" w14:textId="0AF216C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LGC Standards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B4A2CA" w14:textId="14C6204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5ED60908" w14:textId="7E52172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44D1BCDB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3764968F" w14:textId="4248EBA3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Methapyrilene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4343A3" w14:textId="38391DD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Antihistamine 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8F0BC80" w14:textId="380AAB0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135-23-9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67C3818" w14:textId="41A6238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80B008" w14:textId="4B604D2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21EE0F68" w14:textId="5F7FEF4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0C340BEE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3D47009D" w14:textId="192767F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Ofloxacin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F2443A" w14:textId="711FE14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Antibiotic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F65D1" w14:textId="25F0922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118120-51-7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621FA82" w14:textId="480BA98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LKT Laboratories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944988" w14:textId="436590B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13D5CD5C" w14:textId="378E9B6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7703991D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43BA6434" w14:textId="27EE5C7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Procainamide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2E912C" w14:textId="581393F2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Antiarrhythmic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A30850" w14:textId="644B0B0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614-39-1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982D4B4" w14:textId="0D10A98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Santa Cruz Biotechnology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26EFF4" w14:textId="55184CB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7FD0596D" w14:textId="06B90B9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365C3C17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6015EABD" w14:textId="5A95EF6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Propranolol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968B34" w14:textId="7914FF98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Antiarrhythmic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3DB4294" w14:textId="4B1408B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318-98-9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D961383" w14:textId="6DFB4E8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1776A13" w14:textId="09D3F73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2D2D1A71" w14:textId="10F374D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646E0AFB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0B7A0C6F" w14:textId="06346426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Rifampicin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629F28" w14:textId="2B713F8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Antibiotic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43BBC23" w14:textId="44F5604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13292-46-1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2AD854C" w14:textId="69A0384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DF94BE" w14:textId="76B4851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5D5A1896" w14:textId="784D8C5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649719F8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6CA82CE0" w14:textId="7888563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Sotalol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19AC1E" w14:textId="19FAFC42" w:rsidR="005F5E98" w:rsidRPr="00BE4728" w:rsidRDefault="000026FF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Antiarrhythmic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CE8A95" w14:textId="30209C2D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959-24-0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0A73DB0" w14:textId="580531D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Cayman Chemicals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F64E53" w14:textId="0B704B01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76278145" w14:textId="2F97964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3B74BCC5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13CC1A22" w14:textId="1675460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Tamoxifen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EFD345" w14:textId="183536C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Antiestrogenic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813586E" w14:textId="0B1DC69C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10540-29-1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93431C7" w14:textId="123771B8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667384" w14:textId="001E6AE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F6A48B9" w14:textId="4877F11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0.025</w:t>
            </w:r>
          </w:p>
        </w:tc>
      </w:tr>
      <w:tr w:rsidR="005F5E98" w:rsidRPr="00BE4728" w14:paraId="1E4C4FF9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087AAA0F" w14:textId="43D0A52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Tetracycline 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D007F9" w14:textId="2AF4DC77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Antibiotic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4DAC8C7" w14:textId="2443FC9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64-75-5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8557780" w14:textId="361AC81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D630FB" w14:textId="2888681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5121F1F6" w14:textId="5B854046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34D2A3F8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70A4C29E" w14:textId="716A121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Thioridazine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AEEF0A" w14:textId="02671AB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Neuroleptic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CB2C51" w14:textId="2AC7B66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130-61-0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3C70289F" w14:textId="6965D52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Cayman Chemicals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D325B8" w14:textId="3B88E0F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005AC20A" w14:textId="2FC5D93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6DE377C3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0FE92CA0" w14:textId="5BE8740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Tilorone 2HCl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2FB170" w14:textId="296BBBD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Antiviral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61BB94" w14:textId="30673A9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27591-69-1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3662B94" w14:textId="7F9209D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TCI Deutschland GmbH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A2AEB2" w14:textId="3A6CFAF2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3914CC04" w14:textId="222F1CB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</w:tr>
      <w:tr w:rsidR="005F5E98" w:rsidRPr="00BE4728" w14:paraId="09FC4613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4A766A87" w14:textId="4F5A8D99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Triparanol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14:paraId="60E43F1F" w14:textId="207F276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Cholesterol synthesis inhibitor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BE18C18" w14:textId="4A0401D0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78-41-1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56C84065" w14:textId="1A3758C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Santa Cruz Biotechnology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5B4E10" w14:textId="0BFC259E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58CEA0D1" w14:textId="077F609B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tr w:rsidR="005F5E98" w:rsidRPr="00BE4728" w14:paraId="25B0A2A6" w14:textId="77777777" w:rsidTr="00AB7C51">
        <w:trPr>
          <w:trHeight w:val="255"/>
        </w:trPr>
        <w:tc>
          <w:tcPr>
            <w:tcW w:w="1838" w:type="dxa"/>
            <w:shd w:val="clear" w:color="auto" w:fill="auto"/>
            <w:noWrap/>
            <w:vAlign w:val="center"/>
          </w:tcPr>
          <w:p w14:paraId="2E18F9B5" w14:textId="51B1927F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Valproic acid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455456" w14:textId="7E6FFB64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Antiepilepti</w:t>
            </w:r>
            <w:r w:rsidR="006A650B"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304E14" w14:textId="7BFD644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111827"/>
                <w:sz w:val="20"/>
                <w:szCs w:val="20"/>
                <w:lang w:val="en-US"/>
              </w:rPr>
              <w:t>99-66-1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B300705" w14:textId="57C73B05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8A15AC" w14:textId="7CFC4D5A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DMSO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286E2C92" w14:textId="3BC60EB3" w:rsidR="005F5E98" w:rsidRPr="00BE4728" w:rsidRDefault="005F5E98" w:rsidP="005F5E98">
            <w:pPr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BE4728">
              <w:rPr>
                <w:rFonts w:cstheme="minorHAnsi"/>
                <w:color w:val="000000"/>
                <w:sz w:val="20"/>
                <w:szCs w:val="20"/>
                <w:lang w:val="en-US"/>
              </w:rPr>
              <w:t>1</w:t>
            </w:r>
          </w:p>
        </w:tc>
      </w:tr>
    </w:tbl>
    <w:p w14:paraId="045C8A55" w14:textId="77777777" w:rsidR="003528CC" w:rsidRPr="00BE4728" w:rsidRDefault="003528CC">
      <w:pPr>
        <w:rPr>
          <w:lang w:val="en-US"/>
        </w:rPr>
      </w:pPr>
    </w:p>
    <w:p w14:paraId="1784D144" w14:textId="77777777" w:rsidR="00BF065D" w:rsidRPr="00BE4728" w:rsidRDefault="00BF065D">
      <w:pPr>
        <w:jc w:val="left"/>
        <w:rPr>
          <w:lang w:val="en-US"/>
        </w:rPr>
      </w:pPr>
      <w:bookmarkStart w:id="0" w:name="_Ref198719171"/>
      <w:r w:rsidRPr="00BE4728">
        <w:rPr>
          <w:lang w:val="en-US"/>
        </w:rPr>
        <w:br w:type="page"/>
      </w:r>
    </w:p>
    <w:p w14:paraId="53CF4401" w14:textId="666B1661" w:rsidR="003528CC" w:rsidRPr="00BE4728" w:rsidRDefault="00F5574C">
      <w:pPr>
        <w:rPr>
          <w:lang w:val="en-US"/>
        </w:rPr>
      </w:pPr>
      <w:r w:rsidRPr="00BC4731">
        <w:rPr>
          <w:b/>
          <w:bCs/>
          <w:lang w:val="en-US"/>
        </w:rPr>
        <w:lastRenderedPageBreak/>
        <w:t>Table</w:t>
      </w:r>
      <w:r w:rsidR="007E592B" w:rsidRPr="00BC4731">
        <w:rPr>
          <w:b/>
          <w:bCs/>
          <w:lang w:val="en-US"/>
        </w:rPr>
        <w:t> </w:t>
      </w:r>
      <w:r w:rsidR="002B03A9" w:rsidRPr="00BC4731">
        <w:rPr>
          <w:b/>
          <w:bCs/>
          <w:lang w:val="en-US"/>
        </w:rPr>
        <w:t>S</w:t>
      </w:r>
      <w:bookmarkEnd w:id="0"/>
      <w:r w:rsidR="007E592B" w:rsidRPr="00BC4731">
        <w:rPr>
          <w:b/>
          <w:bCs/>
          <w:lang w:val="en-US"/>
        </w:rPr>
        <w:t>2</w:t>
      </w:r>
      <w:r w:rsidRPr="00BE4728">
        <w:rPr>
          <w:lang w:val="en-US"/>
        </w:rPr>
        <w:t xml:space="preserve"> Detailed information of defined ranges for the PLD induction classification into high, medium, low and no phospholipidosis induction of measured</w:t>
      </w:r>
      <w:r w:rsidR="002508EE" w:rsidRPr="00BE4728">
        <w:rPr>
          <w:lang w:val="en-US"/>
        </w:rPr>
        <w:t xml:space="preserve"> </w:t>
      </w:r>
      <w:r w:rsidR="002508EE" w:rsidRPr="00BE4728">
        <w:rPr>
          <w:i/>
          <w:iCs/>
          <w:lang w:val="en-US"/>
        </w:rPr>
        <w:t>in vitro</w:t>
      </w:r>
      <w:r w:rsidRPr="00BE4728">
        <w:rPr>
          <w:lang w:val="en-US"/>
        </w:rPr>
        <w:t xml:space="preserve"> results from this work and published 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5"/>
        <w:gridCol w:w="1204"/>
        <w:gridCol w:w="691"/>
        <w:gridCol w:w="1298"/>
        <w:gridCol w:w="1144"/>
        <w:gridCol w:w="1145"/>
        <w:gridCol w:w="1310"/>
        <w:gridCol w:w="805"/>
      </w:tblGrid>
      <w:tr w:rsidR="002508EE" w:rsidRPr="00BE4728" w14:paraId="56B6141B" w14:textId="77777777" w:rsidTr="005951C6">
        <w:trPr>
          <w:cantSplit/>
          <w:trHeight w:val="1755"/>
        </w:trPr>
        <w:tc>
          <w:tcPr>
            <w:tcW w:w="808" w:type="pct"/>
            <w:textDirection w:val="btLr"/>
            <w:vAlign w:val="center"/>
          </w:tcPr>
          <w:p w14:paraId="343AFCD8" w14:textId="1426DB53" w:rsidR="002508EE" w:rsidRPr="00BE4728" w:rsidRDefault="00983AF1" w:rsidP="00FB0269">
            <w:pPr>
              <w:spacing w:after="0" w:line="240" w:lineRule="auto"/>
              <w:ind w:left="113" w:right="113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Categorization</w:t>
            </w:r>
          </w:p>
        </w:tc>
        <w:tc>
          <w:tcPr>
            <w:tcW w:w="664" w:type="pct"/>
            <w:textDirection w:val="btLr"/>
            <w:vAlign w:val="center"/>
          </w:tcPr>
          <w:p w14:paraId="5602A73C" w14:textId="66EE6BB9" w:rsidR="002508EE" w:rsidRPr="00BE4728" w:rsidRDefault="00DB72C0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T</w:t>
            </w:r>
            <w:r w:rsidR="002508EE"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his work</w:t>
            </w:r>
          </w:p>
        </w:tc>
        <w:tc>
          <w:tcPr>
            <w:tcW w:w="381" w:type="pct"/>
            <w:textDirection w:val="btLr"/>
            <w:vAlign w:val="center"/>
          </w:tcPr>
          <w:p w14:paraId="032BF107" w14:textId="5A71C71C" w:rsidR="002508EE" w:rsidRPr="00BE4728" w:rsidRDefault="002508EE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Sawada et. al., 2005</w:t>
            </w:r>
            <w:r w:rsidR="00AE1C69" w:rsidRPr="00BE4728"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716" w:type="pct"/>
            <w:textDirection w:val="btLr"/>
            <w:vAlign w:val="center"/>
          </w:tcPr>
          <w:p w14:paraId="47CA4E71" w14:textId="284FE87E" w:rsidR="002508EE" w:rsidRPr="00BE4728" w:rsidRDefault="002508EE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Nioi</w:t>
            </w:r>
            <w:proofErr w:type="spellEnd"/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et. al., 2007</w:t>
            </w:r>
            <w:r w:rsidR="00AE1C69" w:rsidRPr="00BE4728"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31" w:type="pct"/>
            <w:textDirection w:val="btLr"/>
            <w:vAlign w:val="center"/>
          </w:tcPr>
          <w:p w14:paraId="37302809" w14:textId="788026EA" w:rsidR="002508EE" w:rsidRPr="00BE4728" w:rsidRDefault="00DB72C0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V</w:t>
            </w:r>
            <w:r w:rsidR="002508EE"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an de Water et. al., 2011</w:t>
            </w:r>
            <w:r w:rsidR="00AE1C69" w:rsidRPr="00BE4728"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632" w:type="pct"/>
            <w:textDirection w:val="btLr"/>
            <w:vAlign w:val="center"/>
          </w:tcPr>
          <w:p w14:paraId="4D7CA9BA" w14:textId="30F9F3C3" w:rsidR="002508EE" w:rsidRPr="00BE4728" w:rsidRDefault="002508EE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Tilmant</w:t>
            </w:r>
            <w:proofErr w:type="spellEnd"/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et. al., 2011</w:t>
            </w:r>
            <w:r w:rsidR="00AE1C69" w:rsidRPr="00BE4728"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723" w:type="pct"/>
            <w:textDirection w:val="btLr"/>
            <w:vAlign w:val="center"/>
          </w:tcPr>
          <w:p w14:paraId="428810D9" w14:textId="7DA34958" w:rsidR="002508EE" w:rsidRPr="00BE4728" w:rsidRDefault="002508EE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Park et. al., 2012</w:t>
            </w:r>
            <w:r w:rsidR="00AE1C69" w:rsidRPr="00BE4728"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444" w:type="pct"/>
            <w:textDirection w:val="btLr"/>
            <w:vAlign w:val="center"/>
          </w:tcPr>
          <w:p w14:paraId="78FB2B39" w14:textId="5E28D441" w:rsidR="002508EE" w:rsidRPr="00BE4728" w:rsidRDefault="002508EE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Tomida</w:t>
            </w:r>
            <w:proofErr w:type="spellEnd"/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et. al., 2017</w:t>
            </w:r>
            <w:r w:rsidR="00AE1C69" w:rsidRPr="00BE4728">
              <w:rPr>
                <w:rFonts w:cs="Calibri"/>
                <w:color w:val="000000"/>
                <w:sz w:val="20"/>
                <w:szCs w:val="20"/>
                <w:vertAlign w:val="superscript"/>
                <w:lang w:val="en-US"/>
              </w:rPr>
              <w:t>f</w:t>
            </w:r>
          </w:p>
        </w:tc>
      </w:tr>
      <w:tr w:rsidR="002508EE" w:rsidRPr="00BE4728" w14:paraId="391C799E" w14:textId="77777777" w:rsidTr="003D13A7">
        <w:trPr>
          <w:cantSplit/>
          <w:trHeight w:val="567"/>
        </w:trPr>
        <w:tc>
          <w:tcPr>
            <w:tcW w:w="808" w:type="pct"/>
            <w:shd w:val="clear" w:color="auto" w:fill="C00000"/>
            <w:vAlign w:val="center"/>
          </w:tcPr>
          <w:p w14:paraId="222E26F4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high PLD induction</w:t>
            </w:r>
          </w:p>
        </w:tc>
        <w:tc>
          <w:tcPr>
            <w:tcW w:w="664" w:type="pct"/>
            <w:vAlign w:val="center"/>
          </w:tcPr>
          <w:p w14:paraId="5F991BA1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&gt; 500 %</w:t>
            </w:r>
          </w:p>
        </w:tc>
        <w:tc>
          <w:tcPr>
            <w:tcW w:w="381" w:type="pct"/>
            <w:vMerge w:val="restart"/>
            <w:textDirection w:val="btLr"/>
            <w:vAlign w:val="center"/>
          </w:tcPr>
          <w:p w14:paraId="36B4748B" w14:textId="5224ADC4" w:rsidR="002508EE" w:rsidRPr="00BE4728" w:rsidRDefault="002508EE" w:rsidP="00BD2846">
            <w:pPr>
              <w:spacing w:after="0" w:line="240" w:lineRule="auto"/>
              <w:ind w:left="113" w:right="113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Authors</w:t>
            </w:r>
            <w:r w:rsidR="000023D6"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'</w:t>
            </w: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own classification</w:t>
            </w:r>
          </w:p>
        </w:tc>
        <w:tc>
          <w:tcPr>
            <w:tcW w:w="716" w:type="pct"/>
            <w:vAlign w:val="center"/>
          </w:tcPr>
          <w:p w14:paraId="43E7CFF0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&gt; 3.5x</w:t>
            </w:r>
          </w:p>
        </w:tc>
        <w:tc>
          <w:tcPr>
            <w:tcW w:w="631" w:type="pct"/>
            <w:vAlign w:val="center"/>
          </w:tcPr>
          <w:p w14:paraId="2F21030E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&gt; 100 %</w:t>
            </w:r>
          </w:p>
        </w:tc>
        <w:tc>
          <w:tcPr>
            <w:tcW w:w="632" w:type="pct"/>
            <w:vAlign w:val="center"/>
          </w:tcPr>
          <w:p w14:paraId="207EF3E6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&gt; 4x</w:t>
            </w:r>
          </w:p>
        </w:tc>
        <w:tc>
          <w:tcPr>
            <w:tcW w:w="723" w:type="pct"/>
            <w:vAlign w:val="center"/>
          </w:tcPr>
          <w:p w14:paraId="415F80CB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&gt; 200 %</w:t>
            </w:r>
          </w:p>
        </w:tc>
        <w:tc>
          <w:tcPr>
            <w:tcW w:w="444" w:type="pct"/>
            <w:vAlign w:val="center"/>
          </w:tcPr>
          <w:p w14:paraId="07DCB51B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Calibri"/>
                <w:color w:val="000000"/>
                <w:sz w:val="20"/>
                <w:szCs w:val="20"/>
                <w:lang w:val="en-US"/>
              </w:rPr>
              <w:t>&gt; 2.5x</w:t>
            </w:r>
          </w:p>
        </w:tc>
      </w:tr>
      <w:tr w:rsidR="002508EE" w:rsidRPr="00BE4728" w14:paraId="1738199A" w14:textId="77777777" w:rsidTr="003D13A7">
        <w:trPr>
          <w:cantSplit/>
          <w:trHeight w:val="567"/>
        </w:trPr>
        <w:tc>
          <w:tcPr>
            <w:tcW w:w="808" w:type="pct"/>
            <w:shd w:val="clear" w:color="auto" w:fill="FF7D7D"/>
            <w:vAlign w:val="center"/>
          </w:tcPr>
          <w:p w14:paraId="14726DB4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medium PLD induction</w:t>
            </w:r>
          </w:p>
        </w:tc>
        <w:tc>
          <w:tcPr>
            <w:tcW w:w="664" w:type="pct"/>
            <w:vAlign w:val="center"/>
          </w:tcPr>
          <w:p w14:paraId="04E75AED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300-500 %</w:t>
            </w:r>
          </w:p>
        </w:tc>
        <w:tc>
          <w:tcPr>
            <w:tcW w:w="381" w:type="pct"/>
            <w:vMerge/>
            <w:vAlign w:val="center"/>
          </w:tcPr>
          <w:p w14:paraId="6FEB8974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vAlign w:val="center"/>
          </w:tcPr>
          <w:p w14:paraId="3A0511EA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2x-3.5x</w:t>
            </w:r>
          </w:p>
        </w:tc>
        <w:tc>
          <w:tcPr>
            <w:tcW w:w="631" w:type="pct"/>
            <w:vAlign w:val="center"/>
          </w:tcPr>
          <w:p w14:paraId="6F8D11B3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50-100 %</w:t>
            </w:r>
          </w:p>
        </w:tc>
        <w:tc>
          <w:tcPr>
            <w:tcW w:w="632" w:type="pct"/>
            <w:vAlign w:val="center"/>
          </w:tcPr>
          <w:p w14:paraId="11ECFC1D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3x-4x</w:t>
            </w:r>
          </w:p>
        </w:tc>
        <w:tc>
          <w:tcPr>
            <w:tcW w:w="723" w:type="pct"/>
            <w:vAlign w:val="center"/>
          </w:tcPr>
          <w:p w14:paraId="4B909038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150-200 %</w:t>
            </w:r>
          </w:p>
        </w:tc>
        <w:tc>
          <w:tcPr>
            <w:tcW w:w="444" w:type="pct"/>
            <w:vAlign w:val="center"/>
          </w:tcPr>
          <w:p w14:paraId="03F98A37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2-2.5x</w:t>
            </w:r>
          </w:p>
        </w:tc>
      </w:tr>
      <w:tr w:rsidR="002508EE" w:rsidRPr="00BE4728" w14:paraId="5C05D754" w14:textId="77777777" w:rsidTr="003D13A7">
        <w:trPr>
          <w:cantSplit/>
          <w:trHeight w:val="567"/>
        </w:trPr>
        <w:tc>
          <w:tcPr>
            <w:tcW w:w="808" w:type="pct"/>
            <w:shd w:val="clear" w:color="auto" w:fill="FFC5C5"/>
            <w:vAlign w:val="center"/>
          </w:tcPr>
          <w:p w14:paraId="5E3AF692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low PLD induction</w:t>
            </w:r>
          </w:p>
        </w:tc>
        <w:tc>
          <w:tcPr>
            <w:tcW w:w="664" w:type="pct"/>
            <w:vAlign w:val="center"/>
          </w:tcPr>
          <w:p w14:paraId="17121FC6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200-300 %</w:t>
            </w:r>
          </w:p>
        </w:tc>
        <w:tc>
          <w:tcPr>
            <w:tcW w:w="381" w:type="pct"/>
            <w:vMerge/>
            <w:vAlign w:val="center"/>
          </w:tcPr>
          <w:p w14:paraId="65954079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vAlign w:val="center"/>
          </w:tcPr>
          <w:p w14:paraId="29D752A7" w14:textId="749C94B1" w:rsidR="002508EE" w:rsidRPr="00BE4728" w:rsidRDefault="001761D4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1.5-</w:t>
            </w:r>
            <w:r w:rsidR="002508EE"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2x</w:t>
            </w:r>
          </w:p>
        </w:tc>
        <w:tc>
          <w:tcPr>
            <w:tcW w:w="631" w:type="pct"/>
            <w:vAlign w:val="center"/>
          </w:tcPr>
          <w:p w14:paraId="448A8B56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&lt; 50 %</w:t>
            </w:r>
          </w:p>
        </w:tc>
        <w:tc>
          <w:tcPr>
            <w:tcW w:w="632" w:type="pct"/>
            <w:vAlign w:val="center"/>
          </w:tcPr>
          <w:p w14:paraId="121044B3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2-3x</w:t>
            </w:r>
          </w:p>
        </w:tc>
        <w:tc>
          <w:tcPr>
            <w:tcW w:w="723" w:type="pct"/>
            <w:vAlign w:val="center"/>
          </w:tcPr>
          <w:p w14:paraId="1528546E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&lt; 150 %</w:t>
            </w:r>
          </w:p>
        </w:tc>
        <w:tc>
          <w:tcPr>
            <w:tcW w:w="444" w:type="pct"/>
            <w:vAlign w:val="center"/>
          </w:tcPr>
          <w:p w14:paraId="473BCBCA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1.5-2x</w:t>
            </w:r>
          </w:p>
        </w:tc>
      </w:tr>
      <w:tr w:rsidR="002508EE" w:rsidRPr="00BE4728" w14:paraId="54A41D42" w14:textId="77777777" w:rsidTr="003D13A7">
        <w:trPr>
          <w:cantSplit/>
          <w:trHeight w:val="567"/>
        </w:trPr>
        <w:tc>
          <w:tcPr>
            <w:tcW w:w="808" w:type="pct"/>
            <w:shd w:val="clear" w:color="auto" w:fill="BDD6EE" w:themeFill="accent5" w:themeFillTint="66"/>
            <w:vAlign w:val="center"/>
          </w:tcPr>
          <w:p w14:paraId="67228E46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no PLD induction</w:t>
            </w:r>
          </w:p>
        </w:tc>
        <w:tc>
          <w:tcPr>
            <w:tcW w:w="664" w:type="pct"/>
            <w:vAlign w:val="center"/>
          </w:tcPr>
          <w:p w14:paraId="33B90EB0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&lt; 200 %</w:t>
            </w:r>
          </w:p>
        </w:tc>
        <w:tc>
          <w:tcPr>
            <w:tcW w:w="381" w:type="pct"/>
            <w:vMerge/>
            <w:vAlign w:val="center"/>
          </w:tcPr>
          <w:p w14:paraId="775A4448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vAlign w:val="center"/>
          </w:tcPr>
          <w:p w14:paraId="5CFA8061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no significant changes</w:t>
            </w:r>
          </w:p>
        </w:tc>
        <w:tc>
          <w:tcPr>
            <w:tcW w:w="631" w:type="pct"/>
            <w:vAlign w:val="center"/>
          </w:tcPr>
          <w:p w14:paraId="111BFDC1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not detected</w:t>
            </w:r>
          </w:p>
        </w:tc>
        <w:tc>
          <w:tcPr>
            <w:tcW w:w="632" w:type="pct"/>
            <w:vAlign w:val="center"/>
          </w:tcPr>
          <w:p w14:paraId="79E299E5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&lt; 2x</w:t>
            </w:r>
          </w:p>
        </w:tc>
        <w:tc>
          <w:tcPr>
            <w:tcW w:w="723" w:type="pct"/>
            <w:vAlign w:val="center"/>
          </w:tcPr>
          <w:p w14:paraId="0536DCA8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no significant changes</w:t>
            </w:r>
          </w:p>
        </w:tc>
        <w:tc>
          <w:tcPr>
            <w:tcW w:w="444" w:type="pct"/>
            <w:vAlign w:val="center"/>
          </w:tcPr>
          <w:p w14:paraId="24BBD341" w14:textId="77777777" w:rsidR="002508EE" w:rsidRPr="00BE4728" w:rsidRDefault="002508EE" w:rsidP="00BD2846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BE4728">
              <w:rPr>
                <w:rFonts w:cs="Arial"/>
                <w:color w:val="000000"/>
                <w:sz w:val="20"/>
                <w:szCs w:val="20"/>
                <w:lang w:val="en-US"/>
              </w:rPr>
              <w:t>&lt; 1.5x</w:t>
            </w:r>
          </w:p>
        </w:tc>
      </w:tr>
    </w:tbl>
    <w:p w14:paraId="6C18A568" w14:textId="6CA758A7" w:rsidR="007E592B" w:rsidRDefault="00AE1C69" w:rsidP="003F553C">
      <w:pPr>
        <w:rPr>
          <w:sz w:val="20"/>
          <w:szCs w:val="20"/>
          <w:lang w:val="en-US"/>
        </w:rPr>
      </w:pPr>
      <w:r w:rsidRPr="00BE4728">
        <w:rPr>
          <w:sz w:val="18"/>
          <w:szCs w:val="18"/>
          <w:lang w:val="en-US"/>
        </w:rPr>
        <w:t>Method details applied in publication (cell number</w:t>
      </w:r>
      <w:r w:rsidR="00F91EF8" w:rsidRPr="00BE4728">
        <w:rPr>
          <w:sz w:val="18"/>
          <w:szCs w:val="18"/>
          <w:lang w:val="en-US"/>
        </w:rPr>
        <w:t xml:space="preserve"> per well</w:t>
      </w:r>
      <w:r w:rsidRPr="00BE4728">
        <w:rPr>
          <w:sz w:val="18"/>
          <w:szCs w:val="18"/>
          <w:lang w:val="en-US"/>
        </w:rPr>
        <w:t xml:space="preserve">, well format, incubation duration, </w:t>
      </w:r>
      <w:r w:rsidR="00F91EF8" w:rsidRPr="00BE4728">
        <w:rPr>
          <w:sz w:val="18"/>
          <w:szCs w:val="18"/>
          <w:lang w:val="en-US"/>
        </w:rPr>
        <w:t>used dye):</w:t>
      </w:r>
      <w:r w:rsidRPr="00BE4728">
        <w:rPr>
          <w:sz w:val="18"/>
          <w:szCs w:val="18"/>
          <w:lang w:val="en-US"/>
        </w:rPr>
        <w:t xml:space="preserve"> </w:t>
      </w:r>
      <w:r w:rsidRPr="00BE4728">
        <w:rPr>
          <w:sz w:val="18"/>
          <w:szCs w:val="18"/>
          <w:vertAlign w:val="superscript"/>
          <w:lang w:val="en-US"/>
        </w:rPr>
        <w:t>a</w:t>
      </w:r>
      <w:r w:rsidR="00F91EF8" w:rsidRPr="00BE4728">
        <w:rPr>
          <w:sz w:val="18"/>
          <w:szCs w:val="18"/>
          <w:lang w:val="en-US"/>
        </w:rPr>
        <w:t xml:space="preserve">30,000 HepG2 cells, 24-well, 72 h, electron microscopy; </w:t>
      </w:r>
      <w:r w:rsidR="00F91EF8" w:rsidRPr="00BE4728">
        <w:rPr>
          <w:sz w:val="18"/>
          <w:szCs w:val="18"/>
          <w:vertAlign w:val="superscript"/>
          <w:lang w:val="en-US"/>
        </w:rPr>
        <w:t>b</w:t>
      </w:r>
      <w:r w:rsidR="00F91EF8" w:rsidRPr="00BE4728">
        <w:rPr>
          <w:sz w:val="18"/>
          <w:szCs w:val="18"/>
          <w:lang w:val="en-US"/>
        </w:rPr>
        <w:t xml:space="preserve">3,000 HepG2 cells, 96-well, 48 h, LipidTOX™; </w:t>
      </w:r>
      <w:r w:rsidR="00F91EF8" w:rsidRPr="00BE4728">
        <w:rPr>
          <w:sz w:val="18"/>
          <w:szCs w:val="18"/>
          <w:vertAlign w:val="superscript"/>
          <w:lang w:val="en-US"/>
        </w:rPr>
        <w:t>c</w:t>
      </w:r>
      <w:r w:rsidR="00F91EF8" w:rsidRPr="00BE4728">
        <w:rPr>
          <w:sz w:val="18"/>
          <w:szCs w:val="18"/>
          <w:lang w:val="en-US"/>
        </w:rPr>
        <w:t xml:space="preserve">5,000 HepG2 cells, 96-well, 24 h, NBD-PE; </w:t>
      </w:r>
      <w:r w:rsidR="00F91EF8" w:rsidRPr="00BE4728">
        <w:rPr>
          <w:sz w:val="18"/>
          <w:szCs w:val="18"/>
          <w:vertAlign w:val="superscript"/>
          <w:lang w:val="en-US"/>
        </w:rPr>
        <w:t>d</w:t>
      </w:r>
      <w:r w:rsidR="00F91EF8" w:rsidRPr="00BE4728">
        <w:rPr>
          <w:sz w:val="18"/>
          <w:szCs w:val="18"/>
          <w:lang w:val="en-US"/>
        </w:rPr>
        <w:t xml:space="preserve">10,000 HepG2 cells, 96-well, 24 h, LipidTOX™; </w:t>
      </w:r>
      <w:r w:rsidR="00F91EF8" w:rsidRPr="00BE4728">
        <w:rPr>
          <w:sz w:val="18"/>
          <w:szCs w:val="18"/>
          <w:vertAlign w:val="superscript"/>
          <w:lang w:val="en-US"/>
        </w:rPr>
        <w:t>e</w:t>
      </w:r>
      <w:r w:rsidR="00F91EF8" w:rsidRPr="00BE4728">
        <w:rPr>
          <w:sz w:val="18"/>
          <w:szCs w:val="18"/>
          <w:lang w:val="en-US"/>
        </w:rPr>
        <w:t xml:space="preserve">5,000 HepG2 cells, 96-well, 24 h, LipidTOX™ and NBD-PE; </w:t>
      </w:r>
      <w:r w:rsidR="00F91EF8" w:rsidRPr="00BE4728">
        <w:rPr>
          <w:sz w:val="18"/>
          <w:szCs w:val="18"/>
          <w:vertAlign w:val="superscript"/>
          <w:lang w:val="en-US"/>
        </w:rPr>
        <w:t>f</w:t>
      </w:r>
      <w:r w:rsidR="00F91EF8" w:rsidRPr="00BE4728">
        <w:rPr>
          <w:sz w:val="18"/>
          <w:szCs w:val="18"/>
          <w:lang w:val="en-US"/>
        </w:rPr>
        <w:t>100,000 diff. HepaRG cells, 96-well, 48 h,</w:t>
      </w:r>
      <w:r w:rsidR="00F91EF8" w:rsidRPr="00BE4728">
        <w:rPr>
          <w:color w:val="7F7F7F" w:themeColor="text1" w:themeTint="80"/>
          <w:sz w:val="18"/>
          <w:szCs w:val="18"/>
          <w:lang w:val="en-US"/>
        </w:rPr>
        <w:t xml:space="preserve"> </w:t>
      </w:r>
      <w:r w:rsidR="00F91EF8" w:rsidRPr="00BE4728">
        <w:rPr>
          <w:sz w:val="18"/>
          <w:szCs w:val="18"/>
          <w:lang w:val="en-US"/>
        </w:rPr>
        <w:t>LYSO-ID Red dye</w:t>
      </w:r>
    </w:p>
    <w:p w14:paraId="2002DE85" w14:textId="77777777" w:rsidR="007E592B" w:rsidRDefault="007E592B">
      <w:pPr>
        <w:jc w:val="lef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6DD30EF8" w14:textId="74EEBCED" w:rsidR="003528CC" w:rsidRPr="007E592B" w:rsidRDefault="0056628B" w:rsidP="007E592B">
      <w:pPr>
        <w:rPr>
          <w:lang w:val="en-US"/>
        </w:rPr>
      </w:pPr>
      <w:r>
        <w:object w:dxaOrig="11398" w:dyaOrig="14871" w14:anchorId="3B2CEF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590.25pt" o:ole="">
            <v:imagedata r:id="rId10" o:title=""/>
          </v:shape>
          <o:OLEObject Type="Embed" ProgID="Prism10.Document" ShapeID="_x0000_i1025" DrawAspect="Content" ObjectID="_1824294870" r:id="rId11"/>
        </w:object>
      </w:r>
      <w:bookmarkStart w:id="1" w:name="_Ref190266679"/>
      <w:r w:rsidR="00F5574C" w:rsidRPr="00BC4731">
        <w:rPr>
          <w:b/>
          <w:bCs/>
          <w:lang w:val="en-US"/>
        </w:rPr>
        <w:t>Figure</w:t>
      </w:r>
      <w:r w:rsidR="007E592B" w:rsidRPr="00BC4731">
        <w:rPr>
          <w:b/>
          <w:bCs/>
          <w:lang w:val="en-US"/>
        </w:rPr>
        <w:t> </w:t>
      </w:r>
      <w:r w:rsidR="00B121B9" w:rsidRPr="00BC4731">
        <w:rPr>
          <w:b/>
          <w:bCs/>
          <w:lang w:val="en-US"/>
        </w:rPr>
        <w:t>S</w:t>
      </w:r>
      <w:bookmarkEnd w:id="1"/>
      <w:r w:rsidR="007E592B" w:rsidRPr="00BC4731">
        <w:rPr>
          <w:b/>
          <w:bCs/>
          <w:lang w:val="en-US"/>
        </w:rPr>
        <w:t>1</w:t>
      </w:r>
      <w:r w:rsidR="00F5574C" w:rsidRPr="00BE4728">
        <w:rPr>
          <w:lang w:val="en-US"/>
        </w:rPr>
        <w:t xml:space="preserve"> Viability of HepaRG cells after incubation with all tested substance. Cell viability was measured using the WST-1 assay after 24 h of incubation. Absorbance was normalized to solvent control and the fitted curves for IC</w:t>
      </w:r>
      <w:r w:rsidR="00F5574C" w:rsidRPr="00BE4728">
        <w:rPr>
          <w:vertAlign w:val="subscript"/>
          <w:lang w:val="en-US"/>
        </w:rPr>
        <w:t>50</w:t>
      </w:r>
      <w:r w:rsidR="00F5574C" w:rsidRPr="00BE4728">
        <w:rPr>
          <w:lang w:val="en-US"/>
        </w:rPr>
        <w:t xml:space="preserve"> calculated. Data represent mean ± SD (n=3 independent experiments)</w:t>
      </w:r>
      <w:r w:rsidR="00F5574C" w:rsidRPr="00BE4728">
        <w:rPr>
          <w:sz w:val="18"/>
          <w:szCs w:val="18"/>
          <w:lang w:val="en-US"/>
        </w:rPr>
        <w:br w:type="page"/>
      </w:r>
    </w:p>
    <w:p w14:paraId="54F22E9D" w14:textId="1536B7BB" w:rsidR="003528CC" w:rsidRPr="00BE4728" w:rsidRDefault="00A8553B" w:rsidP="00CF030D">
      <w:pPr>
        <w:spacing w:after="0"/>
        <w:jc w:val="left"/>
        <w:rPr>
          <w:lang w:val="en-US"/>
        </w:rPr>
      </w:pPr>
      <w:r>
        <w:object w:dxaOrig="11191" w:dyaOrig="14436" w14:anchorId="64C62882">
          <v:shape id="_x0000_i1026" type="#_x0000_t75" style="width:452.4pt;height:584.85pt" o:ole="">
            <v:imagedata r:id="rId12" o:title=""/>
          </v:shape>
          <o:OLEObject Type="Embed" ProgID="Prism10.Document" ShapeID="_x0000_i1026" DrawAspect="Content" ObjectID="_1824294871" r:id="rId13"/>
        </w:object>
      </w:r>
    </w:p>
    <w:p w14:paraId="2D4E6639" w14:textId="01B3A123" w:rsidR="003528CC" w:rsidRPr="00BE4728" w:rsidRDefault="00F5574C">
      <w:pPr>
        <w:rPr>
          <w:lang w:val="en-US"/>
        </w:rPr>
      </w:pPr>
      <w:bookmarkStart w:id="2" w:name="_Ref190447670"/>
      <w:r w:rsidRPr="00BC4731">
        <w:rPr>
          <w:b/>
          <w:bCs/>
          <w:lang w:val="en-US"/>
        </w:rPr>
        <w:t>Figure</w:t>
      </w:r>
      <w:r w:rsidR="007E592B" w:rsidRPr="00BC4731">
        <w:rPr>
          <w:b/>
          <w:bCs/>
          <w:lang w:val="en-US"/>
        </w:rPr>
        <w:t> </w:t>
      </w:r>
      <w:r w:rsidR="00B121B9" w:rsidRPr="00BC4731">
        <w:rPr>
          <w:b/>
          <w:bCs/>
          <w:lang w:val="en-US"/>
        </w:rPr>
        <w:t>S</w:t>
      </w:r>
      <w:bookmarkEnd w:id="2"/>
      <w:r w:rsidR="007E592B" w:rsidRPr="00BC4731">
        <w:rPr>
          <w:b/>
          <w:bCs/>
          <w:lang w:val="en-US"/>
        </w:rPr>
        <w:t>2</w:t>
      </w:r>
      <w:r w:rsidRPr="00BE4728">
        <w:rPr>
          <w:lang w:val="en-US"/>
        </w:rPr>
        <w:t xml:space="preserve"> Phospholipid quantification after treatment with known phospholipidosis inducers</w:t>
      </w:r>
      <w:r w:rsidRPr="00BE4728">
        <w:rPr>
          <w:i/>
          <w:iCs/>
          <w:lang w:val="en-US"/>
        </w:rPr>
        <w:t xml:space="preserve">. </w:t>
      </w:r>
      <w:r w:rsidRPr="00BE4728">
        <w:rPr>
          <w:lang w:val="en-US"/>
        </w:rPr>
        <w:t xml:space="preserve">Differentiated HepaRG cells were treated for 24 h with LipidTOX™ and indicated concentrations of each substance. Displayed are concentration-dependent induction for substances that showed phospholipidosis induction </w:t>
      </w:r>
      <w:r w:rsidRPr="00BE4728">
        <w:rPr>
          <w:i/>
          <w:iCs/>
          <w:lang w:val="en-US"/>
        </w:rPr>
        <w:t>in vivo</w:t>
      </w:r>
      <w:r w:rsidRPr="00BE4728">
        <w:rPr>
          <w:lang w:val="en-US"/>
        </w:rPr>
        <w:t xml:space="preserve">. The phospholipid content was normalized to the solvent control. Data </w:t>
      </w:r>
      <w:r w:rsidR="0094124B" w:rsidRPr="00BE4728">
        <w:rPr>
          <w:lang w:val="en-US"/>
        </w:rPr>
        <w:t>are</w:t>
      </w:r>
      <w:r w:rsidRPr="00BE4728">
        <w:rPr>
          <w:lang w:val="en-US"/>
        </w:rPr>
        <w:t xml:space="preserve"> presented as the mean of three biological replicates ± SD (one-way ANOVA against solvent control: *p ≤ 0.05, **p ≤ 0.01, ***p ≤ 0.001, and ****p ≤ 0.0001)</w:t>
      </w:r>
    </w:p>
    <w:p w14:paraId="33B45720" w14:textId="77777777" w:rsidR="003528CC" w:rsidRPr="00BE4728" w:rsidRDefault="00F5574C">
      <w:pPr>
        <w:jc w:val="left"/>
        <w:rPr>
          <w:lang w:val="en-US"/>
        </w:rPr>
      </w:pPr>
      <w:r w:rsidRPr="00BE4728">
        <w:rPr>
          <w:lang w:val="en-US"/>
        </w:rPr>
        <w:t xml:space="preserve"> </w:t>
      </w:r>
      <w:r w:rsidRPr="00BE4728">
        <w:rPr>
          <w:lang w:val="en-US"/>
        </w:rPr>
        <w:br w:type="page"/>
      </w:r>
    </w:p>
    <w:p w14:paraId="287F25DE" w14:textId="31C1005E" w:rsidR="003528CC" w:rsidRPr="00BE4728" w:rsidRDefault="00BC3169" w:rsidP="00BC3169">
      <w:pPr>
        <w:spacing w:after="0" w:line="240" w:lineRule="auto"/>
        <w:jc w:val="left"/>
        <w:rPr>
          <w:lang w:val="en-US"/>
        </w:rPr>
      </w:pPr>
      <w:r>
        <w:object w:dxaOrig="8815" w:dyaOrig="13493" w14:anchorId="03D2BEE9">
          <v:shape id="_x0000_i1027" type="#_x0000_t75" style="width:441.5pt;height:616.75pt" o:ole="">
            <v:imagedata r:id="rId14" o:title=""/>
          </v:shape>
          <o:OLEObject Type="Embed" ProgID="Prism10.Document" ShapeID="_x0000_i1027" DrawAspect="Content" ObjectID="_1824294872" r:id="rId15"/>
        </w:object>
      </w:r>
    </w:p>
    <w:p w14:paraId="11F89090" w14:textId="2DDB976F" w:rsidR="00BE4728" w:rsidRPr="00BE4728" w:rsidRDefault="00F5574C">
      <w:pPr>
        <w:rPr>
          <w:lang w:val="en-US"/>
        </w:rPr>
      </w:pPr>
      <w:bookmarkStart w:id="3" w:name="_Ref190447678"/>
      <w:r w:rsidRPr="00BC4731">
        <w:rPr>
          <w:b/>
          <w:bCs/>
          <w:lang w:val="en-US"/>
        </w:rPr>
        <w:t>Figure</w:t>
      </w:r>
      <w:r w:rsidR="007E592B" w:rsidRPr="00BC4731">
        <w:rPr>
          <w:b/>
          <w:bCs/>
          <w:lang w:val="en-US"/>
        </w:rPr>
        <w:t> </w:t>
      </w:r>
      <w:r w:rsidR="00B121B9" w:rsidRPr="00BC4731">
        <w:rPr>
          <w:b/>
          <w:bCs/>
          <w:lang w:val="en-US"/>
        </w:rPr>
        <w:t>S</w:t>
      </w:r>
      <w:bookmarkEnd w:id="3"/>
      <w:r w:rsidR="007E592B" w:rsidRPr="00BC4731">
        <w:rPr>
          <w:b/>
          <w:bCs/>
          <w:lang w:val="en-US"/>
        </w:rPr>
        <w:t>3</w:t>
      </w:r>
      <w:r w:rsidRPr="00BE4728">
        <w:rPr>
          <w:lang w:val="en-US"/>
        </w:rPr>
        <w:t xml:space="preserve"> Phospholipid quantification after treatment with known non-phospholipidosis inducers</w:t>
      </w:r>
      <w:r w:rsidRPr="00BE4728">
        <w:rPr>
          <w:i/>
          <w:iCs/>
          <w:lang w:val="en-US"/>
        </w:rPr>
        <w:t xml:space="preserve">. </w:t>
      </w:r>
      <w:r w:rsidRPr="00BE4728">
        <w:rPr>
          <w:lang w:val="en-US"/>
        </w:rPr>
        <w:t xml:space="preserve">Differentiated HepaRG cells were treated for 24 h with LipidTOX™ and indicated concentrations of each substance. Displayed are concentration-dependent induction for substances that showed no phospholipidosis induction </w:t>
      </w:r>
      <w:r w:rsidRPr="00BE4728">
        <w:rPr>
          <w:i/>
          <w:iCs/>
          <w:lang w:val="en-US"/>
        </w:rPr>
        <w:t>in vivo</w:t>
      </w:r>
      <w:r w:rsidRPr="00BE4728">
        <w:rPr>
          <w:lang w:val="en-US"/>
        </w:rPr>
        <w:t xml:space="preserve">. The phospholipid content was normalized to the solvent control. Data </w:t>
      </w:r>
      <w:r w:rsidR="0094124B" w:rsidRPr="00BE4728">
        <w:rPr>
          <w:lang w:val="en-US"/>
        </w:rPr>
        <w:t>are</w:t>
      </w:r>
      <w:r w:rsidRPr="00BE4728">
        <w:rPr>
          <w:lang w:val="en-US"/>
        </w:rPr>
        <w:t xml:space="preserve"> presented as the mean of three biological replicates ± SD (one-way ANOVA against solvent control: *p ≤ 0.05, **p ≤ 0.01, ***p ≤ 0.001, and ****p ≤ 0.0001)</w:t>
      </w:r>
    </w:p>
    <w:sectPr w:rsidR="00BE4728" w:rsidRPr="00BE4728">
      <w:footerReference w:type="defaul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9666" w14:textId="77777777" w:rsidR="007171D1" w:rsidRDefault="007171D1">
      <w:pPr>
        <w:spacing w:after="0" w:line="240" w:lineRule="auto"/>
      </w:pPr>
      <w:r>
        <w:separator/>
      </w:r>
    </w:p>
  </w:endnote>
  <w:endnote w:type="continuationSeparator" w:id="0">
    <w:p w14:paraId="2532AAA0" w14:textId="77777777" w:rsidR="007171D1" w:rsidRDefault="0071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9610015"/>
      <w:docPartObj>
        <w:docPartGallery w:val="Page Numbers (Bottom of Page)"/>
        <w:docPartUnique/>
      </w:docPartObj>
    </w:sdtPr>
    <w:sdtEndPr/>
    <w:sdtContent>
      <w:p w14:paraId="010D64EA" w14:textId="77777777" w:rsidR="003528CC" w:rsidRDefault="00F5574C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506CC" w14:textId="77777777" w:rsidR="003528CC" w:rsidRDefault="003528C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646EA" w14:textId="77777777" w:rsidR="007171D1" w:rsidRDefault="007171D1">
      <w:pPr>
        <w:spacing w:after="0" w:line="240" w:lineRule="auto"/>
      </w:pPr>
      <w:r>
        <w:separator/>
      </w:r>
    </w:p>
  </w:footnote>
  <w:footnote w:type="continuationSeparator" w:id="0">
    <w:p w14:paraId="32D591C1" w14:textId="77777777" w:rsidR="007171D1" w:rsidRDefault="0071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24920"/>
    <w:multiLevelType w:val="hybridMultilevel"/>
    <w:tmpl w:val="5F48D156"/>
    <w:lvl w:ilvl="0" w:tplc="4C388312">
      <w:start w:val="1"/>
      <w:numFmt w:val="decimal"/>
      <w:pStyle w:val="berschrift1"/>
      <w:lvlText w:val="%1."/>
      <w:lvlJc w:val="left"/>
      <w:pPr>
        <w:ind w:left="720" w:hanging="360"/>
      </w:pPr>
      <w:rPr>
        <w:b/>
        <w:bCs/>
        <w:highlight w:val="none"/>
      </w:rPr>
    </w:lvl>
    <w:lvl w:ilvl="1" w:tplc="12CA19C8">
      <w:start w:val="1"/>
      <w:numFmt w:val="lowerLetter"/>
      <w:lvlText w:val="%2."/>
      <w:lvlJc w:val="left"/>
      <w:pPr>
        <w:ind w:left="1440" w:hanging="360"/>
      </w:pPr>
    </w:lvl>
    <w:lvl w:ilvl="2" w:tplc="4F8AE106">
      <w:start w:val="1"/>
      <w:numFmt w:val="lowerRoman"/>
      <w:lvlText w:val="%3."/>
      <w:lvlJc w:val="right"/>
      <w:pPr>
        <w:ind w:left="2160" w:hanging="180"/>
      </w:pPr>
    </w:lvl>
    <w:lvl w:ilvl="3" w:tplc="4E6CDE00">
      <w:start w:val="1"/>
      <w:numFmt w:val="decimal"/>
      <w:lvlText w:val="%4."/>
      <w:lvlJc w:val="left"/>
      <w:pPr>
        <w:ind w:left="2880" w:hanging="360"/>
      </w:pPr>
    </w:lvl>
    <w:lvl w:ilvl="4" w:tplc="4656D2A8">
      <w:start w:val="1"/>
      <w:numFmt w:val="lowerLetter"/>
      <w:lvlText w:val="%5."/>
      <w:lvlJc w:val="left"/>
      <w:pPr>
        <w:ind w:left="3600" w:hanging="360"/>
      </w:pPr>
    </w:lvl>
    <w:lvl w:ilvl="5" w:tplc="1D20D756">
      <w:start w:val="1"/>
      <w:numFmt w:val="lowerRoman"/>
      <w:lvlText w:val="%6."/>
      <w:lvlJc w:val="right"/>
      <w:pPr>
        <w:ind w:left="4320" w:hanging="180"/>
      </w:pPr>
    </w:lvl>
    <w:lvl w:ilvl="6" w:tplc="77349BC8">
      <w:start w:val="1"/>
      <w:numFmt w:val="decimal"/>
      <w:lvlText w:val="%7."/>
      <w:lvlJc w:val="left"/>
      <w:pPr>
        <w:ind w:left="5040" w:hanging="360"/>
      </w:pPr>
    </w:lvl>
    <w:lvl w:ilvl="7" w:tplc="DECE07BE">
      <w:start w:val="1"/>
      <w:numFmt w:val="lowerLetter"/>
      <w:lvlText w:val="%8."/>
      <w:lvlJc w:val="left"/>
      <w:pPr>
        <w:ind w:left="5760" w:hanging="360"/>
      </w:pPr>
    </w:lvl>
    <w:lvl w:ilvl="8" w:tplc="492EDA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A61D3"/>
    <w:multiLevelType w:val="hybridMultilevel"/>
    <w:tmpl w:val="3CD4160A"/>
    <w:lvl w:ilvl="0" w:tplc="D9A29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A221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7A9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7EA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A278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20D7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EE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0A59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B46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734E9"/>
    <w:multiLevelType w:val="hybridMultilevel"/>
    <w:tmpl w:val="03646470"/>
    <w:lvl w:ilvl="0" w:tplc="BB80C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94C1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0C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5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B2FA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82B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424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B24E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C47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B0F5B"/>
    <w:multiLevelType w:val="hybridMultilevel"/>
    <w:tmpl w:val="9CB4368A"/>
    <w:lvl w:ilvl="0" w:tplc="A9A49664">
      <w:start w:val="1"/>
      <w:numFmt w:val="decimal"/>
      <w:lvlText w:val="%1."/>
      <w:lvlJc w:val="left"/>
      <w:pPr>
        <w:ind w:left="720" w:hanging="360"/>
      </w:pPr>
    </w:lvl>
    <w:lvl w:ilvl="1" w:tplc="F25A1CAE">
      <w:start w:val="1"/>
      <w:numFmt w:val="lowerLetter"/>
      <w:lvlText w:val="%2."/>
      <w:lvlJc w:val="left"/>
      <w:pPr>
        <w:ind w:left="1440" w:hanging="360"/>
      </w:pPr>
    </w:lvl>
    <w:lvl w:ilvl="2" w:tplc="C4E871E4">
      <w:start w:val="1"/>
      <w:numFmt w:val="lowerRoman"/>
      <w:lvlText w:val="%3."/>
      <w:lvlJc w:val="right"/>
      <w:pPr>
        <w:ind w:left="2160" w:hanging="180"/>
      </w:pPr>
    </w:lvl>
    <w:lvl w:ilvl="3" w:tplc="A0182AF4">
      <w:start w:val="1"/>
      <w:numFmt w:val="decimal"/>
      <w:lvlText w:val="%4."/>
      <w:lvlJc w:val="left"/>
      <w:pPr>
        <w:ind w:left="2880" w:hanging="360"/>
      </w:pPr>
    </w:lvl>
    <w:lvl w:ilvl="4" w:tplc="26FCE050">
      <w:start w:val="1"/>
      <w:numFmt w:val="lowerLetter"/>
      <w:lvlText w:val="%5."/>
      <w:lvlJc w:val="left"/>
      <w:pPr>
        <w:ind w:left="3600" w:hanging="360"/>
      </w:pPr>
    </w:lvl>
    <w:lvl w:ilvl="5" w:tplc="F1865634">
      <w:start w:val="1"/>
      <w:numFmt w:val="lowerRoman"/>
      <w:lvlText w:val="%6."/>
      <w:lvlJc w:val="right"/>
      <w:pPr>
        <w:ind w:left="4320" w:hanging="180"/>
      </w:pPr>
    </w:lvl>
    <w:lvl w:ilvl="6" w:tplc="6158CC0A">
      <w:start w:val="1"/>
      <w:numFmt w:val="decimal"/>
      <w:lvlText w:val="%7."/>
      <w:lvlJc w:val="left"/>
      <w:pPr>
        <w:ind w:left="5040" w:hanging="360"/>
      </w:pPr>
    </w:lvl>
    <w:lvl w:ilvl="7" w:tplc="5734B810">
      <w:start w:val="1"/>
      <w:numFmt w:val="lowerLetter"/>
      <w:lvlText w:val="%8."/>
      <w:lvlJc w:val="left"/>
      <w:pPr>
        <w:ind w:left="5760" w:hanging="360"/>
      </w:pPr>
    </w:lvl>
    <w:lvl w:ilvl="8" w:tplc="C690FB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1983"/>
    <w:multiLevelType w:val="hybridMultilevel"/>
    <w:tmpl w:val="E6248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C78BC"/>
    <w:multiLevelType w:val="hybridMultilevel"/>
    <w:tmpl w:val="288AA5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F5D46"/>
    <w:multiLevelType w:val="hybridMultilevel"/>
    <w:tmpl w:val="F4C6F7B0"/>
    <w:lvl w:ilvl="0" w:tplc="89F4CE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B48B9"/>
    <w:multiLevelType w:val="multilevel"/>
    <w:tmpl w:val="34A4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80745"/>
    <w:multiLevelType w:val="multilevel"/>
    <w:tmpl w:val="1AD6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C7706"/>
    <w:multiLevelType w:val="hybridMultilevel"/>
    <w:tmpl w:val="F056DAAC"/>
    <w:lvl w:ilvl="0" w:tplc="A538D69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96A663E">
      <w:start w:val="1"/>
      <w:numFmt w:val="lowerLetter"/>
      <w:lvlText w:val="%2."/>
      <w:lvlJc w:val="left"/>
      <w:pPr>
        <w:ind w:left="1440" w:hanging="360"/>
      </w:pPr>
    </w:lvl>
    <w:lvl w:ilvl="2" w:tplc="D45A00E4">
      <w:start w:val="1"/>
      <w:numFmt w:val="lowerRoman"/>
      <w:lvlText w:val="%3."/>
      <w:lvlJc w:val="right"/>
      <w:pPr>
        <w:ind w:left="2160" w:hanging="180"/>
      </w:pPr>
    </w:lvl>
    <w:lvl w:ilvl="3" w:tplc="8C1C6E9C">
      <w:start w:val="1"/>
      <w:numFmt w:val="decimal"/>
      <w:lvlText w:val="%4."/>
      <w:lvlJc w:val="left"/>
      <w:pPr>
        <w:ind w:left="2880" w:hanging="360"/>
      </w:pPr>
    </w:lvl>
    <w:lvl w:ilvl="4" w:tplc="D65C4A30">
      <w:start w:val="1"/>
      <w:numFmt w:val="lowerLetter"/>
      <w:lvlText w:val="%5."/>
      <w:lvlJc w:val="left"/>
      <w:pPr>
        <w:ind w:left="3600" w:hanging="360"/>
      </w:pPr>
    </w:lvl>
    <w:lvl w:ilvl="5" w:tplc="86CE016C">
      <w:start w:val="1"/>
      <w:numFmt w:val="lowerRoman"/>
      <w:lvlText w:val="%6."/>
      <w:lvlJc w:val="right"/>
      <w:pPr>
        <w:ind w:left="4320" w:hanging="180"/>
      </w:pPr>
    </w:lvl>
    <w:lvl w:ilvl="6" w:tplc="0B5E51BA">
      <w:start w:val="1"/>
      <w:numFmt w:val="decimal"/>
      <w:lvlText w:val="%7."/>
      <w:lvlJc w:val="left"/>
      <w:pPr>
        <w:ind w:left="5040" w:hanging="360"/>
      </w:pPr>
    </w:lvl>
    <w:lvl w:ilvl="7" w:tplc="B1B03958">
      <w:start w:val="1"/>
      <w:numFmt w:val="lowerLetter"/>
      <w:lvlText w:val="%8."/>
      <w:lvlJc w:val="left"/>
      <w:pPr>
        <w:ind w:left="5760" w:hanging="360"/>
      </w:pPr>
    </w:lvl>
    <w:lvl w:ilvl="8" w:tplc="2F58C79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35D7A"/>
    <w:multiLevelType w:val="hybridMultilevel"/>
    <w:tmpl w:val="D3D8C5E0"/>
    <w:lvl w:ilvl="0" w:tplc="A4AE3B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8A9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CE5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20F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CB4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4A8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227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303A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08D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E7124"/>
    <w:multiLevelType w:val="hybridMultilevel"/>
    <w:tmpl w:val="6EBC8E3E"/>
    <w:lvl w:ilvl="0" w:tplc="7D686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54F4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2B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63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64FF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DE8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604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9C97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A0C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421D4"/>
    <w:multiLevelType w:val="hybridMultilevel"/>
    <w:tmpl w:val="44E8DB44"/>
    <w:lvl w:ilvl="0" w:tplc="569896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C1D47"/>
    <w:multiLevelType w:val="hybridMultilevel"/>
    <w:tmpl w:val="B05E9118"/>
    <w:lvl w:ilvl="0" w:tplc="C7D48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704F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5EF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AC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0038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E20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5EC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4C3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9C2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84BED"/>
    <w:multiLevelType w:val="hybridMultilevel"/>
    <w:tmpl w:val="325C5916"/>
    <w:lvl w:ilvl="0" w:tplc="14986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F4E3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9CE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ECAE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EC9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1AE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E6C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0B9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BC6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30EB0"/>
    <w:multiLevelType w:val="hybridMultilevel"/>
    <w:tmpl w:val="F4A05A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"/>
  </w:num>
  <w:num w:numId="5">
    <w:abstractNumId w:val="0"/>
  </w:num>
  <w:num w:numId="6">
    <w:abstractNumId w:val="10"/>
  </w:num>
  <w:num w:numId="7">
    <w:abstractNumId w:val="9"/>
  </w:num>
  <w:num w:numId="8">
    <w:abstractNumId w:val="13"/>
  </w:num>
  <w:num w:numId="9">
    <w:abstractNumId w:val="3"/>
  </w:num>
  <w:num w:numId="10">
    <w:abstractNumId w:val="0"/>
    <w:lvlOverride w:ilvl="0">
      <w:startOverride w:val="1"/>
    </w:lvlOverride>
  </w:num>
  <w:num w:numId="11">
    <w:abstractNumId w:val="5"/>
  </w:num>
  <w:num w:numId="12">
    <w:abstractNumId w:val="4"/>
  </w:num>
  <w:num w:numId="13">
    <w:abstractNumId w:val="6"/>
  </w:num>
  <w:num w:numId="14">
    <w:abstractNumId w:val="15"/>
  </w:num>
  <w:num w:numId="15">
    <w:abstractNumId w:val="12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tfrp2pedwawyersrppwstvvpzf5zr5e0s9&quot;&gt;My EndNote Library - Kopie&lt;record-ids&gt;&lt;item&gt;4&lt;/item&gt;&lt;item&gt;8&lt;/item&gt;&lt;item&gt;10&lt;/item&gt;&lt;item&gt;12&lt;/item&gt;&lt;item&gt;13&lt;/item&gt;&lt;item&gt;26&lt;/item&gt;&lt;item&gt;39&lt;/item&gt;&lt;item&gt;40&lt;/item&gt;&lt;item&gt;41&lt;/item&gt;&lt;item&gt;48&lt;/item&gt;&lt;item&gt;49&lt;/item&gt;&lt;item&gt;50&lt;/item&gt;&lt;item&gt;53&lt;/item&gt;&lt;item&gt;54&lt;/item&gt;&lt;item&gt;59&lt;/item&gt;&lt;item&gt;60&lt;/item&gt;&lt;item&gt;65&lt;/item&gt;&lt;item&gt;66&lt;/item&gt;&lt;item&gt;67&lt;/item&gt;&lt;item&gt;68&lt;/item&gt;&lt;item&gt;69&lt;/item&gt;&lt;item&gt;70&lt;/item&gt;&lt;item&gt;71&lt;/item&gt;&lt;item&gt;72&lt;/item&gt;&lt;item&gt;74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5&lt;/item&gt;&lt;item&gt;98&lt;/item&gt;&lt;/record-ids&gt;&lt;/item&gt;&lt;/Libraries&gt;"/>
  </w:docVars>
  <w:rsids>
    <w:rsidRoot w:val="003528CC"/>
    <w:rsid w:val="000023D6"/>
    <w:rsid w:val="000026FF"/>
    <w:rsid w:val="00007AE9"/>
    <w:rsid w:val="0001525A"/>
    <w:rsid w:val="000170A0"/>
    <w:rsid w:val="00025FFF"/>
    <w:rsid w:val="000265DF"/>
    <w:rsid w:val="0003086F"/>
    <w:rsid w:val="00032D4C"/>
    <w:rsid w:val="00032E3A"/>
    <w:rsid w:val="000414F4"/>
    <w:rsid w:val="00044EB7"/>
    <w:rsid w:val="00052BFF"/>
    <w:rsid w:val="00060E4C"/>
    <w:rsid w:val="00075191"/>
    <w:rsid w:val="0007557B"/>
    <w:rsid w:val="0007625C"/>
    <w:rsid w:val="000777B9"/>
    <w:rsid w:val="000840B6"/>
    <w:rsid w:val="00097C85"/>
    <w:rsid w:val="000A37D4"/>
    <w:rsid w:val="000B0EEF"/>
    <w:rsid w:val="000B184E"/>
    <w:rsid w:val="000B5E65"/>
    <w:rsid w:val="000C3CF5"/>
    <w:rsid w:val="000C735D"/>
    <w:rsid w:val="000D30C2"/>
    <w:rsid w:val="000D595F"/>
    <w:rsid w:val="000D63F4"/>
    <w:rsid w:val="000F52CF"/>
    <w:rsid w:val="000F5ECD"/>
    <w:rsid w:val="000F6D93"/>
    <w:rsid w:val="00103592"/>
    <w:rsid w:val="001328A0"/>
    <w:rsid w:val="00135986"/>
    <w:rsid w:val="00136057"/>
    <w:rsid w:val="00144568"/>
    <w:rsid w:val="00144BDD"/>
    <w:rsid w:val="00144E76"/>
    <w:rsid w:val="00146CDF"/>
    <w:rsid w:val="0014738B"/>
    <w:rsid w:val="001523E6"/>
    <w:rsid w:val="00154A80"/>
    <w:rsid w:val="001551FB"/>
    <w:rsid w:val="001761D4"/>
    <w:rsid w:val="0018156B"/>
    <w:rsid w:val="00191790"/>
    <w:rsid w:val="001939B3"/>
    <w:rsid w:val="001A05F5"/>
    <w:rsid w:val="001A612B"/>
    <w:rsid w:val="001B30F4"/>
    <w:rsid w:val="001B474B"/>
    <w:rsid w:val="001C0E2F"/>
    <w:rsid w:val="001C120A"/>
    <w:rsid w:val="0020120C"/>
    <w:rsid w:val="002036CE"/>
    <w:rsid w:val="00203EC3"/>
    <w:rsid w:val="00204446"/>
    <w:rsid w:val="00204D0A"/>
    <w:rsid w:val="00211CF2"/>
    <w:rsid w:val="00222F35"/>
    <w:rsid w:val="00230899"/>
    <w:rsid w:val="0023660E"/>
    <w:rsid w:val="00243053"/>
    <w:rsid w:val="002508EE"/>
    <w:rsid w:val="00253AF4"/>
    <w:rsid w:val="0027276D"/>
    <w:rsid w:val="00276497"/>
    <w:rsid w:val="00277C9E"/>
    <w:rsid w:val="00277D86"/>
    <w:rsid w:val="00283ABE"/>
    <w:rsid w:val="00290575"/>
    <w:rsid w:val="00294388"/>
    <w:rsid w:val="002A3AC9"/>
    <w:rsid w:val="002B03A9"/>
    <w:rsid w:val="002B57FB"/>
    <w:rsid w:val="002C33B8"/>
    <w:rsid w:val="002D7707"/>
    <w:rsid w:val="002E2EFF"/>
    <w:rsid w:val="002E660B"/>
    <w:rsid w:val="002E6AF6"/>
    <w:rsid w:val="002F2AB0"/>
    <w:rsid w:val="002F55F5"/>
    <w:rsid w:val="003002F5"/>
    <w:rsid w:val="0030526B"/>
    <w:rsid w:val="00310877"/>
    <w:rsid w:val="00317F2E"/>
    <w:rsid w:val="00337EDD"/>
    <w:rsid w:val="00345E15"/>
    <w:rsid w:val="003528CC"/>
    <w:rsid w:val="0036244B"/>
    <w:rsid w:val="0036547D"/>
    <w:rsid w:val="00365E61"/>
    <w:rsid w:val="003724D8"/>
    <w:rsid w:val="00374153"/>
    <w:rsid w:val="003748EA"/>
    <w:rsid w:val="00377F80"/>
    <w:rsid w:val="00384FFF"/>
    <w:rsid w:val="00391DCE"/>
    <w:rsid w:val="003A2E98"/>
    <w:rsid w:val="003B2E29"/>
    <w:rsid w:val="003C48DE"/>
    <w:rsid w:val="003D13A7"/>
    <w:rsid w:val="003E089B"/>
    <w:rsid w:val="003E12DF"/>
    <w:rsid w:val="003F254E"/>
    <w:rsid w:val="003F4E1C"/>
    <w:rsid w:val="003F553C"/>
    <w:rsid w:val="0040221B"/>
    <w:rsid w:val="00404886"/>
    <w:rsid w:val="00407CAA"/>
    <w:rsid w:val="004205C2"/>
    <w:rsid w:val="004310B3"/>
    <w:rsid w:val="00431DB9"/>
    <w:rsid w:val="00436B9A"/>
    <w:rsid w:val="00441155"/>
    <w:rsid w:val="0044173F"/>
    <w:rsid w:val="00453ADB"/>
    <w:rsid w:val="00454474"/>
    <w:rsid w:val="004565FA"/>
    <w:rsid w:val="00470EFE"/>
    <w:rsid w:val="004774B5"/>
    <w:rsid w:val="00477B1E"/>
    <w:rsid w:val="00491D0B"/>
    <w:rsid w:val="004923BD"/>
    <w:rsid w:val="00492443"/>
    <w:rsid w:val="00497A8F"/>
    <w:rsid w:val="004A14E2"/>
    <w:rsid w:val="004A2600"/>
    <w:rsid w:val="004A3500"/>
    <w:rsid w:val="004A3C81"/>
    <w:rsid w:val="004B5718"/>
    <w:rsid w:val="004B5902"/>
    <w:rsid w:val="004C79C1"/>
    <w:rsid w:val="004D164A"/>
    <w:rsid w:val="004F2C4F"/>
    <w:rsid w:val="004F3DD1"/>
    <w:rsid w:val="00500ABF"/>
    <w:rsid w:val="00503F0C"/>
    <w:rsid w:val="005050BA"/>
    <w:rsid w:val="00507D30"/>
    <w:rsid w:val="00521B87"/>
    <w:rsid w:val="005246AB"/>
    <w:rsid w:val="0053079E"/>
    <w:rsid w:val="00531573"/>
    <w:rsid w:val="00533F1F"/>
    <w:rsid w:val="00541E87"/>
    <w:rsid w:val="005442CA"/>
    <w:rsid w:val="00544C0B"/>
    <w:rsid w:val="0056628B"/>
    <w:rsid w:val="00571391"/>
    <w:rsid w:val="00574BBD"/>
    <w:rsid w:val="00584523"/>
    <w:rsid w:val="005951C6"/>
    <w:rsid w:val="005953C8"/>
    <w:rsid w:val="00597597"/>
    <w:rsid w:val="005A34C2"/>
    <w:rsid w:val="005A4180"/>
    <w:rsid w:val="005B2686"/>
    <w:rsid w:val="005C002F"/>
    <w:rsid w:val="005C2E87"/>
    <w:rsid w:val="005C3041"/>
    <w:rsid w:val="005C3B88"/>
    <w:rsid w:val="005C4F96"/>
    <w:rsid w:val="005C6CD5"/>
    <w:rsid w:val="005E14A6"/>
    <w:rsid w:val="005E5AC8"/>
    <w:rsid w:val="005F08ED"/>
    <w:rsid w:val="005F0C4A"/>
    <w:rsid w:val="005F1D85"/>
    <w:rsid w:val="005F5E98"/>
    <w:rsid w:val="005F6116"/>
    <w:rsid w:val="00602209"/>
    <w:rsid w:val="00603908"/>
    <w:rsid w:val="0063278D"/>
    <w:rsid w:val="0064066A"/>
    <w:rsid w:val="00643200"/>
    <w:rsid w:val="006436FF"/>
    <w:rsid w:val="006450CC"/>
    <w:rsid w:val="00664656"/>
    <w:rsid w:val="006736CD"/>
    <w:rsid w:val="00677DAB"/>
    <w:rsid w:val="006A650B"/>
    <w:rsid w:val="006B24E8"/>
    <w:rsid w:val="006B4322"/>
    <w:rsid w:val="006B5837"/>
    <w:rsid w:val="006B7EC2"/>
    <w:rsid w:val="006C70DC"/>
    <w:rsid w:val="006D02B9"/>
    <w:rsid w:val="006D194E"/>
    <w:rsid w:val="006F210B"/>
    <w:rsid w:val="006F2DC8"/>
    <w:rsid w:val="006F7115"/>
    <w:rsid w:val="00700554"/>
    <w:rsid w:val="007032CA"/>
    <w:rsid w:val="00712F6F"/>
    <w:rsid w:val="007171D1"/>
    <w:rsid w:val="00726F6E"/>
    <w:rsid w:val="00734A99"/>
    <w:rsid w:val="0074020B"/>
    <w:rsid w:val="00755529"/>
    <w:rsid w:val="00763CAA"/>
    <w:rsid w:val="007649BF"/>
    <w:rsid w:val="007970FB"/>
    <w:rsid w:val="007B27FC"/>
    <w:rsid w:val="007B65B5"/>
    <w:rsid w:val="007C3BBA"/>
    <w:rsid w:val="007C3EF8"/>
    <w:rsid w:val="007D3268"/>
    <w:rsid w:val="007D3B2F"/>
    <w:rsid w:val="007D4986"/>
    <w:rsid w:val="007D6789"/>
    <w:rsid w:val="007E1136"/>
    <w:rsid w:val="007E3A10"/>
    <w:rsid w:val="007E4C91"/>
    <w:rsid w:val="007E592B"/>
    <w:rsid w:val="00807A22"/>
    <w:rsid w:val="00816E82"/>
    <w:rsid w:val="008237F4"/>
    <w:rsid w:val="008277B4"/>
    <w:rsid w:val="00835F3B"/>
    <w:rsid w:val="00846229"/>
    <w:rsid w:val="008656BD"/>
    <w:rsid w:val="008726F8"/>
    <w:rsid w:val="00873879"/>
    <w:rsid w:val="00881A8C"/>
    <w:rsid w:val="008863DC"/>
    <w:rsid w:val="00887608"/>
    <w:rsid w:val="008B6214"/>
    <w:rsid w:val="008B6BCE"/>
    <w:rsid w:val="008C0C62"/>
    <w:rsid w:val="008C4AEE"/>
    <w:rsid w:val="008E650F"/>
    <w:rsid w:val="008F6553"/>
    <w:rsid w:val="00911093"/>
    <w:rsid w:val="009232B4"/>
    <w:rsid w:val="009329FC"/>
    <w:rsid w:val="0094124B"/>
    <w:rsid w:val="00951360"/>
    <w:rsid w:val="00952DE1"/>
    <w:rsid w:val="00957F79"/>
    <w:rsid w:val="00961D03"/>
    <w:rsid w:val="009777CB"/>
    <w:rsid w:val="00983AF1"/>
    <w:rsid w:val="009901D8"/>
    <w:rsid w:val="009A04F3"/>
    <w:rsid w:val="009C0FC1"/>
    <w:rsid w:val="009C3D5F"/>
    <w:rsid w:val="009D0617"/>
    <w:rsid w:val="009D14F3"/>
    <w:rsid w:val="009E7737"/>
    <w:rsid w:val="009F1FCF"/>
    <w:rsid w:val="00A010BD"/>
    <w:rsid w:val="00A01AA1"/>
    <w:rsid w:val="00A0361E"/>
    <w:rsid w:val="00A077DF"/>
    <w:rsid w:val="00A17779"/>
    <w:rsid w:val="00A3789D"/>
    <w:rsid w:val="00A65807"/>
    <w:rsid w:val="00A75B56"/>
    <w:rsid w:val="00A8221B"/>
    <w:rsid w:val="00A8553B"/>
    <w:rsid w:val="00A86DF5"/>
    <w:rsid w:val="00A90A5B"/>
    <w:rsid w:val="00AA5876"/>
    <w:rsid w:val="00AA5E61"/>
    <w:rsid w:val="00AB0009"/>
    <w:rsid w:val="00AB29DD"/>
    <w:rsid w:val="00AB3426"/>
    <w:rsid w:val="00AB79C6"/>
    <w:rsid w:val="00AB7C51"/>
    <w:rsid w:val="00AC1642"/>
    <w:rsid w:val="00AD4C94"/>
    <w:rsid w:val="00AE1C69"/>
    <w:rsid w:val="00AE1D79"/>
    <w:rsid w:val="00AF2016"/>
    <w:rsid w:val="00AF5CAB"/>
    <w:rsid w:val="00B121B9"/>
    <w:rsid w:val="00B1432C"/>
    <w:rsid w:val="00B23124"/>
    <w:rsid w:val="00B27F52"/>
    <w:rsid w:val="00B31DF6"/>
    <w:rsid w:val="00B34177"/>
    <w:rsid w:val="00B4384A"/>
    <w:rsid w:val="00B82296"/>
    <w:rsid w:val="00B82C84"/>
    <w:rsid w:val="00B85BF8"/>
    <w:rsid w:val="00B934ED"/>
    <w:rsid w:val="00B94CA4"/>
    <w:rsid w:val="00B96626"/>
    <w:rsid w:val="00BB3645"/>
    <w:rsid w:val="00BC0EFC"/>
    <w:rsid w:val="00BC3169"/>
    <w:rsid w:val="00BC4731"/>
    <w:rsid w:val="00BD2846"/>
    <w:rsid w:val="00BE04B8"/>
    <w:rsid w:val="00BE4728"/>
    <w:rsid w:val="00BF065D"/>
    <w:rsid w:val="00BF36EC"/>
    <w:rsid w:val="00C10ACF"/>
    <w:rsid w:val="00C11154"/>
    <w:rsid w:val="00C1571C"/>
    <w:rsid w:val="00C17F2D"/>
    <w:rsid w:val="00C2166C"/>
    <w:rsid w:val="00C27680"/>
    <w:rsid w:val="00C362CE"/>
    <w:rsid w:val="00C363C0"/>
    <w:rsid w:val="00C40D72"/>
    <w:rsid w:val="00C440D4"/>
    <w:rsid w:val="00C542FD"/>
    <w:rsid w:val="00C5511D"/>
    <w:rsid w:val="00C60287"/>
    <w:rsid w:val="00C74945"/>
    <w:rsid w:val="00C75BB0"/>
    <w:rsid w:val="00C845E7"/>
    <w:rsid w:val="00C85F52"/>
    <w:rsid w:val="00C86A45"/>
    <w:rsid w:val="00C96220"/>
    <w:rsid w:val="00C96D11"/>
    <w:rsid w:val="00CA6F85"/>
    <w:rsid w:val="00CB7880"/>
    <w:rsid w:val="00CC6395"/>
    <w:rsid w:val="00CC6DFF"/>
    <w:rsid w:val="00CD3FE4"/>
    <w:rsid w:val="00CF030D"/>
    <w:rsid w:val="00CF2EC7"/>
    <w:rsid w:val="00CF76BD"/>
    <w:rsid w:val="00D00855"/>
    <w:rsid w:val="00D01B66"/>
    <w:rsid w:val="00D029FB"/>
    <w:rsid w:val="00D03D6F"/>
    <w:rsid w:val="00D03F69"/>
    <w:rsid w:val="00D05524"/>
    <w:rsid w:val="00D0602E"/>
    <w:rsid w:val="00D23EAA"/>
    <w:rsid w:val="00D528D2"/>
    <w:rsid w:val="00D53CBD"/>
    <w:rsid w:val="00D544D8"/>
    <w:rsid w:val="00D55C19"/>
    <w:rsid w:val="00D655EB"/>
    <w:rsid w:val="00D73D36"/>
    <w:rsid w:val="00D741E2"/>
    <w:rsid w:val="00D755F8"/>
    <w:rsid w:val="00D82792"/>
    <w:rsid w:val="00D84704"/>
    <w:rsid w:val="00D92C87"/>
    <w:rsid w:val="00D96347"/>
    <w:rsid w:val="00DA2181"/>
    <w:rsid w:val="00DB72C0"/>
    <w:rsid w:val="00DC0109"/>
    <w:rsid w:val="00DD2D49"/>
    <w:rsid w:val="00DD6068"/>
    <w:rsid w:val="00DE5DE9"/>
    <w:rsid w:val="00E01BC5"/>
    <w:rsid w:val="00E16094"/>
    <w:rsid w:val="00E2530F"/>
    <w:rsid w:val="00E2752C"/>
    <w:rsid w:val="00E33F21"/>
    <w:rsid w:val="00E47699"/>
    <w:rsid w:val="00E47EBB"/>
    <w:rsid w:val="00E5387A"/>
    <w:rsid w:val="00E640C4"/>
    <w:rsid w:val="00E66534"/>
    <w:rsid w:val="00E70569"/>
    <w:rsid w:val="00E733A8"/>
    <w:rsid w:val="00E84CC1"/>
    <w:rsid w:val="00E911B9"/>
    <w:rsid w:val="00E93A8C"/>
    <w:rsid w:val="00E975FA"/>
    <w:rsid w:val="00EA17E0"/>
    <w:rsid w:val="00EA7637"/>
    <w:rsid w:val="00EA7F16"/>
    <w:rsid w:val="00EB2F48"/>
    <w:rsid w:val="00EC11BC"/>
    <w:rsid w:val="00EC43F6"/>
    <w:rsid w:val="00ED0785"/>
    <w:rsid w:val="00ED64D6"/>
    <w:rsid w:val="00EE13C2"/>
    <w:rsid w:val="00EE6DB4"/>
    <w:rsid w:val="00EE7637"/>
    <w:rsid w:val="00EF1FD3"/>
    <w:rsid w:val="00EF2396"/>
    <w:rsid w:val="00EF660C"/>
    <w:rsid w:val="00EF66F4"/>
    <w:rsid w:val="00F12D58"/>
    <w:rsid w:val="00F247FA"/>
    <w:rsid w:val="00F40B94"/>
    <w:rsid w:val="00F459EB"/>
    <w:rsid w:val="00F47700"/>
    <w:rsid w:val="00F55583"/>
    <w:rsid w:val="00F5574C"/>
    <w:rsid w:val="00F71482"/>
    <w:rsid w:val="00F7599B"/>
    <w:rsid w:val="00F75FCF"/>
    <w:rsid w:val="00F84949"/>
    <w:rsid w:val="00F9058F"/>
    <w:rsid w:val="00F916B4"/>
    <w:rsid w:val="00F91EF8"/>
    <w:rsid w:val="00FB0269"/>
    <w:rsid w:val="00FD06DA"/>
    <w:rsid w:val="00FD21CB"/>
    <w:rsid w:val="00FD76DD"/>
    <w:rsid w:val="00FE1403"/>
    <w:rsid w:val="00FE61F3"/>
    <w:rsid w:val="00FF6023"/>
    <w:rsid w:val="00FF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72A948C"/>
  <w15:docId w15:val="{99C57115-93F8-4220-97F7-D3CC7F30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numPr>
        <w:numId w:val="5"/>
      </w:numPr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Hyperlink">
    <w:name w:val="Hyperlink"/>
    <w:basedOn w:val="Absatz-Standardschriftart"/>
    <w:uiPriority w:val="99"/>
    <w:unhideWhenUsed/>
    <w:rPr>
      <w:color w:val="0563C1"/>
      <w:u w:val="single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eastAsiaTheme="majorEastAsia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84523"/>
    <w:pPr>
      <w:spacing w:after="0" w:line="240" w:lineRule="auto"/>
    </w:pPr>
  </w:style>
  <w:style w:type="paragraph" w:customStyle="1" w:styleId="EndNoteBibliographyTitle">
    <w:name w:val="EndNote Bibliography Title"/>
    <w:basedOn w:val="Standard"/>
    <w:link w:val="EndNoteBibliographyTitleZchn"/>
    <w:rsid w:val="0023660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23660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23660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23660E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5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hyperlink" Target="mailto:dajana.lichtenstein@bfr.bund.de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1DA4F-BADA-4E83-88FD-47DF15A9CFBB}"/>
</file>

<file path=customXml/itemProps2.xml><?xml version="1.0" encoding="utf-8"?>
<ds:datastoreItem xmlns:ds="http://schemas.openxmlformats.org/officeDocument/2006/customXml" ds:itemID="{DFAA9D1F-0EEC-47C5-AB18-0112215C8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Neele Wewer</dc:creator>
  <cp:keywords/>
  <dc:description/>
  <cp:lastModifiedBy>Frau Neele Wewer</cp:lastModifiedBy>
  <cp:revision>4</cp:revision>
  <dcterms:created xsi:type="dcterms:W3CDTF">2025-11-07T16:05:00Z</dcterms:created>
  <dcterms:modified xsi:type="dcterms:W3CDTF">2025-11-10T14:48:00Z</dcterms:modified>
</cp:coreProperties>
</file>