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5D321" w14:textId="7EB20FDD" w:rsidR="00E72AE8" w:rsidRPr="00E72AE8" w:rsidRDefault="00E72AE8" w:rsidP="00E72AE8">
      <w:pPr>
        <w:spacing w:line="360" w:lineRule="auto"/>
        <w:rPr>
          <w:rFonts w:ascii="Times New Roman" w:hAnsi="Times New Roman" w:cs="Times New Roman"/>
          <w:b/>
          <w:sz w:val="24"/>
          <w:szCs w:val="24"/>
          <w:lang w:val="en-US"/>
        </w:rPr>
      </w:pPr>
      <w:r w:rsidRPr="00E72AE8">
        <w:rPr>
          <w:rFonts w:ascii="Times New Roman" w:hAnsi="Times New Roman" w:cs="Times New Roman"/>
          <w:b/>
          <w:sz w:val="24"/>
          <w:szCs w:val="24"/>
          <w:lang w:val="en-US"/>
        </w:rPr>
        <w:t>PM</w:t>
      </w:r>
      <w:r w:rsidRPr="00E72AE8">
        <w:rPr>
          <w:rFonts w:ascii="Times New Roman" w:hAnsi="Times New Roman" w:cs="Times New Roman"/>
          <w:b/>
          <w:sz w:val="24"/>
          <w:szCs w:val="24"/>
          <w:vertAlign w:val="subscript"/>
          <w:lang w:val="en-US"/>
        </w:rPr>
        <w:t xml:space="preserve">2.5 </w:t>
      </w:r>
      <w:r w:rsidRPr="00E72AE8">
        <w:rPr>
          <w:rFonts w:ascii="Times New Roman" w:hAnsi="Times New Roman" w:cs="Times New Roman"/>
          <w:b/>
          <w:sz w:val="24"/>
          <w:szCs w:val="24"/>
          <w:lang w:val="en-US"/>
        </w:rPr>
        <w:t xml:space="preserve">exposure induces functional alterations in pregnant rats heart and in human stem cell derived cardiac spheroids  </w:t>
      </w:r>
    </w:p>
    <w:p w14:paraId="67417932" w14:textId="77777777" w:rsidR="00E72AE8" w:rsidRPr="00E72AE8" w:rsidRDefault="00E72AE8" w:rsidP="00E72AE8">
      <w:pPr>
        <w:rPr>
          <w:rFonts w:ascii="Times New Roman" w:hAnsi="Times New Roman" w:cs="Times New Roman"/>
          <w:sz w:val="24"/>
          <w:szCs w:val="24"/>
          <w:lang w:val="en-GB"/>
        </w:rPr>
      </w:pPr>
    </w:p>
    <w:p w14:paraId="55D355B2" w14:textId="12890920" w:rsidR="00E72AE8" w:rsidRPr="00E72AE8" w:rsidRDefault="00E72AE8" w:rsidP="00E72AE8">
      <w:pPr>
        <w:spacing w:line="360" w:lineRule="auto"/>
        <w:rPr>
          <w:rFonts w:ascii="Times New Roman" w:hAnsi="Times New Roman" w:cs="Times New Roman"/>
          <w:sz w:val="24"/>
          <w:szCs w:val="24"/>
        </w:rPr>
      </w:pPr>
      <w:r w:rsidRPr="00E72AE8">
        <w:rPr>
          <w:rFonts w:ascii="Times New Roman" w:hAnsi="Times New Roman" w:cs="Times New Roman"/>
          <w:sz w:val="24"/>
          <w:szCs w:val="24"/>
        </w:rPr>
        <w:t>Flavia Bonalumi</w:t>
      </w:r>
      <w:r w:rsidRPr="00E72AE8">
        <w:rPr>
          <w:rFonts w:ascii="Times New Roman" w:hAnsi="Times New Roman" w:cs="Times New Roman"/>
          <w:sz w:val="24"/>
          <w:szCs w:val="24"/>
          <w:vertAlign w:val="superscript"/>
        </w:rPr>
        <w:t>1§</w:t>
      </w:r>
      <w:r w:rsidRPr="00E72AE8">
        <w:rPr>
          <w:rFonts w:ascii="Times New Roman" w:hAnsi="Times New Roman" w:cs="Times New Roman"/>
          <w:sz w:val="24"/>
          <w:szCs w:val="24"/>
        </w:rPr>
        <w:t>, Margherita Burattini</w:t>
      </w:r>
      <w:r w:rsidRPr="00E72AE8">
        <w:rPr>
          <w:rFonts w:ascii="Times New Roman" w:hAnsi="Times New Roman" w:cs="Times New Roman"/>
          <w:sz w:val="24"/>
          <w:szCs w:val="24"/>
          <w:vertAlign w:val="superscript"/>
        </w:rPr>
        <w:t>1,2§</w:t>
      </w:r>
      <w:r w:rsidRPr="00E72AE8">
        <w:rPr>
          <w:rFonts w:ascii="Times New Roman" w:hAnsi="Times New Roman" w:cs="Times New Roman"/>
          <w:sz w:val="24"/>
          <w:szCs w:val="24"/>
        </w:rPr>
        <w:t>, Rosario Statello</w:t>
      </w:r>
      <w:r w:rsidRPr="00E72AE8">
        <w:rPr>
          <w:rFonts w:ascii="Times New Roman" w:hAnsi="Times New Roman" w:cs="Times New Roman"/>
          <w:sz w:val="24"/>
          <w:szCs w:val="24"/>
          <w:vertAlign w:val="superscript"/>
        </w:rPr>
        <w:t>1</w:t>
      </w:r>
      <w:r w:rsidRPr="00E72AE8">
        <w:rPr>
          <w:rFonts w:ascii="Times New Roman" w:hAnsi="Times New Roman" w:cs="Times New Roman"/>
          <w:sz w:val="24"/>
          <w:szCs w:val="24"/>
        </w:rPr>
        <w:t>, Mirko Hu</w:t>
      </w:r>
      <w:r w:rsidRPr="00E72AE8">
        <w:rPr>
          <w:rFonts w:ascii="Times New Roman" w:hAnsi="Times New Roman" w:cs="Times New Roman"/>
          <w:sz w:val="24"/>
          <w:szCs w:val="24"/>
          <w:vertAlign w:val="superscript"/>
        </w:rPr>
        <w:t>1</w:t>
      </w:r>
      <w:r w:rsidRPr="00E72AE8">
        <w:rPr>
          <w:rFonts w:ascii="Times New Roman" w:hAnsi="Times New Roman" w:cs="Times New Roman"/>
          <w:sz w:val="24"/>
          <w:szCs w:val="24"/>
        </w:rPr>
        <w:t>, Minh Long Hoang</w:t>
      </w:r>
      <w:r w:rsidRPr="00E72AE8">
        <w:rPr>
          <w:rFonts w:ascii="Times New Roman" w:hAnsi="Times New Roman" w:cs="Times New Roman"/>
          <w:sz w:val="24"/>
          <w:szCs w:val="24"/>
          <w:vertAlign w:val="superscript"/>
        </w:rPr>
        <w:t>1,3</w:t>
      </w:r>
      <w:r w:rsidRPr="00E72AE8">
        <w:rPr>
          <w:rFonts w:ascii="Times New Roman" w:hAnsi="Times New Roman" w:cs="Times New Roman"/>
          <w:sz w:val="24"/>
          <w:szCs w:val="24"/>
        </w:rPr>
        <w:t>, Nicola Delmonte</w:t>
      </w:r>
      <w:r w:rsidRPr="00E72AE8">
        <w:rPr>
          <w:rFonts w:ascii="Times New Roman" w:hAnsi="Times New Roman" w:cs="Times New Roman"/>
          <w:sz w:val="24"/>
          <w:szCs w:val="24"/>
          <w:vertAlign w:val="superscript"/>
        </w:rPr>
        <w:t>3</w:t>
      </w:r>
      <w:r w:rsidRPr="00E72AE8">
        <w:rPr>
          <w:rFonts w:ascii="Times New Roman" w:hAnsi="Times New Roman" w:cs="Times New Roman"/>
          <w:sz w:val="24"/>
          <w:szCs w:val="24"/>
        </w:rPr>
        <w:t>, Alessia Caputo</w:t>
      </w:r>
      <w:r w:rsidRPr="00E72AE8">
        <w:rPr>
          <w:rFonts w:ascii="Times New Roman" w:hAnsi="Times New Roman" w:cs="Times New Roman"/>
          <w:sz w:val="24"/>
          <w:szCs w:val="24"/>
          <w:vertAlign w:val="superscript"/>
        </w:rPr>
        <w:t>1,4</w:t>
      </w:r>
      <w:r w:rsidRPr="00E72AE8">
        <w:rPr>
          <w:rFonts w:ascii="Times New Roman" w:hAnsi="Times New Roman" w:cs="Times New Roman"/>
          <w:sz w:val="24"/>
          <w:szCs w:val="24"/>
        </w:rPr>
        <w:t>, Barbara Montanini</w:t>
      </w:r>
      <w:r w:rsidRPr="00E72AE8">
        <w:rPr>
          <w:rFonts w:ascii="Times New Roman" w:hAnsi="Times New Roman" w:cs="Times New Roman"/>
          <w:sz w:val="24"/>
          <w:szCs w:val="24"/>
          <w:vertAlign w:val="superscript"/>
        </w:rPr>
        <w:t>4,5</w:t>
      </w:r>
      <w:r w:rsidRPr="00E72AE8">
        <w:rPr>
          <w:rFonts w:ascii="Times New Roman" w:hAnsi="Times New Roman" w:cs="Times New Roman"/>
          <w:sz w:val="24"/>
          <w:szCs w:val="24"/>
        </w:rPr>
        <w:t>, Francesco Paolo Lo Muzio</w:t>
      </w:r>
      <w:r w:rsidRPr="00E72AE8">
        <w:rPr>
          <w:rFonts w:ascii="Times New Roman" w:hAnsi="Times New Roman" w:cs="Times New Roman"/>
          <w:sz w:val="24"/>
          <w:szCs w:val="24"/>
          <w:vertAlign w:val="superscript"/>
        </w:rPr>
        <w:t>1,6</w:t>
      </w:r>
      <w:r w:rsidRPr="00E72AE8">
        <w:rPr>
          <w:rFonts w:ascii="Times New Roman" w:hAnsi="Times New Roman" w:cs="Times New Roman"/>
          <w:sz w:val="24"/>
          <w:szCs w:val="24"/>
        </w:rPr>
        <w:t>, Silvana Pinelli</w:t>
      </w:r>
      <w:r w:rsidRPr="00E72AE8">
        <w:rPr>
          <w:rFonts w:ascii="Times New Roman" w:hAnsi="Times New Roman" w:cs="Times New Roman"/>
          <w:sz w:val="24"/>
          <w:szCs w:val="24"/>
          <w:vertAlign w:val="superscript"/>
        </w:rPr>
        <w:t>1</w:t>
      </w:r>
      <w:r w:rsidRPr="00E72AE8">
        <w:rPr>
          <w:rFonts w:ascii="Times New Roman" w:hAnsi="Times New Roman" w:cs="Times New Roman"/>
          <w:sz w:val="24"/>
          <w:szCs w:val="24"/>
        </w:rPr>
        <w:t>, Paola Mozzoni</w:t>
      </w:r>
      <w:r w:rsidRPr="00E72AE8">
        <w:rPr>
          <w:rFonts w:ascii="Times New Roman" w:hAnsi="Times New Roman" w:cs="Times New Roman"/>
          <w:sz w:val="24"/>
          <w:szCs w:val="24"/>
          <w:vertAlign w:val="superscript"/>
        </w:rPr>
        <w:t>1,7</w:t>
      </w:r>
      <w:r w:rsidRPr="00E72AE8">
        <w:rPr>
          <w:rFonts w:ascii="Times New Roman" w:hAnsi="Times New Roman" w:cs="Times New Roman"/>
          <w:sz w:val="24"/>
          <w:szCs w:val="24"/>
        </w:rPr>
        <w:t>, Jessica Modica</w:t>
      </w:r>
      <w:r w:rsidRPr="00E72AE8">
        <w:rPr>
          <w:rFonts w:ascii="Times New Roman" w:hAnsi="Times New Roman" w:cs="Times New Roman"/>
          <w:sz w:val="24"/>
          <w:szCs w:val="24"/>
          <w:vertAlign w:val="superscript"/>
        </w:rPr>
        <w:t>8</w:t>
      </w:r>
      <w:r w:rsidRPr="00E72AE8">
        <w:rPr>
          <w:rFonts w:ascii="Times New Roman" w:hAnsi="Times New Roman" w:cs="Times New Roman"/>
          <w:sz w:val="24"/>
          <w:szCs w:val="24"/>
        </w:rPr>
        <w:t>, Andrea Cattaneo</w:t>
      </w:r>
      <w:r w:rsidRPr="00E72AE8">
        <w:rPr>
          <w:rFonts w:ascii="Times New Roman" w:hAnsi="Times New Roman" w:cs="Times New Roman"/>
          <w:sz w:val="24"/>
          <w:szCs w:val="24"/>
          <w:vertAlign w:val="superscript"/>
        </w:rPr>
        <w:t>9</w:t>
      </w:r>
      <w:r w:rsidRPr="00E72AE8">
        <w:rPr>
          <w:rFonts w:ascii="Times New Roman" w:hAnsi="Times New Roman" w:cs="Times New Roman"/>
          <w:sz w:val="24"/>
          <w:szCs w:val="24"/>
        </w:rPr>
        <w:t>, Francesca Rossi</w:t>
      </w:r>
      <w:r w:rsidRPr="00E72AE8">
        <w:rPr>
          <w:rFonts w:ascii="Times New Roman" w:hAnsi="Times New Roman" w:cs="Times New Roman"/>
          <w:sz w:val="24"/>
          <w:szCs w:val="24"/>
          <w:vertAlign w:val="superscript"/>
        </w:rPr>
        <w:t>10</w:t>
      </w:r>
      <w:r w:rsidRPr="00E72AE8">
        <w:rPr>
          <w:rFonts w:ascii="Times New Roman" w:hAnsi="Times New Roman" w:cs="Times New Roman"/>
          <w:sz w:val="24"/>
          <w:szCs w:val="24"/>
        </w:rPr>
        <w:t xml:space="preserve">, </w:t>
      </w:r>
      <w:r w:rsidR="00047ABE">
        <w:rPr>
          <w:rFonts w:ascii="Times New Roman" w:hAnsi="Times New Roman" w:cs="Times New Roman"/>
          <w:sz w:val="24"/>
          <w:szCs w:val="24"/>
        </w:rPr>
        <w:t>Enrico Bergamaschi</w:t>
      </w:r>
      <w:r w:rsidR="00047ABE" w:rsidRPr="000E3A0A">
        <w:rPr>
          <w:rFonts w:ascii="Times New Roman" w:hAnsi="Times New Roman" w:cs="Times New Roman"/>
          <w:sz w:val="24"/>
          <w:szCs w:val="24"/>
          <w:vertAlign w:val="superscript"/>
        </w:rPr>
        <w:t>11</w:t>
      </w:r>
      <w:r w:rsidR="00047ABE">
        <w:rPr>
          <w:rFonts w:ascii="Times New Roman" w:hAnsi="Times New Roman" w:cs="Times New Roman"/>
          <w:sz w:val="24"/>
          <w:szCs w:val="24"/>
        </w:rPr>
        <w:t xml:space="preserve">, </w:t>
      </w:r>
      <w:r w:rsidRPr="00E72AE8">
        <w:rPr>
          <w:rFonts w:ascii="Times New Roman" w:hAnsi="Times New Roman" w:cs="Times New Roman"/>
          <w:sz w:val="24"/>
          <w:szCs w:val="24"/>
        </w:rPr>
        <w:t>Valentina Bollati</w:t>
      </w:r>
      <w:r w:rsidRPr="00E72AE8">
        <w:rPr>
          <w:rFonts w:ascii="Times New Roman" w:hAnsi="Times New Roman" w:cs="Times New Roman"/>
          <w:sz w:val="24"/>
          <w:szCs w:val="24"/>
          <w:vertAlign w:val="superscript"/>
        </w:rPr>
        <w:t>1</w:t>
      </w:r>
      <w:r w:rsidR="00047ABE">
        <w:rPr>
          <w:rFonts w:ascii="Times New Roman" w:hAnsi="Times New Roman" w:cs="Times New Roman"/>
          <w:sz w:val="24"/>
          <w:szCs w:val="24"/>
          <w:vertAlign w:val="superscript"/>
        </w:rPr>
        <w:t>2</w:t>
      </w:r>
      <w:r w:rsidRPr="00E72AE8">
        <w:rPr>
          <w:rFonts w:ascii="Times New Roman" w:hAnsi="Times New Roman" w:cs="Times New Roman"/>
          <w:sz w:val="24"/>
          <w:szCs w:val="24"/>
        </w:rPr>
        <w:t>, Stefano Rossi</w:t>
      </w:r>
      <w:r w:rsidRPr="00E72AE8">
        <w:rPr>
          <w:rFonts w:ascii="Times New Roman" w:hAnsi="Times New Roman" w:cs="Times New Roman"/>
          <w:sz w:val="24"/>
          <w:szCs w:val="24"/>
          <w:vertAlign w:val="superscript"/>
        </w:rPr>
        <w:t>1</w:t>
      </w:r>
      <w:r w:rsidRPr="00E72AE8">
        <w:rPr>
          <w:rFonts w:ascii="Times New Roman" w:hAnsi="Times New Roman" w:cs="Times New Roman"/>
          <w:sz w:val="24"/>
          <w:szCs w:val="24"/>
        </w:rPr>
        <w:t>* and Michele Miragoli*</w:t>
      </w:r>
      <w:r w:rsidRPr="00E72AE8">
        <w:rPr>
          <w:rFonts w:ascii="Times New Roman" w:hAnsi="Times New Roman" w:cs="Times New Roman"/>
          <w:sz w:val="24"/>
          <w:szCs w:val="24"/>
          <w:vertAlign w:val="superscript"/>
        </w:rPr>
        <w:t>1,8</w:t>
      </w:r>
    </w:p>
    <w:p w14:paraId="278B6209" w14:textId="77777777" w:rsidR="00E72AE8" w:rsidRPr="00E72AE8" w:rsidRDefault="00E72AE8" w:rsidP="00E72AE8">
      <w:pPr>
        <w:rPr>
          <w:rFonts w:ascii="Times New Roman" w:hAnsi="Times New Roman" w:cs="Times New Roman"/>
          <w:sz w:val="24"/>
          <w:szCs w:val="24"/>
        </w:rPr>
      </w:pPr>
    </w:p>
    <w:p w14:paraId="293CBAFA" w14:textId="77777777" w:rsidR="00E72AE8" w:rsidRPr="00E72AE8" w:rsidRDefault="00E72AE8" w:rsidP="00E72AE8">
      <w:pPr>
        <w:pStyle w:val="Paragrafoelenco"/>
        <w:numPr>
          <w:ilvl w:val="0"/>
          <w:numId w:val="4"/>
        </w:numPr>
        <w:spacing w:after="0" w:line="360" w:lineRule="auto"/>
        <w:rPr>
          <w:rFonts w:ascii="Times New Roman" w:hAnsi="Times New Roman" w:cs="Times New Roman"/>
          <w:sz w:val="24"/>
          <w:szCs w:val="24"/>
          <w:lang w:val="en-US"/>
        </w:rPr>
      </w:pPr>
      <w:r w:rsidRPr="00E72AE8">
        <w:rPr>
          <w:rFonts w:ascii="Times New Roman" w:hAnsi="Times New Roman" w:cs="Times New Roman"/>
          <w:sz w:val="24"/>
          <w:szCs w:val="24"/>
          <w:lang w:val="en-US"/>
        </w:rPr>
        <w:t>Department of Medicine and Surgery, University of Parma, Parma (IT)</w:t>
      </w:r>
    </w:p>
    <w:p w14:paraId="19DDDC25" w14:textId="77777777" w:rsidR="00E72AE8" w:rsidRPr="00E72AE8" w:rsidRDefault="00E72AE8" w:rsidP="00E72AE8">
      <w:pPr>
        <w:pStyle w:val="Paragrafoelenco"/>
        <w:numPr>
          <w:ilvl w:val="0"/>
          <w:numId w:val="4"/>
        </w:numPr>
        <w:spacing w:after="0" w:line="360" w:lineRule="auto"/>
        <w:rPr>
          <w:rFonts w:ascii="Times New Roman" w:hAnsi="Times New Roman" w:cs="Times New Roman"/>
          <w:sz w:val="24"/>
          <w:szCs w:val="24"/>
          <w:lang w:val="en-US"/>
        </w:rPr>
      </w:pPr>
      <w:r w:rsidRPr="00E72AE8">
        <w:rPr>
          <w:rFonts w:ascii="Times New Roman" w:hAnsi="Times New Roman" w:cs="Times New Roman"/>
          <w:sz w:val="24"/>
          <w:szCs w:val="24"/>
          <w:lang w:val="en-US"/>
        </w:rPr>
        <w:t xml:space="preserve">Department of Surgery, Dentistry, Pediatrics and </w:t>
      </w:r>
      <w:proofErr w:type="spellStart"/>
      <w:r w:rsidRPr="00E72AE8">
        <w:rPr>
          <w:rFonts w:ascii="Times New Roman" w:hAnsi="Times New Roman" w:cs="Times New Roman"/>
          <w:sz w:val="24"/>
          <w:szCs w:val="24"/>
          <w:lang w:val="en-US"/>
        </w:rPr>
        <w:t>Gynaecology</w:t>
      </w:r>
      <w:proofErr w:type="spellEnd"/>
      <w:r w:rsidRPr="00E72AE8">
        <w:rPr>
          <w:rFonts w:ascii="Times New Roman" w:hAnsi="Times New Roman" w:cs="Times New Roman"/>
          <w:sz w:val="24"/>
          <w:szCs w:val="24"/>
          <w:lang w:val="en-US"/>
        </w:rPr>
        <w:t>, University of Verona, Verona (IT)</w:t>
      </w:r>
    </w:p>
    <w:p w14:paraId="6F532A51" w14:textId="77777777" w:rsidR="00E72AE8" w:rsidRPr="00E72AE8" w:rsidRDefault="00E72AE8" w:rsidP="00E72AE8">
      <w:pPr>
        <w:pStyle w:val="Paragrafoelenco"/>
        <w:numPr>
          <w:ilvl w:val="0"/>
          <w:numId w:val="4"/>
        </w:numPr>
        <w:spacing w:after="0" w:line="360" w:lineRule="auto"/>
        <w:rPr>
          <w:rFonts w:ascii="Times New Roman" w:hAnsi="Times New Roman" w:cs="Times New Roman"/>
          <w:sz w:val="24"/>
          <w:szCs w:val="24"/>
          <w:lang w:val="en-US"/>
        </w:rPr>
      </w:pPr>
      <w:r w:rsidRPr="00E72AE8">
        <w:rPr>
          <w:rFonts w:ascii="Times New Roman" w:hAnsi="Times New Roman" w:cs="Times New Roman"/>
          <w:sz w:val="24"/>
          <w:szCs w:val="24"/>
          <w:lang w:val="en-US"/>
        </w:rPr>
        <w:t>Department of Engineering and Architecture, University of Parma, Parma (IT)</w:t>
      </w:r>
    </w:p>
    <w:p w14:paraId="648B4C13" w14:textId="77777777" w:rsidR="00E72AE8" w:rsidRPr="00E72AE8" w:rsidRDefault="00E72AE8" w:rsidP="00E72AE8">
      <w:pPr>
        <w:pStyle w:val="Paragrafoelenco"/>
        <w:numPr>
          <w:ilvl w:val="0"/>
          <w:numId w:val="4"/>
        </w:numPr>
        <w:spacing w:after="0" w:line="360" w:lineRule="auto"/>
        <w:rPr>
          <w:rFonts w:ascii="Times New Roman" w:hAnsi="Times New Roman" w:cs="Times New Roman"/>
          <w:sz w:val="24"/>
          <w:szCs w:val="24"/>
          <w:lang w:val="en-US"/>
        </w:rPr>
      </w:pPr>
      <w:r w:rsidRPr="00E72AE8">
        <w:rPr>
          <w:rFonts w:ascii="Times New Roman" w:hAnsi="Times New Roman" w:cs="Times New Roman"/>
          <w:sz w:val="24"/>
          <w:szCs w:val="24"/>
          <w:lang w:val="en-US"/>
        </w:rPr>
        <w:t>Department of Chemistry, Life Sciences and Environmental Sustainability, University of Parma, Parma (IT)</w:t>
      </w:r>
    </w:p>
    <w:p w14:paraId="4EF26F42" w14:textId="77777777" w:rsidR="00E72AE8" w:rsidRPr="00E72AE8" w:rsidRDefault="00E72AE8" w:rsidP="00E72AE8">
      <w:pPr>
        <w:pStyle w:val="Paragrafoelenco"/>
        <w:numPr>
          <w:ilvl w:val="0"/>
          <w:numId w:val="4"/>
        </w:numPr>
        <w:spacing w:after="0" w:line="360" w:lineRule="auto"/>
        <w:rPr>
          <w:rFonts w:ascii="Times New Roman" w:hAnsi="Times New Roman" w:cs="Times New Roman"/>
          <w:sz w:val="24"/>
          <w:szCs w:val="24"/>
          <w:lang w:val="en-US"/>
        </w:rPr>
      </w:pPr>
      <w:r w:rsidRPr="00E72AE8">
        <w:rPr>
          <w:rFonts w:ascii="Times New Roman" w:hAnsi="Times New Roman" w:cs="Times New Roman"/>
          <w:sz w:val="24"/>
          <w:szCs w:val="24"/>
          <w:lang w:val="en-US"/>
        </w:rPr>
        <w:t xml:space="preserve">Interdepartmental Research Centre </w:t>
      </w:r>
      <w:proofErr w:type="spellStart"/>
      <w:r w:rsidRPr="00E72AE8">
        <w:rPr>
          <w:rFonts w:ascii="Times New Roman" w:hAnsi="Times New Roman" w:cs="Times New Roman"/>
          <w:sz w:val="24"/>
          <w:szCs w:val="24"/>
          <w:lang w:val="en-US"/>
        </w:rPr>
        <w:t>Biopharmanet</w:t>
      </w:r>
      <w:proofErr w:type="spellEnd"/>
      <w:r w:rsidRPr="00E72AE8">
        <w:rPr>
          <w:rFonts w:ascii="Times New Roman" w:hAnsi="Times New Roman" w:cs="Times New Roman"/>
          <w:sz w:val="24"/>
          <w:szCs w:val="24"/>
          <w:lang w:val="en-US"/>
        </w:rPr>
        <w:t>-Tec, University of Parma, Parma (IT)</w:t>
      </w:r>
    </w:p>
    <w:p w14:paraId="45A32891" w14:textId="77777777" w:rsidR="00E72AE8" w:rsidRPr="00E72AE8" w:rsidRDefault="00E72AE8" w:rsidP="00E72AE8">
      <w:pPr>
        <w:pStyle w:val="Paragrafoelenco"/>
        <w:numPr>
          <w:ilvl w:val="0"/>
          <w:numId w:val="4"/>
        </w:numPr>
        <w:spacing w:after="0" w:line="360" w:lineRule="auto"/>
        <w:rPr>
          <w:rFonts w:ascii="Times New Roman" w:hAnsi="Times New Roman" w:cs="Times New Roman"/>
          <w:sz w:val="24"/>
          <w:szCs w:val="24"/>
        </w:rPr>
      </w:pPr>
      <w:proofErr w:type="spellStart"/>
      <w:r w:rsidRPr="00E72AE8">
        <w:rPr>
          <w:rFonts w:ascii="Times New Roman" w:hAnsi="Times New Roman" w:cs="Times New Roman"/>
          <w:sz w:val="24"/>
          <w:szCs w:val="24"/>
        </w:rPr>
        <w:t>Charité</w:t>
      </w:r>
      <w:proofErr w:type="spellEnd"/>
      <w:r w:rsidRPr="00E72AE8">
        <w:rPr>
          <w:rFonts w:ascii="Times New Roman" w:hAnsi="Times New Roman" w:cs="Times New Roman"/>
          <w:sz w:val="24"/>
          <w:szCs w:val="24"/>
        </w:rPr>
        <w:t xml:space="preserve"> </w:t>
      </w:r>
      <w:proofErr w:type="spellStart"/>
      <w:r w:rsidRPr="00E72AE8">
        <w:rPr>
          <w:rFonts w:ascii="Times New Roman" w:hAnsi="Times New Roman" w:cs="Times New Roman"/>
          <w:sz w:val="24"/>
          <w:szCs w:val="24"/>
        </w:rPr>
        <w:t>Universitätsmedizin</w:t>
      </w:r>
      <w:proofErr w:type="spellEnd"/>
      <w:r w:rsidRPr="00E72AE8">
        <w:rPr>
          <w:rFonts w:ascii="Times New Roman" w:hAnsi="Times New Roman" w:cs="Times New Roman"/>
          <w:sz w:val="24"/>
          <w:szCs w:val="24"/>
        </w:rPr>
        <w:t xml:space="preserve"> </w:t>
      </w:r>
      <w:proofErr w:type="spellStart"/>
      <w:r w:rsidRPr="00E72AE8">
        <w:rPr>
          <w:rFonts w:ascii="Times New Roman" w:hAnsi="Times New Roman" w:cs="Times New Roman"/>
          <w:sz w:val="24"/>
          <w:szCs w:val="24"/>
        </w:rPr>
        <w:t>Berlin</w:t>
      </w:r>
      <w:proofErr w:type="spellEnd"/>
      <w:r w:rsidRPr="00E72AE8">
        <w:rPr>
          <w:rFonts w:ascii="Times New Roman" w:hAnsi="Times New Roman" w:cs="Times New Roman"/>
          <w:sz w:val="24"/>
          <w:szCs w:val="24"/>
        </w:rPr>
        <w:t xml:space="preserve">, </w:t>
      </w:r>
      <w:proofErr w:type="spellStart"/>
      <w:r w:rsidRPr="00E72AE8">
        <w:rPr>
          <w:rFonts w:ascii="Times New Roman" w:hAnsi="Times New Roman" w:cs="Times New Roman"/>
          <w:sz w:val="24"/>
          <w:szCs w:val="24"/>
        </w:rPr>
        <w:t>Berlin</w:t>
      </w:r>
      <w:proofErr w:type="spellEnd"/>
      <w:r w:rsidRPr="00E72AE8">
        <w:rPr>
          <w:rFonts w:ascii="Times New Roman" w:hAnsi="Times New Roman" w:cs="Times New Roman"/>
          <w:sz w:val="24"/>
          <w:szCs w:val="24"/>
        </w:rPr>
        <w:t xml:space="preserve"> (DE)</w:t>
      </w:r>
    </w:p>
    <w:p w14:paraId="1F582A9B" w14:textId="77777777" w:rsidR="00E72AE8" w:rsidRPr="00E72AE8" w:rsidRDefault="00E72AE8" w:rsidP="00E72AE8">
      <w:pPr>
        <w:pStyle w:val="Paragrafoelenco"/>
        <w:numPr>
          <w:ilvl w:val="0"/>
          <w:numId w:val="4"/>
        </w:numPr>
        <w:spacing w:after="0" w:line="360" w:lineRule="auto"/>
        <w:rPr>
          <w:rFonts w:ascii="Times New Roman" w:hAnsi="Times New Roman" w:cs="Times New Roman"/>
          <w:sz w:val="24"/>
          <w:szCs w:val="24"/>
          <w:lang w:val="en-US"/>
        </w:rPr>
      </w:pPr>
      <w:r w:rsidRPr="00E72AE8">
        <w:rPr>
          <w:rFonts w:ascii="Times New Roman" w:hAnsi="Times New Roman" w:cs="Times New Roman"/>
          <w:sz w:val="24"/>
          <w:szCs w:val="24"/>
          <w:lang w:val="en-US"/>
        </w:rPr>
        <w:t>CERT, Center of Excellence for Toxicological Research, University of Parma, Parma (IT)</w:t>
      </w:r>
    </w:p>
    <w:p w14:paraId="14672D51" w14:textId="77777777" w:rsidR="00E72AE8" w:rsidRPr="00E72AE8" w:rsidRDefault="00E72AE8" w:rsidP="00E72AE8">
      <w:pPr>
        <w:pStyle w:val="Paragrafoelenco"/>
        <w:numPr>
          <w:ilvl w:val="0"/>
          <w:numId w:val="4"/>
        </w:numPr>
        <w:spacing w:after="0" w:line="360" w:lineRule="auto"/>
        <w:rPr>
          <w:rFonts w:ascii="Times New Roman" w:hAnsi="Times New Roman" w:cs="Times New Roman"/>
          <w:sz w:val="24"/>
          <w:szCs w:val="24"/>
          <w:lang w:val="en-US"/>
        </w:rPr>
      </w:pPr>
      <w:r w:rsidRPr="00E72AE8">
        <w:rPr>
          <w:rFonts w:ascii="Times New Roman" w:hAnsi="Times New Roman" w:cs="Times New Roman"/>
          <w:sz w:val="24"/>
          <w:szCs w:val="24"/>
          <w:lang w:val="en-US"/>
        </w:rPr>
        <w:t>IRCCS- Humanitas Research Hospital, Rozzano, Milan (IT)</w:t>
      </w:r>
    </w:p>
    <w:p w14:paraId="554227F5" w14:textId="77777777" w:rsidR="00E72AE8" w:rsidRPr="000E3A0A" w:rsidRDefault="00E72AE8" w:rsidP="00E72AE8">
      <w:pPr>
        <w:pStyle w:val="Paragrafoelenco"/>
        <w:numPr>
          <w:ilvl w:val="0"/>
          <w:numId w:val="4"/>
        </w:numPr>
        <w:spacing w:after="0" w:line="360" w:lineRule="auto"/>
        <w:rPr>
          <w:rFonts w:ascii="Times New Roman" w:hAnsi="Times New Roman" w:cs="Times New Roman"/>
          <w:sz w:val="24"/>
          <w:szCs w:val="24"/>
          <w:lang w:val="en-US"/>
        </w:rPr>
      </w:pPr>
      <w:r w:rsidRPr="00E72AE8">
        <w:rPr>
          <w:rFonts w:ascii="Times New Roman" w:hAnsi="Times New Roman" w:cs="Times New Roman"/>
          <w:sz w:val="24"/>
          <w:szCs w:val="24"/>
          <w:lang w:val="en-US"/>
        </w:rPr>
        <w:t xml:space="preserve">Department of Science and High Technology, Università of </w:t>
      </w:r>
      <w:proofErr w:type="spellStart"/>
      <w:r w:rsidRPr="00E72AE8">
        <w:rPr>
          <w:rFonts w:ascii="Times New Roman" w:hAnsi="Times New Roman" w:cs="Times New Roman"/>
          <w:sz w:val="24"/>
          <w:szCs w:val="24"/>
          <w:lang w:val="en-US"/>
        </w:rPr>
        <w:t>Insubria</w:t>
      </w:r>
      <w:proofErr w:type="spellEnd"/>
      <w:r w:rsidRPr="00E72AE8">
        <w:rPr>
          <w:rFonts w:ascii="Times New Roman" w:hAnsi="Times New Roman" w:cs="Times New Roman"/>
          <w:sz w:val="24"/>
          <w:szCs w:val="24"/>
          <w:lang w:val="en-US"/>
        </w:rPr>
        <w:t>, Como (IT)</w:t>
      </w:r>
    </w:p>
    <w:p w14:paraId="6603D04C" w14:textId="77777777" w:rsidR="00E72AE8" w:rsidRDefault="00E72AE8" w:rsidP="00E72AE8">
      <w:pPr>
        <w:pStyle w:val="Paragrafoelenco"/>
        <w:numPr>
          <w:ilvl w:val="0"/>
          <w:numId w:val="4"/>
        </w:numPr>
        <w:spacing w:after="0" w:line="360" w:lineRule="auto"/>
        <w:rPr>
          <w:rFonts w:ascii="Times New Roman" w:hAnsi="Times New Roman" w:cs="Times New Roman"/>
          <w:sz w:val="24"/>
          <w:szCs w:val="24"/>
        </w:rPr>
      </w:pPr>
      <w:r w:rsidRPr="00E72AE8">
        <w:rPr>
          <w:rFonts w:ascii="Times New Roman" w:hAnsi="Times New Roman" w:cs="Times New Roman"/>
          <w:sz w:val="24"/>
          <w:szCs w:val="24"/>
        </w:rPr>
        <w:t>IMEM-CNR Institute, Parma (IT)</w:t>
      </w:r>
    </w:p>
    <w:p w14:paraId="28D41F96" w14:textId="460659D0" w:rsidR="00047ABE" w:rsidRPr="000E3A0A" w:rsidRDefault="00047ABE" w:rsidP="00E72AE8">
      <w:pPr>
        <w:pStyle w:val="Paragrafoelenco"/>
        <w:numPr>
          <w:ilvl w:val="0"/>
          <w:numId w:val="4"/>
        </w:numPr>
        <w:spacing w:after="0" w:line="360" w:lineRule="auto"/>
        <w:rPr>
          <w:rFonts w:ascii="Times New Roman" w:hAnsi="Times New Roman" w:cs="Times New Roman"/>
          <w:sz w:val="24"/>
          <w:szCs w:val="24"/>
          <w:lang w:val="en-US"/>
        </w:rPr>
      </w:pPr>
      <w:r w:rsidRPr="000E3A0A">
        <w:rPr>
          <w:rFonts w:ascii="Times New Roman" w:hAnsi="Times New Roman" w:cs="Times New Roman"/>
          <w:sz w:val="24"/>
          <w:szCs w:val="24"/>
          <w:lang w:val="en-US"/>
        </w:rPr>
        <w:t>Department of Sciences of Public Health and Pediatrics</w:t>
      </w:r>
      <w:r w:rsidR="001B5B24" w:rsidRPr="000E3A0A">
        <w:rPr>
          <w:rFonts w:ascii="Times New Roman" w:hAnsi="Times New Roman" w:cs="Times New Roman"/>
          <w:sz w:val="24"/>
          <w:szCs w:val="24"/>
          <w:lang w:val="en-US"/>
        </w:rPr>
        <w:t xml:space="preserve">, </w:t>
      </w:r>
      <w:r w:rsidR="001B5B24">
        <w:rPr>
          <w:rFonts w:ascii="Times New Roman" w:hAnsi="Times New Roman" w:cs="Times New Roman"/>
          <w:sz w:val="24"/>
          <w:szCs w:val="24"/>
          <w:lang w:val="en-US"/>
        </w:rPr>
        <w:t>University of Turin</w:t>
      </w:r>
      <w:r w:rsidR="00535569">
        <w:rPr>
          <w:rFonts w:ascii="Times New Roman" w:hAnsi="Times New Roman" w:cs="Times New Roman"/>
          <w:sz w:val="24"/>
          <w:szCs w:val="24"/>
          <w:lang w:val="en-US"/>
        </w:rPr>
        <w:t>, Turin</w:t>
      </w:r>
      <w:r w:rsidR="001B5B24">
        <w:rPr>
          <w:rFonts w:ascii="Times New Roman" w:hAnsi="Times New Roman" w:cs="Times New Roman"/>
          <w:sz w:val="24"/>
          <w:szCs w:val="24"/>
          <w:lang w:val="en-US"/>
        </w:rPr>
        <w:t xml:space="preserve"> (IT) </w:t>
      </w:r>
    </w:p>
    <w:p w14:paraId="227A3DC8" w14:textId="2FD80E00" w:rsidR="00E72AE8" w:rsidRPr="00E72AE8" w:rsidRDefault="00E72AE8" w:rsidP="00E72AE8">
      <w:pPr>
        <w:pStyle w:val="Paragrafoelenco"/>
        <w:numPr>
          <w:ilvl w:val="0"/>
          <w:numId w:val="4"/>
        </w:numPr>
        <w:spacing w:line="360" w:lineRule="auto"/>
        <w:rPr>
          <w:rFonts w:ascii="Times New Roman" w:hAnsi="Times New Roman" w:cs="Times New Roman"/>
          <w:sz w:val="24"/>
          <w:szCs w:val="24"/>
          <w:lang w:val="en-US"/>
        </w:rPr>
      </w:pPr>
      <w:r w:rsidRPr="00E72AE8">
        <w:rPr>
          <w:rFonts w:ascii="Times New Roman" w:hAnsi="Times New Roman" w:cs="Times New Roman"/>
          <w:sz w:val="24"/>
          <w:szCs w:val="24"/>
          <w:lang w:val="en-US"/>
        </w:rPr>
        <w:t>Department of Clinical Sciences and Community Health, University of Milan, Milan (IT)</w:t>
      </w:r>
    </w:p>
    <w:p w14:paraId="6910429A" w14:textId="77777777" w:rsidR="00E72AE8" w:rsidRPr="00E72AE8" w:rsidRDefault="00E72AE8" w:rsidP="00E72AE8">
      <w:pPr>
        <w:pStyle w:val="Paragrafoelenco"/>
        <w:spacing w:line="360" w:lineRule="auto"/>
        <w:rPr>
          <w:rFonts w:ascii="Times New Roman" w:hAnsi="Times New Roman" w:cs="Times New Roman"/>
          <w:sz w:val="24"/>
          <w:szCs w:val="24"/>
          <w:lang w:val="en-US"/>
        </w:rPr>
      </w:pPr>
    </w:p>
    <w:p w14:paraId="46A0D56E" w14:textId="77777777" w:rsidR="00E72AE8" w:rsidRPr="00E72AE8" w:rsidRDefault="00E72AE8" w:rsidP="00E72AE8">
      <w:pPr>
        <w:spacing w:line="360" w:lineRule="auto"/>
        <w:jc w:val="both"/>
        <w:rPr>
          <w:rFonts w:ascii="Times New Roman" w:hAnsi="Times New Roman" w:cs="Times New Roman"/>
          <w:sz w:val="24"/>
          <w:szCs w:val="24"/>
          <w:lang w:val="en-US"/>
        </w:rPr>
      </w:pPr>
      <w:r w:rsidRPr="00E72AE8">
        <w:rPr>
          <w:rFonts w:ascii="Times New Roman" w:hAnsi="Times New Roman" w:cs="Times New Roman"/>
          <w:sz w:val="24"/>
          <w:szCs w:val="24"/>
          <w:vertAlign w:val="superscript"/>
          <w:lang w:val="en-US"/>
        </w:rPr>
        <w:t xml:space="preserve">§ </w:t>
      </w:r>
      <w:r w:rsidRPr="00E72AE8">
        <w:rPr>
          <w:rFonts w:ascii="Times New Roman" w:hAnsi="Times New Roman" w:cs="Times New Roman"/>
          <w:sz w:val="24"/>
          <w:szCs w:val="24"/>
          <w:lang w:val="en-US"/>
        </w:rPr>
        <w:t>Co-authors</w:t>
      </w:r>
    </w:p>
    <w:p w14:paraId="2328CA82" w14:textId="77777777" w:rsidR="00E72AE8" w:rsidRPr="00E72AE8" w:rsidRDefault="00E72AE8" w:rsidP="00E472DB">
      <w:pPr>
        <w:spacing w:after="0" w:line="360" w:lineRule="auto"/>
        <w:jc w:val="both"/>
        <w:rPr>
          <w:rFonts w:ascii="Times New Roman" w:hAnsi="Times New Roman" w:cs="Times New Roman"/>
          <w:sz w:val="24"/>
          <w:szCs w:val="24"/>
          <w:lang w:val="en-US"/>
        </w:rPr>
      </w:pPr>
      <w:r w:rsidRPr="00E72AE8">
        <w:rPr>
          <w:rFonts w:ascii="Times New Roman" w:hAnsi="Times New Roman" w:cs="Times New Roman"/>
          <w:sz w:val="24"/>
          <w:szCs w:val="24"/>
          <w:vertAlign w:val="superscript"/>
          <w:lang w:val="en-US"/>
        </w:rPr>
        <w:t>*</w:t>
      </w:r>
      <w:r w:rsidRPr="00E72AE8">
        <w:rPr>
          <w:rFonts w:ascii="Times New Roman" w:hAnsi="Times New Roman" w:cs="Times New Roman"/>
          <w:sz w:val="24"/>
          <w:szCs w:val="24"/>
          <w:lang w:val="en-US"/>
        </w:rPr>
        <w:t>Corresponding authors</w:t>
      </w:r>
    </w:p>
    <w:p w14:paraId="6EEDA621" w14:textId="77777777" w:rsidR="00E72AE8" w:rsidRPr="00E72AE8" w:rsidRDefault="00E72AE8" w:rsidP="00E472DB">
      <w:pPr>
        <w:spacing w:after="0" w:line="360" w:lineRule="auto"/>
        <w:jc w:val="both"/>
        <w:rPr>
          <w:rFonts w:ascii="Times New Roman" w:hAnsi="Times New Roman" w:cs="Times New Roman"/>
          <w:sz w:val="24"/>
          <w:szCs w:val="24"/>
          <w:lang w:val="en-US"/>
        </w:rPr>
      </w:pPr>
      <w:r w:rsidRPr="00E72AE8">
        <w:rPr>
          <w:rFonts w:ascii="Times New Roman" w:hAnsi="Times New Roman" w:cs="Times New Roman"/>
          <w:sz w:val="24"/>
          <w:szCs w:val="24"/>
          <w:lang w:val="en-US"/>
        </w:rPr>
        <w:t xml:space="preserve">Michele </w:t>
      </w:r>
      <w:proofErr w:type="spellStart"/>
      <w:r w:rsidRPr="00E72AE8">
        <w:rPr>
          <w:rFonts w:ascii="Times New Roman" w:hAnsi="Times New Roman" w:cs="Times New Roman"/>
          <w:sz w:val="24"/>
          <w:szCs w:val="24"/>
          <w:lang w:val="en-US"/>
        </w:rPr>
        <w:t>Miragoli</w:t>
      </w:r>
      <w:proofErr w:type="spellEnd"/>
    </w:p>
    <w:p w14:paraId="2E0B3614" w14:textId="77777777" w:rsidR="00E72AE8" w:rsidRPr="00E72AE8" w:rsidRDefault="00E72AE8" w:rsidP="00E472DB">
      <w:pPr>
        <w:spacing w:after="0" w:line="360" w:lineRule="auto"/>
        <w:jc w:val="both"/>
        <w:rPr>
          <w:rFonts w:ascii="Times New Roman" w:hAnsi="Times New Roman" w:cs="Times New Roman"/>
          <w:sz w:val="24"/>
          <w:szCs w:val="24"/>
          <w:lang w:val="en-US"/>
        </w:rPr>
      </w:pPr>
      <w:r w:rsidRPr="00E72AE8">
        <w:rPr>
          <w:rFonts w:ascii="Times New Roman" w:hAnsi="Times New Roman" w:cs="Times New Roman"/>
          <w:sz w:val="24"/>
          <w:szCs w:val="24"/>
          <w:lang w:val="en-US"/>
        </w:rPr>
        <w:t>Department of Medicine and Surgery, University of Parma</w:t>
      </w:r>
    </w:p>
    <w:p w14:paraId="7D7B491B" w14:textId="622CE96D" w:rsidR="00E72AE8" w:rsidRPr="000E3A0A" w:rsidRDefault="00E72AE8" w:rsidP="00E472DB">
      <w:pPr>
        <w:spacing w:after="0" w:line="360" w:lineRule="auto"/>
        <w:jc w:val="both"/>
        <w:rPr>
          <w:rFonts w:ascii="Times New Roman" w:hAnsi="Times New Roman" w:cs="Times New Roman"/>
          <w:sz w:val="24"/>
          <w:szCs w:val="24"/>
          <w:lang w:val="en-US"/>
        </w:rPr>
      </w:pPr>
      <w:hyperlink r:id="rId5" w:history="1">
        <w:r w:rsidRPr="000E3A0A">
          <w:rPr>
            <w:rStyle w:val="Collegamentoipertestuale"/>
            <w:rFonts w:ascii="Times New Roman" w:hAnsi="Times New Roman" w:cs="Times New Roman"/>
            <w:sz w:val="24"/>
            <w:szCs w:val="24"/>
            <w:lang w:val="en-US"/>
          </w:rPr>
          <w:t>michele.miragoli@unipr.it</w:t>
        </w:r>
      </w:hyperlink>
    </w:p>
    <w:p w14:paraId="7DB0792E" w14:textId="77777777" w:rsidR="00E72AE8" w:rsidRPr="000E3A0A" w:rsidRDefault="00E72AE8" w:rsidP="00E472DB">
      <w:pPr>
        <w:spacing w:after="0" w:line="360" w:lineRule="auto"/>
        <w:jc w:val="both"/>
        <w:rPr>
          <w:rFonts w:ascii="Times New Roman" w:hAnsi="Times New Roman" w:cs="Times New Roman"/>
          <w:sz w:val="24"/>
          <w:szCs w:val="24"/>
          <w:lang w:val="en-US"/>
        </w:rPr>
      </w:pPr>
      <w:r w:rsidRPr="000E3A0A">
        <w:rPr>
          <w:rFonts w:ascii="Times New Roman" w:hAnsi="Times New Roman" w:cs="Times New Roman"/>
          <w:sz w:val="24"/>
          <w:szCs w:val="24"/>
          <w:lang w:val="en-US"/>
        </w:rPr>
        <w:t>Co-corresponding</w:t>
      </w:r>
    </w:p>
    <w:p w14:paraId="7625DAF6" w14:textId="77777777" w:rsidR="00E72AE8" w:rsidRPr="000E3A0A" w:rsidRDefault="00E72AE8" w:rsidP="00E472DB">
      <w:pPr>
        <w:spacing w:after="0" w:line="360" w:lineRule="auto"/>
        <w:jc w:val="both"/>
        <w:rPr>
          <w:rFonts w:ascii="Times New Roman" w:hAnsi="Times New Roman" w:cs="Times New Roman"/>
          <w:sz w:val="24"/>
          <w:szCs w:val="24"/>
          <w:lang w:val="en-US"/>
        </w:rPr>
      </w:pPr>
      <w:r w:rsidRPr="000E3A0A">
        <w:rPr>
          <w:rFonts w:ascii="Times New Roman" w:hAnsi="Times New Roman" w:cs="Times New Roman"/>
          <w:sz w:val="24"/>
          <w:szCs w:val="24"/>
          <w:lang w:val="en-US"/>
        </w:rPr>
        <w:t>Stefano Rossi</w:t>
      </w:r>
    </w:p>
    <w:p w14:paraId="254DF5F2" w14:textId="77777777" w:rsidR="00E72AE8" w:rsidRPr="00E72AE8" w:rsidRDefault="00E72AE8" w:rsidP="00E472DB">
      <w:pPr>
        <w:spacing w:after="0" w:line="360" w:lineRule="auto"/>
        <w:jc w:val="both"/>
        <w:rPr>
          <w:rFonts w:ascii="Times New Roman" w:hAnsi="Times New Roman" w:cs="Times New Roman"/>
          <w:sz w:val="24"/>
          <w:szCs w:val="24"/>
          <w:lang w:val="en-US"/>
        </w:rPr>
      </w:pPr>
      <w:r w:rsidRPr="00E72AE8">
        <w:rPr>
          <w:rFonts w:ascii="Times New Roman" w:hAnsi="Times New Roman" w:cs="Times New Roman"/>
          <w:sz w:val="24"/>
          <w:szCs w:val="24"/>
          <w:lang w:val="en-US"/>
        </w:rPr>
        <w:t>Department of Medicine and Surgery, University of Parma</w:t>
      </w:r>
    </w:p>
    <w:p w14:paraId="3AE11204" w14:textId="77777777" w:rsidR="00E72AE8" w:rsidRPr="00E72AE8" w:rsidRDefault="00E72AE8" w:rsidP="00E472DB">
      <w:pPr>
        <w:spacing w:after="0" w:line="360" w:lineRule="auto"/>
        <w:jc w:val="both"/>
        <w:rPr>
          <w:rFonts w:ascii="Times New Roman" w:hAnsi="Times New Roman" w:cs="Times New Roman"/>
          <w:sz w:val="24"/>
          <w:szCs w:val="24"/>
          <w:lang w:val="en-US"/>
        </w:rPr>
      </w:pPr>
      <w:r w:rsidRPr="00E72AE8">
        <w:rPr>
          <w:rFonts w:ascii="Times New Roman" w:hAnsi="Times New Roman" w:cs="Times New Roman"/>
          <w:sz w:val="24"/>
          <w:szCs w:val="24"/>
          <w:lang w:val="en-US"/>
        </w:rPr>
        <w:t>stefano.rossi@unipr.it</w:t>
      </w:r>
    </w:p>
    <w:p w14:paraId="677CF9C5" w14:textId="77777777" w:rsidR="00E72AE8" w:rsidRPr="00E72AE8" w:rsidRDefault="00E72AE8" w:rsidP="00E72AE8">
      <w:pPr>
        <w:spacing w:line="360" w:lineRule="auto"/>
        <w:jc w:val="both"/>
        <w:rPr>
          <w:rFonts w:ascii="Times New Roman" w:hAnsi="Times New Roman" w:cs="Times New Roman"/>
          <w:b/>
          <w:bCs/>
          <w:sz w:val="24"/>
          <w:szCs w:val="24"/>
          <w:lang w:val="en-GB"/>
        </w:rPr>
      </w:pPr>
    </w:p>
    <w:p w14:paraId="7268CD89" w14:textId="5C1743BE" w:rsidR="001A7EC7" w:rsidRPr="0079228F" w:rsidRDefault="0079228F">
      <w:pPr>
        <w:rPr>
          <w:rFonts w:ascii="Times New Roman" w:eastAsia="Times New Roman" w:hAnsi="Times New Roman" w:cs="Times New Roman"/>
          <w:b/>
          <w:bCs/>
          <w:kern w:val="0"/>
          <w:sz w:val="40"/>
          <w:szCs w:val="40"/>
          <w:lang w:val="en-GB"/>
          <w14:ligatures w14:val="none"/>
        </w:rPr>
      </w:pPr>
      <w:r w:rsidRPr="0079228F">
        <w:rPr>
          <w:rFonts w:ascii="Times New Roman" w:eastAsia="Times New Roman" w:hAnsi="Times New Roman" w:cs="Times New Roman"/>
          <w:b/>
          <w:bCs/>
          <w:kern w:val="0"/>
          <w:sz w:val="40"/>
          <w:szCs w:val="40"/>
          <w:lang w:val="en-GB"/>
          <w14:ligatures w14:val="none"/>
        </w:rPr>
        <w:lastRenderedPageBreak/>
        <w:t xml:space="preserve">Supplementary material </w:t>
      </w:r>
    </w:p>
    <w:p w14:paraId="3786BD97" w14:textId="77777777" w:rsidR="0079228F" w:rsidRPr="0079228F" w:rsidRDefault="0079228F">
      <w:pPr>
        <w:rPr>
          <w:rFonts w:ascii="Times New Roman" w:eastAsia="Times New Roman" w:hAnsi="Times New Roman" w:cs="Times New Roman"/>
          <w:i/>
          <w:iCs/>
          <w:kern w:val="0"/>
          <w:sz w:val="24"/>
          <w:szCs w:val="24"/>
          <w:lang w:val="en-GB"/>
          <w14:ligatures w14:val="none"/>
        </w:rPr>
      </w:pPr>
    </w:p>
    <w:p w14:paraId="4D5DF929" w14:textId="4440C15F" w:rsidR="0079228F" w:rsidRPr="00E472DB" w:rsidRDefault="0079228F">
      <w:pPr>
        <w:rPr>
          <w:rFonts w:ascii="Times New Roman" w:eastAsia="Times New Roman" w:hAnsi="Times New Roman" w:cs="Times New Roman"/>
          <w:b/>
          <w:iCs/>
          <w:kern w:val="0"/>
          <w:sz w:val="24"/>
          <w:szCs w:val="24"/>
          <w:lang w:val="en-GB"/>
          <w14:ligatures w14:val="none"/>
        </w:rPr>
      </w:pPr>
      <w:r w:rsidRPr="00E472DB">
        <w:rPr>
          <w:rFonts w:ascii="Times New Roman" w:eastAsia="Times New Roman" w:hAnsi="Times New Roman" w:cs="Times New Roman"/>
          <w:b/>
          <w:iCs/>
          <w:kern w:val="0"/>
          <w:sz w:val="24"/>
          <w:szCs w:val="24"/>
          <w:lang w:val="en-GB"/>
          <w14:ligatures w14:val="none"/>
        </w:rPr>
        <w:t>Methods</w:t>
      </w:r>
    </w:p>
    <w:p w14:paraId="04AC628E" w14:textId="470601EB" w:rsidR="0079228F" w:rsidRPr="00166751" w:rsidRDefault="0079228F" w:rsidP="00166751">
      <w:pPr>
        <w:rPr>
          <w:rFonts w:ascii="Times New Roman" w:eastAsia="Times New Roman" w:hAnsi="Times New Roman" w:cs="Times New Roman"/>
          <w:i/>
          <w:iCs/>
          <w:kern w:val="0"/>
          <w:sz w:val="24"/>
          <w:szCs w:val="24"/>
          <w:lang w:val="en-GB"/>
          <w14:ligatures w14:val="none"/>
        </w:rPr>
      </w:pPr>
      <w:r w:rsidRPr="00166751">
        <w:rPr>
          <w:rFonts w:ascii="Times New Roman" w:eastAsia="Times New Roman" w:hAnsi="Times New Roman" w:cs="Times New Roman"/>
          <w:i/>
          <w:iCs/>
          <w:kern w:val="0"/>
          <w:sz w:val="24"/>
          <w:szCs w:val="24"/>
          <w:lang w:val="en-GB"/>
          <w14:ligatures w14:val="none"/>
        </w:rPr>
        <w:t xml:space="preserve">Cell </w:t>
      </w:r>
      <w:r w:rsidR="00500B1E" w:rsidRPr="00166751">
        <w:rPr>
          <w:rFonts w:ascii="Times New Roman" w:eastAsia="Times New Roman" w:hAnsi="Times New Roman" w:cs="Times New Roman"/>
          <w:i/>
          <w:iCs/>
          <w:kern w:val="0"/>
          <w:sz w:val="24"/>
          <w:szCs w:val="24"/>
          <w:lang w:val="en-GB"/>
          <w14:ligatures w14:val="none"/>
        </w:rPr>
        <w:t xml:space="preserve">culturing </w:t>
      </w:r>
    </w:p>
    <w:p w14:paraId="2D28B6CB" w14:textId="0DF952F4" w:rsidR="0079228F" w:rsidRDefault="0079228F" w:rsidP="0067366E">
      <w:pPr>
        <w:spacing w:line="360" w:lineRule="auto"/>
        <w:jc w:val="both"/>
        <w:rPr>
          <w:rFonts w:ascii="Times New Roman" w:eastAsia="Times New Roman" w:hAnsi="Times New Roman" w:cs="Times New Roman"/>
          <w:kern w:val="0"/>
          <w:sz w:val="24"/>
          <w:szCs w:val="24"/>
          <w:lang w:val="en-GB"/>
          <w14:ligatures w14:val="none"/>
        </w:rPr>
      </w:pPr>
      <w:r w:rsidRPr="0079228F">
        <w:rPr>
          <w:rFonts w:ascii="Times New Roman" w:eastAsia="Times New Roman" w:hAnsi="Times New Roman" w:cs="Times New Roman"/>
          <w:kern w:val="0"/>
          <w:sz w:val="24"/>
          <w:szCs w:val="24"/>
          <w:lang w:val="en-GB"/>
          <w14:ligatures w14:val="none"/>
        </w:rPr>
        <w:t xml:space="preserve">Briefly, cells were washed with Dulbecco’s Phosphate Buffer Solution (DPBS, Gibco™, catalogue # 14190144) and incubated for 5 minutes at 37°C with appropriate volume of 0.5 µM Ethylenediaminetetraacetic acid (EDTA, Invitrogen, catalogue # AM9260G). After removing EDTA, fresh E8 was added to detach the cells from adhesion surface by gentle pipetting. After centrifuging the cell suspension for 5 minutes at 1100 rpm, the pellet was resuspended in 1 mL of fresh E8, and the cell number was determined with a Burcher’s chamber. Cells were plated on Matrigel-coated wells with a concentration of 42000 cell/cm2 in E8 supplemented with ROCK inhibitor (Y-27632, 1:1000 dilution, </w:t>
      </w:r>
      <w:proofErr w:type="spellStart"/>
      <w:r w:rsidRPr="0079228F">
        <w:rPr>
          <w:rFonts w:ascii="Times New Roman" w:eastAsia="Times New Roman" w:hAnsi="Times New Roman" w:cs="Times New Roman"/>
          <w:kern w:val="0"/>
          <w:sz w:val="24"/>
          <w:szCs w:val="24"/>
          <w:lang w:val="en-GB"/>
          <w14:ligatures w14:val="none"/>
        </w:rPr>
        <w:t>Selleckchem</w:t>
      </w:r>
      <w:proofErr w:type="spellEnd"/>
      <w:r w:rsidRPr="0079228F">
        <w:rPr>
          <w:rFonts w:ascii="Times New Roman" w:eastAsia="Times New Roman" w:hAnsi="Times New Roman" w:cs="Times New Roman"/>
          <w:kern w:val="0"/>
          <w:sz w:val="24"/>
          <w:szCs w:val="24"/>
          <w:lang w:val="en-GB"/>
          <w14:ligatures w14:val="none"/>
        </w:rPr>
        <w:t>, catalogue # S1049). After 24hr, the medium was changed to E8 without Y-27632 and refreshed every 2 to 3 days.</w:t>
      </w:r>
    </w:p>
    <w:p w14:paraId="4D739D82" w14:textId="77777777" w:rsidR="001B5B24" w:rsidRDefault="001B5B24" w:rsidP="0067366E">
      <w:pPr>
        <w:spacing w:line="360" w:lineRule="auto"/>
        <w:jc w:val="both"/>
        <w:rPr>
          <w:rFonts w:ascii="Times New Roman" w:eastAsia="Times New Roman" w:hAnsi="Times New Roman" w:cs="Times New Roman"/>
          <w:kern w:val="0"/>
          <w:sz w:val="24"/>
          <w:szCs w:val="24"/>
          <w:lang w:val="en-GB"/>
          <w14:ligatures w14:val="none"/>
        </w:rPr>
      </w:pPr>
    </w:p>
    <w:p w14:paraId="2950C178" w14:textId="56BE6E55" w:rsidR="00136547" w:rsidRPr="00166751" w:rsidRDefault="009115B2" w:rsidP="00166751">
      <w:pPr>
        <w:spacing w:after="240" w:line="360" w:lineRule="auto"/>
        <w:jc w:val="both"/>
        <w:rPr>
          <w:rFonts w:ascii="Times New Roman" w:eastAsia="Times New Roman" w:hAnsi="Times New Roman" w:cs="Times New Roman"/>
          <w:i/>
          <w:iCs/>
          <w:kern w:val="0"/>
          <w:sz w:val="24"/>
          <w:szCs w:val="24"/>
          <w:lang w:val="en-GB"/>
          <w14:ligatures w14:val="none"/>
        </w:rPr>
      </w:pPr>
      <w:r w:rsidRPr="00166751">
        <w:rPr>
          <w:rFonts w:ascii="Times New Roman" w:eastAsia="Times New Roman" w:hAnsi="Times New Roman" w:cs="Times New Roman"/>
          <w:i/>
          <w:iCs/>
          <w:kern w:val="0"/>
          <w:sz w:val="24"/>
          <w:szCs w:val="24"/>
          <w:lang w:val="en-GB"/>
          <w14:ligatures w14:val="none"/>
        </w:rPr>
        <w:t>Oestrus phase evaluation</w:t>
      </w:r>
    </w:p>
    <w:p w14:paraId="0165F631" w14:textId="7A0FB19E" w:rsidR="00136547" w:rsidRPr="009115B2" w:rsidRDefault="00136547" w:rsidP="00136547">
      <w:pPr>
        <w:spacing w:after="240" w:line="360" w:lineRule="auto"/>
        <w:jc w:val="both"/>
        <w:rPr>
          <w:rFonts w:ascii="Times New Roman" w:eastAsia="Times New Roman" w:hAnsi="Times New Roman" w:cs="Times New Roman"/>
          <w:kern w:val="0"/>
          <w:sz w:val="24"/>
          <w:szCs w:val="24"/>
          <w:lang w:val="en-GB"/>
          <w14:ligatures w14:val="none"/>
        </w:rPr>
      </w:pPr>
      <w:r w:rsidRPr="009115B2">
        <w:rPr>
          <w:rFonts w:ascii="Times New Roman" w:eastAsia="Times New Roman" w:hAnsi="Times New Roman" w:cs="Times New Roman"/>
          <w:kern w:val="0"/>
          <w:sz w:val="24"/>
          <w:szCs w:val="24"/>
          <w:lang w:val="en-GB"/>
          <w14:ligatures w14:val="none"/>
        </w:rPr>
        <w:t xml:space="preserve">At the eleventh week of age, the staging of the oestrous cycle was evaluated in </w:t>
      </w:r>
      <w:r w:rsidR="001B5B24">
        <w:rPr>
          <w:rFonts w:ascii="Times New Roman" w:eastAsia="Times New Roman" w:hAnsi="Times New Roman" w:cs="Times New Roman"/>
          <w:kern w:val="0"/>
          <w:sz w:val="24"/>
          <w:szCs w:val="24"/>
          <w:lang w:val="en-GB"/>
          <w14:ligatures w14:val="none"/>
        </w:rPr>
        <w:t>Wistar and Spontaneous Hypertensive</w:t>
      </w:r>
      <w:r w:rsidRPr="009115B2">
        <w:rPr>
          <w:rFonts w:ascii="Times New Roman" w:eastAsia="Times New Roman" w:hAnsi="Times New Roman" w:cs="Times New Roman"/>
          <w:kern w:val="0"/>
          <w:sz w:val="24"/>
          <w:szCs w:val="24"/>
          <w:lang w:val="en-GB"/>
          <w14:ligatures w14:val="none"/>
        </w:rPr>
        <w:t xml:space="preserve"> female rats. Samples collections were carried out with vaginal lavage and specimens were collected at 9 a.m. to reduce variability</w:t>
      </w:r>
      <w:r w:rsidRPr="009115B2" w:rsidDel="00627617">
        <w:rPr>
          <w:rFonts w:ascii="Times New Roman" w:eastAsia="Times New Roman" w:hAnsi="Times New Roman" w:cs="Times New Roman"/>
          <w:kern w:val="0"/>
          <w:sz w:val="24"/>
          <w:szCs w:val="24"/>
          <w:lang w:val="en-GB"/>
          <w14:ligatures w14:val="none"/>
        </w:rPr>
        <w:t>.</w:t>
      </w:r>
      <w:r w:rsidRPr="009115B2">
        <w:rPr>
          <w:rFonts w:ascii="Times New Roman" w:eastAsia="Times New Roman" w:hAnsi="Times New Roman" w:cs="Times New Roman"/>
          <w:kern w:val="0"/>
          <w:sz w:val="24"/>
          <w:szCs w:val="24"/>
          <w:lang w:val="en-GB"/>
          <w14:ligatures w14:val="none"/>
        </w:rPr>
        <w:t xml:space="preserve"> To collect cells from the vagina, approximately 0.2 ml of normal saline solution (isotonic) was drawn into a micropipette. The dropper tip was gently inserted into the vaginal orifice to a depth of approximately 5-10 mm, then the saline solution is poured and withdrawn 2 or 3 times. Attention must be taken not to insert the tip too deeply to avoid cervical stimulation. The dropper tips were used only once to prevent contamination between animals. After washing, a small drop of the sample was placed on the slide (smear) and allowed to air dry. To perform Haematoxylin-staining (HE) in wet fixation, the smear was firstly secured with a fixative spray and successively rehydrated. The samples were incubated with HE staining for 60 sec and washed with 4-5 changes of water or until blue dye stopped coming off the slides. Sequentially, counter staining with Eosin was incubated for 90 sec and washed with 4-5 changes of water or until pink dye stopped coming off the slides. The slides were quickly dehydrated through 3 sequential immersions in</w:t>
      </w:r>
      <w:r w:rsidRPr="009115B2" w:rsidDel="009B5A32">
        <w:rPr>
          <w:rFonts w:ascii="Times New Roman" w:eastAsia="Times New Roman" w:hAnsi="Times New Roman" w:cs="Times New Roman"/>
          <w:kern w:val="0"/>
          <w:sz w:val="24"/>
          <w:szCs w:val="24"/>
          <w:lang w:val="en-GB"/>
          <w14:ligatures w14:val="none"/>
        </w:rPr>
        <w:t xml:space="preserve"> </w:t>
      </w:r>
      <w:r w:rsidRPr="009115B2">
        <w:rPr>
          <w:rFonts w:ascii="Times New Roman" w:eastAsia="Times New Roman" w:hAnsi="Times New Roman" w:cs="Times New Roman"/>
          <w:kern w:val="0"/>
          <w:sz w:val="24"/>
          <w:szCs w:val="24"/>
          <w:lang w:val="en-GB"/>
          <w14:ligatures w14:val="none"/>
        </w:rPr>
        <w:t xml:space="preserve">5%, 50% and 95% Ethanol solution and cleared in Xylene for 30 sec. Finally, coverslips were mounted with rapid mounting medium (Sigma-Aldrich, </w:t>
      </w:r>
      <w:proofErr w:type="spellStart"/>
      <w:r w:rsidRPr="009115B2">
        <w:rPr>
          <w:rFonts w:ascii="Times New Roman" w:eastAsia="Times New Roman" w:hAnsi="Times New Roman" w:cs="Times New Roman"/>
          <w:kern w:val="0"/>
          <w:sz w:val="24"/>
          <w:szCs w:val="24"/>
          <w:lang w:val="en-GB"/>
          <w14:ligatures w14:val="none"/>
        </w:rPr>
        <w:t>Entellan</w:t>
      </w:r>
      <w:proofErr w:type="spellEnd"/>
      <w:r w:rsidRPr="009115B2">
        <w:rPr>
          <w:rFonts w:ascii="Times New Roman" w:eastAsia="Times New Roman" w:hAnsi="Times New Roman" w:cs="Times New Roman"/>
          <w:kern w:val="0"/>
          <w:sz w:val="24"/>
          <w:szCs w:val="24"/>
          <w:lang w:val="en-GB"/>
          <w14:ligatures w14:val="none"/>
        </w:rPr>
        <w:t xml:space="preserve">™, catalogue #1079610100). Usually, cells were identified using an x10 objective; however, in some cases the use of higher objectives were necessary (e.g. to better visualize neutrophils). Care must be taken to </w:t>
      </w:r>
      <w:r w:rsidRPr="009115B2">
        <w:rPr>
          <w:rFonts w:ascii="Times New Roman" w:eastAsia="Times New Roman" w:hAnsi="Times New Roman" w:cs="Times New Roman"/>
          <w:kern w:val="0"/>
          <w:sz w:val="24"/>
          <w:szCs w:val="24"/>
          <w:lang w:val="en-GB"/>
          <w14:ligatures w14:val="none"/>
        </w:rPr>
        <w:lastRenderedPageBreak/>
        <w:t xml:space="preserve">examine the entire smear as cell types (leucocytes, nucleated epithelial cells and cornified epithelial cells) and numbers may vary in different areas on the slide. When the Oestrus phase was identified as detecting the highest cellular presence represented by leucocytes, the female was immediately mated for 1 day </w:t>
      </w:r>
      <w:r w:rsidRPr="009115B2">
        <w:rPr>
          <w:rFonts w:ascii="Times New Roman" w:eastAsia="Times New Roman" w:hAnsi="Times New Roman" w:cs="Times New Roman"/>
          <w:kern w:val="0"/>
          <w:sz w:val="24"/>
          <w:szCs w:val="24"/>
          <w:lang w:val="en-GB"/>
          <w14:ligatures w14:val="none"/>
        </w:rPr>
        <w:fldChar w:fldCharType="begin"/>
      </w:r>
      <w:r w:rsidRPr="009115B2">
        <w:rPr>
          <w:rFonts w:ascii="Times New Roman" w:eastAsia="Times New Roman" w:hAnsi="Times New Roman" w:cs="Times New Roman"/>
          <w:kern w:val="0"/>
          <w:sz w:val="24"/>
          <w:szCs w:val="24"/>
          <w:lang w:val="en-GB"/>
          <w14:ligatures w14:val="none"/>
        </w:rPr>
        <w:instrText xml:space="preserve"> ADDIN EN.CITE &lt;EndNote&gt;&lt;Cite&gt;&lt;Author&gt;Ajayi&lt;/Author&gt;&lt;Year&gt;2020&lt;/Year&gt;&lt;IDText&gt;Staging of the estrous cycle and induction of estrus in experimental rodents: an update&lt;/IDText&gt;&lt;DisplayText&gt;[22]&lt;/DisplayText&gt;&lt;record&gt;&lt;titles&gt;&lt;title&gt;Staging of the estrous cycle and induction of estrus in experimental rodents: an update&lt;/title&gt;&lt;secondary-title&gt;Fertility research and practice&lt;/secondary-title&gt;&lt;/titles&gt;&lt;pages&gt;1-15&lt;/pages&gt;&lt;contributors&gt;&lt;authors&gt;&lt;author&gt;Ajayi, Ayodeji Folorunsho&lt;/author&gt;&lt;author&gt;Akhigbe, Roland Eghoghosoa&lt;/author&gt;&lt;/authors&gt;&lt;/contributors&gt;&lt;added-date format="utc"&gt;1737543139&lt;/added-date&gt;&lt;ref-type name="Journal Article"&gt;17&lt;/ref-type&gt;&lt;dates&gt;&lt;year&gt;2020&lt;/year&gt;&lt;/dates&gt;&lt;rec-number&gt;3956&lt;/rec-number&gt;&lt;last-updated-date format="utc"&gt;1737543139&lt;/last-updated-date&gt;&lt;volume&gt;6&lt;/volume&gt;&lt;/record&gt;&lt;/Cite&gt;&lt;/EndNote&gt;</w:instrText>
      </w:r>
      <w:r w:rsidRPr="009115B2">
        <w:rPr>
          <w:rFonts w:ascii="Times New Roman" w:eastAsia="Times New Roman" w:hAnsi="Times New Roman" w:cs="Times New Roman"/>
          <w:kern w:val="0"/>
          <w:sz w:val="24"/>
          <w:szCs w:val="24"/>
          <w:lang w:val="en-GB"/>
          <w14:ligatures w14:val="none"/>
        </w:rPr>
        <w:fldChar w:fldCharType="separate"/>
      </w:r>
      <w:r w:rsidRPr="009115B2">
        <w:rPr>
          <w:rFonts w:ascii="Times New Roman" w:eastAsia="Times New Roman" w:hAnsi="Times New Roman" w:cs="Times New Roman"/>
          <w:kern w:val="0"/>
          <w:sz w:val="24"/>
          <w:szCs w:val="24"/>
          <w:lang w:val="en-GB"/>
          <w14:ligatures w14:val="none"/>
        </w:rPr>
        <w:t>[22]</w:t>
      </w:r>
      <w:r w:rsidRPr="009115B2">
        <w:rPr>
          <w:rFonts w:ascii="Times New Roman" w:eastAsia="Times New Roman" w:hAnsi="Times New Roman" w:cs="Times New Roman"/>
          <w:kern w:val="0"/>
          <w:sz w:val="24"/>
          <w:szCs w:val="24"/>
          <w:lang w:val="en-GB"/>
          <w14:ligatures w14:val="none"/>
        </w:rPr>
        <w:fldChar w:fldCharType="end"/>
      </w:r>
      <w:r w:rsidRPr="009115B2">
        <w:rPr>
          <w:rFonts w:ascii="Times New Roman" w:eastAsia="Times New Roman" w:hAnsi="Times New Roman" w:cs="Times New Roman"/>
          <w:kern w:val="0"/>
          <w:sz w:val="24"/>
          <w:szCs w:val="24"/>
          <w:lang w:val="en-GB"/>
          <w14:ligatures w14:val="none"/>
        </w:rPr>
        <w:t>.</w:t>
      </w:r>
    </w:p>
    <w:p w14:paraId="3FA265FB" w14:textId="4BA45A6C" w:rsidR="00136547" w:rsidRPr="00166751" w:rsidRDefault="00136547" w:rsidP="00166751">
      <w:pPr>
        <w:spacing w:after="240" w:line="360" w:lineRule="auto"/>
        <w:jc w:val="both"/>
        <w:rPr>
          <w:rFonts w:ascii="Times New Roman" w:eastAsia="Times New Roman" w:hAnsi="Times New Roman" w:cs="Times New Roman"/>
          <w:i/>
          <w:iCs/>
          <w:kern w:val="0"/>
          <w:sz w:val="24"/>
          <w:szCs w:val="24"/>
          <w:lang w:val="en-GB"/>
          <w14:ligatures w14:val="none"/>
        </w:rPr>
      </w:pPr>
      <w:r w:rsidRPr="00166751">
        <w:rPr>
          <w:rFonts w:ascii="Times New Roman" w:eastAsia="Times New Roman" w:hAnsi="Times New Roman" w:cs="Times New Roman"/>
          <w:i/>
          <w:iCs/>
          <w:kern w:val="0"/>
          <w:sz w:val="24"/>
          <w:szCs w:val="24"/>
          <w:lang w:val="en-GB"/>
          <w14:ligatures w14:val="none"/>
        </w:rPr>
        <w:t>Blood pressure measurements</w:t>
      </w:r>
    </w:p>
    <w:p w14:paraId="0F1BF93F" w14:textId="35DFFD39" w:rsidR="0084023D" w:rsidRPr="00136547" w:rsidRDefault="00136547" w:rsidP="007B1A0C">
      <w:pPr>
        <w:spacing w:after="240" w:line="360" w:lineRule="auto"/>
        <w:jc w:val="both"/>
        <w:rPr>
          <w:rFonts w:ascii="Times New Roman" w:eastAsia="Times New Roman" w:hAnsi="Times New Roman" w:cs="Times New Roman"/>
          <w:kern w:val="0"/>
          <w:sz w:val="24"/>
          <w:szCs w:val="24"/>
          <w:lang w:val="en-GB"/>
          <w14:ligatures w14:val="none"/>
        </w:rPr>
      </w:pPr>
      <w:r w:rsidRPr="009115B2">
        <w:rPr>
          <w:rFonts w:ascii="Times New Roman" w:eastAsia="Times New Roman" w:hAnsi="Times New Roman" w:cs="Times New Roman"/>
          <w:kern w:val="0"/>
          <w:sz w:val="24"/>
          <w:szCs w:val="24"/>
          <w:lang w:val="en-GB"/>
          <w14:ligatures w14:val="none"/>
        </w:rPr>
        <w:t>After 5 days after mating, systolic blood pressure (SBP) and diastolic blood pressure (DBP) were taken by means of Blood Pressure System (</w:t>
      </w:r>
      <w:proofErr w:type="spellStart"/>
      <w:r w:rsidRPr="009115B2">
        <w:rPr>
          <w:rFonts w:ascii="Times New Roman" w:eastAsia="Times New Roman" w:hAnsi="Times New Roman" w:cs="Times New Roman"/>
          <w:kern w:val="0"/>
          <w:sz w:val="24"/>
          <w:szCs w:val="24"/>
          <w:lang w:val="en-GB"/>
          <w14:ligatures w14:val="none"/>
        </w:rPr>
        <w:t>Panlab</w:t>
      </w:r>
      <w:proofErr w:type="spellEnd"/>
      <w:r w:rsidRPr="009115B2">
        <w:rPr>
          <w:rFonts w:ascii="Times New Roman" w:eastAsia="Times New Roman" w:hAnsi="Times New Roman" w:cs="Times New Roman"/>
          <w:kern w:val="0"/>
          <w:sz w:val="24"/>
          <w:szCs w:val="24"/>
          <w:lang w:val="en-GB"/>
          <w14:ligatures w14:val="none"/>
        </w:rPr>
        <w:t>) that provides an easy and reliable technique to measure systemic blood pressure and cardiovascular parameters in rodents without any invasive catheterization. Before the start of the experiment, the animals were trained to enter the restraint apparatus to become accustomed to it and avoid any pressure increase due to the stress of the procedure. The animals rapidly adapted to the procedure and remained calm throughout the measurements. The same researcher, who was kept blind about the purpose of the study, performed all the measurements. The mean of six measurements was used for statistical evaluation.</w:t>
      </w:r>
    </w:p>
    <w:p w14:paraId="7E2D1244" w14:textId="7AEC7880" w:rsidR="0084023D" w:rsidRPr="00166751" w:rsidRDefault="00C64B1E" w:rsidP="00166751">
      <w:pPr>
        <w:rPr>
          <w:rFonts w:ascii="Times New Roman" w:eastAsia="Times New Roman" w:hAnsi="Times New Roman" w:cs="Times New Roman"/>
          <w:i/>
          <w:iCs/>
          <w:kern w:val="0"/>
          <w:sz w:val="24"/>
          <w:szCs w:val="24"/>
          <w:lang w:val="en-GB"/>
          <w14:ligatures w14:val="none"/>
        </w:rPr>
      </w:pPr>
      <w:r w:rsidRPr="00166751">
        <w:rPr>
          <w:rFonts w:ascii="Times New Roman" w:eastAsia="Times New Roman" w:hAnsi="Times New Roman" w:cs="Times New Roman"/>
          <w:i/>
          <w:iCs/>
          <w:kern w:val="0"/>
          <w:sz w:val="24"/>
          <w:szCs w:val="24"/>
          <w:lang w:val="en-GB"/>
          <w14:ligatures w14:val="none"/>
        </w:rPr>
        <w:t>Gene Expression Analysis</w:t>
      </w:r>
    </w:p>
    <w:p w14:paraId="756B9C54" w14:textId="10CFAB81" w:rsidR="00FF43D6" w:rsidRPr="000E3A0A" w:rsidRDefault="00FF43D6" w:rsidP="003E6761">
      <w:pPr>
        <w:pStyle w:val="NormaleWeb"/>
        <w:spacing w:line="360" w:lineRule="auto"/>
        <w:jc w:val="both"/>
      </w:pPr>
      <w:r w:rsidRPr="00117CA4">
        <w:t xml:space="preserve">qPCR reactions were performed using the </w:t>
      </w:r>
      <w:proofErr w:type="spellStart"/>
      <w:r w:rsidRPr="00117CA4">
        <w:t>QuantiTect</w:t>
      </w:r>
      <w:proofErr w:type="spellEnd"/>
      <w:r w:rsidRPr="00117CA4">
        <w:t xml:space="preserve"> SYBR Green PCR Kit (QIAGEN, </w:t>
      </w:r>
      <w:proofErr w:type="spellStart"/>
      <w:r w:rsidRPr="00117CA4">
        <w:t>Hulsterweg</w:t>
      </w:r>
      <w:proofErr w:type="spellEnd"/>
      <w:r w:rsidRPr="00117CA4">
        <w:t xml:space="preserve">, Netherlands) in a final volume of 50 </w:t>
      </w:r>
      <w:proofErr w:type="spellStart"/>
      <w:r w:rsidRPr="00117CA4">
        <w:t>μL</w:t>
      </w:r>
      <w:proofErr w:type="spellEnd"/>
      <w:r w:rsidRPr="00117CA4">
        <w:t xml:space="preserve">, containing 7 ng of </w:t>
      </w:r>
      <w:r w:rsidRPr="005568F4">
        <w:t xml:space="preserve">cDNA, 0.3 </w:t>
      </w:r>
      <w:proofErr w:type="spellStart"/>
      <w:r w:rsidRPr="005568F4">
        <w:t>μM</w:t>
      </w:r>
      <w:proofErr w:type="spellEnd"/>
      <w:r w:rsidRPr="005568F4">
        <w:t xml:space="preserve"> of each primer (see Table </w:t>
      </w:r>
      <w:r w:rsidR="0064773E" w:rsidRPr="005568F4">
        <w:t>S2</w:t>
      </w:r>
      <w:r w:rsidRPr="005568F4">
        <w:t xml:space="preserve"> for oligonucleotide sequences), and 25 </w:t>
      </w:r>
      <w:proofErr w:type="spellStart"/>
      <w:r w:rsidRPr="005568F4">
        <w:t>μl</w:t>
      </w:r>
      <w:proofErr w:type="spellEnd"/>
      <w:r w:rsidRPr="005568F4">
        <w:t xml:space="preserve"> of 2x </w:t>
      </w:r>
      <w:proofErr w:type="spellStart"/>
      <w:r w:rsidRPr="005568F4">
        <w:t>QuantiTect</w:t>
      </w:r>
      <w:proofErr w:type="spellEnd"/>
      <w:r w:rsidRPr="005568F4">
        <w:t xml:space="preserve"> SYBR Green PCR Master Mix. Amplification reactions were conducted under the following</w:t>
      </w:r>
      <w:r w:rsidRPr="00117CA4">
        <w:t xml:space="preserve"> PCR conditions: 2 minutes at 50°C to allow UNG to eliminate any PCR product containing </w:t>
      </w:r>
      <w:proofErr w:type="spellStart"/>
      <w:r w:rsidRPr="00117CA4">
        <w:t>dUMP</w:t>
      </w:r>
      <w:proofErr w:type="spellEnd"/>
      <w:r w:rsidRPr="00117CA4">
        <w:t xml:space="preserve"> from transport contamination, 15 minutes at 95°C for </w:t>
      </w:r>
      <w:proofErr w:type="spellStart"/>
      <w:r w:rsidRPr="00117CA4">
        <w:t>HotStarTaq</w:t>
      </w:r>
      <w:proofErr w:type="spellEnd"/>
      <w:r w:rsidRPr="00117CA4">
        <w:t xml:space="preserve"> DNA Polymerase activation, 40 cycles of 15 seconds denaturation at 95°C, 30 seconds annealing at 58°C, and 30 seconds at 72°C for extension. We added an optional 15-second step at 78.5 °C to eliminate any dimer primers formed during the amplification reaction. </w:t>
      </w:r>
      <w:r w:rsidRPr="00FF43D6">
        <w:t xml:space="preserve">The hearts of the pregnant rats were ground with a mortar and pestle in liquid nitrogen, and RNA was extracted using RNeasy® Mini Kit (QIAGEN, </w:t>
      </w:r>
      <w:proofErr w:type="spellStart"/>
      <w:r w:rsidRPr="00FF43D6">
        <w:t>Hulsterweg</w:t>
      </w:r>
      <w:proofErr w:type="spellEnd"/>
      <w:r w:rsidRPr="00FF43D6">
        <w:t>, Netherlands). The High-Capacity RNA-to-cDNA™ Kit (</w:t>
      </w:r>
      <w:proofErr w:type="spellStart"/>
      <w:r w:rsidRPr="00FF43D6">
        <w:t>ThermoFisher</w:t>
      </w:r>
      <w:proofErr w:type="spellEnd"/>
      <w:r w:rsidRPr="00FF43D6">
        <w:t xml:space="preserve"> Scientific, Waltham, Massachusetts, United States) was used for the synthesis of cDNA, starting from 365 ng of RNA, following the manufacturers' instructions. qPCR reactions were performed using the </w:t>
      </w:r>
      <w:proofErr w:type="spellStart"/>
      <w:r w:rsidRPr="00FF43D6">
        <w:t>PowerUp</w:t>
      </w:r>
      <w:proofErr w:type="spellEnd"/>
      <w:r w:rsidRPr="00FF43D6">
        <w:t>™ SYBR™ Green Master Mix (</w:t>
      </w:r>
      <w:proofErr w:type="spellStart"/>
      <w:r w:rsidRPr="00FF43D6">
        <w:t>ThermoFisher</w:t>
      </w:r>
      <w:proofErr w:type="spellEnd"/>
      <w:r w:rsidRPr="00FF43D6">
        <w:t xml:space="preserve"> Scientific, Waltham, Massachusetts, United States) in a final volume of 10 </w:t>
      </w:r>
      <w:proofErr w:type="spellStart"/>
      <w:r w:rsidRPr="00FF43D6">
        <w:t>μL</w:t>
      </w:r>
      <w:proofErr w:type="spellEnd"/>
      <w:r w:rsidRPr="00FF43D6">
        <w:t xml:space="preserve">, containing 10 ng of cDNA, 0.3 </w:t>
      </w:r>
      <w:proofErr w:type="spellStart"/>
      <w:r w:rsidRPr="00FF43D6">
        <w:t>μM</w:t>
      </w:r>
      <w:proofErr w:type="spellEnd"/>
      <w:r w:rsidRPr="00FF43D6">
        <w:t xml:space="preserve"> of </w:t>
      </w:r>
      <w:r w:rsidRPr="005568F4">
        <w:t>each primer (Table S2), and 5</w:t>
      </w:r>
      <w:r w:rsidRPr="00FF43D6">
        <w:t xml:space="preserve"> </w:t>
      </w:r>
      <w:proofErr w:type="spellStart"/>
      <w:r w:rsidRPr="00FF43D6">
        <w:t>μL</w:t>
      </w:r>
      <w:proofErr w:type="spellEnd"/>
      <w:r w:rsidRPr="00FF43D6">
        <w:t xml:space="preserve"> of 2X </w:t>
      </w:r>
      <w:proofErr w:type="spellStart"/>
      <w:r w:rsidRPr="00FF43D6">
        <w:t>PowerUp</w:t>
      </w:r>
      <w:proofErr w:type="spellEnd"/>
      <w:r w:rsidRPr="00FF43D6">
        <w:t xml:space="preserve">™ SYBR™ Green Master Mix. Amplification reactions were conducted under the following PCR conditions: 2 minutes at 50°C for UDG activation, 2 minutes at 95°C for Dual-Lock™ DNA polymerase activation, 40 cycles of 15 seconds denaturation at 95°C and 1 minute </w:t>
      </w:r>
      <w:r w:rsidRPr="000E3A0A">
        <w:t xml:space="preserve">annealing/extension at 60°C. </w:t>
      </w:r>
    </w:p>
    <w:p w14:paraId="27597FB6" w14:textId="77777777" w:rsidR="00C42431" w:rsidRPr="005568F4" w:rsidRDefault="00C42431" w:rsidP="00C42431">
      <w:pPr>
        <w:rPr>
          <w:i/>
          <w:iCs/>
          <w:sz w:val="24"/>
          <w:szCs w:val="24"/>
          <w:lang w:val="en-US"/>
        </w:rPr>
      </w:pPr>
      <w:r w:rsidRPr="005568F4">
        <w:rPr>
          <w:rFonts w:ascii="Times New Roman" w:eastAsia="Times New Roman" w:hAnsi="Times New Roman" w:cs="Times New Roman"/>
          <w:i/>
          <w:iCs/>
          <w:kern w:val="0"/>
          <w:sz w:val="24"/>
          <w:szCs w:val="24"/>
          <w:lang w:val="en-GB"/>
          <w14:ligatures w14:val="none"/>
        </w:rPr>
        <w:lastRenderedPageBreak/>
        <w:t>Network science and machine learning classification</w:t>
      </w:r>
    </w:p>
    <w:p w14:paraId="1515C82E" w14:textId="17A2565D" w:rsidR="000E3A0A" w:rsidRPr="005568F4" w:rsidRDefault="000E3A0A" w:rsidP="000E3A0A">
      <w:pPr>
        <w:spacing w:before="274" w:after="274" w:line="360" w:lineRule="auto"/>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 xml:space="preserve">Network Science aims to find complex relationships and structures within data by applying principles of graph theory. In particular, the visibility graph algorithm transforms a time series into a graph. Therefore, if we consider an electrograms (EG) as a succession of bars spaced by regular intervals and as high as the signal amplitude, a visibility graph can be obtained by connecting each bar to all the bars that can be reached through a straight line and without intersecting any additional bars (see Equation 1). </w:t>
      </w:r>
    </w:p>
    <w:p w14:paraId="7FAD394A" w14:textId="77777777" w:rsidR="000E3A0A" w:rsidRPr="005568F4" w:rsidRDefault="00000000" w:rsidP="000E3A0A">
      <w:pPr>
        <w:spacing w:before="274" w:after="274" w:line="360" w:lineRule="auto"/>
        <w:jc w:val="center"/>
        <w:rPr>
          <w:sz w:val="24"/>
          <w:szCs w:val="24"/>
        </w:rPr>
      </w:pPr>
      <m:oMathPara>
        <m:oMath>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k</m:t>
              </m:r>
            </m:sub>
          </m:sSub>
          <m:r>
            <w:rPr>
              <w:rFonts w:ascii="Cambria Math" w:hAnsi="Cambria Math"/>
              <w:sz w:val="24"/>
              <w:szCs w:val="24"/>
            </w:rPr>
            <m:t>&lt;</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j</m:t>
              </m:r>
            </m:sub>
          </m:sSub>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j</m:t>
                  </m:r>
                </m:sub>
              </m:sSub>
            </m:e>
          </m:d>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k</m:t>
                  </m:r>
                </m:sub>
              </m:sSub>
            </m:num>
            <m:den>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den>
          </m:f>
        </m:oMath>
      </m:oMathPara>
    </w:p>
    <w:p w14:paraId="337BCF02" w14:textId="77777777" w:rsidR="000E3A0A" w:rsidRPr="005568F4" w:rsidRDefault="000E3A0A" w:rsidP="000E3A0A">
      <w:pPr>
        <w:spacing w:before="274" w:after="274" w:line="360" w:lineRule="auto"/>
        <w:jc w:val="center"/>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Equation 1.</w:t>
      </w:r>
    </w:p>
    <w:p w14:paraId="2FC154C6" w14:textId="77777777"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 xml:space="preserve">Where </w:t>
      </w:r>
      <m:oMath>
        <m:r>
          <w:rPr>
            <w:rFonts w:ascii="Cambria Math" w:hAnsi="Cambria Math"/>
            <w:sz w:val="24"/>
            <w:szCs w:val="24"/>
          </w:rPr>
          <m:t>y</m:t>
        </m:r>
        <m:r>
          <w:rPr>
            <w:rFonts w:ascii="Cambria Math" w:hAnsi="Cambria Math"/>
            <w:sz w:val="24"/>
            <w:szCs w:val="24"/>
            <w:lang w:val="en-US"/>
          </w:rPr>
          <m:t> </m:t>
        </m:r>
      </m:oMath>
      <w:r w:rsidRPr="005568F4">
        <w:rPr>
          <w:rFonts w:ascii="Times New Roman" w:eastAsia="Times New Roman" w:hAnsi="Times New Roman" w:cs="Times New Roman"/>
          <w:sz w:val="24"/>
          <w:szCs w:val="24"/>
          <w:lang w:val="en-US"/>
        </w:rPr>
        <w:t xml:space="preserve">is the amplitude of the signal, and </w:t>
      </w:r>
      <m:oMath>
        <m:r>
          <w:rPr>
            <w:rFonts w:ascii="Cambria Math" w:hAnsi="Cambria Math"/>
            <w:sz w:val="24"/>
            <w:szCs w:val="24"/>
          </w:rPr>
          <m:t>t</m:t>
        </m:r>
        <m:r>
          <w:rPr>
            <w:rFonts w:ascii="Cambria Math" w:hAnsi="Cambria Math"/>
            <w:sz w:val="24"/>
            <w:szCs w:val="24"/>
            <w:lang w:val="en-US"/>
          </w:rPr>
          <m:t> </m:t>
        </m:r>
      </m:oMath>
      <w:r w:rsidRPr="005568F4">
        <w:rPr>
          <w:rFonts w:ascii="Times New Roman" w:eastAsia="Times New Roman" w:hAnsi="Times New Roman" w:cs="Times New Roman"/>
          <w:sz w:val="24"/>
          <w:szCs w:val="24"/>
          <w:lang w:val="en-US"/>
        </w:rPr>
        <w:t>is the time point.</w:t>
      </w:r>
    </w:p>
    <w:p w14:paraId="26DDE9A0" w14:textId="569659DF"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 xml:space="preserve">After obtaining the graphs from the EG signals, we partitioned them into groups of nodes based on the connectivity of each graph by applying the Community detection algorithm. Following this algorithm that is based on the maximization of the modularity </w:t>
      </w:r>
      <m:oMath>
        <m:r>
          <w:rPr>
            <w:rFonts w:ascii="Cambria Math" w:hAnsi="Cambria Math"/>
            <w:sz w:val="24"/>
            <w:szCs w:val="24"/>
          </w:rPr>
          <m:t>Q</m:t>
        </m:r>
      </m:oMath>
      <w:r w:rsidRPr="005568F4">
        <w:rPr>
          <w:rFonts w:ascii="Times New Roman" w:eastAsia="Times New Roman" w:hAnsi="Times New Roman" w:cs="Times New Roman"/>
          <w:sz w:val="24"/>
          <w:szCs w:val="24"/>
          <w:lang w:val="en-US"/>
        </w:rPr>
        <w:t xml:space="preserve"> (see Equation 2), nodes were tentatively inserted or removed from a community depending on their connections (maximizing the connections within the modules and minimizing those outside the module).</w:t>
      </w:r>
    </w:p>
    <w:p w14:paraId="2A5873B8" w14:textId="77777777" w:rsidR="000E3A0A" w:rsidRPr="005568F4" w:rsidRDefault="000E3A0A" w:rsidP="000E3A0A">
      <w:pPr>
        <w:spacing w:before="240" w:after="0" w:line="360" w:lineRule="auto"/>
        <w:jc w:val="center"/>
        <w:rPr>
          <w:sz w:val="24"/>
          <w:szCs w:val="24"/>
        </w:rPr>
      </w:pPr>
      <m:oMathPara>
        <m:oMath>
          <m:r>
            <w:rPr>
              <w:rFonts w:ascii="Cambria Math" w:hAnsi="Cambria Math"/>
              <w:sz w:val="24"/>
              <w:szCs w:val="24"/>
            </w:rPr>
            <m:t>Q=</m:t>
          </m:r>
          <m:nary>
            <m:naryPr>
              <m:chr m:val="∑"/>
              <m:ctrlPr>
                <w:rPr>
                  <w:rFonts w:ascii="Cambria Math" w:hAnsi="Cambria Math"/>
                  <w:sz w:val="24"/>
                  <w:szCs w:val="24"/>
                </w:rPr>
              </m:ctrlPr>
            </m:naryPr>
            <m:sub>
              <m:r>
                <w:rPr>
                  <w:rFonts w:ascii="Cambria Math" w:hAnsi="Cambria Math"/>
                  <w:sz w:val="24"/>
                  <w:szCs w:val="24"/>
                </w:rPr>
                <m:t>s=1</m:t>
              </m:r>
            </m:sub>
            <m:sup>
              <m:r>
                <w:rPr>
                  <w:rFonts w:ascii="Cambria Math" w:hAnsi="Cambria Math"/>
                  <w:sz w:val="24"/>
                  <w:szCs w:val="24"/>
                </w:rPr>
                <m:t>m</m:t>
              </m:r>
            </m:sup>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s</m:t>
                          </m:r>
                        </m:sub>
                      </m:sSub>
                    </m:num>
                    <m:den>
                      <m:r>
                        <w:rPr>
                          <w:rFonts w:ascii="Cambria Math" w:hAnsi="Cambria Math"/>
                          <w:sz w:val="24"/>
                          <w:szCs w:val="24"/>
                        </w:rPr>
                        <m:t>L</m:t>
                      </m:r>
                    </m:den>
                  </m:f>
                  <m: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s</m:t>
                                  </m:r>
                                </m:sub>
                              </m:sSub>
                            </m:num>
                            <m:den>
                              <m:r>
                                <w:rPr>
                                  <w:rFonts w:ascii="Cambria Math" w:hAnsi="Cambria Math"/>
                                  <w:sz w:val="24"/>
                                  <w:szCs w:val="24"/>
                                </w:rPr>
                                <m:t>2L</m:t>
                              </m:r>
                            </m:den>
                          </m:f>
                        </m:e>
                      </m:d>
                    </m:e>
                    <m:sup>
                      <m:r>
                        <w:rPr>
                          <w:rFonts w:ascii="Cambria Math" w:hAnsi="Cambria Math"/>
                          <w:sz w:val="24"/>
                          <w:szCs w:val="24"/>
                        </w:rPr>
                        <m:t>2</m:t>
                      </m:r>
                    </m:sup>
                  </m:sSup>
                </m:e>
              </m:d>
            </m:e>
          </m:nary>
        </m:oMath>
      </m:oMathPara>
    </w:p>
    <w:p w14:paraId="1E5C3675" w14:textId="77777777" w:rsidR="000E3A0A" w:rsidRPr="005568F4" w:rsidRDefault="000E3A0A" w:rsidP="000E3A0A">
      <w:pPr>
        <w:spacing w:before="240" w:after="0" w:line="360" w:lineRule="auto"/>
        <w:jc w:val="center"/>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Equation 2.</w:t>
      </w:r>
    </w:p>
    <w:p w14:paraId="52A1ED76" w14:textId="77777777" w:rsidR="000E3A0A" w:rsidRPr="005568F4" w:rsidRDefault="000E3A0A" w:rsidP="000E3A0A">
      <w:pPr>
        <w:spacing w:before="240" w:after="0" w:line="360" w:lineRule="auto"/>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 xml:space="preserve">Where </w:t>
      </w:r>
      <m:oMath>
        <m:r>
          <w:rPr>
            <w:rFonts w:ascii="Cambria Math" w:hAnsi="Cambria Math"/>
            <w:sz w:val="24"/>
            <w:szCs w:val="24"/>
          </w:rPr>
          <m:t>m</m:t>
        </m:r>
        <m:r>
          <w:rPr>
            <w:rFonts w:ascii="Cambria Math" w:hAnsi="Cambria Math"/>
            <w:sz w:val="24"/>
            <w:szCs w:val="24"/>
            <w:lang w:val="en-US"/>
          </w:rPr>
          <m:t> </m:t>
        </m:r>
      </m:oMath>
      <w:r w:rsidRPr="005568F4">
        <w:rPr>
          <w:rFonts w:ascii="Times New Roman" w:eastAsia="Times New Roman" w:hAnsi="Times New Roman" w:cs="Times New Roman"/>
          <w:sz w:val="24"/>
          <w:szCs w:val="24"/>
          <w:lang w:val="en-US"/>
        </w:rPr>
        <w:t xml:space="preserve">is the number of modules, </w:t>
      </w:r>
      <m:oMath>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s</m:t>
            </m:r>
          </m:sub>
        </m:sSub>
      </m:oMath>
      <w:r w:rsidRPr="005568F4">
        <w:rPr>
          <w:rFonts w:ascii="Times New Roman" w:eastAsia="Times New Roman" w:hAnsi="Times New Roman" w:cs="Times New Roman"/>
          <w:sz w:val="24"/>
          <w:szCs w:val="24"/>
          <w:lang w:val="en-US"/>
        </w:rPr>
        <w:t xml:space="preserve"> is the number of edges within module </w:t>
      </w:r>
      <m:oMath>
        <m:r>
          <w:rPr>
            <w:rFonts w:ascii="Cambria Math" w:hAnsi="Cambria Math"/>
            <w:sz w:val="24"/>
            <w:szCs w:val="24"/>
          </w:rPr>
          <m:t>s</m:t>
        </m:r>
        <m:r>
          <w:rPr>
            <w:rFonts w:ascii="Cambria Math" w:hAnsi="Cambria Math"/>
            <w:sz w:val="24"/>
            <w:szCs w:val="24"/>
            <w:lang w:val="en-US"/>
          </w:rPr>
          <m:t> </m:t>
        </m:r>
      </m:oMath>
      <w:r w:rsidRPr="005568F4">
        <w:rPr>
          <w:rFonts w:ascii="Times New Roman" w:eastAsia="Times New Roman" w:hAnsi="Times New Roman" w:cs="Times New Roman"/>
          <w:sz w:val="24"/>
          <w:szCs w:val="24"/>
          <w:lang w:val="en-US"/>
        </w:rPr>
        <w:t xml:space="preserve">, </w:t>
      </w:r>
      <m:oMath>
        <m:r>
          <w:rPr>
            <w:rFonts w:ascii="Cambria Math" w:hAnsi="Cambria Math"/>
            <w:sz w:val="24"/>
            <w:szCs w:val="24"/>
          </w:rPr>
          <m:t>L</m:t>
        </m:r>
        <m:r>
          <w:rPr>
            <w:rFonts w:ascii="Cambria Math" w:hAnsi="Cambria Math"/>
            <w:sz w:val="24"/>
            <w:szCs w:val="24"/>
            <w:lang w:val="en-US"/>
          </w:rPr>
          <m:t> </m:t>
        </m:r>
      </m:oMath>
      <w:r w:rsidRPr="005568F4">
        <w:rPr>
          <w:rFonts w:ascii="Times New Roman" w:eastAsia="Times New Roman" w:hAnsi="Times New Roman" w:cs="Times New Roman"/>
          <w:sz w:val="24"/>
          <w:szCs w:val="24"/>
          <w:lang w:val="en-US"/>
        </w:rPr>
        <w:t xml:space="preserve">is the total number of edges in the network, and </w:t>
      </w:r>
      <m:oMath>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s</m:t>
            </m:r>
          </m:sub>
        </m:sSub>
      </m:oMath>
      <w:r w:rsidRPr="005568F4">
        <w:rPr>
          <w:rFonts w:ascii="Times New Roman" w:eastAsia="Times New Roman" w:hAnsi="Times New Roman" w:cs="Times New Roman"/>
          <w:sz w:val="24"/>
          <w:szCs w:val="24"/>
          <w:lang w:val="en-US"/>
        </w:rPr>
        <w:t xml:space="preserve"> is the sum of the degrees of the nodes in module </w:t>
      </w:r>
      <m:oMath>
        <m:r>
          <w:rPr>
            <w:rFonts w:ascii="Cambria Math" w:hAnsi="Cambria Math"/>
            <w:sz w:val="24"/>
            <w:szCs w:val="24"/>
          </w:rPr>
          <m:t>s</m:t>
        </m:r>
        <m:r>
          <w:rPr>
            <w:rFonts w:ascii="Cambria Math" w:hAnsi="Cambria Math"/>
            <w:sz w:val="24"/>
            <w:szCs w:val="24"/>
            <w:lang w:val="en-US"/>
          </w:rPr>
          <m:t> </m:t>
        </m:r>
      </m:oMath>
      <w:r w:rsidRPr="005568F4">
        <w:rPr>
          <w:rFonts w:ascii="Times New Roman" w:eastAsia="Times New Roman" w:hAnsi="Times New Roman" w:cs="Times New Roman"/>
          <w:sz w:val="24"/>
          <w:szCs w:val="24"/>
          <w:lang w:val="en-US"/>
        </w:rPr>
        <w:t>.</w:t>
      </w:r>
    </w:p>
    <w:p w14:paraId="291FA23C" w14:textId="47B46D39"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 xml:space="preserve">Depending on the within-module degree </w:t>
      </w:r>
      <m:oMath>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i</m:t>
            </m:r>
          </m:sub>
        </m:sSub>
      </m:oMath>
      <w:r w:rsidRPr="005568F4">
        <w:rPr>
          <w:rFonts w:ascii="Times New Roman" w:eastAsia="Times New Roman" w:hAnsi="Times New Roman" w:cs="Times New Roman"/>
          <w:sz w:val="24"/>
          <w:szCs w:val="24"/>
          <w:lang w:val="en-US"/>
        </w:rPr>
        <w:t xml:space="preserve"> (see Equation 3), which describes how a node is connected to the other nodes of a graph, and the participation coefficient </w:t>
      </w: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sub>
        </m:sSub>
      </m:oMath>
      <w:r w:rsidRPr="005568F4">
        <w:rPr>
          <w:rFonts w:ascii="Times New Roman" w:eastAsia="Times New Roman" w:hAnsi="Times New Roman" w:cs="Times New Roman"/>
          <w:sz w:val="24"/>
          <w:szCs w:val="24"/>
          <w:lang w:val="en-US"/>
        </w:rPr>
        <w:t xml:space="preserve"> (see Equation 4), which describes the position of a node inside the community, the nodes were classified into roles. </w:t>
      </w:r>
    </w:p>
    <w:p w14:paraId="3D9F8D85" w14:textId="77777777" w:rsidR="000E3A0A" w:rsidRPr="005568F4" w:rsidRDefault="000E3A0A" w:rsidP="000E3A0A">
      <w:pPr>
        <w:spacing w:before="240" w:after="0" w:line="360" w:lineRule="auto"/>
        <w:jc w:val="center"/>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 xml:space="preserve"> </w:t>
      </w:r>
      <m:oMath>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i</m:t>
            </m:r>
          </m:sub>
        </m:sSub>
        <m:r>
          <w:rPr>
            <w:rFonts w:ascii="Cambria Math" w:hAnsi="Cambria Math"/>
            <w:sz w:val="24"/>
            <w:szCs w:val="24"/>
            <w:lang w:val="en-US"/>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κ</m:t>
                </m:r>
              </m:e>
              <m:sub>
                <m:r>
                  <w:rPr>
                    <w:rFonts w:ascii="Cambria Math" w:hAnsi="Cambria Math"/>
                    <w:sz w:val="24"/>
                    <w:szCs w:val="24"/>
                  </w:rPr>
                  <m:t>i</m:t>
                </m:r>
              </m:sub>
            </m:sSub>
            <m:r>
              <w:rPr>
                <w:rFonts w:ascii="Cambria Math" w:hAnsi="Cambria Math"/>
                <w:sz w:val="24"/>
                <w:szCs w:val="24"/>
                <w:lang w:val="en-US"/>
              </w:rPr>
              <m:t>-</m:t>
            </m:r>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κ</m:t>
                    </m:r>
                  </m:e>
                </m:bar>
              </m:e>
              <m:sub>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i</m:t>
                    </m:r>
                  </m:sub>
                </m:sSub>
              </m:sub>
            </m:sSub>
          </m:num>
          <m:den>
            <m:sSub>
              <m:sSubPr>
                <m:ctrlPr>
                  <w:rPr>
                    <w:rFonts w:ascii="Cambria Math" w:hAnsi="Cambria Math"/>
                    <w:sz w:val="24"/>
                    <w:szCs w:val="24"/>
                  </w:rPr>
                </m:ctrlPr>
              </m:sSubPr>
              <m:e>
                <m:r>
                  <w:rPr>
                    <w:rFonts w:ascii="Cambria Math" w:hAnsi="Cambria Math"/>
                    <w:sz w:val="24"/>
                    <w:szCs w:val="24"/>
                  </w:rPr>
                  <m:t>σ</m:t>
                </m:r>
              </m:e>
              <m:sub>
                <m:sSub>
                  <m:sSubPr>
                    <m:ctrlPr>
                      <w:rPr>
                        <w:rFonts w:ascii="Cambria Math" w:hAnsi="Cambria Math"/>
                        <w:sz w:val="24"/>
                        <w:szCs w:val="24"/>
                      </w:rPr>
                    </m:ctrlPr>
                  </m:sSubPr>
                  <m:e>
                    <m:r>
                      <w:rPr>
                        <w:rFonts w:ascii="Cambria Math" w:hAnsi="Cambria Math"/>
                        <w:sz w:val="24"/>
                        <w:szCs w:val="24"/>
                      </w:rPr>
                      <m:t>κ</m:t>
                    </m:r>
                  </m:e>
                  <m:sub>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i</m:t>
                        </m:r>
                      </m:sub>
                    </m:sSub>
                  </m:sub>
                </m:sSub>
              </m:sub>
            </m:sSub>
          </m:den>
        </m:f>
      </m:oMath>
    </w:p>
    <w:p w14:paraId="2D050A39" w14:textId="77777777" w:rsidR="000E3A0A" w:rsidRPr="005568F4" w:rsidRDefault="000E3A0A" w:rsidP="000E3A0A">
      <w:pPr>
        <w:spacing w:before="240" w:after="0" w:line="360" w:lineRule="auto"/>
        <w:jc w:val="center"/>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Equation 3.</w:t>
      </w:r>
    </w:p>
    <w:p w14:paraId="3565FD8E" w14:textId="77777777" w:rsidR="000E3A0A" w:rsidRPr="005568F4" w:rsidRDefault="00000000" w:rsidP="000E3A0A">
      <w:pPr>
        <w:spacing w:before="240" w:after="0" w:line="360" w:lineRule="auto"/>
        <w:jc w:val="center"/>
        <w:rPr>
          <w:sz w:val="24"/>
          <w:szCs w:val="24"/>
        </w:rPr>
      </w:pPr>
      <m:oMathPara>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sub>
          </m:sSub>
          <m:r>
            <w:rPr>
              <w:rFonts w:ascii="Cambria Math" w:hAnsi="Cambria Math"/>
              <w:sz w:val="24"/>
              <w:szCs w:val="24"/>
            </w:rPr>
            <m:t>=1-</m:t>
          </m:r>
          <m:nary>
            <m:naryPr>
              <m:chr m:val="∑"/>
              <m:ctrlPr>
                <w:rPr>
                  <w:rFonts w:ascii="Cambria Math" w:hAnsi="Cambria Math"/>
                  <w:sz w:val="24"/>
                  <w:szCs w:val="24"/>
                </w:rPr>
              </m:ctrlPr>
            </m:naryPr>
            <m:sub>
              <m:r>
                <w:rPr>
                  <w:rFonts w:ascii="Cambria Math" w:hAnsi="Cambria Math"/>
                  <w:sz w:val="24"/>
                  <w:szCs w:val="24"/>
                </w:rPr>
                <m:t>s=1</m:t>
              </m:r>
            </m:sub>
            <m:sup>
              <m:r>
                <w:rPr>
                  <w:rFonts w:ascii="Cambria Math" w:hAnsi="Cambria Math"/>
                  <w:sz w:val="24"/>
                  <w:szCs w:val="24"/>
                </w:rPr>
                <m:t>m</m:t>
              </m:r>
            </m:sup>
            <m:e>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κ</m:t>
                              </m:r>
                            </m:e>
                            <m:sub>
                              <m:r>
                                <w:rPr>
                                  <w:rFonts w:ascii="Cambria Math" w:hAnsi="Cambria Math"/>
                                  <w:sz w:val="24"/>
                                  <w:szCs w:val="24"/>
                                </w:rPr>
                                <m:t>is</m:t>
                              </m:r>
                            </m:sub>
                          </m:sSub>
                        </m:num>
                        <m:den>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i</m:t>
                              </m:r>
                            </m:sub>
                          </m:sSub>
                        </m:den>
                      </m:f>
                    </m:e>
                  </m:d>
                </m:e>
                <m:sup>
                  <m:r>
                    <w:rPr>
                      <w:rFonts w:ascii="Cambria Math" w:hAnsi="Cambria Math"/>
                      <w:sz w:val="24"/>
                      <w:szCs w:val="24"/>
                    </w:rPr>
                    <m:t>2</m:t>
                  </m:r>
                </m:sup>
              </m:sSup>
            </m:e>
          </m:nary>
        </m:oMath>
      </m:oMathPara>
    </w:p>
    <w:p w14:paraId="24BD0A0D" w14:textId="77777777" w:rsidR="000E3A0A" w:rsidRPr="005568F4" w:rsidRDefault="000E3A0A" w:rsidP="000E3A0A">
      <w:pPr>
        <w:spacing w:before="240" w:after="0" w:line="360" w:lineRule="auto"/>
        <w:jc w:val="center"/>
        <w:rPr>
          <w:rFonts w:ascii="sans-serif" w:eastAsia="sans-serif" w:hAnsi="sans-serif" w:cs="sans-serif"/>
          <w:sz w:val="24"/>
          <w:szCs w:val="24"/>
          <w:lang w:val="en-US"/>
        </w:rPr>
      </w:pPr>
      <w:r w:rsidRPr="005568F4">
        <w:rPr>
          <w:rFonts w:ascii="Times New Roman" w:eastAsia="Times New Roman" w:hAnsi="Times New Roman" w:cs="Times New Roman"/>
          <w:sz w:val="24"/>
          <w:szCs w:val="24"/>
          <w:lang w:val="en-US"/>
        </w:rPr>
        <w:t>Equation 4.</w:t>
      </w:r>
    </w:p>
    <w:p w14:paraId="033769EC" w14:textId="77777777"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 xml:space="preserve">Where </w:t>
      </w:r>
      <m:oMath>
        <m:sSub>
          <m:sSubPr>
            <m:ctrlPr>
              <w:rPr>
                <w:rFonts w:ascii="Cambria Math" w:hAnsi="Cambria Math"/>
                <w:sz w:val="24"/>
                <w:szCs w:val="24"/>
              </w:rPr>
            </m:ctrlPr>
          </m:sSubPr>
          <m:e>
            <m:r>
              <w:rPr>
                <w:rFonts w:ascii="Cambria Math" w:hAnsi="Cambria Math"/>
                <w:sz w:val="24"/>
                <w:szCs w:val="24"/>
              </w:rPr>
              <m:t>κ</m:t>
            </m:r>
          </m:e>
          <m:sub>
            <m:r>
              <w:rPr>
                <w:rFonts w:ascii="Cambria Math" w:hAnsi="Cambria Math"/>
                <w:sz w:val="24"/>
                <w:szCs w:val="24"/>
              </w:rPr>
              <m:t>i</m:t>
            </m:r>
          </m:sub>
        </m:sSub>
      </m:oMath>
      <w:r w:rsidRPr="005568F4">
        <w:rPr>
          <w:rFonts w:ascii="Times New Roman" w:eastAsia="Times New Roman" w:hAnsi="Times New Roman" w:cs="Times New Roman"/>
          <w:sz w:val="24"/>
          <w:szCs w:val="24"/>
          <w:lang w:val="en-US"/>
        </w:rPr>
        <w:t xml:space="preserve"> is the number of edges node </w:t>
      </w:r>
      <m:oMath>
        <m:r>
          <w:rPr>
            <w:rFonts w:ascii="Cambria Math" w:hAnsi="Cambria Math"/>
            <w:sz w:val="24"/>
            <w:szCs w:val="24"/>
          </w:rPr>
          <m:t>i</m:t>
        </m:r>
        <m:r>
          <w:rPr>
            <w:rFonts w:ascii="Cambria Math" w:hAnsi="Cambria Math"/>
            <w:sz w:val="24"/>
            <w:szCs w:val="24"/>
            <w:lang w:val="en-US"/>
          </w:rPr>
          <m:t> </m:t>
        </m:r>
      </m:oMath>
      <w:r w:rsidRPr="005568F4">
        <w:rPr>
          <w:rFonts w:ascii="Times New Roman" w:eastAsia="Times New Roman" w:hAnsi="Times New Roman" w:cs="Times New Roman"/>
          <w:sz w:val="24"/>
          <w:szCs w:val="24"/>
          <w:lang w:val="en-US"/>
        </w:rPr>
        <w:t xml:space="preserve"> has within its module </w:t>
      </w:r>
      <m:oMath>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i</m:t>
            </m:r>
          </m:sub>
        </m:sSub>
      </m:oMath>
      <w:r w:rsidRPr="005568F4">
        <w:rPr>
          <w:rFonts w:ascii="Times New Roman" w:eastAsia="Times New Roman" w:hAnsi="Times New Roman" w:cs="Times New Roman"/>
          <w:sz w:val="24"/>
          <w:szCs w:val="24"/>
          <w:lang w:val="en-US"/>
        </w:rPr>
        <w:t xml:space="preserve"> , </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κ</m:t>
                </m:r>
              </m:e>
            </m:bar>
          </m:e>
          <m:sub>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i</m:t>
                </m:r>
              </m:sub>
            </m:sSub>
          </m:sub>
        </m:sSub>
      </m:oMath>
      <w:r w:rsidRPr="005568F4">
        <w:rPr>
          <w:rFonts w:ascii="Times New Roman" w:eastAsia="Times New Roman" w:hAnsi="Times New Roman" w:cs="Times New Roman"/>
          <w:sz w:val="24"/>
          <w:szCs w:val="24"/>
          <w:lang w:val="en-US"/>
        </w:rPr>
        <w:t xml:space="preserve"> is the average internal degree of all nodes in module , </w:t>
      </w:r>
      <m:oMath>
        <m:sSub>
          <m:sSubPr>
            <m:ctrlPr>
              <w:rPr>
                <w:rFonts w:ascii="Cambria Math" w:hAnsi="Cambria Math"/>
                <w:sz w:val="24"/>
                <w:szCs w:val="24"/>
              </w:rPr>
            </m:ctrlPr>
          </m:sSubPr>
          <m:e>
            <m:r>
              <w:rPr>
                <w:rFonts w:ascii="Cambria Math" w:hAnsi="Cambria Math"/>
                <w:sz w:val="24"/>
                <w:szCs w:val="24"/>
              </w:rPr>
              <m:t>σ</m:t>
            </m:r>
          </m:e>
          <m:sub>
            <m:sSub>
              <m:sSubPr>
                <m:ctrlPr>
                  <w:rPr>
                    <w:rFonts w:ascii="Cambria Math" w:hAnsi="Cambria Math"/>
                    <w:sz w:val="24"/>
                    <w:szCs w:val="24"/>
                  </w:rPr>
                </m:ctrlPr>
              </m:sSubPr>
              <m:e>
                <m:r>
                  <w:rPr>
                    <w:rFonts w:ascii="Cambria Math" w:hAnsi="Cambria Math"/>
                    <w:sz w:val="24"/>
                    <w:szCs w:val="24"/>
                  </w:rPr>
                  <m:t>κ</m:t>
                </m:r>
              </m:e>
              <m:sub>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i</m:t>
                    </m:r>
                  </m:sub>
                </m:sSub>
              </m:sub>
            </m:sSub>
          </m:sub>
        </m:sSub>
      </m:oMath>
      <w:r w:rsidRPr="005568F4">
        <w:rPr>
          <w:rFonts w:ascii="Times New Roman" w:eastAsia="Times New Roman" w:hAnsi="Times New Roman" w:cs="Times New Roman"/>
          <w:sz w:val="24"/>
          <w:szCs w:val="24"/>
          <w:lang w:val="en-US"/>
        </w:rPr>
        <w:t xml:space="preserve"> is the standard deviation, </w:t>
      </w:r>
      <m:oMath>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i</m:t>
            </m:r>
          </m:sub>
        </m:sSub>
      </m:oMath>
      <w:r w:rsidRPr="005568F4">
        <w:rPr>
          <w:rFonts w:ascii="Times New Roman" w:eastAsia="Times New Roman" w:hAnsi="Times New Roman" w:cs="Times New Roman"/>
          <w:sz w:val="24"/>
          <w:szCs w:val="24"/>
          <w:lang w:val="en-US"/>
        </w:rPr>
        <w:t xml:space="preserve"> is the total degree of node </w:t>
      </w:r>
      <m:oMath>
        <m:r>
          <w:rPr>
            <w:rFonts w:ascii="Cambria Math" w:hAnsi="Cambria Math"/>
            <w:sz w:val="24"/>
            <w:szCs w:val="24"/>
          </w:rPr>
          <m:t>i</m:t>
        </m:r>
        <m:r>
          <w:rPr>
            <w:rFonts w:ascii="Cambria Math" w:hAnsi="Cambria Math"/>
            <w:sz w:val="24"/>
            <w:szCs w:val="24"/>
            <w:lang w:val="en-US"/>
          </w:rPr>
          <m:t> </m:t>
        </m:r>
      </m:oMath>
      <w:r w:rsidRPr="005568F4">
        <w:rPr>
          <w:rFonts w:ascii="Times New Roman" w:eastAsia="Times New Roman" w:hAnsi="Times New Roman" w:cs="Times New Roman"/>
          <w:sz w:val="24"/>
          <w:szCs w:val="24"/>
          <w:lang w:val="en-US"/>
        </w:rPr>
        <w:t>.</w:t>
      </w:r>
    </w:p>
    <w:p w14:paraId="7FE72400" w14:textId="17B036EF"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 xml:space="preserve">The percentages of each role were used as features for the machine learning model based on a </w:t>
      </w:r>
      <w:r w:rsidR="005062EF" w:rsidRPr="005062EF">
        <w:rPr>
          <w:rFonts w:ascii="Times New Roman" w:eastAsia="Times New Roman" w:hAnsi="Times New Roman" w:cs="Times New Roman"/>
          <w:sz w:val="24"/>
          <w:szCs w:val="24"/>
          <w:lang w:val="en-US"/>
        </w:rPr>
        <w:t>k-nearest neighbors (k-NN) classifiers</w:t>
      </w:r>
      <w:r w:rsidRPr="005568F4">
        <w:rPr>
          <w:rFonts w:ascii="Times New Roman" w:eastAsia="Times New Roman" w:hAnsi="Times New Roman" w:cs="Times New Roman"/>
          <w:sz w:val="24"/>
          <w:szCs w:val="24"/>
          <w:lang w:val="en-US"/>
        </w:rPr>
        <w:t>.</w:t>
      </w:r>
    </w:p>
    <w:p w14:paraId="615D06B7" w14:textId="77777777"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 xml:space="preserve">This classification approach has been separately performed </w:t>
      </w:r>
      <w:proofErr w:type="gramStart"/>
      <w:r w:rsidRPr="005568F4">
        <w:rPr>
          <w:rFonts w:ascii="Times New Roman" w:eastAsia="Times New Roman" w:hAnsi="Times New Roman" w:cs="Times New Roman"/>
          <w:sz w:val="24"/>
          <w:szCs w:val="24"/>
          <w:lang w:val="en-US"/>
        </w:rPr>
        <w:t>on:</w:t>
      </w:r>
      <w:proofErr w:type="gramEnd"/>
      <w:r w:rsidRPr="005568F4">
        <w:rPr>
          <w:rFonts w:ascii="Times New Roman" w:eastAsia="Times New Roman" w:hAnsi="Times New Roman" w:cs="Times New Roman"/>
          <w:sz w:val="24"/>
          <w:szCs w:val="24"/>
          <w:lang w:val="en-US"/>
        </w:rPr>
        <w:t xml:space="preserve"> </w:t>
      </w:r>
      <w:proofErr w:type="spellStart"/>
      <w:r w:rsidRPr="005568F4">
        <w:rPr>
          <w:rFonts w:ascii="Times New Roman" w:eastAsia="Times New Roman" w:hAnsi="Times New Roman" w:cs="Times New Roman"/>
          <w:sz w:val="24"/>
          <w:szCs w:val="24"/>
          <w:lang w:val="en-US"/>
        </w:rPr>
        <w:t>i</w:t>
      </w:r>
      <w:proofErr w:type="spellEnd"/>
      <w:r w:rsidRPr="005568F4">
        <w:rPr>
          <w:rFonts w:ascii="Times New Roman" w:eastAsia="Times New Roman" w:hAnsi="Times New Roman" w:cs="Times New Roman"/>
          <w:sz w:val="24"/>
          <w:szCs w:val="24"/>
          <w:lang w:val="en-US"/>
        </w:rPr>
        <w:t>) sinus rhythm EGs recorded from all animals regardless of hypertension (i.e., strain differences); ii) sinus rhythm EGs recorded from normotensive rats; iii) sinus rhythm EGs recorded from spontaneously hypertensive rats.</w:t>
      </w:r>
    </w:p>
    <w:p w14:paraId="48D78ED8" w14:textId="7AE7095C"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Three different metrics/indexes were adopted to evaluate the classification performances. Accuracy and F1-score were calculated for a 2x2 confusion matrix (Table 1) as follows:</w:t>
      </w:r>
    </w:p>
    <w:p w14:paraId="108FD1AF" w14:textId="77777777"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Accuracy:</w:t>
      </w:r>
    </w:p>
    <w:p w14:paraId="786BD88C" w14:textId="77777777"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m:oMathPara>
        <m:oMath>
          <m:r>
            <w:rPr>
              <w:rFonts w:ascii="Cambria Math" w:eastAsia="Times New Roman" w:hAnsi="Cambria Math" w:cs="Times New Roman"/>
              <w:sz w:val="24"/>
              <w:szCs w:val="24"/>
              <w:lang w:val="en-US"/>
            </w:rPr>
            <m:t xml:space="preserve">Accuracy= </m:t>
          </m:r>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TP+TN</m:t>
              </m:r>
            </m:num>
            <m:den>
              <m:r>
                <w:rPr>
                  <w:rFonts w:ascii="Cambria Math" w:eastAsia="Times New Roman" w:hAnsi="Cambria Math" w:cs="Times New Roman"/>
                  <w:sz w:val="24"/>
                  <w:szCs w:val="24"/>
                  <w:lang w:val="en-US"/>
                </w:rPr>
                <m:t>TP+TN+FP+FN</m:t>
              </m:r>
            </m:den>
          </m:f>
        </m:oMath>
      </m:oMathPara>
    </w:p>
    <w:p w14:paraId="5C5F78FB" w14:textId="77777777"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F1-score:</w:t>
      </w:r>
    </w:p>
    <w:p w14:paraId="55B1146B" w14:textId="77777777"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m:oMathPara>
        <m:oMath>
          <m:r>
            <w:rPr>
              <w:rFonts w:ascii="Cambria Math" w:eastAsia="Times New Roman" w:hAnsi="Cambria Math" w:cs="Times New Roman"/>
              <w:sz w:val="24"/>
              <w:szCs w:val="24"/>
              <w:lang w:val="en-US"/>
            </w:rPr>
            <m:t>F1=2*</m:t>
          </m:r>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precision*recall</m:t>
              </m:r>
            </m:num>
            <m:den>
              <m:r>
                <w:rPr>
                  <w:rFonts w:ascii="Cambria Math" w:eastAsia="Times New Roman" w:hAnsi="Cambria Math" w:cs="Times New Roman"/>
                  <w:sz w:val="24"/>
                  <w:szCs w:val="24"/>
                  <w:lang w:val="en-US"/>
                </w:rPr>
                <m:t>precision+recall</m:t>
              </m:r>
            </m:den>
          </m:f>
        </m:oMath>
      </m:oMathPara>
    </w:p>
    <w:p w14:paraId="0569218B" w14:textId="77777777" w:rsidR="000E3A0A" w:rsidRPr="005568F4" w:rsidRDefault="000E3A0A" w:rsidP="000E3A0A">
      <w:pPr>
        <w:spacing w:before="240" w:after="0" w:line="360" w:lineRule="auto"/>
        <w:ind w:firstLine="708"/>
        <w:jc w:val="both"/>
        <w:rPr>
          <w:rFonts w:ascii="Times New Roman" w:eastAsia="Times New Roman" w:hAnsi="Times New Roman" w:cs="Times New Roman"/>
          <w:sz w:val="24"/>
          <w:szCs w:val="24"/>
          <w:lang w:val="en-US"/>
        </w:rPr>
      </w:pPr>
      <w:proofErr w:type="gramStart"/>
      <w:r w:rsidRPr="005568F4">
        <w:rPr>
          <w:rFonts w:ascii="Times New Roman" w:eastAsia="Times New Roman" w:hAnsi="Times New Roman" w:cs="Times New Roman"/>
          <w:sz w:val="24"/>
          <w:szCs w:val="24"/>
          <w:lang w:val="en-US"/>
        </w:rPr>
        <w:t>where</w:t>
      </w:r>
      <w:proofErr w:type="gramEnd"/>
    </w:p>
    <w:p w14:paraId="2D388EB7" w14:textId="77777777"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m:oMathPara>
        <m:oMath>
          <m:r>
            <w:rPr>
              <w:rFonts w:ascii="Cambria Math" w:eastAsia="Times New Roman" w:hAnsi="Cambria Math" w:cs="Times New Roman"/>
              <w:sz w:val="24"/>
              <w:szCs w:val="24"/>
              <w:lang w:val="en-US"/>
            </w:rPr>
            <m:t xml:space="preserve">precision= </m:t>
          </m:r>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TP</m:t>
              </m:r>
            </m:num>
            <m:den>
              <m:r>
                <w:rPr>
                  <w:rFonts w:ascii="Cambria Math" w:eastAsia="Times New Roman" w:hAnsi="Cambria Math" w:cs="Times New Roman"/>
                  <w:sz w:val="24"/>
                  <w:szCs w:val="24"/>
                  <w:lang w:val="en-US"/>
                </w:rPr>
                <m:t>TP+FP</m:t>
              </m:r>
            </m:den>
          </m:f>
        </m:oMath>
      </m:oMathPara>
    </w:p>
    <w:p w14:paraId="6DC7C550" w14:textId="77777777" w:rsidR="000E3A0A" w:rsidRPr="005568F4" w:rsidRDefault="000E3A0A" w:rsidP="000E3A0A">
      <w:pPr>
        <w:spacing w:before="240" w:after="0" w:line="360" w:lineRule="auto"/>
        <w:ind w:firstLine="708"/>
        <w:jc w:val="both"/>
        <w:rPr>
          <w:rFonts w:ascii="Times New Roman" w:eastAsia="Times New Roman" w:hAnsi="Times New Roman" w:cs="Times New Roman"/>
          <w:sz w:val="24"/>
          <w:szCs w:val="24"/>
          <w:lang w:val="en-US"/>
        </w:rPr>
      </w:pPr>
      <w:r w:rsidRPr="005568F4">
        <w:rPr>
          <w:rFonts w:ascii="Times New Roman" w:eastAsia="Times New Roman" w:hAnsi="Times New Roman" w:cs="Times New Roman"/>
          <w:sz w:val="24"/>
          <w:szCs w:val="24"/>
          <w:lang w:val="en-US"/>
        </w:rPr>
        <w:t>and</w:t>
      </w:r>
    </w:p>
    <w:p w14:paraId="23E98F2A" w14:textId="77777777" w:rsidR="000E3A0A" w:rsidRPr="005568F4" w:rsidRDefault="000E3A0A" w:rsidP="000E3A0A">
      <w:pPr>
        <w:spacing w:before="240" w:after="0" w:line="360" w:lineRule="auto"/>
        <w:jc w:val="both"/>
        <w:rPr>
          <w:rFonts w:ascii="Times New Roman" w:eastAsia="Times New Roman" w:hAnsi="Times New Roman" w:cs="Times New Roman"/>
          <w:sz w:val="24"/>
          <w:szCs w:val="24"/>
          <w:lang w:val="en-US"/>
        </w:rPr>
      </w:pPr>
      <m:oMathPara>
        <m:oMath>
          <m:r>
            <w:rPr>
              <w:rFonts w:ascii="Cambria Math" w:eastAsia="Times New Roman" w:hAnsi="Cambria Math" w:cs="Times New Roman"/>
              <w:sz w:val="24"/>
              <w:szCs w:val="24"/>
              <w:lang w:val="en-US"/>
            </w:rPr>
            <m:t>recall=</m:t>
          </m:r>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TP</m:t>
              </m:r>
            </m:num>
            <m:den>
              <m:r>
                <w:rPr>
                  <w:rFonts w:ascii="Cambria Math" w:eastAsia="Times New Roman" w:hAnsi="Cambria Math" w:cs="Times New Roman"/>
                  <w:sz w:val="24"/>
                  <w:szCs w:val="24"/>
                  <w:lang w:val="en-US"/>
                </w:rPr>
                <m:t>TP+FN</m:t>
              </m:r>
            </m:den>
          </m:f>
        </m:oMath>
      </m:oMathPara>
    </w:p>
    <w:p w14:paraId="522616E6" w14:textId="5DDE50F7" w:rsidR="000E3A0A" w:rsidRPr="005568F4" w:rsidRDefault="00F810CE" w:rsidP="000E3A0A">
      <w:pPr>
        <w:spacing w:before="240"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where TP is true positive, TN is true negative, FP is false positive and FN is false negative.</w:t>
      </w:r>
    </w:p>
    <w:p w14:paraId="74319672" w14:textId="0D9C7D0D" w:rsidR="000E3A0A" w:rsidRPr="005568F4" w:rsidRDefault="004D6281" w:rsidP="000E3A0A">
      <w:pPr>
        <w:spacing w:before="240"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The Area U</w:t>
      </w:r>
      <w:r w:rsidR="000E3A0A" w:rsidRPr="005568F4">
        <w:rPr>
          <w:rFonts w:ascii="Times New Roman" w:eastAsia="Times New Roman" w:hAnsi="Times New Roman" w:cs="Times New Roman"/>
          <w:sz w:val="24"/>
          <w:szCs w:val="24"/>
          <w:lang w:val="en-US"/>
        </w:rPr>
        <w:t>nder the Receiver Operating Characteristic</w:t>
      </w:r>
      <w:r>
        <w:rPr>
          <w:rFonts w:ascii="Times New Roman" w:eastAsia="Times New Roman" w:hAnsi="Times New Roman" w:cs="Times New Roman"/>
          <w:sz w:val="24"/>
          <w:szCs w:val="24"/>
          <w:lang w:val="en-US"/>
        </w:rPr>
        <w:t xml:space="preserve"> (ROC)</w:t>
      </w:r>
      <w:r w:rsidR="000E3A0A" w:rsidRPr="005568F4">
        <w:rPr>
          <w:rFonts w:ascii="Times New Roman" w:eastAsia="Times New Roman" w:hAnsi="Times New Roman" w:cs="Times New Roman"/>
          <w:sz w:val="24"/>
          <w:szCs w:val="24"/>
          <w:lang w:val="en-US"/>
        </w:rPr>
        <w:t xml:space="preserve"> curve (AUC) was used to summarize the ability of our binary classifier to discriminate between classes across all possible decision thresholds. Specifically, AUC ranges from 0 to 1, with larger values indicating better classifier performance. </w:t>
      </w:r>
    </w:p>
    <w:p w14:paraId="13A7509D" w14:textId="7348DD41" w:rsidR="000E3A0A" w:rsidRPr="005568F4" w:rsidRDefault="000E3A0A" w:rsidP="000E3A0A">
      <w:pPr>
        <w:spacing w:before="240" w:after="0" w:line="240" w:lineRule="auto"/>
        <w:jc w:val="both"/>
        <w:rPr>
          <w:rFonts w:ascii="Times New Roman" w:eastAsia="Times New Roman" w:hAnsi="Times New Roman" w:cs="Times New Roman"/>
          <w:b/>
          <w:bCs/>
          <w:color w:val="212121"/>
          <w:sz w:val="24"/>
          <w:szCs w:val="24"/>
          <w:highlight w:val="yellow"/>
          <w:lang w:val="en-US"/>
        </w:rPr>
      </w:pPr>
    </w:p>
    <w:p w14:paraId="4C8089BE" w14:textId="60FDDFF8" w:rsidR="008C4AC4" w:rsidRPr="005568F4" w:rsidRDefault="008C4AC4" w:rsidP="003E6761">
      <w:pPr>
        <w:pStyle w:val="NormaleWeb"/>
        <w:spacing w:line="360" w:lineRule="auto"/>
        <w:jc w:val="both"/>
        <w:rPr>
          <w:b/>
          <w:bCs/>
        </w:rPr>
      </w:pPr>
      <w:r w:rsidRPr="005568F4">
        <w:rPr>
          <w:b/>
          <w:bCs/>
        </w:rPr>
        <w:t>Supplementary Figure Legends</w:t>
      </w:r>
    </w:p>
    <w:p w14:paraId="32D5DBF2" w14:textId="5F479B3F" w:rsidR="001C1ECE" w:rsidRPr="005568F4" w:rsidRDefault="001C1ECE" w:rsidP="008C4AC4">
      <w:pPr>
        <w:pStyle w:val="NormaleWeb"/>
        <w:spacing w:line="360" w:lineRule="auto"/>
        <w:jc w:val="both"/>
        <w:rPr>
          <w:lang w:val="en-US"/>
        </w:rPr>
      </w:pPr>
      <w:r w:rsidRPr="005568F4">
        <w:rPr>
          <w:b/>
          <w:bCs/>
          <w:lang w:val="en-US"/>
        </w:rPr>
        <w:t xml:space="preserve">Table S1. </w:t>
      </w:r>
      <w:r w:rsidRPr="005568F4">
        <w:rPr>
          <w:lang w:val="en-US"/>
        </w:rPr>
        <w:t xml:space="preserve">Total Chemical composition of PM-Mi </w:t>
      </w:r>
    </w:p>
    <w:p w14:paraId="3298DE49" w14:textId="0D4609B3" w:rsidR="00C42431" w:rsidRPr="005568F4" w:rsidRDefault="00C42431" w:rsidP="008C4AC4">
      <w:pPr>
        <w:pStyle w:val="NormaleWeb"/>
        <w:spacing w:line="360" w:lineRule="auto"/>
        <w:jc w:val="both"/>
        <w:rPr>
          <w:lang w:val="en-US"/>
        </w:rPr>
      </w:pPr>
      <w:r w:rsidRPr="005568F4">
        <w:rPr>
          <w:b/>
          <w:bCs/>
          <w:lang w:val="en-US"/>
        </w:rPr>
        <w:t>Table S2.</w:t>
      </w:r>
      <w:r w:rsidRPr="005568F4">
        <w:rPr>
          <w:lang w:val="en-US"/>
        </w:rPr>
        <w:t xml:space="preserve"> Oligonucleotide sequences </w:t>
      </w:r>
    </w:p>
    <w:p w14:paraId="7B0AAB82" w14:textId="6ACC1887" w:rsidR="008C4AC4" w:rsidRPr="005568F4" w:rsidRDefault="008C4AC4" w:rsidP="008C4AC4">
      <w:pPr>
        <w:pStyle w:val="NormaleWeb"/>
        <w:spacing w:line="360" w:lineRule="auto"/>
        <w:jc w:val="both"/>
        <w:rPr>
          <w:lang w:val="en-US"/>
        </w:rPr>
      </w:pPr>
      <w:r w:rsidRPr="005568F4">
        <w:rPr>
          <w:b/>
          <w:bCs/>
          <w:lang w:val="en-US"/>
        </w:rPr>
        <w:t xml:space="preserve">Figure S1. </w:t>
      </w:r>
      <w:r w:rsidRPr="005568F4">
        <w:rPr>
          <w:lang w:val="en-US"/>
        </w:rPr>
        <w:t>Blood pressure evaluation. A: Systolic blood pressure (SBP) in Physio (circles) and PM-Mi (squares) treated animals. B: Diastolic blood pressure (DBP) in Physio (circles) and PM-Mi (squares) treated animals. C: blood pressures (BP) in normotensive rats (NR). D: blood pressures (BP) in spontaneously hypertensive rats (SHR). Data were presented as median ± SD range and were analyzed by two-way ANOVA. * p&lt;0.05 and *** p&lt;0.001.</w:t>
      </w:r>
    </w:p>
    <w:p w14:paraId="2A47F590" w14:textId="77777777" w:rsidR="008C4AC4" w:rsidRPr="005568F4" w:rsidRDefault="008C4AC4" w:rsidP="008C4AC4">
      <w:pPr>
        <w:pStyle w:val="NormaleWeb"/>
        <w:spacing w:line="360" w:lineRule="auto"/>
        <w:jc w:val="both"/>
        <w:rPr>
          <w:lang w:val="en-US"/>
        </w:rPr>
      </w:pPr>
      <w:r w:rsidRPr="005568F4">
        <w:rPr>
          <w:b/>
          <w:bCs/>
          <w:lang w:val="en-US"/>
        </w:rPr>
        <w:t>Figure S2.</w:t>
      </w:r>
      <w:r w:rsidRPr="005568F4">
        <w:rPr>
          <w:lang w:val="en-US"/>
        </w:rPr>
        <w:t xml:space="preserve"> Kinematic parameters in Physio (circles) and PM-Mi (squares) treated animals. A) Maximum contraction velocity (Contractility). B) Energy. C) Cardiac fatigue (Force). D: Perimeter normalized on number of beats. NR: normotensive rats. SHR: spontaneously hypertensive rats. Data were presented as median ± interquartile range and were analyzed by two-way ANOVA. * p&lt;0.05.</w:t>
      </w:r>
    </w:p>
    <w:p w14:paraId="4C68F5A5" w14:textId="77777777" w:rsidR="008C4AC4" w:rsidRPr="005568F4" w:rsidRDefault="008C4AC4" w:rsidP="008C4AC4">
      <w:pPr>
        <w:pStyle w:val="NormaleWeb"/>
        <w:spacing w:line="360" w:lineRule="auto"/>
        <w:jc w:val="both"/>
        <w:rPr>
          <w:lang w:val="en-US"/>
        </w:rPr>
      </w:pPr>
      <w:r w:rsidRPr="005568F4">
        <w:rPr>
          <w:b/>
          <w:bCs/>
          <w:lang w:val="en-US"/>
        </w:rPr>
        <w:t>Figure S3. Machine Learning performances on EG of pregnant rats</w:t>
      </w:r>
      <w:r w:rsidRPr="005568F4">
        <w:rPr>
          <w:lang w:val="en-US"/>
        </w:rPr>
        <w:t xml:space="preserve">. </w:t>
      </w:r>
      <w:r w:rsidRPr="005568F4">
        <w:rPr>
          <w:b/>
          <w:bCs/>
          <w:lang w:val="en-US"/>
        </w:rPr>
        <w:t xml:space="preserve">A) </w:t>
      </w:r>
      <w:r w:rsidRPr="005568F4">
        <w:rPr>
          <w:lang w:val="en-US"/>
        </w:rPr>
        <w:t>Confusion Matrix of NR prediction among two classes: physio and PM-Mi. B) Confusion Matrix of SHR prediction among two classes: physio and PM-Mi. C) Confusion Matrix of NR and SHR prediction among two classes: physio and PM-</w:t>
      </w:r>
      <w:proofErr w:type="gramStart"/>
      <w:r w:rsidRPr="005568F4">
        <w:rPr>
          <w:lang w:val="en-US"/>
        </w:rPr>
        <w:t>Mi,.</w:t>
      </w:r>
      <w:proofErr w:type="gramEnd"/>
      <w:r w:rsidRPr="005568F4">
        <w:rPr>
          <w:lang w:val="en-US"/>
        </w:rPr>
        <w:t xml:space="preserve"> D) NR and SHR ROC curve of classification. ROC: Receiver operating </w:t>
      </w:r>
      <w:proofErr w:type="spellStart"/>
      <w:r w:rsidRPr="005568F4">
        <w:rPr>
          <w:lang w:val="en-US"/>
        </w:rPr>
        <w:t>chararcteristic</w:t>
      </w:r>
      <w:proofErr w:type="spellEnd"/>
      <w:r w:rsidRPr="005568F4">
        <w:rPr>
          <w:lang w:val="en-US"/>
        </w:rPr>
        <w:t>: AUC: Area under curve.</w:t>
      </w:r>
    </w:p>
    <w:p w14:paraId="68E667C8" w14:textId="2E50D693" w:rsidR="008C4AC4" w:rsidRPr="005568F4" w:rsidRDefault="008C4AC4" w:rsidP="008C4AC4">
      <w:pPr>
        <w:pStyle w:val="NormaleWeb"/>
        <w:spacing w:line="360" w:lineRule="auto"/>
        <w:rPr>
          <w:lang w:val="en-US"/>
        </w:rPr>
      </w:pPr>
      <w:r w:rsidRPr="005568F4">
        <w:rPr>
          <w:b/>
          <w:bCs/>
        </w:rPr>
        <w:t xml:space="preserve">Figure S4. </w:t>
      </w:r>
      <w:r w:rsidRPr="005568F4">
        <w:t xml:space="preserve">Kinematic analysis of spheroids at 24, 48, 168 and 192 hrs. respectively in the presence of 10 and 20 </w:t>
      </w:r>
      <w:r w:rsidRPr="005568F4">
        <w:rPr>
          <w:lang w:val="it-IT"/>
        </w:rPr>
        <w:t>μ</w:t>
      </w:r>
      <w:r w:rsidRPr="005568F4">
        <w:t>g/ml of PM-Mi. A: Time of contraction (</w:t>
      </w:r>
      <w:r w:rsidRPr="005568F4">
        <w:rPr>
          <w:lang w:val="el-GR"/>
        </w:rPr>
        <w:t>τ</w:t>
      </w:r>
      <w:r w:rsidRPr="005568F4">
        <w:rPr>
          <w:vertAlign w:val="subscript"/>
        </w:rPr>
        <w:t>rise</w:t>
      </w:r>
      <w:r w:rsidRPr="005568F4">
        <w:t>); B: Time of relaxation (</w:t>
      </w:r>
      <w:r w:rsidRPr="005568F4">
        <w:rPr>
          <w:lang w:val="el-GR"/>
        </w:rPr>
        <w:t>τ</w:t>
      </w:r>
      <w:r w:rsidRPr="005568F4">
        <w:rPr>
          <w:vertAlign w:val="subscript"/>
        </w:rPr>
        <w:t>fall</w:t>
      </w:r>
      <w:r w:rsidRPr="005568F4">
        <w:t>); C: Beat duration; D: maximal contraction amplitude.</w:t>
      </w:r>
      <w:r w:rsidRPr="005568F4">
        <w:rPr>
          <w:lang w:val="en-US"/>
        </w:rPr>
        <w:t xml:space="preserve"> Data were presented as media ± SD and were analyzed by two-way ANOVA test. * p&lt;0.05.</w:t>
      </w:r>
    </w:p>
    <w:p w14:paraId="1972727D" w14:textId="049E7CE0" w:rsidR="00FF43D6" w:rsidRPr="005568F4" w:rsidRDefault="008C4AC4" w:rsidP="00F5339F">
      <w:pPr>
        <w:pStyle w:val="NormaleWeb"/>
        <w:spacing w:line="360" w:lineRule="auto"/>
        <w:rPr>
          <w:lang w:val="en-US"/>
        </w:rPr>
      </w:pPr>
      <w:r w:rsidRPr="005568F4">
        <w:rPr>
          <w:b/>
          <w:bCs/>
          <w:lang w:val="en-US"/>
        </w:rPr>
        <w:t>Figure S5.</w:t>
      </w:r>
      <w:r w:rsidRPr="005568F4">
        <w:rPr>
          <w:lang w:val="en-US"/>
        </w:rPr>
        <w:t xml:space="preserve"> ELISA assay on cardiac spheroids supernatant without PM-Mi (control, black circles and white columns) and spheroids stimulated (black squares) with 10 </w:t>
      </w:r>
      <w:proofErr w:type="spellStart"/>
      <w:r w:rsidRPr="005568F4">
        <w:rPr>
          <w:lang w:val="en-US"/>
        </w:rPr>
        <w:t>μg</w:t>
      </w:r>
      <w:proofErr w:type="spellEnd"/>
      <w:r w:rsidRPr="005568F4">
        <w:rPr>
          <w:lang w:val="en-US"/>
        </w:rPr>
        <w:t xml:space="preserve">/ml of PM-Mi (light gray </w:t>
      </w:r>
      <w:proofErr w:type="spellStart"/>
      <w:r w:rsidRPr="005568F4">
        <w:rPr>
          <w:lang w:val="en-US"/>
        </w:rPr>
        <w:t>colunms</w:t>
      </w:r>
      <w:proofErr w:type="spellEnd"/>
      <w:r w:rsidRPr="005568F4">
        <w:rPr>
          <w:lang w:val="en-US"/>
        </w:rPr>
        <w:t xml:space="preserve">) and 20 </w:t>
      </w:r>
      <w:proofErr w:type="spellStart"/>
      <w:r w:rsidRPr="005568F4">
        <w:rPr>
          <w:lang w:val="en-US"/>
        </w:rPr>
        <w:t>μg</w:t>
      </w:r>
      <w:proofErr w:type="spellEnd"/>
      <w:r w:rsidRPr="005568F4">
        <w:rPr>
          <w:lang w:val="en-US"/>
        </w:rPr>
        <w:t xml:space="preserve">/ml of PM-Mi (dark grey columns). A) CRP in the short-term evaluation (STE) </w:t>
      </w:r>
      <w:r w:rsidRPr="005568F4">
        <w:rPr>
          <w:lang w:val="en-US"/>
        </w:rPr>
        <w:lastRenderedPageBreak/>
        <w:t>and B) long-term evaluation (LTE). C) Expression of IL-6 at STE and LTE. Data were presented as mean ± SD range and were analyzed by two-way ANOVA. * p&lt;0.05 and **** p&lt;0.0001.</w:t>
      </w:r>
    </w:p>
    <w:sectPr w:rsidR="00FF43D6" w:rsidRPr="005568F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ans-serif">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008"/>
    <w:multiLevelType w:val="multilevel"/>
    <w:tmpl w:val="235AB232"/>
    <w:lvl w:ilvl="0">
      <w:start w:val="5"/>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27A0585"/>
    <w:multiLevelType w:val="hybridMultilevel"/>
    <w:tmpl w:val="FFFFFFFF"/>
    <w:lvl w:ilvl="0" w:tplc="FFFFFFFF">
      <w:start w:val="1"/>
      <w:numFmt w:val="decimal"/>
      <w:lvlText w:val="%1."/>
      <w:lvlJc w:val="left"/>
      <w:pPr>
        <w:ind w:left="720" w:hanging="360"/>
      </w:pPr>
    </w:lvl>
    <w:lvl w:ilvl="1" w:tplc="01600EEC">
      <w:start w:val="1"/>
      <w:numFmt w:val="lowerLetter"/>
      <w:lvlText w:val="%2."/>
      <w:lvlJc w:val="left"/>
      <w:pPr>
        <w:ind w:left="1440" w:hanging="360"/>
      </w:pPr>
    </w:lvl>
    <w:lvl w:ilvl="2" w:tplc="D81054BA">
      <w:start w:val="1"/>
      <w:numFmt w:val="lowerRoman"/>
      <w:lvlText w:val="%3."/>
      <w:lvlJc w:val="right"/>
      <w:pPr>
        <w:ind w:left="2160" w:hanging="180"/>
      </w:pPr>
    </w:lvl>
    <w:lvl w:ilvl="3" w:tplc="E5440A54">
      <w:start w:val="1"/>
      <w:numFmt w:val="decimal"/>
      <w:lvlText w:val="%4."/>
      <w:lvlJc w:val="left"/>
      <w:pPr>
        <w:ind w:left="2880" w:hanging="360"/>
      </w:pPr>
    </w:lvl>
    <w:lvl w:ilvl="4" w:tplc="72E88CBC">
      <w:start w:val="1"/>
      <w:numFmt w:val="lowerLetter"/>
      <w:lvlText w:val="%5."/>
      <w:lvlJc w:val="left"/>
      <w:pPr>
        <w:ind w:left="3600" w:hanging="360"/>
      </w:pPr>
    </w:lvl>
    <w:lvl w:ilvl="5" w:tplc="6F02193A">
      <w:start w:val="1"/>
      <w:numFmt w:val="lowerRoman"/>
      <w:lvlText w:val="%6."/>
      <w:lvlJc w:val="right"/>
      <w:pPr>
        <w:ind w:left="4320" w:hanging="180"/>
      </w:pPr>
    </w:lvl>
    <w:lvl w:ilvl="6" w:tplc="0BCE5EB2">
      <w:start w:val="1"/>
      <w:numFmt w:val="decimal"/>
      <w:lvlText w:val="%7."/>
      <w:lvlJc w:val="left"/>
      <w:pPr>
        <w:ind w:left="5040" w:hanging="360"/>
      </w:pPr>
    </w:lvl>
    <w:lvl w:ilvl="7" w:tplc="65EEE566">
      <w:start w:val="1"/>
      <w:numFmt w:val="lowerLetter"/>
      <w:lvlText w:val="%8."/>
      <w:lvlJc w:val="left"/>
      <w:pPr>
        <w:ind w:left="5760" w:hanging="360"/>
      </w:pPr>
    </w:lvl>
    <w:lvl w:ilvl="8" w:tplc="FB8A90C2">
      <w:start w:val="1"/>
      <w:numFmt w:val="lowerRoman"/>
      <w:lvlText w:val="%9."/>
      <w:lvlJc w:val="right"/>
      <w:pPr>
        <w:ind w:left="6480" w:hanging="180"/>
      </w:pPr>
    </w:lvl>
  </w:abstractNum>
  <w:abstractNum w:abstractNumId="2" w15:restartNumberingAfterBreak="0">
    <w:nsid w:val="42C65960"/>
    <w:multiLevelType w:val="hybridMultilevel"/>
    <w:tmpl w:val="DD2EB4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447383D"/>
    <w:multiLevelType w:val="hybridMultilevel"/>
    <w:tmpl w:val="534E5CC0"/>
    <w:lvl w:ilvl="0" w:tplc="12C6B6CC">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83446076">
    <w:abstractNumId w:val="2"/>
  </w:num>
  <w:num w:numId="2" w16cid:durableId="1366251845">
    <w:abstractNumId w:val="0"/>
  </w:num>
  <w:num w:numId="3" w16cid:durableId="1504976217">
    <w:abstractNumId w:val="3"/>
  </w:num>
  <w:num w:numId="4" w16cid:durableId="365910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zNLI0MDI2MjWwMLVU0lEKTi0uzszPAykwrgUAOmmNhywAAAA="/>
  </w:docVars>
  <w:rsids>
    <w:rsidRoot w:val="0079228F"/>
    <w:rsid w:val="00047ABE"/>
    <w:rsid w:val="000A112E"/>
    <w:rsid w:val="000C409E"/>
    <w:rsid w:val="000C515D"/>
    <w:rsid w:val="000E3A0A"/>
    <w:rsid w:val="00136547"/>
    <w:rsid w:val="00166751"/>
    <w:rsid w:val="00182AAB"/>
    <w:rsid w:val="00191FE5"/>
    <w:rsid w:val="001A7EC7"/>
    <w:rsid w:val="001B5B24"/>
    <w:rsid w:val="001C1ECE"/>
    <w:rsid w:val="002417AB"/>
    <w:rsid w:val="002F654F"/>
    <w:rsid w:val="003269BC"/>
    <w:rsid w:val="003313F9"/>
    <w:rsid w:val="003E6761"/>
    <w:rsid w:val="004228F2"/>
    <w:rsid w:val="00461C1D"/>
    <w:rsid w:val="004D6281"/>
    <w:rsid w:val="00500B1E"/>
    <w:rsid w:val="005062EF"/>
    <w:rsid w:val="00535569"/>
    <w:rsid w:val="005568F4"/>
    <w:rsid w:val="00566C09"/>
    <w:rsid w:val="00573529"/>
    <w:rsid w:val="005D4B73"/>
    <w:rsid w:val="0064773E"/>
    <w:rsid w:val="0067366E"/>
    <w:rsid w:val="007665C2"/>
    <w:rsid w:val="0079228F"/>
    <w:rsid w:val="007B1A0C"/>
    <w:rsid w:val="007F12ED"/>
    <w:rsid w:val="0084023D"/>
    <w:rsid w:val="008C4AC4"/>
    <w:rsid w:val="008E6412"/>
    <w:rsid w:val="009115B2"/>
    <w:rsid w:val="0092637F"/>
    <w:rsid w:val="00B078CE"/>
    <w:rsid w:val="00B77DAA"/>
    <w:rsid w:val="00BC76A3"/>
    <w:rsid w:val="00C42431"/>
    <w:rsid w:val="00C64B1E"/>
    <w:rsid w:val="00D251EE"/>
    <w:rsid w:val="00D54E2B"/>
    <w:rsid w:val="00E4122E"/>
    <w:rsid w:val="00E472DB"/>
    <w:rsid w:val="00E72AE8"/>
    <w:rsid w:val="00E73D2D"/>
    <w:rsid w:val="00EC2D0F"/>
    <w:rsid w:val="00F036CB"/>
    <w:rsid w:val="00F232E7"/>
    <w:rsid w:val="00F338FA"/>
    <w:rsid w:val="00F5339F"/>
    <w:rsid w:val="00F810CE"/>
    <w:rsid w:val="00FC7A78"/>
    <w:rsid w:val="00FF43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9C87"/>
  <w15:chartTrackingRefBased/>
  <w15:docId w15:val="{3555290D-02E1-415D-B5A2-7BB1802A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922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922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9228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9228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9228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9228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9228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9228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9228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9228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9228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9228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9228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9228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9228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9228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9228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9228F"/>
    <w:rPr>
      <w:rFonts w:eastAsiaTheme="majorEastAsia" w:cstheme="majorBidi"/>
      <w:color w:val="272727" w:themeColor="text1" w:themeTint="D8"/>
    </w:rPr>
  </w:style>
  <w:style w:type="paragraph" w:styleId="Titolo">
    <w:name w:val="Title"/>
    <w:basedOn w:val="Normale"/>
    <w:next w:val="Normale"/>
    <w:link w:val="TitoloCarattere"/>
    <w:uiPriority w:val="10"/>
    <w:qFormat/>
    <w:rsid w:val="00792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9228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9228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9228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9228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9228F"/>
    <w:rPr>
      <w:i/>
      <w:iCs/>
      <w:color w:val="404040" w:themeColor="text1" w:themeTint="BF"/>
    </w:rPr>
  </w:style>
  <w:style w:type="paragraph" w:styleId="Paragrafoelenco">
    <w:name w:val="List Paragraph"/>
    <w:basedOn w:val="Normale"/>
    <w:uiPriority w:val="34"/>
    <w:qFormat/>
    <w:rsid w:val="0079228F"/>
    <w:pPr>
      <w:ind w:left="720"/>
      <w:contextualSpacing/>
    </w:pPr>
  </w:style>
  <w:style w:type="character" w:styleId="Enfasiintensa">
    <w:name w:val="Intense Emphasis"/>
    <w:basedOn w:val="Carpredefinitoparagrafo"/>
    <w:uiPriority w:val="21"/>
    <w:qFormat/>
    <w:rsid w:val="0079228F"/>
    <w:rPr>
      <w:i/>
      <w:iCs/>
      <w:color w:val="0F4761" w:themeColor="accent1" w:themeShade="BF"/>
    </w:rPr>
  </w:style>
  <w:style w:type="paragraph" w:styleId="Citazioneintensa">
    <w:name w:val="Intense Quote"/>
    <w:basedOn w:val="Normale"/>
    <w:next w:val="Normale"/>
    <w:link w:val="CitazioneintensaCarattere"/>
    <w:uiPriority w:val="30"/>
    <w:qFormat/>
    <w:rsid w:val="00792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9228F"/>
    <w:rPr>
      <w:i/>
      <w:iCs/>
      <w:color w:val="0F4761" w:themeColor="accent1" w:themeShade="BF"/>
    </w:rPr>
  </w:style>
  <w:style w:type="character" w:styleId="Riferimentointenso">
    <w:name w:val="Intense Reference"/>
    <w:basedOn w:val="Carpredefinitoparagrafo"/>
    <w:uiPriority w:val="32"/>
    <w:qFormat/>
    <w:rsid w:val="0079228F"/>
    <w:rPr>
      <w:b/>
      <w:bCs/>
      <w:smallCaps/>
      <w:color w:val="0F4761" w:themeColor="accent1" w:themeShade="BF"/>
      <w:spacing w:val="5"/>
    </w:rPr>
  </w:style>
  <w:style w:type="character" w:styleId="Rimandocommento">
    <w:name w:val="annotation reference"/>
    <w:basedOn w:val="Carpredefinitoparagrafo"/>
    <w:uiPriority w:val="99"/>
    <w:semiHidden/>
    <w:unhideWhenUsed/>
    <w:rsid w:val="0079228F"/>
    <w:rPr>
      <w:sz w:val="16"/>
      <w:szCs w:val="16"/>
    </w:rPr>
  </w:style>
  <w:style w:type="paragraph" w:styleId="Testocommento">
    <w:name w:val="annotation text"/>
    <w:basedOn w:val="Normale"/>
    <w:link w:val="TestocommentoCarattere"/>
    <w:uiPriority w:val="99"/>
    <w:unhideWhenUsed/>
    <w:rsid w:val="0079228F"/>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TestocommentoCarattere">
    <w:name w:val="Testo commento Carattere"/>
    <w:basedOn w:val="Carpredefinitoparagrafo"/>
    <w:link w:val="Testocommento"/>
    <w:uiPriority w:val="99"/>
    <w:rsid w:val="0079228F"/>
    <w:rPr>
      <w:rFonts w:ascii="Times New Roman" w:eastAsia="Times New Roman" w:hAnsi="Times New Roman" w:cs="Times New Roman"/>
      <w:kern w:val="0"/>
      <w:sz w:val="20"/>
      <w:szCs w:val="20"/>
      <w:lang w:val="en-GB"/>
      <w14:ligatures w14:val="none"/>
    </w:rPr>
  </w:style>
  <w:style w:type="character" w:styleId="Collegamentoipertestuale">
    <w:name w:val="Hyperlink"/>
    <w:basedOn w:val="Carpredefinitoparagrafo"/>
    <w:uiPriority w:val="99"/>
    <w:unhideWhenUsed/>
    <w:rsid w:val="00136547"/>
    <w:rPr>
      <w:color w:val="467886" w:themeColor="hyperlink"/>
      <w:u w:val="single"/>
    </w:rPr>
  </w:style>
  <w:style w:type="paragraph" w:styleId="NormaleWeb">
    <w:name w:val="Normal (Web)"/>
    <w:basedOn w:val="Normale"/>
    <w:link w:val="NormaleWebCarattere"/>
    <w:uiPriority w:val="99"/>
    <w:unhideWhenUsed/>
    <w:rsid w:val="00FF43D6"/>
    <w:pPr>
      <w:spacing w:before="100" w:beforeAutospacing="1" w:after="100" w:afterAutospacing="1" w:line="240" w:lineRule="auto"/>
    </w:pPr>
    <w:rPr>
      <w:rFonts w:ascii="Times New Roman" w:eastAsia="Times New Roman" w:hAnsi="Times New Roman" w:cs="Times New Roman"/>
      <w:kern w:val="0"/>
      <w:sz w:val="24"/>
      <w:szCs w:val="24"/>
      <w:lang w:val="en-GB"/>
      <w14:ligatures w14:val="none"/>
    </w:rPr>
  </w:style>
  <w:style w:type="character" w:customStyle="1" w:styleId="NormaleWebCarattere">
    <w:name w:val="Normale (Web) Carattere"/>
    <w:basedOn w:val="Carpredefinitoparagrafo"/>
    <w:link w:val="NormaleWeb"/>
    <w:uiPriority w:val="99"/>
    <w:rsid w:val="00FF43D6"/>
    <w:rPr>
      <w:rFonts w:ascii="Times New Roman" w:eastAsia="Times New Roman" w:hAnsi="Times New Roman" w:cs="Times New Roman"/>
      <w:kern w:val="0"/>
      <w:sz w:val="24"/>
      <w:szCs w:val="24"/>
      <w:lang w:val="en-GB"/>
      <w14:ligatures w14:val="none"/>
    </w:rPr>
  </w:style>
  <w:style w:type="paragraph" w:styleId="Revisione">
    <w:name w:val="Revision"/>
    <w:hidden/>
    <w:uiPriority w:val="99"/>
    <w:semiHidden/>
    <w:rsid w:val="00047ABE"/>
    <w:pPr>
      <w:spacing w:after="0" w:line="240" w:lineRule="auto"/>
    </w:pPr>
  </w:style>
  <w:style w:type="table" w:styleId="Grigliatabella">
    <w:name w:val="Table Grid"/>
    <w:basedOn w:val="Tabellanormale"/>
    <w:uiPriority w:val="59"/>
    <w:rsid w:val="000E3A0A"/>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57842">
      <w:bodyDiv w:val="1"/>
      <w:marLeft w:val="0"/>
      <w:marRight w:val="0"/>
      <w:marTop w:val="0"/>
      <w:marBottom w:val="0"/>
      <w:divBdr>
        <w:top w:val="none" w:sz="0" w:space="0" w:color="auto"/>
        <w:left w:val="none" w:sz="0" w:space="0" w:color="auto"/>
        <w:bottom w:val="none" w:sz="0" w:space="0" w:color="auto"/>
        <w:right w:val="none" w:sz="0" w:space="0" w:color="auto"/>
      </w:divBdr>
    </w:div>
    <w:div w:id="619386129">
      <w:bodyDiv w:val="1"/>
      <w:marLeft w:val="0"/>
      <w:marRight w:val="0"/>
      <w:marTop w:val="0"/>
      <w:marBottom w:val="0"/>
      <w:divBdr>
        <w:top w:val="none" w:sz="0" w:space="0" w:color="auto"/>
        <w:left w:val="none" w:sz="0" w:space="0" w:color="auto"/>
        <w:bottom w:val="none" w:sz="0" w:space="0" w:color="auto"/>
        <w:right w:val="none" w:sz="0" w:space="0" w:color="auto"/>
      </w:divBdr>
    </w:div>
    <w:div w:id="656345498">
      <w:bodyDiv w:val="1"/>
      <w:marLeft w:val="0"/>
      <w:marRight w:val="0"/>
      <w:marTop w:val="0"/>
      <w:marBottom w:val="0"/>
      <w:divBdr>
        <w:top w:val="none" w:sz="0" w:space="0" w:color="auto"/>
        <w:left w:val="none" w:sz="0" w:space="0" w:color="auto"/>
        <w:bottom w:val="none" w:sz="0" w:space="0" w:color="auto"/>
        <w:right w:val="none" w:sz="0" w:space="0" w:color="auto"/>
      </w:divBdr>
    </w:div>
    <w:div w:id="1303269280">
      <w:bodyDiv w:val="1"/>
      <w:marLeft w:val="0"/>
      <w:marRight w:val="0"/>
      <w:marTop w:val="0"/>
      <w:marBottom w:val="0"/>
      <w:divBdr>
        <w:top w:val="none" w:sz="0" w:space="0" w:color="auto"/>
        <w:left w:val="none" w:sz="0" w:space="0" w:color="auto"/>
        <w:bottom w:val="none" w:sz="0" w:space="0" w:color="auto"/>
        <w:right w:val="none" w:sz="0" w:space="0" w:color="auto"/>
      </w:divBdr>
    </w:div>
    <w:div w:id="206151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chele.miragoli@unipr.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1847</Words>
  <Characters>10251</Characters>
  <Application>Microsoft Office Word</Application>
  <DocSecurity>0</DocSecurity>
  <Lines>172</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Burattini</dc:creator>
  <cp:keywords/>
  <dc:description/>
  <cp:lastModifiedBy>Michele MIRAGOLI</cp:lastModifiedBy>
  <cp:revision>2</cp:revision>
  <dcterms:created xsi:type="dcterms:W3CDTF">2025-12-22T10:24:00Z</dcterms:created>
  <dcterms:modified xsi:type="dcterms:W3CDTF">2025-12-22T10:24:00Z</dcterms:modified>
</cp:coreProperties>
</file>