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5E70" w14:textId="77777777" w:rsidR="00870068" w:rsidRDefault="0082229C" w:rsidP="00C5410C">
      <w:pPr>
        <w:rPr>
          <w:b/>
          <w:bCs/>
        </w:rPr>
      </w:pPr>
      <w:r w:rsidRPr="0054181B">
        <w:rPr>
          <w:b/>
        </w:rPr>
        <w:t>Supplemental File S1</w:t>
      </w:r>
      <w:r w:rsidR="00223DB6" w:rsidRPr="0054181B">
        <w:rPr>
          <w:b/>
        </w:rPr>
        <w:t xml:space="preserve">. </w:t>
      </w:r>
    </w:p>
    <w:p w14:paraId="72D072E2" w14:textId="1958DDA3" w:rsidR="00EB5488" w:rsidRDefault="00223DB6" w:rsidP="00C5410C">
      <w:pPr>
        <w:rPr>
          <w:b/>
        </w:rPr>
      </w:pPr>
      <w:r w:rsidRPr="0054181B">
        <w:rPr>
          <w:b/>
        </w:rPr>
        <w:t>PoDs and TRVs for Neurologic</w:t>
      </w:r>
      <w:r w:rsidR="00D87AB6">
        <w:rPr>
          <w:b/>
        </w:rPr>
        <w:t>al</w:t>
      </w:r>
      <w:r w:rsidRPr="0054181B">
        <w:rPr>
          <w:b/>
        </w:rPr>
        <w:t xml:space="preserve"> Effects of MeHg</w:t>
      </w:r>
      <w:r w:rsidR="00885126">
        <w:rPr>
          <w:b/>
        </w:rPr>
        <w:t xml:space="preserve"> Exposure</w:t>
      </w:r>
      <w:r w:rsidRPr="0054181B">
        <w:rPr>
          <w:b/>
        </w:rPr>
        <w:t xml:space="preserve"> in the General Population</w:t>
      </w:r>
      <w:r w:rsidR="0079555B">
        <w:rPr>
          <w:b/>
        </w:rPr>
        <w:t xml:space="preserve"> (i.e. adults)</w:t>
      </w:r>
    </w:p>
    <w:p w14:paraId="173743BE" w14:textId="77777777" w:rsidR="00EB5488" w:rsidRDefault="00EB5488">
      <w:pPr>
        <w:rPr>
          <w:b/>
        </w:rPr>
      </w:pPr>
    </w:p>
    <w:p w14:paraId="3E2E9868" w14:textId="72B2EB08" w:rsidR="00EB5488" w:rsidRPr="00AB1471" w:rsidRDefault="00171FB9" w:rsidP="00EB5488">
      <w:pPr>
        <w:rPr>
          <w:bCs/>
          <w:i/>
          <w:iCs/>
        </w:rPr>
      </w:pPr>
      <w:r w:rsidRPr="00AB1471">
        <w:rPr>
          <w:bCs/>
          <w:i/>
          <w:iCs/>
        </w:rPr>
        <w:t>Archives of Toxicology</w:t>
      </w:r>
    </w:p>
    <w:p w14:paraId="3BD726B9" w14:textId="77777777" w:rsidR="00171FB9" w:rsidRPr="00771EDE" w:rsidRDefault="00171FB9" w:rsidP="00EB5488">
      <w:pPr>
        <w:rPr>
          <w:b/>
          <w:bCs/>
        </w:rPr>
      </w:pPr>
    </w:p>
    <w:p w14:paraId="1C999318" w14:textId="77777777" w:rsidR="00EB5488" w:rsidRDefault="00EB5488" w:rsidP="00EB5488">
      <w:r>
        <w:t xml:space="preserve">Neurodevelopmental effects of methylmercury (MeHg): A review of epidemiological points of departure (PoDs), toxicological reference values (TRVs), and key uncertainties in human health risk assessment </w:t>
      </w:r>
    </w:p>
    <w:p w14:paraId="4AACB3DE" w14:textId="77777777" w:rsidR="00EB5488" w:rsidRDefault="00EB5488" w:rsidP="00EB5488"/>
    <w:p w14:paraId="0480E227" w14:textId="77777777" w:rsidR="00EB5488" w:rsidRDefault="00EB5488" w:rsidP="00EB5488">
      <w:r>
        <w:t>Blechinger, Scott R.</w:t>
      </w:r>
      <w:r>
        <w:rPr>
          <w:vertAlign w:val="superscript"/>
        </w:rPr>
        <w:t>1</w:t>
      </w:r>
      <w:r>
        <w:t xml:space="preserve">* (ORCID </w:t>
      </w:r>
      <w:r w:rsidRPr="00F80E47">
        <w:t>0000-0002-4991-4597</w:t>
      </w:r>
      <w:r>
        <w:t xml:space="preserve">, Scopus ID </w:t>
      </w:r>
      <w:r w:rsidRPr="007E63BA">
        <w:t>6506155596</w:t>
      </w:r>
      <w:r>
        <w:t>)</w:t>
      </w:r>
    </w:p>
    <w:p w14:paraId="5F709D66" w14:textId="77777777" w:rsidR="00EB5488" w:rsidRDefault="00EB5488" w:rsidP="00EB5488">
      <w:r>
        <w:t>Singh, Kavita</w:t>
      </w:r>
      <w:r>
        <w:rPr>
          <w:vertAlign w:val="superscript"/>
        </w:rPr>
        <w:t>2</w:t>
      </w:r>
      <w:r>
        <w:t xml:space="preserve"> (ORCID N/A, Scopus ID </w:t>
      </w:r>
      <w:r w:rsidRPr="00482A87">
        <w:t>58382466900</w:t>
      </w:r>
      <w:r>
        <w:t>)</w:t>
      </w:r>
    </w:p>
    <w:p w14:paraId="7E534AD6" w14:textId="77777777" w:rsidR="00EB5488" w:rsidRDefault="00EB5488" w:rsidP="00EB5488">
      <w:r>
        <w:t>Afghan, Abdul</w:t>
      </w:r>
      <w:r>
        <w:rPr>
          <w:vertAlign w:val="superscript"/>
        </w:rPr>
        <w:t>1</w:t>
      </w:r>
      <w:r>
        <w:t xml:space="preserve"> (ORCID N/A, Scopus ID </w:t>
      </w:r>
      <w:r w:rsidRPr="00186779">
        <w:t>58522410100</w:t>
      </w:r>
      <w:r>
        <w:t>)</w:t>
      </w:r>
    </w:p>
    <w:p w14:paraId="5C6AEC73" w14:textId="77777777" w:rsidR="00EB5488" w:rsidRDefault="00EB5488" w:rsidP="00EB5488">
      <w:r>
        <w:t>Smith, Catherine A.</w:t>
      </w:r>
      <w:r>
        <w:rPr>
          <w:vertAlign w:val="superscript"/>
        </w:rPr>
        <w:t>1</w:t>
      </w:r>
      <w:r>
        <w:t xml:space="preserve"> (ORCID N/A, Scopus ID </w:t>
      </w:r>
      <w:r w:rsidRPr="00E3522E">
        <w:t>46461849300</w:t>
      </w:r>
      <w:r>
        <w:t>)</w:t>
      </w:r>
    </w:p>
    <w:p w14:paraId="0CFDE999" w14:textId="77777777" w:rsidR="00EB5488" w:rsidRDefault="00EB5488" w:rsidP="00EB5488"/>
    <w:p w14:paraId="03F742B1" w14:textId="77777777" w:rsidR="00EB5488" w:rsidRDefault="00EB5488" w:rsidP="00EB5488">
      <w:r>
        <w:rPr>
          <w:vertAlign w:val="superscript"/>
        </w:rPr>
        <w:t>1</w:t>
      </w:r>
      <w:r>
        <w:t xml:space="preserve"> Bureau of Chemical Safety, Food and Nutrition Directorate, Health Canada, Ottawa, Canada</w:t>
      </w:r>
    </w:p>
    <w:p w14:paraId="3FC624F1" w14:textId="77777777" w:rsidR="00EB5488" w:rsidRPr="00196BA5" w:rsidRDefault="00EB5488" w:rsidP="00EB5488">
      <w:r>
        <w:rPr>
          <w:vertAlign w:val="superscript"/>
        </w:rPr>
        <w:t xml:space="preserve">2 </w:t>
      </w:r>
      <w:r>
        <w:t>Environmental Health Science and Research Bureau, Health Canada, Ottawa, Canada</w:t>
      </w:r>
    </w:p>
    <w:p w14:paraId="2F840493" w14:textId="77777777" w:rsidR="00EB5488" w:rsidRDefault="00EB5488" w:rsidP="00EB5488">
      <w:r>
        <w:t>*Corresponding author: scott.blechinger@hc-sc.gc.ca</w:t>
      </w:r>
    </w:p>
    <w:p w14:paraId="013B7FE0" w14:textId="62BA1151" w:rsidR="00EB5488" w:rsidRDefault="00EB5488">
      <w:pPr>
        <w:rPr>
          <w:b/>
        </w:rPr>
      </w:pPr>
      <w:r>
        <w:rPr>
          <w:b/>
        </w:rPr>
        <w:br w:type="page"/>
      </w:r>
    </w:p>
    <w:p w14:paraId="6BBCA3BA" w14:textId="6E9C9326" w:rsidR="00243FF8" w:rsidRPr="003A1384" w:rsidRDefault="003A1384" w:rsidP="00C5410C">
      <w:r>
        <w:lastRenderedPageBreak/>
        <w:t xml:space="preserve">The earliest </w:t>
      </w:r>
      <w:r w:rsidR="60B3BFC2">
        <w:t>point of departures (</w:t>
      </w:r>
      <w:r>
        <w:t>PoDs</w:t>
      </w:r>
      <w:r w:rsidR="253669D9">
        <w:t>)</w:t>
      </w:r>
      <w:r>
        <w:t xml:space="preserve"> and </w:t>
      </w:r>
      <w:r w:rsidR="074BF298">
        <w:t>toxicological reference values (</w:t>
      </w:r>
      <w:r>
        <w:t>TRVs</w:t>
      </w:r>
      <w:r w:rsidR="12EDCE80">
        <w:t>)</w:t>
      </w:r>
      <w:r>
        <w:t xml:space="preserve"> for the health effects of </w:t>
      </w:r>
      <w:r w:rsidR="4E129721">
        <w:t>methyl mercury (</w:t>
      </w:r>
      <w:r>
        <w:t>MeHg</w:t>
      </w:r>
      <w:r w:rsidR="7EC3F2D7">
        <w:t>)</w:t>
      </w:r>
      <w:r>
        <w:t xml:space="preserve"> exposure were primarily based on poisoning cases </w:t>
      </w:r>
      <w:r w:rsidR="00702C01">
        <w:t xml:space="preserve">in adults from Japan (Minamata Bay and Niigata) and Iraq. </w:t>
      </w:r>
      <w:r w:rsidR="006279CA">
        <w:t xml:space="preserve">Most risk assessment organizations subsequently arrived at </w:t>
      </w:r>
      <w:r w:rsidR="00D5684B">
        <w:t xml:space="preserve">more conservative </w:t>
      </w:r>
      <w:r w:rsidR="006279CA">
        <w:t>lower PoDs and TRVs</w:t>
      </w:r>
      <w:r w:rsidR="00DC2B56">
        <w:t xml:space="preserve"> to protect against neurodevelopmental effects</w:t>
      </w:r>
      <w:r w:rsidR="0085102D">
        <w:t xml:space="preserve"> in children exposed prenatally to MeHg. While these lower PoDs and TRVs for this sensitive subgroup have </w:t>
      </w:r>
      <w:r w:rsidR="0079555B">
        <w:t xml:space="preserve">largely </w:t>
      </w:r>
      <w:r w:rsidR="009E6BFE">
        <w:t xml:space="preserve">replaced the earlier values </w:t>
      </w:r>
      <w:r w:rsidR="0079555B">
        <w:t>based on</w:t>
      </w:r>
      <w:r w:rsidR="009E6BFE">
        <w:t xml:space="preserve"> adult neurotoxicity, </w:t>
      </w:r>
      <w:r w:rsidR="0091262C">
        <w:t xml:space="preserve">the latter values may still be considered applicable </w:t>
      </w:r>
      <w:r w:rsidR="00DB62DF">
        <w:t>for risk assessment of neurological effects in</w:t>
      </w:r>
      <w:r w:rsidR="004B1FBC">
        <w:t xml:space="preserve"> </w:t>
      </w:r>
      <w:r w:rsidR="00CE34CA">
        <w:t>the adult general population.</w:t>
      </w:r>
      <w:r w:rsidR="00E45C88">
        <w:t xml:space="preserve"> A brief summary of some of the PoDs and TRVs for the </w:t>
      </w:r>
      <w:r w:rsidR="004B1FBC">
        <w:t xml:space="preserve">adult </w:t>
      </w:r>
      <w:r w:rsidR="00E45C88">
        <w:t>general population are provided below.</w:t>
      </w:r>
      <w:r w:rsidR="00C404D5">
        <w:t xml:space="preserve"> Note</w:t>
      </w:r>
      <w:r w:rsidR="004B75EC">
        <w:t xml:space="preserve"> that</w:t>
      </w:r>
      <w:r w:rsidR="00C404D5">
        <w:t xml:space="preserve"> </w:t>
      </w:r>
      <w:r w:rsidR="004B75EC">
        <w:t>o</w:t>
      </w:r>
      <w:r w:rsidR="00626CE9">
        <w:t xml:space="preserve">lder publications reporting </w:t>
      </w:r>
      <w:r w:rsidR="00A7121A">
        <w:t xml:space="preserve">biomarker </w:t>
      </w:r>
      <w:r w:rsidR="006D0222">
        <w:t xml:space="preserve">and oral </w:t>
      </w:r>
      <w:r w:rsidR="00A7121A">
        <w:t>mercury</w:t>
      </w:r>
      <w:r w:rsidR="0097210B">
        <w:t xml:space="preserve"> </w:t>
      </w:r>
      <w:r w:rsidR="00A07713">
        <w:t>intakes</w:t>
      </w:r>
      <w:r w:rsidR="00A7121A">
        <w:t xml:space="preserve"> </w:t>
      </w:r>
      <w:r w:rsidR="00ED2E11">
        <w:t>often d</w:t>
      </w:r>
      <w:r w:rsidR="00D447D4">
        <w:t>id</w:t>
      </w:r>
      <w:r w:rsidR="00ED2E11">
        <w:t xml:space="preserve"> not specify if </w:t>
      </w:r>
      <w:r w:rsidR="00A16870">
        <w:t xml:space="preserve">the </w:t>
      </w:r>
      <w:r w:rsidR="00ED2E11">
        <w:t>values refer</w:t>
      </w:r>
      <w:r w:rsidR="00D447D4">
        <w:t>red</w:t>
      </w:r>
      <w:r w:rsidR="00ED2E11">
        <w:t xml:space="preserve"> to total mercury (THg) or MeHg</w:t>
      </w:r>
      <w:r w:rsidR="006D0222">
        <w:t xml:space="preserve">. </w:t>
      </w:r>
      <w:r w:rsidR="00702D65">
        <w:t xml:space="preserve">In this review, </w:t>
      </w:r>
      <w:r w:rsidR="006D0222">
        <w:t xml:space="preserve">it </w:t>
      </w:r>
      <w:r w:rsidR="0041505A">
        <w:t>wa</w:t>
      </w:r>
      <w:r w:rsidR="006D0222">
        <w:t xml:space="preserve">s assumed that </w:t>
      </w:r>
      <w:r w:rsidR="00095040">
        <w:t xml:space="preserve">biomarker concentrations </w:t>
      </w:r>
      <w:r w:rsidR="00023F43">
        <w:t xml:space="preserve">in blood and hair </w:t>
      </w:r>
      <w:r w:rsidR="007F7EEA">
        <w:t>represent</w:t>
      </w:r>
      <w:r w:rsidR="0041505A">
        <w:t>ed</w:t>
      </w:r>
      <w:r w:rsidR="007F7EEA">
        <w:t xml:space="preserve"> </w:t>
      </w:r>
      <w:r w:rsidR="00626CE9">
        <w:t xml:space="preserve">THg </w:t>
      </w:r>
      <w:r w:rsidR="006D0222">
        <w:t xml:space="preserve">and oral intakes </w:t>
      </w:r>
      <w:r w:rsidR="0041505A">
        <w:t xml:space="preserve">were </w:t>
      </w:r>
      <w:r w:rsidR="006D0222">
        <w:t>MeHg</w:t>
      </w:r>
      <w:r w:rsidR="0046092B">
        <w:t xml:space="preserve"> </w:t>
      </w:r>
      <w:r w:rsidR="00626CE9">
        <w:t xml:space="preserve">unless </w:t>
      </w:r>
      <w:r w:rsidR="0046092B">
        <w:t>otherwise specified</w:t>
      </w:r>
      <w:r w:rsidR="00095040">
        <w:t xml:space="preserve"> in the </w:t>
      </w:r>
      <w:r w:rsidR="006D0222">
        <w:t xml:space="preserve">source </w:t>
      </w:r>
      <w:r w:rsidR="00095040">
        <w:t>publication</w:t>
      </w:r>
      <w:r w:rsidR="0046092B">
        <w:t xml:space="preserve">. </w:t>
      </w:r>
    </w:p>
    <w:p w14:paraId="6D1A10FF" w14:textId="77777777" w:rsidR="005E1AAB" w:rsidRPr="00534EB9" w:rsidRDefault="005E1AAB" w:rsidP="00534EB9"/>
    <w:p w14:paraId="3161F807" w14:textId="5E6BF907" w:rsidR="004571B1" w:rsidRDefault="005A395D" w:rsidP="0041219F">
      <w:pPr>
        <w:pStyle w:val="Heading1"/>
      </w:pPr>
      <w:r>
        <w:t>Swedish Expert Group (1971)</w:t>
      </w:r>
    </w:p>
    <w:p w14:paraId="5E1F64FF" w14:textId="77777777" w:rsidR="00B266FE" w:rsidRDefault="00B266FE" w:rsidP="00B266FE"/>
    <w:p w14:paraId="63375987" w14:textId="547D3D36" w:rsidR="000124BE" w:rsidRPr="000124BE" w:rsidRDefault="000124BE" w:rsidP="000124BE">
      <w:pPr>
        <w:ind w:left="57" w:right="57"/>
        <w:rPr>
          <w:rFonts w:eastAsia="Calibri"/>
          <w:kern w:val="0"/>
          <w14:ligatures w14:val="none"/>
        </w:rPr>
      </w:pPr>
      <w:r w:rsidRPr="000124BE">
        <w:rPr>
          <w:rFonts w:eastAsia="Calibri"/>
          <w:kern w:val="0"/>
          <w14:ligatures w14:val="none"/>
        </w:rPr>
        <w:t>In 1968</w:t>
      </w:r>
      <w:r w:rsidR="009B019A">
        <w:rPr>
          <w:rFonts w:eastAsia="Calibri"/>
          <w:kern w:val="0"/>
          <w14:ligatures w14:val="none"/>
        </w:rPr>
        <w:t>,</w:t>
      </w:r>
      <w:r w:rsidRPr="000124BE">
        <w:rPr>
          <w:rFonts w:eastAsia="Calibri"/>
          <w:kern w:val="0"/>
          <w14:ligatures w14:val="none"/>
        </w:rPr>
        <w:t xml:space="preserve"> the Swedish National Institute of Public Health appointed an expert group (Swedish Expert Group or SEG here) to evaluate the toxicological and epidemiological health effects data related to exposure to </w:t>
      </w:r>
      <w:r w:rsidR="221DE9FA" w:rsidRPr="000124BE">
        <w:rPr>
          <w:rFonts w:eastAsia="Calibri"/>
          <w:kern w:val="0"/>
          <w14:ligatures w14:val="none"/>
        </w:rPr>
        <w:t>MeHg</w:t>
      </w:r>
      <w:r w:rsidRPr="000124BE">
        <w:rPr>
          <w:rFonts w:eastAsia="Calibri"/>
          <w:kern w:val="0"/>
          <w14:ligatures w14:val="none"/>
        </w:rPr>
        <w:t xml:space="preserve"> from fish </w:t>
      </w:r>
      <w:r w:rsidRPr="000124BE">
        <w:rPr>
          <w:rFonts w:eastAsia="Calibri"/>
          <w:kern w:val="0"/>
          <w14:ligatures w14:val="none"/>
        </w:rPr>
        <w:fldChar w:fldCharType="begin" w:fldLock="1"/>
      </w:r>
      <w:r w:rsidRPr="000124BE">
        <w:rPr>
          <w:rFonts w:eastAsia="Calibri"/>
          <w:kern w:val="0"/>
          <w14:ligatures w14:val="none"/>
        </w:rP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group","type":"report","volume":"Supplement"},"uris":["http://www.mendeley.com/documents/?uuid=52dd9d4c-b2cd-4d1d-9d4b-5b9a780fdd35"]}],"mendeley":{"formattedCitation":"(SEG, 1971)","plainTextFormattedCitation":"(SEG, 1971)","previouslyFormattedCitation":"(SEG, 1971)"},"properties":{"noteIndex":0},"schema":"https://github.com/citation-style-language/schema/raw/master/csl-citation.json"}</w:instrText>
      </w:r>
      <w:r w:rsidRPr="000124BE">
        <w:rPr>
          <w:rFonts w:eastAsia="Calibri"/>
          <w:kern w:val="0"/>
          <w14:ligatures w14:val="none"/>
        </w:rPr>
        <w:fldChar w:fldCharType="separate"/>
      </w:r>
      <w:r w:rsidRPr="000124BE">
        <w:rPr>
          <w:rFonts w:eastAsia="Calibri"/>
          <w:noProof/>
          <w:kern w:val="0"/>
          <w14:ligatures w14:val="none"/>
        </w:rPr>
        <w:t>(SEG, 1971)</w:t>
      </w:r>
      <w:r w:rsidRPr="000124BE">
        <w:rPr>
          <w:rFonts w:eastAsia="Calibri"/>
          <w:kern w:val="0"/>
          <w14:ligatures w14:val="none"/>
        </w:rPr>
        <w:fldChar w:fldCharType="end"/>
      </w:r>
      <w:r w:rsidRPr="000124BE">
        <w:rPr>
          <w:rFonts w:eastAsia="Calibri"/>
          <w:kern w:val="0"/>
          <w14:ligatures w14:val="none"/>
        </w:rPr>
        <w:t>. A large part of the SEG report was based on information gathered in a study trip to Japan by several of the expert group members who reviewed Swedish translations of many of the previously unpublished Japanese</w:t>
      </w:r>
      <w:r w:rsidR="00DD1D1C">
        <w:rPr>
          <w:rFonts w:eastAsia="Calibri"/>
          <w:kern w:val="0"/>
          <w14:ligatures w14:val="none"/>
        </w:rPr>
        <w:t>-</w:t>
      </w:r>
      <w:r w:rsidRPr="000124BE">
        <w:rPr>
          <w:rFonts w:eastAsia="Calibri"/>
          <w:kern w:val="0"/>
          <w14:ligatures w14:val="none"/>
        </w:rPr>
        <w:t xml:space="preserve">language adult case reports of MeHg poisoning from Minamata Bay and Niigata, and </w:t>
      </w:r>
      <w:r w:rsidR="00E9481F">
        <w:rPr>
          <w:rFonts w:eastAsia="Calibri"/>
          <w:kern w:val="0"/>
          <w14:ligatures w14:val="none"/>
        </w:rPr>
        <w:t xml:space="preserve">the SEG report </w:t>
      </w:r>
      <w:r w:rsidRPr="000124BE">
        <w:rPr>
          <w:rFonts w:eastAsia="Calibri"/>
          <w:kern w:val="0"/>
          <w14:ligatures w14:val="none"/>
        </w:rPr>
        <w:t xml:space="preserve">also included interviews with many of the key Japanese clinical investigators. The work from this study trip was summarized in a Swedish language report </w:t>
      </w:r>
      <w:r w:rsidRPr="000124BE">
        <w:rPr>
          <w:rFonts w:eastAsia="Calibri"/>
          <w:kern w:val="0"/>
          <w14:ligatures w14:val="none"/>
        </w:rPr>
        <w:fldChar w:fldCharType="begin" w:fldLock="1"/>
      </w:r>
      <w:r w:rsidRPr="000124BE">
        <w:rPr>
          <w:rFonts w:eastAsia="Calibri"/>
          <w:kern w:val="0"/>
          <w14:ligatures w14:val="none"/>
        </w:rPr>
        <w:instrText>ADDIN CSL_CITATION {"citationItems":[{"id":"ITEM-1","itemData":{"author":[{"dropping-particle":"","family":"Berlin","given":"M","non-dropping-particle":"","parse-names":false,"suffix":""},{"dropping-particle":"","family":"Ramel","given":"C","non-dropping-particle":"","parse-names":false,"suffix":""},{"dropping-particle":"","family":"Swensson","given":"A","non-dropping-particle":"","parse-names":false,"suffix":""}],"id":"ITEM-1","issued":{"date-parts":[["1969"]]},"title":"Poisoning by the consumption of fish containing a methyl mercury compound. A report from a study trip to Japan in 1968. (Swedish) - cited in Swedish Expert Group, 1971.","type":"report"},"uris":["http://www.mendeley.com/documents/?uuid=0af72211-7f58-46ea-83f1-d5b23a6a22b3"]}],"mendeley":{"formattedCitation":"(Berlin et al., 1969)","plainTextFormattedCitation":"(Berlin et al., 1969)","previouslyFormattedCitation":"(Berlin et al., 1969)"},"properties":{"noteIndex":0},"schema":"https://github.com/citation-style-language/schema/raw/master/csl-citation.json"}</w:instrText>
      </w:r>
      <w:r w:rsidRPr="000124BE">
        <w:rPr>
          <w:rFonts w:eastAsia="Calibri"/>
          <w:kern w:val="0"/>
          <w14:ligatures w14:val="none"/>
        </w:rPr>
        <w:fldChar w:fldCharType="separate"/>
      </w:r>
      <w:r w:rsidRPr="000124BE">
        <w:rPr>
          <w:rFonts w:eastAsia="Calibri"/>
          <w:noProof/>
          <w:kern w:val="0"/>
          <w14:ligatures w14:val="none"/>
        </w:rPr>
        <w:t>(Berlin et al., 1969)</w:t>
      </w:r>
      <w:r w:rsidRPr="000124BE">
        <w:rPr>
          <w:rFonts w:eastAsia="Calibri"/>
          <w:kern w:val="0"/>
          <w14:ligatures w14:val="none"/>
        </w:rPr>
        <w:fldChar w:fldCharType="end"/>
      </w:r>
      <w:r w:rsidRPr="000124BE">
        <w:rPr>
          <w:rFonts w:eastAsia="Calibri"/>
          <w:kern w:val="0"/>
          <w14:ligatures w14:val="none"/>
        </w:rPr>
        <w:t xml:space="preserve"> and subsequently in the English</w:t>
      </w:r>
      <w:r w:rsidR="008B6A25">
        <w:rPr>
          <w:rFonts w:eastAsia="Calibri"/>
          <w:kern w:val="0"/>
          <w14:ligatures w14:val="none"/>
        </w:rPr>
        <w:t>-</w:t>
      </w:r>
      <w:r w:rsidRPr="000124BE">
        <w:rPr>
          <w:rFonts w:eastAsia="Calibri"/>
          <w:kern w:val="0"/>
          <w14:ligatures w14:val="none"/>
        </w:rPr>
        <w:t xml:space="preserve">language SEG review </w:t>
      </w:r>
      <w:r w:rsidRPr="000124BE">
        <w:rPr>
          <w:rFonts w:eastAsia="Calibri"/>
          <w:kern w:val="0"/>
          <w14:ligatures w14:val="none"/>
        </w:rPr>
        <w:fldChar w:fldCharType="begin" w:fldLock="1"/>
      </w:r>
      <w:r w:rsidRPr="000124BE">
        <w:rPr>
          <w:rFonts w:eastAsia="Calibri"/>
          <w:kern w:val="0"/>
          <w14:ligatures w14:val="none"/>
        </w:rP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Pr="000124BE">
        <w:rPr>
          <w:rFonts w:eastAsia="Calibri"/>
          <w:kern w:val="0"/>
          <w14:ligatures w14:val="none"/>
        </w:rPr>
        <w:fldChar w:fldCharType="separate"/>
      </w:r>
      <w:r w:rsidRPr="000124BE">
        <w:rPr>
          <w:rFonts w:eastAsia="Calibri"/>
          <w:noProof/>
          <w:kern w:val="0"/>
          <w14:ligatures w14:val="none"/>
        </w:rPr>
        <w:t>(1971)</w:t>
      </w:r>
      <w:r w:rsidRPr="000124BE">
        <w:rPr>
          <w:rFonts w:eastAsia="Calibri"/>
          <w:kern w:val="0"/>
          <w14:ligatures w14:val="none"/>
        </w:rPr>
        <w:fldChar w:fldCharType="end"/>
      </w:r>
      <w:r w:rsidRPr="000124BE">
        <w:rPr>
          <w:rFonts w:eastAsia="Calibri"/>
          <w:kern w:val="0"/>
          <w14:ligatures w14:val="none"/>
        </w:rPr>
        <w:t>. A similar report containing much of the same information was also published by academics from the Swedish Karolinska Institute</w:t>
      </w:r>
      <w:r w:rsidR="002E5881">
        <w:rPr>
          <w:rFonts w:eastAsia="Calibri"/>
          <w:kern w:val="0"/>
          <w14:ligatures w14:val="none"/>
        </w:rPr>
        <w:t xml:space="preserve"> (3 of the authors were also on the </w:t>
      </w:r>
      <w:r w:rsidRPr="000124BE">
        <w:rPr>
          <w:rFonts w:eastAsia="Calibri"/>
          <w:kern w:val="0"/>
          <w14:ligatures w14:val="none"/>
        </w:rPr>
        <w:t>SEG</w:t>
      </w:r>
      <w:r w:rsidR="002E5881">
        <w:rPr>
          <w:rFonts w:eastAsia="Calibri"/>
          <w:kern w:val="0"/>
          <w14:ligatures w14:val="none"/>
        </w:rPr>
        <w:t>)</w:t>
      </w:r>
      <w:r w:rsidRPr="000124BE">
        <w:rPr>
          <w:rFonts w:eastAsia="Calibri"/>
          <w:kern w:val="0"/>
          <w14:ligatures w14:val="none"/>
        </w:rPr>
        <w:t xml:space="preserve"> under contract to the US EPA </w:t>
      </w:r>
      <w:r w:rsidRPr="000124BE">
        <w:rPr>
          <w:rFonts w:eastAsia="Calibri"/>
          <w:kern w:val="0"/>
          <w14:ligatures w14:val="none"/>
        </w:rPr>
        <w:fldChar w:fldCharType="begin" w:fldLock="1"/>
      </w:r>
      <w:r w:rsidRPr="000124BE">
        <w:rPr>
          <w:rFonts w:eastAsia="Calibri"/>
          <w:kern w:val="0"/>
          <w14:ligatures w14:val="none"/>
        </w:rPr>
        <w:instrText>ADDIN CSL_CITATION {"citationItems":[{"id":"ITEM-1","itemData":{"author":[{"dropping-particle":"","family":"US EPA","given":"","non-dropping-particle":"","parse-names":false,"suffix":""}],"id":"ITEM-1","issued":{"date-parts":[["1971"]]},"title":"Mercury in the Environment: A Toxicological and Epidemiological Appraisal. (US EPA Contract No. CPA 70-30, prepared by Friberg L. and Vostal J. (editors) of the Karolinska Institute)","type":"report"},"uris":["http://www.mendeley.com/documents/?uuid=26c7e34e-8027-4d34-91b9-345f1565a0cd"]}],"mendeley":{"formattedCitation":"(US EPA, 1971)","plainTextFormattedCitation":"(US EPA, 1971)","previouslyFormattedCitation":"(US EPA, 1971)"},"properties":{"noteIndex":0},"schema":"https://github.com/citation-style-language/schema/raw/master/csl-citation.json"}</w:instrText>
      </w:r>
      <w:r w:rsidRPr="000124BE">
        <w:rPr>
          <w:rFonts w:eastAsia="Calibri"/>
          <w:kern w:val="0"/>
          <w14:ligatures w14:val="none"/>
        </w:rPr>
        <w:fldChar w:fldCharType="separate"/>
      </w:r>
      <w:r w:rsidRPr="000124BE">
        <w:rPr>
          <w:rFonts w:eastAsia="Calibri"/>
          <w:noProof/>
          <w:kern w:val="0"/>
          <w14:ligatures w14:val="none"/>
        </w:rPr>
        <w:t>(US EPA, 1971)</w:t>
      </w:r>
      <w:r w:rsidRPr="000124BE">
        <w:rPr>
          <w:rFonts w:eastAsia="Calibri"/>
          <w:kern w:val="0"/>
          <w14:ligatures w14:val="none"/>
        </w:rPr>
        <w:fldChar w:fldCharType="end"/>
      </w:r>
      <w:r w:rsidRPr="000124BE">
        <w:rPr>
          <w:rFonts w:eastAsia="Calibri"/>
          <w:kern w:val="0"/>
          <w14:ligatures w14:val="none"/>
        </w:rPr>
        <w:t>.</w:t>
      </w:r>
    </w:p>
    <w:p w14:paraId="0B1A0B17" w14:textId="77777777" w:rsidR="00235917" w:rsidRDefault="00235917" w:rsidP="00EC3A13"/>
    <w:p w14:paraId="58F67912" w14:textId="39816871" w:rsidR="00D43116" w:rsidRDefault="00185FC2" w:rsidP="00EC3A13">
      <w:r>
        <w:t>E</w:t>
      </w:r>
      <w:r w:rsidR="004C6CBA">
        <w:t xml:space="preserve">stimates </w:t>
      </w:r>
      <w:r>
        <w:t xml:space="preserve">of MeHg exposure </w:t>
      </w:r>
      <w:r w:rsidR="004C6CBA">
        <w:t xml:space="preserve">based on fish intake </w:t>
      </w:r>
      <w:r w:rsidR="003C1306">
        <w:t>from</w:t>
      </w:r>
      <w:r w:rsidR="004C6CBA">
        <w:t xml:space="preserve"> both Minamata Bay and Niigata were </w:t>
      </w:r>
      <w:r w:rsidR="00072715">
        <w:t xml:space="preserve">not used to assess risk due to unreliable data on fish consumption </w:t>
      </w:r>
      <w:r w:rsidR="000C5D02">
        <w:t xml:space="preserve">and </w:t>
      </w:r>
      <w:r w:rsidR="003C1306">
        <w:t xml:space="preserve">MeHg </w:t>
      </w:r>
      <w:r w:rsidR="00072715">
        <w:t xml:space="preserve">levels in </w:t>
      </w:r>
      <w:r w:rsidR="00D61182">
        <w:t>fish (p.187 of the report).</w:t>
      </w:r>
      <w:r w:rsidR="009F2FDB">
        <w:t xml:space="preserve"> </w:t>
      </w:r>
      <w:r w:rsidR="00A07041">
        <w:t xml:space="preserve">Instead </w:t>
      </w:r>
      <w:r w:rsidR="00DF7F9B">
        <w:t>blood and hair THg</w:t>
      </w:r>
      <w:r w:rsidR="003C1306">
        <w:t>,</w:t>
      </w:r>
      <w:r w:rsidR="00DF7F9B">
        <w:t xml:space="preserve"> principally from Niigata cases</w:t>
      </w:r>
      <w:r w:rsidR="003C1306">
        <w:t>,</w:t>
      </w:r>
      <w:r w:rsidR="00DF7F9B">
        <w:t xml:space="preserve"> were used to assess the dose-response and establish </w:t>
      </w:r>
      <w:r w:rsidR="00CE00E2">
        <w:t>thresholds for adult neurologic</w:t>
      </w:r>
      <w:r w:rsidR="004F7D3A">
        <w:t>al</w:t>
      </w:r>
      <w:r w:rsidR="00CE00E2">
        <w:t xml:space="preserve"> effects</w:t>
      </w:r>
      <w:r w:rsidR="00F44201">
        <w:t xml:space="preserve"> </w:t>
      </w:r>
      <w:r w:rsidR="00E019EF">
        <w:t>(</w:t>
      </w:r>
      <w:r w:rsidR="00F44201">
        <w:t xml:space="preserve">summarized in </w:t>
      </w:r>
      <w:r w:rsidR="00CE00E2">
        <w:t>Chapter 9.2 of the report</w:t>
      </w:r>
      <w:r w:rsidR="00E019EF">
        <w:t>;</w:t>
      </w:r>
      <w:r w:rsidR="00CE00E2">
        <w:t xml:space="preserve"> p.165-180). Briefly,</w:t>
      </w:r>
      <w:r w:rsidR="005843C4">
        <w:t xml:space="preserve"> whole blood THg </w:t>
      </w:r>
      <w:r w:rsidR="00FB23B0">
        <w:t xml:space="preserve">concentrations </w:t>
      </w:r>
      <w:r w:rsidR="005474CF">
        <w:t>o</w:t>
      </w:r>
      <w:r w:rsidR="00E019EF">
        <w:t>f</w:t>
      </w:r>
      <w:r w:rsidR="005474CF">
        <w:t xml:space="preserve"> 17 cases from Niigata were presented in Table 9.5 </w:t>
      </w:r>
      <w:r w:rsidR="00B31106">
        <w:t xml:space="preserve">of the </w:t>
      </w:r>
      <w:r w:rsidR="006D3DDE">
        <w:t xml:space="preserve">SEG </w:t>
      </w:r>
      <w:r w:rsidR="00B31106">
        <w:t>report</w:t>
      </w:r>
      <w:r w:rsidR="00425F60">
        <w:t>,</w:t>
      </w:r>
      <w:r w:rsidR="00B31106">
        <w:t xml:space="preserve"> including the </w:t>
      </w:r>
      <w:r w:rsidR="00FB23B0">
        <w:t>date o</w:t>
      </w:r>
      <w:r w:rsidR="006A5FEA">
        <w:t>n</w:t>
      </w:r>
      <w:r w:rsidR="00B31106">
        <w:t xml:space="preserve"> neurological symptom</w:t>
      </w:r>
      <w:r w:rsidR="00BC0C23">
        <w:t xml:space="preserve"> onset</w:t>
      </w:r>
      <w:r w:rsidR="00FB23B0">
        <w:t xml:space="preserve"> and </w:t>
      </w:r>
      <w:r w:rsidR="007E3963">
        <w:t xml:space="preserve">the </w:t>
      </w:r>
      <w:r w:rsidR="00FB23B0">
        <w:t xml:space="preserve">date of </w:t>
      </w:r>
      <w:r w:rsidR="004D15A1">
        <w:t xml:space="preserve">blood </w:t>
      </w:r>
      <w:r w:rsidR="00FB23B0">
        <w:t>sampling</w:t>
      </w:r>
      <w:r w:rsidR="00E82E0F">
        <w:t xml:space="preserve">. </w:t>
      </w:r>
      <w:r w:rsidR="00967D61">
        <w:t xml:space="preserve">Eight of the 17 cases had multiple blood THg measures over time. </w:t>
      </w:r>
      <w:r w:rsidR="00D90F7A">
        <w:t>This data was graphically visualized in Figure 9.</w:t>
      </w:r>
      <w:r w:rsidR="00406E9A">
        <w:t>1</w:t>
      </w:r>
      <w:r w:rsidR="00D90F7A">
        <w:t xml:space="preserve"> to extrapolate the </w:t>
      </w:r>
      <w:r w:rsidR="00F27924">
        <w:t>blood levels at day 0 of symptom onset</w:t>
      </w:r>
      <w:r w:rsidR="00F44201">
        <w:t xml:space="preserve"> based on </w:t>
      </w:r>
      <w:r w:rsidR="0007757E">
        <w:t>the assumption that exposure ceased at symptom onset</w:t>
      </w:r>
      <w:r w:rsidR="00406E9A">
        <w:t xml:space="preserve">. </w:t>
      </w:r>
      <w:r w:rsidR="001F6F3C">
        <w:t xml:space="preserve">The </w:t>
      </w:r>
      <w:r w:rsidR="000D4B99">
        <w:t>highest day 0 extrapolated blood concentrations were &gt; 2000 µ</w:t>
      </w:r>
      <w:r w:rsidR="00106FE6">
        <w:t>g</w:t>
      </w:r>
      <w:r w:rsidR="000D4B99">
        <w:t xml:space="preserve">/L THg </w:t>
      </w:r>
      <w:r w:rsidR="00D95D17">
        <w:t xml:space="preserve">while the </w:t>
      </w:r>
      <w:r w:rsidR="001F6F3C">
        <w:t xml:space="preserve">lowest </w:t>
      </w:r>
      <w:r w:rsidR="66DCC5A3">
        <w:t>three</w:t>
      </w:r>
      <w:r w:rsidR="00D95D17">
        <w:t xml:space="preserve"> </w:t>
      </w:r>
      <w:r w:rsidR="001F6F3C">
        <w:t>exposed cases</w:t>
      </w:r>
      <w:r w:rsidR="00A568F1">
        <w:t xml:space="preserve"> </w:t>
      </w:r>
      <w:r w:rsidR="00A27065">
        <w:t>(case</w:t>
      </w:r>
      <w:r w:rsidR="00006F46">
        <w:t>s</w:t>
      </w:r>
      <w:r w:rsidR="00A27065">
        <w:t xml:space="preserve"> #17, 18, 19</w:t>
      </w:r>
      <w:r w:rsidR="000C5D02">
        <w:t xml:space="preserve"> in Figure 9.1 of the SEG report</w:t>
      </w:r>
      <w:r w:rsidR="00A27065">
        <w:t xml:space="preserve">) </w:t>
      </w:r>
      <w:r w:rsidR="004D15A1">
        <w:t xml:space="preserve">had </w:t>
      </w:r>
      <w:r w:rsidR="00A40261">
        <w:t>estimated blood</w:t>
      </w:r>
      <w:r w:rsidR="00A568F1">
        <w:t xml:space="preserve"> </w:t>
      </w:r>
      <w:r w:rsidR="00A40261">
        <w:t xml:space="preserve">levels </w:t>
      </w:r>
      <w:r w:rsidR="004D15A1">
        <w:t xml:space="preserve">ranging </w:t>
      </w:r>
      <w:r w:rsidR="00A40261">
        <w:t>from 200 – 400 µ</w:t>
      </w:r>
      <w:r w:rsidR="00106FE6">
        <w:t>g</w:t>
      </w:r>
      <w:r w:rsidR="00A40261">
        <w:t>/L</w:t>
      </w:r>
      <w:r w:rsidR="00A568F1">
        <w:t xml:space="preserve"> THg</w:t>
      </w:r>
      <w:r w:rsidR="00D95D17">
        <w:t xml:space="preserve">. </w:t>
      </w:r>
      <w:r w:rsidR="00C84E7E">
        <w:t xml:space="preserve">Measures of THg in hair were </w:t>
      </w:r>
      <w:r w:rsidR="00006F46">
        <w:t xml:space="preserve">also </w:t>
      </w:r>
      <w:r w:rsidR="00C84E7E">
        <w:t xml:space="preserve">reported for 36 </w:t>
      </w:r>
      <w:r w:rsidR="00F04528">
        <w:t xml:space="preserve">of the Niigata </w:t>
      </w:r>
      <w:r w:rsidR="00C84E7E">
        <w:t xml:space="preserve">cases </w:t>
      </w:r>
      <w:r w:rsidR="00F04528">
        <w:t>in Table 9.7 (p.</w:t>
      </w:r>
      <w:r w:rsidR="00376DDD">
        <w:t>175-177)</w:t>
      </w:r>
      <w:r w:rsidR="00CD1081">
        <w:t xml:space="preserve"> with date of symptom onset and date of hair sampling</w:t>
      </w:r>
      <w:r w:rsidR="00D57890">
        <w:t xml:space="preserve"> to allow for extrapolation to day 0 in Figure </w:t>
      </w:r>
      <w:r w:rsidR="00F73D31">
        <w:t xml:space="preserve">9.3 (p.178). </w:t>
      </w:r>
      <w:r w:rsidR="009710B7">
        <w:t xml:space="preserve">From Figure 9.3, </w:t>
      </w:r>
      <w:r w:rsidR="002A52F7">
        <w:t xml:space="preserve">the day 0 hair </w:t>
      </w:r>
      <w:r w:rsidR="00A02309">
        <w:t xml:space="preserve">mercury concentrations were </w:t>
      </w:r>
      <w:r w:rsidR="00031A2A">
        <w:t xml:space="preserve">estimated </w:t>
      </w:r>
      <w:r w:rsidR="00A02309">
        <w:t xml:space="preserve">to </w:t>
      </w:r>
      <w:r w:rsidR="007E4174">
        <w:t xml:space="preserve">fall between &gt;200 to </w:t>
      </w:r>
      <w:r w:rsidR="00BD50BA">
        <w:t xml:space="preserve">1000 µg/g THg </w:t>
      </w:r>
      <w:r w:rsidR="00513E52">
        <w:t>“as a general rule”</w:t>
      </w:r>
      <w:r w:rsidR="00D94847">
        <w:t xml:space="preserve">. </w:t>
      </w:r>
      <w:r w:rsidR="00041C72">
        <w:t xml:space="preserve">Only a single case (#30) </w:t>
      </w:r>
      <w:r w:rsidR="00CD46BE">
        <w:t>had</w:t>
      </w:r>
      <w:r w:rsidR="00041C72">
        <w:t xml:space="preserve"> </w:t>
      </w:r>
      <w:r w:rsidR="00215EB0">
        <w:t>a</w:t>
      </w:r>
      <w:r w:rsidR="0085289F">
        <w:t xml:space="preserve"> hair mercury concentration </w:t>
      </w:r>
      <w:r w:rsidR="00215EB0">
        <w:t xml:space="preserve">&lt; 200 µg/g, which </w:t>
      </w:r>
      <w:r w:rsidR="0085289F">
        <w:t xml:space="preserve">was </w:t>
      </w:r>
      <w:r w:rsidR="00C84A12">
        <w:t>report</w:t>
      </w:r>
      <w:r w:rsidR="00CD46BE">
        <w:t>ed</w:t>
      </w:r>
      <w:r w:rsidR="00554102">
        <w:t xml:space="preserve"> </w:t>
      </w:r>
      <w:r w:rsidR="00CD46BE">
        <w:t xml:space="preserve">to be </w:t>
      </w:r>
      <w:r w:rsidR="00554102">
        <w:t>52 µg/g THg</w:t>
      </w:r>
      <w:r w:rsidR="00441121">
        <w:t xml:space="preserve"> </w:t>
      </w:r>
      <w:r w:rsidR="00230B38">
        <w:t xml:space="preserve">at </w:t>
      </w:r>
      <w:r w:rsidR="0085289F">
        <w:t>1-</w:t>
      </w:r>
      <w:r w:rsidR="009E72D5">
        <w:t xml:space="preserve">30 </w:t>
      </w:r>
      <w:r w:rsidR="0085289F">
        <w:t>days after the onset of disease symptoms</w:t>
      </w:r>
      <w:r w:rsidR="009E72D5">
        <w:t xml:space="preserve">. </w:t>
      </w:r>
    </w:p>
    <w:p w14:paraId="5282F8CF" w14:textId="77777777" w:rsidR="00ED4051" w:rsidRDefault="00ED4051" w:rsidP="00EC3A13"/>
    <w:p w14:paraId="52ABBC2A" w14:textId="310151C4" w:rsidR="00ED4051" w:rsidRDefault="00ED4051" w:rsidP="00EC3A13">
      <w:r>
        <w:t xml:space="preserve">The </w:t>
      </w:r>
      <w:r w:rsidR="00440040">
        <w:t>SEG</w:t>
      </w:r>
      <w:r>
        <w:t xml:space="preserve"> also reviewed the available data on </w:t>
      </w:r>
      <w:r w:rsidR="00D47AD0">
        <w:t xml:space="preserve">potential </w:t>
      </w:r>
      <w:r w:rsidR="00235917">
        <w:t xml:space="preserve">prenatal </w:t>
      </w:r>
      <w:r w:rsidR="00D47AD0">
        <w:t>effects</w:t>
      </w:r>
      <w:r w:rsidR="2157EB7E">
        <w:t xml:space="preserve">, </w:t>
      </w:r>
      <w:r w:rsidR="00B62D1C">
        <w:t xml:space="preserve">including </w:t>
      </w:r>
      <w:r w:rsidR="00D47AD0">
        <w:t xml:space="preserve">22 reported cases of </w:t>
      </w:r>
      <w:r w:rsidR="00E93E2A">
        <w:t>prenatal poisoning from Minamata Bay</w:t>
      </w:r>
      <w:r w:rsidR="00B62D1C">
        <w:t xml:space="preserve"> (Table 10.1 on p.203</w:t>
      </w:r>
      <w:r w:rsidR="00D24544">
        <w:t>-204</w:t>
      </w:r>
      <w:r w:rsidR="00E035CF">
        <w:t xml:space="preserve"> of the SEG report</w:t>
      </w:r>
      <w:r w:rsidR="00B62D1C">
        <w:t>).</w:t>
      </w:r>
      <w:r w:rsidR="00D24544">
        <w:t xml:space="preserve"> </w:t>
      </w:r>
      <w:r w:rsidR="00D4180F">
        <w:t>Data</w:t>
      </w:r>
      <w:r w:rsidR="00417FCA">
        <w:t xml:space="preserve"> </w:t>
      </w:r>
      <w:r w:rsidR="787F0AD1">
        <w:t>were</w:t>
      </w:r>
      <w:r w:rsidR="00417FCA">
        <w:t xml:space="preserve"> reported</w:t>
      </w:r>
      <w:r w:rsidR="00D4180F">
        <w:t xml:space="preserve"> on hair THg in the 22 </w:t>
      </w:r>
      <w:r w:rsidR="004574C7">
        <w:t>putative case</w:t>
      </w:r>
      <w:r w:rsidR="004E4917">
        <w:t>s for</w:t>
      </w:r>
      <w:r w:rsidR="004574C7">
        <w:t xml:space="preserve"> children</w:t>
      </w:r>
      <w:r w:rsidR="00D4180F">
        <w:t xml:space="preserve"> </w:t>
      </w:r>
      <w:r w:rsidR="005D5EF1">
        <w:t xml:space="preserve">1-6 yrs old </w:t>
      </w:r>
      <w:r w:rsidR="0083365C">
        <w:t xml:space="preserve">(5 – 100 µg/g THg) </w:t>
      </w:r>
      <w:r w:rsidR="008F7555">
        <w:t>and their mothers</w:t>
      </w:r>
      <w:r w:rsidR="00B93BF9">
        <w:t xml:space="preserve"> </w:t>
      </w:r>
      <w:r w:rsidR="0083365C">
        <w:t>(2 – 190 µg/g THg)</w:t>
      </w:r>
      <w:r w:rsidR="00FE601E">
        <w:t xml:space="preserve">. Since the </w:t>
      </w:r>
      <w:r w:rsidR="00BE3FDD">
        <w:t xml:space="preserve">maternal </w:t>
      </w:r>
      <w:r w:rsidR="00867556">
        <w:t xml:space="preserve">and child </w:t>
      </w:r>
      <w:r w:rsidR="00BE3FDD">
        <w:t xml:space="preserve">hair samples were taken </w:t>
      </w:r>
      <w:r w:rsidR="00F92087">
        <w:t>several years</w:t>
      </w:r>
      <w:r w:rsidR="003C4B47">
        <w:t xml:space="preserve"> after </w:t>
      </w:r>
      <w:r w:rsidR="00867556">
        <w:t>birth</w:t>
      </w:r>
      <w:r w:rsidR="00FE601E">
        <w:t xml:space="preserve">, </w:t>
      </w:r>
      <w:r w:rsidR="00867556">
        <w:t xml:space="preserve">there was no reliable estimate of </w:t>
      </w:r>
      <w:r w:rsidR="00B34D23">
        <w:t xml:space="preserve">prenatal exposure </w:t>
      </w:r>
      <w:r w:rsidR="004D416B">
        <w:t>from th</w:t>
      </w:r>
      <w:r w:rsidR="00397D21">
        <w:t>e</w:t>
      </w:r>
      <w:r w:rsidR="004D416B">
        <w:t>s</w:t>
      </w:r>
      <w:r w:rsidR="00397D21">
        <w:t>e</w:t>
      </w:r>
      <w:r w:rsidR="004D416B">
        <w:t xml:space="preserve"> data. A single case of prenatal poisoning from Niigata was also reported</w:t>
      </w:r>
      <w:r w:rsidR="00084BF3">
        <w:t>,</w:t>
      </w:r>
      <w:r w:rsidR="004D416B">
        <w:t xml:space="preserve"> </w:t>
      </w:r>
      <w:r w:rsidR="00FE7109">
        <w:t>with measured maternal hair levels of 290 and 82 µg/g THg at 2.5 month</w:t>
      </w:r>
      <w:r w:rsidR="003B4C9C">
        <w:t>s and 4 months</w:t>
      </w:r>
      <w:r w:rsidR="3A58D447">
        <w:t>, respectively,</w:t>
      </w:r>
      <w:r w:rsidR="003B4C9C">
        <w:t xml:space="preserve"> post-partum and estimated </w:t>
      </w:r>
      <w:r w:rsidR="00624AEA">
        <w:t xml:space="preserve">maternal hair </w:t>
      </w:r>
      <w:r w:rsidR="003B4C9C">
        <w:t>level</w:t>
      </w:r>
      <w:r w:rsidR="00624AEA">
        <w:t>s</w:t>
      </w:r>
      <w:r w:rsidR="003B4C9C">
        <w:t xml:space="preserve"> at birth of approximately 600 µg/g THg</w:t>
      </w:r>
      <w:r w:rsidR="000F77B6">
        <w:t xml:space="preserve"> (p.204)</w:t>
      </w:r>
      <w:r w:rsidR="003B4C9C">
        <w:t xml:space="preserve">. </w:t>
      </w:r>
      <w:r w:rsidR="00F310D3">
        <w:t xml:space="preserve">The </w:t>
      </w:r>
      <w:r w:rsidR="00440040">
        <w:t>SEG</w:t>
      </w:r>
      <w:r w:rsidR="00394340">
        <w:t xml:space="preserve"> consider</w:t>
      </w:r>
      <w:r w:rsidR="008F3203">
        <w:t>ed</w:t>
      </w:r>
      <w:r w:rsidR="00394340">
        <w:t xml:space="preserve"> “the data on prenatal poisoning </w:t>
      </w:r>
      <w:r w:rsidR="00EA4114">
        <w:t xml:space="preserve">[to be] </w:t>
      </w:r>
      <w:r w:rsidR="00394340">
        <w:t>particularly limit</w:t>
      </w:r>
      <w:r w:rsidR="0050333D">
        <w:t>ed</w:t>
      </w:r>
      <w:r w:rsidR="00394340">
        <w:t>”</w:t>
      </w:r>
      <w:r w:rsidR="008F3203">
        <w:t xml:space="preserve"> </w:t>
      </w:r>
      <w:r w:rsidR="00394340">
        <w:t>(p.29)</w:t>
      </w:r>
      <w:r w:rsidR="008F3203">
        <w:t xml:space="preserve">. Ultimately, no PoD or TRV were </w:t>
      </w:r>
      <w:r w:rsidR="00B12FB0">
        <w:t xml:space="preserve">derived </w:t>
      </w:r>
      <w:r w:rsidR="008F3203">
        <w:t xml:space="preserve">for neurodevelopmental effects following prenatal MeHg exposure, while the safety factor of 10 </w:t>
      </w:r>
      <w:r w:rsidR="007F690B">
        <w:t xml:space="preserve">was </w:t>
      </w:r>
      <w:r w:rsidR="00EA4114">
        <w:t xml:space="preserve">applied to the </w:t>
      </w:r>
      <w:r w:rsidR="000E65DD">
        <w:t xml:space="preserve">PoD for </w:t>
      </w:r>
      <w:r w:rsidR="00EA4114">
        <w:t xml:space="preserve">adult </w:t>
      </w:r>
      <w:r w:rsidR="000E65DD">
        <w:t xml:space="preserve">neurotoxicity, </w:t>
      </w:r>
      <w:r w:rsidR="007F690B">
        <w:t>in part</w:t>
      </w:r>
      <w:r w:rsidR="000E65DD">
        <w:t>,</w:t>
      </w:r>
      <w:r w:rsidR="007F690B">
        <w:t xml:space="preserve"> to account for this uncertainty</w:t>
      </w:r>
      <w:r w:rsidR="0050333D">
        <w:t xml:space="preserve"> </w:t>
      </w:r>
      <w:r w:rsidR="007F690B">
        <w:t>(p.276</w:t>
      </w:r>
      <w:r w:rsidR="00E035CF">
        <w:t xml:space="preserve"> of the SEG report).</w:t>
      </w:r>
    </w:p>
    <w:p w14:paraId="00CE8304" w14:textId="77777777" w:rsidR="00D43116" w:rsidRDefault="00D43116" w:rsidP="00EC3A13"/>
    <w:p w14:paraId="4C0EF118" w14:textId="0F0508ED" w:rsidR="006F4A80" w:rsidRDefault="006C7EC1" w:rsidP="00630876">
      <w:r>
        <w:t xml:space="preserve">The </w:t>
      </w:r>
      <w:r w:rsidR="00440040">
        <w:t>SEG</w:t>
      </w:r>
      <w:r w:rsidR="009E72D5">
        <w:t xml:space="preserve"> noted that</w:t>
      </w:r>
      <w:r w:rsidR="00C31A38">
        <w:t xml:space="preserve"> the</w:t>
      </w:r>
      <w:r w:rsidR="009E72D5">
        <w:t xml:space="preserve"> </w:t>
      </w:r>
      <w:r>
        <w:t xml:space="preserve">underlying Japanese source </w:t>
      </w:r>
      <w:r w:rsidR="008E00EF">
        <w:t>materials</w:t>
      </w:r>
      <w:r w:rsidR="008E6722">
        <w:t xml:space="preserve"> </w:t>
      </w:r>
      <w:r w:rsidR="008E00EF">
        <w:t>reporting</w:t>
      </w:r>
      <w:r w:rsidR="008E6722">
        <w:t xml:space="preserve"> the</w:t>
      </w:r>
      <w:r w:rsidR="009E72D5">
        <w:t xml:space="preserve"> blood and hair THg </w:t>
      </w:r>
      <w:r w:rsidR="008E00EF">
        <w:t>concentrations</w:t>
      </w:r>
      <w:r w:rsidR="009E72D5">
        <w:t xml:space="preserve"> for </w:t>
      </w:r>
      <w:r>
        <w:t xml:space="preserve">the </w:t>
      </w:r>
      <w:r w:rsidR="009E72D5">
        <w:t xml:space="preserve">Niigata </w:t>
      </w:r>
      <w:r w:rsidR="00CD60D8">
        <w:t xml:space="preserve">adult </w:t>
      </w:r>
      <w:r w:rsidR="009E72D5">
        <w:t>poisoning cases</w:t>
      </w:r>
      <w:r>
        <w:t xml:space="preserve"> </w:t>
      </w:r>
      <w:r w:rsidR="003377E3">
        <w:t>provided</w:t>
      </w:r>
      <w:r>
        <w:t xml:space="preserve"> somewhat inconsistent </w:t>
      </w:r>
      <w:r w:rsidR="00100202">
        <w:t>information o</w:t>
      </w:r>
      <w:r w:rsidR="00E3582B">
        <w:t>n</w:t>
      </w:r>
      <w:r w:rsidR="00100202">
        <w:t xml:space="preserve"> mercury levels and dates</w:t>
      </w:r>
      <w:r w:rsidR="00535A87">
        <w:t xml:space="preserve"> (</w:t>
      </w:r>
      <w:r w:rsidR="003377E3">
        <w:t xml:space="preserve">e.g. </w:t>
      </w:r>
      <w:r w:rsidR="00535A87">
        <w:t>duration of exposure, onset of symptoms, etc.)</w:t>
      </w:r>
      <w:r w:rsidR="00100202">
        <w:t xml:space="preserve">, </w:t>
      </w:r>
      <w:r w:rsidR="00E3582B">
        <w:t xml:space="preserve">and </w:t>
      </w:r>
      <w:r w:rsidR="00100202">
        <w:t>therefore</w:t>
      </w:r>
      <w:r w:rsidR="00E3582B">
        <w:t>,</w:t>
      </w:r>
      <w:r w:rsidR="00100202">
        <w:t xml:space="preserve"> these data were considered uncertain</w:t>
      </w:r>
      <w:r w:rsidR="004319FE">
        <w:t xml:space="preserve"> by the SEG</w:t>
      </w:r>
      <w:r w:rsidR="00100202">
        <w:t xml:space="preserve">. </w:t>
      </w:r>
      <w:r w:rsidR="00DE7397">
        <w:t>Nonetheless</w:t>
      </w:r>
      <w:r w:rsidR="00962159">
        <w:t>,</w:t>
      </w:r>
      <w:r w:rsidR="00DE7397">
        <w:t xml:space="preserve"> based on</w:t>
      </w:r>
      <w:r w:rsidR="00391DF1">
        <w:t xml:space="preserve"> </w:t>
      </w:r>
      <w:r w:rsidR="004F12E1">
        <w:t>the</w:t>
      </w:r>
      <w:r w:rsidR="00391DF1">
        <w:t xml:space="preserve"> </w:t>
      </w:r>
      <w:r w:rsidR="00DE7397">
        <w:t xml:space="preserve">Niigata </w:t>
      </w:r>
      <w:r w:rsidR="00CD60D8">
        <w:t>data in adults</w:t>
      </w:r>
      <w:r w:rsidR="004F12E1">
        <w:t>,</w:t>
      </w:r>
      <w:r w:rsidR="00391DF1">
        <w:t xml:space="preserve"> the </w:t>
      </w:r>
      <w:r w:rsidR="00440040">
        <w:t>SEG</w:t>
      </w:r>
      <w:r w:rsidR="00391DF1">
        <w:t xml:space="preserve"> determined that </w:t>
      </w:r>
      <w:r w:rsidR="00A4674E">
        <w:t>neurological symptoms may occur in sensitive individuals as low as 200 µ</w:t>
      </w:r>
      <w:r w:rsidR="00106FE6">
        <w:t>g</w:t>
      </w:r>
      <w:r w:rsidR="00A4674E">
        <w:t>/L THg</w:t>
      </w:r>
      <w:r w:rsidR="005F13C6">
        <w:t xml:space="preserve"> in blood and </w:t>
      </w:r>
      <w:r w:rsidR="00AE346F">
        <w:t xml:space="preserve">approximately </w:t>
      </w:r>
      <w:r w:rsidR="005F13C6">
        <w:t>50 µg/g THg in hair</w:t>
      </w:r>
      <w:r w:rsidR="00D370D8">
        <w:t>.</w:t>
      </w:r>
      <w:r w:rsidR="00EC54EF" w:rsidRPr="008E3958">
        <w:rPr>
          <w:rStyle w:val="FootnoteReference"/>
        </w:rPr>
        <w:footnoteReference w:id="2"/>
      </w:r>
      <w:r w:rsidR="005F13C6">
        <w:t xml:space="preserve"> </w:t>
      </w:r>
      <w:r w:rsidR="00E207DC">
        <w:t>The estimated</w:t>
      </w:r>
      <w:r w:rsidR="00C97658">
        <w:t xml:space="preserve"> lowest </w:t>
      </w:r>
      <w:r w:rsidR="00E207DC">
        <w:t>neurologic</w:t>
      </w:r>
      <w:r w:rsidR="001369ED">
        <w:t>al</w:t>
      </w:r>
      <w:r w:rsidR="00E207DC">
        <w:t xml:space="preserve"> </w:t>
      </w:r>
      <w:r w:rsidR="00C97658">
        <w:t xml:space="preserve">effect level of 200 µg/L THg in blood </w:t>
      </w:r>
      <w:r w:rsidR="00E207DC">
        <w:t>was then converted to a level in red blood cells</w:t>
      </w:r>
      <w:r w:rsidR="00256607">
        <w:t xml:space="preserve"> (RBCs)</w:t>
      </w:r>
      <w:r w:rsidR="00E207DC">
        <w:t xml:space="preserve"> of </w:t>
      </w:r>
      <w:r w:rsidR="00B14ECD">
        <w:t xml:space="preserve">400 µg/kg (reported as </w:t>
      </w:r>
      <w:r w:rsidR="00256607">
        <w:t>0.4 µg/g THg</w:t>
      </w:r>
      <w:r w:rsidR="00B14ECD">
        <w:t xml:space="preserve">) by </w:t>
      </w:r>
      <w:r w:rsidR="00256607">
        <w:t>assuming</w:t>
      </w:r>
      <w:r w:rsidR="00B14ECD">
        <w:t xml:space="preserve"> </w:t>
      </w:r>
      <w:r w:rsidR="006A53FC">
        <w:t xml:space="preserve">the concentration of THg in </w:t>
      </w:r>
      <w:r w:rsidR="00B14ECD">
        <w:t>whole blood is 50% of RBC</w:t>
      </w:r>
      <w:r w:rsidR="006A53FC">
        <w:t>s</w:t>
      </w:r>
      <w:r w:rsidR="0036414A">
        <w:t>. This value in RBC</w:t>
      </w:r>
      <w:r w:rsidR="0042465A">
        <w:t>s</w:t>
      </w:r>
      <w:r w:rsidR="0036414A">
        <w:t xml:space="preserve"> </w:t>
      </w:r>
      <w:r w:rsidR="000A34B1">
        <w:t xml:space="preserve">was converted to an equivalent </w:t>
      </w:r>
      <w:r w:rsidR="0049675F">
        <w:t>estimated oral intake</w:t>
      </w:r>
      <w:r w:rsidR="00FF74D0">
        <w:t xml:space="preserve"> of approximately </w:t>
      </w:r>
      <w:r w:rsidR="00B156A0">
        <w:t xml:space="preserve">0.3 mg/day MeHg </w:t>
      </w:r>
      <w:r w:rsidR="009F6219">
        <w:lastRenderedPageBreak/>
        <w:t>(</w:t>
      </w:r>
      <w:r w:rsidR="00B156A0">
        <w:t>300 µg/day MeHg</w:t>
      </w:r>
      <w:r w:rsidR="009F6219">
        <w:t>)</w:t>
      </w:r>
      <w:r w:rsidR="000A34B1">
        <w:t xml:space="preserve"> based on a regression equation </w:t>
      </w:r>
      <w:r w:rsidR="00E305C7">
        <w:t>using</w:t>
      </w:r>
      <w:r w:rsidR="002C4EA3">
        <w:t xml:space="preserve"> data from </w:t>
      </w:r>
      <w:r w:rsidR="00E15758">
        <w:t>Swedish</w:t>
      </w:r>
      <w:r w:rsidR="002C4EA3">
        <w:t xml:space="preserve"> volunteers</w:t>
      </w:r>
      <w:r w:rsidR="00E15758">
        <w:t xml:space="preserve"> </w:t>
      </w:r>
      <w:r w:rsidR="000A34B1">
        <w:t xml:space="preserve">by </w:t>
      </w:r>
      <w:r w:rsidR="00775780">
        <w:t xml:space="preserve">Birke et al. </w:t>
      </w:r>
      <w:r w:rsidR="00217E82">
        <w:fldChar w:fldCharType="begin" w:fldLock="1"/>
      </w:r>
      <w:r w:rsidR="00C07908">
        <w:instrText>ADDIN CSL_CITATION {"citationItems":[{"id":"ITEM-1","itemData":{"author":[{"dropping-particle":"","family":"Birke","given":"G","non-dropping-particle":"","parse-names":false,"suffix":""},{"dropping-particle":"","family":"Johnels","given":"AG","non-dropping-particle":"","parse-names":false,"suffix":""},{"dropping-particle":"","family":"Plantin","given":"LO","non-dropping-particle":"","parse-names":false,"suffix":""},{"dropping-particle":"","family":"Sjostrand","given":"B","non-dropping-particle":"","parse-names":false,"suffix":""},{"dropping-particle":"","family":"Westermark","given":"T","non-dropping-particle":"","parse-names":false,"suffix":""}],"container-title":"Lakartidningen","id":"ITEM-1","issued":{"date-parts":[["1967"]]},"page":"3628-3637","title":"Mercury poisoning through eating fish?","type":"article-journal","volume":"64"},"suppress-author":1,"uris":["http://www.mendeley.com/documents/?uuid=9d2f0b14-6159-41e5-adcb-79fae5461161"]}],"mendeley":{"formattedCitation":"(1967)","plainTextFormattedCitation":"(1967)","previouslyFormattedCitation":"(1967)"},"properties":{"noteIndex":0},"schema":"https://github.com/citation-style-language/schema/raw/master/csl-citation.json"}</w:instrText>
      </w:r>
      <w:r w:rsidR="00217E82">
        <w:fldChar w:fldCharType="separate"/>
      </w:r>
      <w:r w:rsidR="00217E82" w:rsidRPr="00217E82">
        <w:rPr>
          <w:noProof/>
        </w:rPr>
        <w:t>(1967)</w:t>
      </w:r>
      <w:r w:rsidR="00217E82">
        <w:fldChar w:fldCharType="end"/>
      </w:r>
      <w:r w:rsidR="00EA5F5C" w:rsidRPr="008E3958">
        <w:rPr>
          <w:rStyle w:val="FootnoteReference"/>
        </w:rPr>
        <w:footnoteReference w:id="3"/>
      </w:r>
      <w:r w:rsidR="00EC43A9">
        <w:t>:</w:t>
      </w:r>
      <w:r w:rsidR="00223DA3">
        <w:t xml:space="preserve"> </w:t>
      </w:r>
      <w:r w:rsidR="004C093B">
        <w:t>([</w:t>
      </w:r>
      <w:r w:rsidR="00960A85">
        <w:t>RBC ug/kg THg</w:t>
      </w:r>
      <w:r w:rsidR="004C093B">
        <w:t>]</w:t>
      </w:r>
      <w:r w:rsidR="00960A85">
        <w:t xml:space="preserve"> = 1400 * </w:t>
      </w:r>
      <w:r w:rsidR="004C093B">
        <w:t xml:space="preserve">[oral intake of </w:t>
      </w:r>
      <w:r w:rsidR="00513870">
        <w:t>mg/day MeHg</w:t>
      </w:r>
      <w:r w:rsidR="004C093B">
        <w:t>]</w:t>
      </w:r>
      <w:r w:rsidR="00513870">
        <w:t xml:space="preserve"> + 3</w:t>
      </w:r>
      <w:r w:rsidR="004C093B">
        <w:t>)</w:t>
      </w:r>
      <w:r w:rsidR="00630876">
        <w:t>.</w:t>
      </w:r>
      <w:r w:rsidR="004C093B">
        <w:t xml:space="preserve"> </w:t>
      </w:r>
      <w:r w:rsidR="004D524A">
        <w:t xml:space="preserve">Substituting the lowest </w:t>
      </w:r>
      <w:r w:rsidR="4E438727">
        <w:t xml:space="preserve">mercury </w:t>
      </w:r>
      <w:r w:rsidR="004D524A">
        <w:t>effect level in RBCs of 400 µg/kg THg (equivalent to 200 µg/L</w:t>
      </w:r>
      <w:r w:rsidR="00B35C1E">
        <w:t xml:space="preserve"> </w:t>
      </w:r>
      <w:r w:rsidR="004D524A">
        <w:t xml:space="preserve">in blood), the </w:t>
      </w:r>
      <w:r w:rsidR="00E133A7">
        <w:t xml:space="preserve">regression equation gives an estimated </w:t>
      </w:r>
      <w:r w:rsidR="004D524A">
        <w:t xml:space="preserve">oral intake </w:t>
      </w:r>
      <w:r w:rsidR="00E133A7">
        <w:t>of</w:t>
      </w:r>
      <w:r w:rsidR="00791BF5">
        <w:t xml:space="preserve"> 0.28</w:t>
      </w:r>
      <w:r w:rsidR="00082479">
        <w:t xml:space="preserve">4 mg/day MeHg </w:t>
      </w:r>
      <w:r w:rsidR="008740DA">
        <w:t>(</w:t>
      </w:r>
      <w:r w:rsidR="00082479">
        <w:t>284 µg/day</w:t>
      </w:r>
      <w:r w:rsidR="003977FE">
        <w:t xml:space="preserve"> MeH</w:t>
      </w:r>
      <w:r w:rsidR="00FB21C1">
        <w:t>g</w:t>
      </w:r>
      <w:r w:rsidR="008740DA">
        <w:t>)</w:t>
      </w:r>
      <w:r w:rsidR="00AB1AC8">
        <w:t>,</w:t>
      </w:r>
      <w:r w:rsidR="008740DA">
        <w:t xml:space="preserve"> </w:t>
      </w:r>
      <w:r w:rsidR="00E133A7">
        <w:t xml:space="preserve">which was </w:t>
      </w:r>
      <w:r w:rsidR="008740DA">
        <w:t>presumably rounded up</w:t>
      </w:r>
      <w:r w:rsidR="00FB21C1">
        <w:t xml:space="preserve"> </w:t>
      </w:r>
      <w:r w:rsidR="00E133A7">
        <w:t xml:space="preserve">and </w:t>
      </w:r>
      <w:r w:rsidR="00FB21C1">
        <w:t xml:space="preserve">reported as </w:t>
      </w:r>
      <w:r w:rsidR="006C0ECF">
        <w:t xml:space="preserve">“about </w:t>
      </w:r>
      <w:r w:rsidR="008740DA">
        <w:t xml:space="preserve">0.3 mg/day </w:t>
      </w:r>
      <w:r w:rsidR="006C0ECF">
        <w:t xml:space="preserve">as </w:t>
      </w:r>
      <w:r w:rsidR="008740DA">
        <w:t>MeHg</w:t>
      </w:r>
      <w:r w:rsidR="006C0ECF">
        <w:t>” (p.</w:t>
      </w:r>
      <w:r w:rsidR="00936426">
        <w:t>29 &amp; p.</w:t>
      </w:r>
      <w:r w:rsidR="006C0ECF">
        <w:t>271)</w:t>
      </w:r>
      <w:r w:rsidR="00EC6766">
        <w:t xml:space="preserve">. This </w:t>
      </w:r>
      <w:r w:rsidR="00937BD9">
        <w:t xml:space="preserve">per person </w:t>
      </w:r>
      <w:r w:rsidR="00217CE5">
        <w:t xml:space="preserve">daily </w:t>
      </w:r>
      <w:r w:rsidR="00B8046C">
        <w:t xml:space="preserve">oral </w:t>
      </w:r>
      <w:r w:rsidR="00EC6766">
        <w:t xml:space="preserve">PoD was also </w:t>
      </w:r>
      <w:r w:rsidR="003F5553">
        <w:t xml:space="preserve">expressed on a body weight basis as </w:t>
      </w:r>
      <w:r w:rsidR="006B68BF">
        <w:t xml:space="preserve">approximately </w:t>
      </w:r>
      <w:r w:rsidR="00667943">
        <w:t>4 µg/kg-bw/day MeHg for a 70</w:t>
      </w:r>
      <w:r w:rsidR="004870C2">
        <w:t xml:space="preserve"> </w:t>
      </w:r>
      <w:r w:rsidR="00667943">
        <w:t>kg adult</w:t>
      </w:r>
      <w:r w:rsidR="006B68BF">
        <w:t xml:space="preserve"> (</w:t>
      </w:r>
      <w:r w:rsidR="00BE149E">
        <w:t xml:space="preserve">presumably </w:t>
      </w:r>
      <w:r w:rsidR="006B68BF">
        <w:t>rounded down from</w:t>
      </w:r>
      <w:r w:rsidR="00BE149E">
        <w:t xml:space="preserve"> 4.29</w:t>
      </w:r>
      <w:r w:rsidR="004B450F">
        <w:t xml:space="preserve"> </w:t>
      </w:r>
      <w:r w:rsidR="00BE149E">
        <w:t>µg/kg-bw/day MeHg)</w:t>
      </w:r>
      <w:r w:rsidR="00F62BCD">
        <w:t xml:space="preserve"> (Table 14.1 on p.269)</w:t>
      </w:r>
      <w:r w:rsidR="00BE149E">
        <w:t xml:space="preserve">. </w:t>
      </w:r>
      <w:r w:rsidR="0014663B">
        <w:t>T</w:t>
      </w:r>
      <w:r w:rsidR="00B3530C">
        <w:t xml:space="preserve">he </w:t>
      </w:r>
      <w:r w:rsidR="00440040">
        <w:t>SEG</w:t>
      </w:r>
      <w:r w:rsidR="0014663B">
        <w:t xml:space="preserve"> report</w:t>
      </w:r>
      <w:r w:rsidR="00B3530C">
        <w:t xml:space="preserve"> explicitly </w:t>
      </w:r>
      <w:r w:rsidR="006F4A80">
        <w:t xml:space="preserve">identified </w:t>
      </w:r>
      <w:r w:rsidR="001C52A5">
        <w:t>the lowest adult neurologic</w:t>
      </w:r>
      <w:r w:rsidR="00A75BC8">
        <w:t>al</w:t>
      </w:r>
      <w:r w:rsidR="001C52A5">
        <w:t xml:space="preserve"> effect levels (PoDs)</w:t>
      </w:r>
      <w:r w:rsidR="00B23511">
        <w:t xml:space="preserve"> in blood, RBCs, hair, and oral</w:t>
      </w:r>
      <w:r w:rsidR="006F4A80">
        <w:t xml:space="preserve"> intake (Table 14.1</w:t>
      </w:r>
      <w:r w:rsidR="009B3552">
        <w:t xml:space="preserve">, p.268), the recommended safety factor of 10 (p.276), and </w:t>
      </w:r>
      <w:r w:rsidR="006629BE">
        <w:t xml:space="preserve">the </w:t>
      </w:r>
      <w:r w:rsidR="009B3552">
        <w:t xml:space="preserve">derived </w:t>
      </w:r>
      <w:r w:rsidR="004A233A">
        <w:t>TRVs (p.277)</w:t>
      </w:r>
      <w:r w:rsidR="00E174B0">
        <w:t xml:space="preserve"> (see Table S1.1 below).</w:t>
      </w:r>
    </w:p>
    <w:p w14:paraId="4C831A6D" w14:textId="77777777" w:rsidR="006F4A80" w:rsidRDefault="006F4A80" w:rsidP="00630876"/>
    <w:p w14:paraId="2A6B5E4A" w14:textId="5BAF0F76" w:rsidR="00BD2C22" w:rsidRPr="005A37F6" w:rsidRDefault="00BD2C22" w:rsidP="00BD2C22">
      <w:r w:rsidRPr="002F7639">
        <w:rPr>
          <w:b/>
        </w:rPr>
        <w:t>Table S1.</w:t>
      </w:r>
      <w:r>
        <w:rPr>
          <w:b/>
        </w:rPr>
        <w:t>1</w:t>
      </w:r>
      <w:r w:rsidR="00C07908">
        <w:rPr>
          <w:b/>
        </w:rPr>
        <w:t xml:space="preserve"> PoDs and TRVs </w:t>
      </w:r>
      <w:r w:rsidR="00A93FC9">
        <w:rPr>
          <w:b/>
        </w:rPr>
        <w:t xml:space="preserve">for </w:t>
      </w:r>
      <w:r w:rsidR="00D02BEC">
        <w:rPr>
          <w:b/>
        </w:rPr>
        <w:t>adult</w:t>
      </w:r>
      <w:r w:rsidR="00A93FC9">
        <w:rPr>
          <w:b/>
        </w:rPr>
        <w:t xml:space="preserve"> neurotoxicity</w:t>
      </w:r>
      <w:r w:rsidR="00D02BEC">
        <w:rPr>
          <w:b/>
        </w:rPr>
        <w:t xml:space="preserve"> </w:t>
      </w:r>
      <w:r w:rsidR="00D4637C">
        <w:rPr>
          <w:b/>
        </w:rPr>
        <w:t xml:space="preserve">of MeHg </w:t>
      </w:r>
      <w:r w:rsidR="00945BB8">
        <w:rPr>
          <w:b/>
          <w:bCs/>
        </w:rPr>
        <w:t>derived</w:t>
      </w:r>
      <w:r w:rsidR="006629BE">
        <w:rPr>
          <w:b/>
        </w:rPr>
        <w:t xml:space="preserve"> by </w:t>
      </w:r>
      <w:r w:rsidR="00440040">
        <w:rPr>
          <w:b/>
        </w:rPr>
        <w:t>SEG</w:t>
      </w:r>
      <w:r w:rsidR="005A37F6">
        <w:rPr>
          <w:b/>
        </w:rPr>
        <w:t xml:space="preserve"> (1971)</w:t>
      </w:r>
      <w:r w:rsidR="00945BB8">
        <w:rPr>
          <w:b/>
          <w:bCs/>
        </w:rPr>
        <w:t xml:space="preserve"> or </w:t>
      </w:r>
      <w:r w:rsidR="00945BB8" w:rsidRPr="00945BB8">
        <w:rPr>
          <w:b/>
          <w:bCs/>
          <w:color w:val="0000FF"/>
        </w:rPr>
        <w:t>inferred by the authors</w:t>
      </w:r>
    </w:p>
    <w:tbl>
      <w:tblPr>
        <w:tblStyle w:val="TableGrid"/>
        <w:tblW w:w="10528" w:type="dxa"/>
        <w:tblLook w:val="04A0" w:firstRow="1" w:lastRow="0" w:firstColumn="1" w:lastColumn="0" w:noHBand="0" w:noVBand="1"/>
      </w:tblPr>
      <w:tblGrid>
        <w:gridCol w:w="1020"/>
        <w:gridCol w:w="5779"/>
        <w:gridCol w:w="1097"/>
        <w:gridCol w:w="2632"/>
      </w:tblGrid>
      <w:tr w:rsidR="00BD2C22" w:rsidRPr="004646BE" w14:paraId="6B2275D3" w14:textId="77777777" w:rsidTr="00A1795F">
        <w:trPr>
          <w:trHeight w:val="300"/>
        </w:trPr>
        <w:tc>
          <w:tcPr>
            <w:tcW w:w="1020" w:type="dxa"/>
            <w:shd w:val="clear" w:color="auto" w:fill="D9D9D9" w:themeFill="background1" w:themeFillShade="D9"/>
          </w:tcPr>
          <w:p w14:paraId="740CF36E" w14:textId="77777777" w:rsidR="00BD2C22" w:rsidRPr="004646BE" w:rsidRDefault="00BD2C22" w:rsidP="00180362">
            <w:pPr>
              <w:rPr>
                <w:rFonts w:ascii="Times New Roman" w:hAnsi="Times New Roman" w:cs="Times New Roman"/>
                <w:sz w:val="20"/>
                <w:szCs w:val="20"/>
              </w:rPr>
            </w:pPr>
            <w:r w:rsidRPr="004646BE">
              <w:rPr>
                <w:rFonts w:ascii="Times New Roman" w:hAnsi="Times New Roman" w:cs="Times New Roman"/>
                <w:sz w:val="20"/>
                <w:szCs w:val="20"/>
              </w:rPr>
              <w:t>Exposure Metric</w:t>
            </w:r>
          </w:p>
        </w:tc>
        <w:tc>
          <w:tcPr>
            <w:tcW w:w="5779" w:type="dxa"/>
            <w:shd w:val="clear" w:color="auto" w:fill="D9D9D9" w:themeFill="background1" w:themeFillShade="D9"/>
          </w:tcPr>
          <w:p w14:paraId="2FE3A5CB" w14:textId="77777777" w:rsidR="00BD2C22" w:rsidRPr="004646BE" w:rsidRDefault="00BD2C22" w:rsidP="00180362">
            <w:pPr>
              <w:rPr>
                <w:rFonts w:ascii="Times New Roman" w:hAnsi="Times New Roman" w:cs="Times New Roman"/>
                <w:sz w:val="20"/>
                <w:szCs w:val="20"/>
              </w:rPr>
            </w:pPr>
            <w:r w:rsidRPr="004646BE">
              <w:rPr>
                <w:rFonts w:ascii="Times New Roman" w:hAnsi="Times New Roman" w:cs="Times New Roman"/>
                <w:sz w:val="20"/>
                <w:szCs w:val="20"/>
              </w:rPr>
              <w:t>PoD</w:t>
            </w:r>
          </w:p>
        </w:tc>
        <w:tc>
          <w:tcPr>
            <w:tcW w:w="1097" w:type="dxa"/>
            <w:shd w:val="clear" w:color="auto" w:fill="D9D9D9" w:themeFill="background1" w:themeFillShade="D9"/>
          </w:tcPr>
          <w:p w14:paraId="4B5C26B3" w14:textId="77777777" w:rsidR="00BD2C22" w:rsidRPr="004646BE" w:rsidRDefault="00BD2C22" w:rsidP="00180362">
            <w:pPr>
              <w:rPr>
                <w:rFonts w:ascii="Times New Roman" w:hAnsi="Times New Roman" w:cs="Times New Roman"/>
                <w:sz w:val="20"/>
                <w:szCs w:val="20"/>
              </w:rPr>
            </w:pPr>
            <w:r w:rsidRPr="004646BE">
              <w:rPr>
                <w:rFonts w:ascii="Times New Roman" w:hAnsi="Times New Roman" w:cs="Times New Roman"/>
                <w:sz w:val="20"/>
                <w:szCs w:val="20"/>
              </w:rPr>
              <w:t>UF</w:t>
            </w:r>
          </w:p>
        </w:tc>
        <w:tc>
          <w:tcPr>
            <w:tcW w:w="2632" w:type="dxa"/>
            <w:shd w:val="clear" w:color="auto" w:fill="D9D9D9" w:themeFill="background1" w:themeFillShade="D9"/>
          </w:tcPr>
          <w:p w14:paraId="29458595" w14:textId="77777777" w:rsidR="00BD2C22" w:rsidRPr="004646BE" w:rsidRDefault="00BD2C22" w:rsidP="00180362">
            <w:pPr>
              <w:rPr>
                <w:rFonts w:ascii="Times New Roman" w:hAnsi="Times New Roman" w:cs="Times New Roman"/>
                <w:sz w:val="20"/>
                <w:szCs w:val="20"/>
              </w:rPr>
            </w:pPr>
            <w:r w:rsidRPr="004646BE">
              <w:rPr>
                <w:rFonts w:ascii="Times New Roman" w:hAnsi="Times New Roman" w:cs="Times New Roman"/>
                <w:sz w:val="20"/>
                <w:szCs w:val="20"/>
              </w:rPr>
              <w:t>TRV</w:t>
            </w:r>
          </w:p>
        </w:tc>
      </w:tr>
      <w:tr w:rsidR="00F33158" w:rsidRPr="004646BE" w14:paraId="639EDDBA" w14:textId="77777777" w:rsidTr="00A1795F">
        <w:trPr>
          <w:trHeight w:val="300"/>
        </w:trPr>
        <w:tc>
          <w:tcPr>
            <w:tcW w:w="1020" w:type="dxa"/>
          </w:tcPr>
          <w:p w14:paraId="240F118C" w14:textId="77777777" w:rsidR="00F33158" w:rsidRPr="004646BE" w:rsidRDefault="00F33158" w:rsidP="00180362">
            <w:pPr>
              <w:rPr>
                <w:rFonts w:ascii="Times New Roman" w:hAnsi="Times New Roman" w:cs="Times New Roman"/>
                <w:sz w:val="20"/>
                <w:szCs w:val="20"/>
              </w:rPr>
            </w:pPr>
            <w:r w:rsidRPr="004646BE">
              <w:rPr>
                <w:rFonts w:ascii="Times New Roman" w:hAnsi="Times New Roman" w:cs="Times New Roman"/>
                <w:sz w:val="20"/>
                <w:szCs w:val="20"/>
              </w:rPr>
              <w:t>hair</w:t>
            </w:r>
          </w:p>
        </w:tc>
        <w:tc>
          <w:tcPr>
            <w:tcW w:w="5779" w:type="dxa"/>
          </w:tcPr>
          <w:p w14:paraId="7B0A83AF" w14:textId="77777777" w:rsidR="001C77C0" w:rsidRDefault="001C77C0" w:rsidP="00612FA0">
            <w:pPr>
              <w:rPr>
                <w:rFonts w:ascii="Times New Roman" w:hAnsi="Times New Roman" w:cs="Times New Roman"/>
                <w:b/>
                <w:bCs w:val="0"/>
                <w:sz w:val="20"/>
                <w:szCs w:val="20"/>
              </w:rPr>
            </w:pPr>
            <w:r>
              <w:rPr>
                <w:rFonts w:ascii="Times New Roman" w:hAnsi="Times New Roman" w:cs="Times New Roman"/>
                <w:b/>
                <w:bCs w:val="0"/>
                <w:sz w:val="20"/>
                <w:szCs w:val="20"/>
              </w:rPr>
              <w:t>SEG Derived PoD</w:t>
            </w:r>
          </w:p>
          <w:p w14:paraId="7120DEEE" w14:textId="2C28FFCA" w:rsidR="00F33158" w:rsidRPr="00137642" w:rsidRDefault="00F33158" w:rsidP="00180362">
            <w:pPr>
              <w:rPr>
                <w:rFonts w:ascii="Times New Roman" w:hAnsi="Times New Roman" w:cs="Times New Roman"/>
                <w:b/>
                <w:color w:val="000000" w:themeColor="text1"/>
                <w:sz w:val="20"/>
                <w:szCs w:val="20"/>
                <w:vertAlign w:val="superscript"/>
              </w:rPr>
            </w:pPr>
            <w:r w:rsidRPr="00137642">
              <w:rPr>
                <w:rFonts w:ascii="Times New Roman" w:hAnsi="Times New Roman" w:cs="Times New Roman"/>
                <w:b/>
                <w:color w:val="000000" w:themeColor="text1"/>
                <w:sz w:val="20"/>
                <w:szCs w:val="20"/>
              </w:rPr>
              <w:t>50 µg/g THg</w:t>
            </w:r>
            <w:r w:rsidR="00E67C86" w:rsidRPr="00137642">
              <w:rPr>
                <w:rFonts w:ascii="Times New Roman" w:hAnsi="Times New Roman" w:cs="Times New Roman"/>
                <w:b/>
                <w:color w:val="000000" w:themeColor="text1"/>
                <w:sz w:val="20"/>
                <w:szCs w:val="20"/>
              </w:rPr>
              <w:t xml:space="preserve"> </w:t>
            </w:r>
            <w:r w:rsidR="00E67C86" w:rsidRPr="00137642">
              <w:rPr>
                <w:rFonts w:ascii="Times New Roman" w:hAnsi="Times New Roman" w:cs="Times New Roman"/>
                <w:b/>
                <w:color w:val="000000" w:themeColor="text1"/>
                <w:sz w:val="20"/>
                <w:szCs w:val="20"/>
                <w:vertAlign w:val="superscript"/>
              </w:rPr>
              <w:t>a</w:t>
            </w:r>
          </w:p>
          <w:p w14:paraId="15153DB6" w14:textId="10C43BDB" w:rsidR="00F33158" w:rsidRPr="004646BE" w:rsidRDefault="00F33158" w:rsidP="00180362">
            <w:pPr>
              <w:rPr>
                <w:rFonts w:ascii="Times New Roman" w:hAnsi="Times New Roman" w:cs="Times New Roman"/>
                <w:sz w:val="16"/>
                <w:szCs w:val="16"/>
              </w:rPr>
            </w:pPr>
            <w:r w:rsidRPr="004646BE">
              <w:rPr>
                <w:rFonts w:ascii="Times New Roman" w:hAnsi="Times New Roman" w:cs="Times New Roman"/>
                <w:sz w:val="16"/>
                <w:szCs w:val="16"/>
              </w:rPr>
              <w:t>(</w:t>
            </w:r>
            <w:r w:rsidR="0080201F">
              <w:rPr>
                <w:rFonts w:ascii="Times New Roman" w:hAnsi="Times New Roman" w:cs="Times New Roman"/>
                <w:sz w:val="16"/>
                <w:szCs w:val="16"/>
              </w:rPr>
              <w:t xml:space="preserve">reported </w:t>
            </w:r>
            <w:r w:rsidR="00E35ED5">
              <w:rPr>
                <w:rFonts w:ascii="Times New Roman" w:hAnsi="Times New Roman" w:cs="Times New Roman"/>
                <w:sz w:val="16"/>
                <w:szCs w:val="16"/>
              </w:rPr>
              <w:t xml:space="preserve">on </w:t>
            </w:r>
            <w:r w:rsidR="003B5823">
              <w:rPr>
                <w:rFonts w:ascii="Times New Roman" w:hAnsi="Times New Roman" w:cs="Times New Roman"/>
                <w:sz w:val="16"/>
                <w:szCs w:val="16"/>
              </w:rPr>
              <w:t xml:space="preserve">p.25 and </w:t>
            </w:r>
            <w:r w:rsidR="00E35ED5">
              <w:rPr>
                <w:rFonts w:ascii="Times New Roman" w:hAnsi="Times New Roman" w:cs="Times New Roman"/>
                <w:sz w:val="16"/>
                <w:szCs w:val="16"/>
              </w:rPr>
              <w:t xml:space="preserve">p.28 of the SEG report </w:t>
            </w:r>
            <w:r w:rsidR="0080201F">
              <w:rPr>
                <w:rFonts w:ascii="Times New Roman" w:hAnsi="Times New Roman" w:cs="Times New Roman"/>
                <w:sz w:val="16"/>
                <w:szCs w:val="16"/>
              </w:rPr>
              <w:t xml:space="preserve">as “the lowest level in the hair” </w:t>
            </w:r>
            <w:r w:rsidR="00717520">
              <w:rPr>
                <w:rFonts w:ascii="Times New Roman" w:hAnsi="Times New Roman" w:cs="Times New Roman"/>
                <w:sz w:val="16"/>
                <w:szCs w:val="16"/>
              </w:rPr>
              <w:t>in Ni</w:t>
            </w:r>
            <w:r w:rsidR="00FC73C4">
              <w:rPr>
                <w:rFonts w:ascii="Times New Roman" w:hAnsi="Times New Roman" w:cs="Times New Roman"/>
                <w:sz w:val="16"/>
                <w:szCs w:val="16"/>
              </w:rPr>
              <w:t>igata poisoning cases</w:t>
            </w:r>
            <w:r w:rsidR="00E35ED5">
              <w:rPr>
                <w:rFonts w:ascii="Times New Roman" w:hAnsi="Times New Roman" w:cs="Times New Roman"/>
                <w:sz w:val="16"/>
                <w:szCs w:val="16"/>
              </w:rPr>
              <w:t xml:space="preserve">, </w:t>
            </w:r>
            <w:r w:rsidR="00CF4437">
              <w:rPr>
                <w:rFonts w:ascii="Times New Roman" w:hAnsi="Times New Roman" w:cs="Times New Roman"/>
                <w:sz w:val="16"/>
                <w:szCs w:val="16"/>
              </w:rPr>
              <w:t xml:space="preserve">assumed to be </w:t>
            </w:r>
            <w:r w:rsidR="00E57E28">
              <w:rPr>
                <w:rFonts w:ascii="Times New Roman" w:hAnsi="Times New Roman" w:cs="Times New Roman"/>
                <w:sz w:val="16"/>
                <w:szCs w:val="16"/>
              </w:rPr>
              <w:t xml:space="preserve">based on </w:t>
            </w:r>
            <w:r w:rsidR="002C7C6D">
              <w:rPr>
                <w:rFonts w:ascii="Times New Roman" w:hAnsi="Times New Roman" w:cs="Times New Roman"/>
                <w:sz w:val="16"/>
                <w:szCs w:val="16"/>
              </w:rPr>
              <w:t>round</w:t>
            </w:r>
            <w:r w:rsidR="00E57E28">
              <w:rPr>
                <w:rFonts w:ascii="Times New Roman" w:hAnsi="Times New Roman" w:cs="Times New Roman"/>
                <w:sz w:val="16"/>
                <w:szCs w:val="16"/>
              </w:rPr>
              <w:t>ing</w:t>
            </w:r>
            <w:r w:rsidR="002C7C6D">
              <w:rPr>
                <w:rFonts w:ascii="Times New Roman" w:hAnsi="Times New Roman" w:cs="Times New Roman"/>
                <w:sz w:val="16"/>
                <w:szCs w:val="16"/>
              </w:rPr>
              <w:t xml:space="preserve"> down from </w:t>
            </w:r>
            <w:r w:rsidR="00E57E28">
              <w:rPr>
                <w:rFonts w:ascii="Times New Roman" w:hAnsi="Times New Roman" w:cs="Times New Roman"/>
                <w:sz w:val="16"/>
                <w:szCs w:val="16"/>
              </w:rPr>
              <w:t>the lowest measured</w:t>
            </w:r>
            <w:r w:rsidR="002C7C6D">
              <w:rPr>
                <w:rFonts w:ascii="Times New Roman" w:hAnsi="Times New Roman" w:cs="Times New Roman"/>
                <w:sz w:val="16"/>
                <w:szCs w:val="16"/>
              </w:rPr>
              <w:t xml:space="preserve"> </w:t>
            </w:r>
            <w:r w:rsidR="003576DF">
              <w:rPr>
                <w:rFonts w:ascii="Times New Roman" w:hAnsi="Times New Roman" w:cs="Times New Roman"/>
                <w:sz w:val="16"/>
                <w:szCs w:val="16"/>
              </w:rPr>
              <w:t xml:space="preserve">hair level of 52 </w:t>
            </w:r>
            <w:r w:rsidR="003576DF" w:rsidRPr="00920B18">
              <w:rPr>
                <w:rFonts w:ascii="Times New Roman" w:hAnsi="Times New Roman" w:cs="Times New Roman"/>
                <w:bCs w:val="0"/>
                <w:sz w:val="16"/>
                <w:szCs w:val="16"/>
              </w:rPr>
              <w:t>µg/g THg</w:t>
            </w:r>
            <w:r w:rsidR="002C7C6D">
              <w:rPr>
                <w:rFonts w:ascii="Times New Roman" w:hAnsi="Times New Roman" w:cs="Times New Roman"/>
                <w:bCs w:val="0"/>
                <w:sz w:val="16"/>
                <w:szCs w:val="16"/>
              </w:rPr>
              <w:t xml:space="preserve"> </w:t>
            </w:r>
            <w:r w:rsidR="00C07CBC">
              <w:rPr>
                <w:rFonts w:ascii="Times New Roman" w:hAnsi="Times New Roman" w:cs="Times New Roman"/>
                <w:bCs w:val="0"/>
                <w:sz w:val="16"/>
                <w:szCs w:val="16"/>
              </w:rPr>
              <w:t xml:space="preserve">in </w:t>
            </w:r>
            <w:r>
              <w:rPr>
                <w:rFonts w:ascii="Times New Roman" w:hAnsi="Times New Roman" w:cs="Times New Roman"/>
                <w:sz w:val="16"/>
                <w:szCs w:val="16"/>
              </w:rPr>
              <w:t>case #30</w:t>
            </w:r>
            <w:r w:rsidR="00196CBA">
              <w:rPr>
                <w:rFonts w:ascii="Times New Roman" w:hAnsi="Times New Roman" w:cs="Times New Roman"/>
                <w:sz w:val="16"/>
                <w:szCs w:val="16"/>
              </w:rPr>
              <w:t xml:space="preserve"> </w:t>
            </w:r>
            <w:r w:rsidR="00C07CBC">
              <w:rPr>
                <w:rFonts w:ascii="Times New Roman" w:hAnsi="Times New Roman" w:cs="Times New Roman"/>
                <w:sz w:val="16"/>
                <w:szCs w:val="16"/>
              </w:rPr>
              <w:t xml:space="preserve">from the </w:t>
            </w:r>
            <w:r w:rsidR="00C07CBC" w:rsidRPr="004646BE">
              <w:rPr>
                <w:rFonts w:ascii="Times New Roman" w:hAnsi="Times New Roman" w:cs="Times New Roman"/>
                <w:sz w:val="16"/>
                <w:szCs w:val="16"/>
              </w:rPr>
              <w:t>Niigata patients</w:t>
            </w:r>
            <w:r w:rsidR="00C07CBC">
              <w:rPr>
                <w:rFonts w:ascii="Times New Roman" w:hAnsi="Times New Roman" w:cs="Times New Roman"/>
                <w:sz w:val="16"/>
                <w:szCs w:val="16"/>
              </w:rPr>
              <w:t xml:space="preserve"> reported </w:t>
            </w:r>
            <w:r w:rsidR="00196CBA">
              <w:rPr>
                <w:rFonts w:ascii="Times New Roman" w:hAnsi="Times New Roman" w:cs="Times New Roman"/>
                <w:sz w:val="16"/>
                <w:szCs w:val="16"/>
              </w:rPr>
              <w:t>on p</w:t>
            </w:r>
            <w:r w:rsidR="00E3026E">
              <w:rPr>
                <w:rFonts w:ascii="Times New Roman" w:hAnsi="Times New Roman" w:cs="Times New Roman"/>
                <w:sz w:val="16"/>
                <w:szCs w:val="16"/>
              </w:rPr>
              <w:t>.</w:t>
            </w:r>
            <w:r w:rsidR="00196CBA">
              <w:rPr>
                <w:rFonts w:ascii="Times New Roman" w:hAnsi="Times New Roman" w:cs="Times New Roman"/>
                <w:sz w:val="16"/>
                <w:szCs w:val="16"/>
              </w:rPr>
              <w:t>179</w:t>
            </w:r>
            <w:r w:rsidR="003259ED">
              <w:rPr>
                <w:rFonts w:ascii="Times New Roman" w:hAnsi="Times New Roman" w:cs="Times New Roman"/>
                <w:sz w:val="16"/>
                <w:szCs w:val="16"/>
              </w:rPr>
              <w:t xml:space="preserve"> and </w:t>
            </w:r>
            <w:r w:rsidR="00E3026E">
              <w:rPr>
                <w:rFonts w:ascii="Times New Roman" w:hAnsi="Times New Roman" w:cs="Times New Roman"/>
                <w:sz w:val="16"/>
                <w:szCs w:val="16"/>
              </w:rPr>
              <w:t>p.</w:t>
            </w:r>
            <w:r w:rsidR="003259ED">
              <w:rPr>
                <w:rFonts w:ascii="Times New Roman" w:hAnsi="Times New Roman" w:cs="Times New Roman"/>
                <w:sz w:val="16"/>
                <w:szCs w:val="16"/>
              </w:rPr>
              <w:t>268</w:t>
            </w:r>
            <w:r w:rsidR="00C07CBC">
              <w:rPr>
                <w:rFonts w:ascii="Times New Roman" w:hAnsi="Times New Roman" w:cs="Times New Roman"/>
                <w:sz w:val="16"/>
                <w:szCs w:val="16"/>
              </w:rPr>
              <w:t xml:space="preserve"> </w:t>
            </w:r>
            <w:r w:rsidR="00110625">
              <w:rPr>
                <w:rFonts w:ascii="Times New Roman" w:hAnsi="Times New Roman" w:cs="Times New Roman"/>
                <w:sz w:val="16"/>
                <w:szCs w:val="16"/>
              </w:rPr>
              <w:t>of the SEG report</w:t>
            </w:r>
            <w:r w:rsidRPr="004646BE">
              <w:rPr>
                <w:rFonts w:ascii="Times New Roman" w:hAnsi="Times New Roman" w:cs="Times New Roman"/>
                <w:sz w:val="16"/>
                <w:szCs w:val="16"/>
              </w:rPr>
              <w:t>)</w:t>
            </w:r>
          </w:p>
        </w:tc>
        <w:tc>
          <w:tcPr>
            <w:tcW w:w="1097" w:type="dxa"/>
            <w:vMerge w:val="restart"/>
          </w:tcPr>
          <w:p w14:paraId="6AED1C4C" w14:textId="77777777" w:rsidR="00F33158" w:rsidRPr="004C34BF" w:rsidRDefault="00F33158" w:rsidP="00B402EB">
            <w:pPr>
              <w:rPr>
                <w:rFonts w:ascii="Times New Roman" w:hAnsi="Times New Roman" w:cs="Times New Roman"/>
                <w:b/>
                <w:bCs w:val="0"/>
                <w:sz w:val="20"/>
                <w:szCs w:val="20"/>
              </w:rPr>
            </w:pPr>
            <w:r w:rsidRPr="004C34BF">
              <w:rPr>
                <w:rFonts w:ascii="Times New Roman" w:hAnsi="Times New Roman" w:cs="Times New Roman"/>
                <w:b/>
                <w:sz w:val="20"/>
                <w:szCs w:val="20"/>
              </w:rPr>
              <w:t>10</w:t>
            </w:r>
          </w:p>
          <w:p w14:paraId="25637DC2" w14:textId="35DB22FD" w:rsidR="00F33158" w:rsidRPr="004646BE" w:rsidRDefault="00F33158" w:rsidP="00B402EB">
            <w:pPr>
              <w:rPr>
                <w:rFonts w:ascii="Times New Roman" w:hAnsi="Times New Roman" w:cs="Times New Roman"/>
                <w:sz w:val="16"/>
                <w:szCs w:val="16"/>
              </w:rPr>
            </w:pPr>
            <w:r w:rsidRPr="004646BE">
              <w:rPr>
                <w:rFonts w:ascii="Times New Roman" w:hAnsi="Times New Roman" w:cs="Times New Roman"/>
                <w:sz w:val="16"/>
                <w:szCs w:val="16"/>
              </w:rPr>
              <w:t>(</w:t>
            </w:r>
            <w:r>
              <w:rPr>
                <w:rFonts w:ascii="Times New Roman" w:hAnsi="Times New Roman" w:cs="Times New Roman"/>
                <w:sz w:val="16"/>
                <w:szCs w:val="16"/>
              </w:rPr>
              <w:t>from p.276 of the report, to cover off uncertainties related to “possible genetic, sub</w:t>
            </w:r>
            <w:r w:rsidR="0037318D">
              <w:rPr>
                <w:rFonts w:ascii="Times New Roman" w:hAnsi="Times New Roman" w:cs="Times New Roman"/>
                <w:sz w:val="16"/>
                <w:szCs w:val="16"/>
              </w:rPr>
              <w:t>c</w:t>
            </w:r>
            <w:r>
              <w:rPr>
                <w:rFonts w:ascii="Times New Roman" w:hAnsi="Times New Roman" w:cs="Times New Roman"/>
                <w:sz w:val="16"/>
                <w:szCs w:val="16"/>
              </w:rPr>
              <w:t>linical and other long-term effects” and potential “prenatal lesions”</w:t>
            </w:r>
            <w:r w:rsidRPr="004646BE">
              <w:rPr>
                <w:rFonts w:ascii="Times New Roman" w:hAnsi="Times New Roman" w:cs="Times New Roman"/>
                <w:sz w:val="16"/>
                <w:szCs w:val="16"/>
              </w:rPr>
              <w:t>)</w:t>
            </w:r>
          </w:p>
        </w:tc>
        <w:tc>
          <w:tcPr>
            <w:tcW w:w="2632" w:type="dxa"/>
          </w:tcPr>
          <w:p w14:paraId="25E58877" w14:textId="77777777" w:rsidR="00C92012" w:rsidRPr="00945BB8" w:rsidRDefault="00C92012" w:rsidP="00612FA0">
            <w:pPr>
              <w:rPr>
                <w:rFonts w:ascii="Times New Roman" w:hAnsi="Times New Roman" w:cs="Times New Roman"/>
                <w:b/>
                <w:bCs w:val="0"/>
                <w:color w:val="0000FF"/>
                <w:sz w:val="20"/>
                <w:szCs w:val="20"/>
              </w:rPr>
            </w:pPr>
            <w:r w:rsidRPr="00945BB8">
              <w:rPr>
                <w:rFonts w:ascii="Times New Roman" w:hAnsi="Times New Roman" w:cs="Times New Roman"/>
                <w:b/>
                <w:bCs w:val="0"/>
                <w:color w:val="0000FF"/>
                <w:sz w:val="20"/>
                <w:szCs w:val="20"/>
              </w:rPr>
              <w:t>Author Inferred TRV</w:t>
            </w:r>
          </w:p>
          <w:p w14:paraId="74DC2F8D" w14:textId="3BE9A201" w:rsidR="00F33158" w:rsidRPr="00137642" w:rsidRDefault="00F33158" w:rsidP="00180362">
            <w:pPr>
              <w:rPr>
                <w:rFonts w:ascii="Times New Roman" w:hAnsi="Times New Roman" w:cs="Times New Roman"/>
                <w:b/>
                <w:color w:val="000000" w:themeColor="text1"/>
                <w:sz w:val="20"/>
                <w:szCs w:val="20"/>
                <w:vertAlign w:val="superscript"/>
              </w:rPr>
            </w:pPr>
            <w:r w:rsidRPr="00137642">
              <w:rPr>
                <w:rFonts w:ascii="Times New Roman" w:hAnsi="Times New Roman" w:cs="Times New Roman"/>
                <w:b/>
                <w:color w:val="000000" w:themeColor="text1"/>
                <w:sz w:val="20"/>
                <w:szCs w:val="20"/>
              </w:rPr>
              <w:t xml:space="preserve">5 µg/g THg </w:t>
            </w:r>
            <w:r w:rsidR="00E67C86" w:rsidRPr="00137642">
              <w:rPr>
                <w:rFonts w:ascii="Times New Roman" w:hAnsi="Times New Roman" w:cs="Times New Roman"/>
                <w:b/>
                <w:color w:val="000000" w:themeColor="text1"/>
                <w:sz w:val="20"/>
                <w:szCs w:val="20"/>
                <w:vertAlign w:val="superscript"/>
              </w:rPr>
              <w:t>b</w:t>
            </w:r>
          </w:p>
          <w:p w14:paraId="1C3785D9" w14:textId="1A4C84B8" w:rsidR="00F33158" w:rsidRDefault="00F33158" w:rsidP="00612FA0">
            <w:pPr>
              <w:rPr>
                <w:rFonts w:ascii="Times New Roman" w:hAnsi="Times New Roman" w:cs="Times New Roman"/>
                <w:sz w:val="16"/>
                <w:szCs w:val="16"/>
              </w:rPr>
            </w:pPr>
            <w:r w:rsidRPr="004646BE">
              <w:rPr>
                <w:rFonts w:ascii="Times New Roman" w:hAnsi="Times New Roman" w:cs="Times New Roman"/>
                <w:sz w:val="16"/>
                <w:szCs w:val="16"/>
              </w:rPr>
              <w:t>(</w:t>
            </w:r>
            <w:r w:rsidR="008C2D95">
              <w:rPr>
                <w:rFonts w:ascii="Times New Roman" w:hAnsi="Times New Roman" w:cs="Times New Roman"/>
                <w:sz w:val="16"/>
                <w:szCs w:val="16"/>
              </w:rPr>
              <w:t xml:space="preserve">not explicitly derived by SEG, </w:t>
            </w:r>
            <w:r w:rsidR="005B4AEE">
              <w:rPr>
                <w:rFonts w:ascii="Times New Roman" w:hAnsi="Times New Roman" w:cs="Times New Roman"/>
                <w:sz w:val="16"/>
                <w:szCs w:val="16"/>
              </w:rPr>
              <w:t xml:space="preserve">inferred from </w:t>
            </w:r>
            <w:r w:rsidR="00D15105">
              <w:rPr>
                <w:rFonts w:ascii="Times New Roman" w:hAnsi="Times New Roman" w:cs="Times New Roman"/>
                <w:sz w:val="16"/>
                <w:szCs w:val="16"/>
              </w:rPr>
              <w:t xml:space="preserve">a </w:t>
            </w:r>
            <w:r w:rsidR="00DB4A05">
              <w:rPr>
                <w:rFonts w:ascii="Times New Roman" w:hAnsi="Times New Roman" w:cs="Times New Roman"/>
                <w:sz w:val="16"/>
                <w:szCs w:val="16"/>
              </w:rPr>
              <w:t xml:space="preserve">hair PoD of 50 </w:t>
            </w:r>
            <w:r w:rsidR="00DB4A05" w:rsidRPr="00920B18">
              <w:rPr>
                <w:rFonts w:ascii="Times New Roman" w:hAnsi="Times New Roman" w:cs="Times New Roman"/>
                <w:bCs w:val="0"/>
                <w:sz w:val="16"/>
                <w:szCs w:val="16"/>
              </w:rPr>
              <w:t>µg/g THg</w:t>
            </w:r>
            <w:r w:rsidR="009D60CA">
              <w:rPr>
                <w:rFonts w:ascii="Times New Roman" w:hAnsi="Times New Roman" w:cs="Times New Roman"/>
                <w:bCs w:val="0"/>
                <w:sz w:val="16"/>
                <w:szCs w:val="16"/>
              </w:rPr>
              <w:t xml:space="preserve"> </w:t>
            </w:r>
            <w:r w:rsidR="009D60CA">
              <w:rPr>
                <w:rFonts w:ascii="Symbol" w:eastAsia="Symbol" w:hAnsi="Symbol" w:cs="Symbol"/>
                <w:bCs w:val="0"/>
                <w:sz w:val="16"/>
                <w:szCs w:val="16"/>
              </w:rPr>
              <w:t>¸</w:t>
            </w:r>
            <w:r w:rsidR="009D60CA">
              <w:rPr>
                <w:rFonts w:ascii="Times New Roman" w:hAnsi="Times New Roman" w:cs="Times New Roman"/>
                <w:bCs w:val="0"/>
                <w:sz w:val="16"/>
                <w:szCs w:val="16"/>
              </w:rPr>
              <w:t xml:space="preserve"> UF10</w:t>
            </w:r>
            <w:r w:rsidRPr="004646BE">
              <w:rPr>
                <w:rFonts w:ascii="Times New Roman" w:hAnsi="Times New Roman" w:cs="Times New Roman"/>
                <w:sz w:val="16"/>
                <w:szCs w:val="16"/>
              </w:rPr>
              <w:t>)</w:t>
            </w:r>
          </w:p>
          <w:p w14:paraId="3E191747" w14:textId="6C51C302" w:rsidR="00F33158" w:rsidRPr="00E4428A" w:rsidRDefault="00F33158" w:rsidP="00180362">
            <w:pPr>
              <w:rPr>
                <w:rFonts w:ascii="Times New Roman" w:hAnsi="Times New Roman" w:cs="Times New Roman"/>
                <w:bCs w:val="0"/>
                <w:sz w:val="16"/>
                <w:szCs w:val="16"/>
              </w:rPr>
            </w:pPr>
          </w:p>
        </w:tc>
      </w:tr>
      <w:tr w:rsidR="00F33158" w:rsidRPr="004646BE" w14:paraId="3DFBDF77" w14:textId="77777777" w:rsidTr="00A1795F">
        <w:trPr>
          <w:trHeight w:val="300"/>
        </w:trPr>
        <w:tc>
          <w:tcPr>
            <w:tcW w:w="1020" w:type="dxa"/>
          </w:tcPr>
          <w:p w14:paraId="60AD07BA" w14:textId="77777777" w:rsidR="00F33158" w:rsidRPr="004646BE" w:rsidRDefault="00F33158" w:rsidP="00180362">
            <w:pPr>
              <w:rPr>
                <w:rFonts w:ascii="Times New Roman" w:hAnsi="Times New Roman" w:cs="Times New Roman"/>
                <w:sz w:val="20"/>
                <w:szCs w:val="20"/>
              </w:rPr>
            </w:pPr>
            <w:r w:rsidRPr="004646BE">
              <w:rPr>
                <w:rFonts w:ascii="Times New Roman" w:hAnsi="Times New Roman" w:cs="Times New Roman"/>
                <w:sz w:val="20"/>
                <w:szCs w:val="20"/>
              </w:rPr>
              <w:t>blood</w:t>
            </w:r>
          </w:p>
        </w:tc>
        <w:tc>
          <w:tcPr>
            <w:tcW w:w="5779" w:type="dxa"/>
          </w:tcPr>
          <w:p w14:paraId="7170270D" w14:textId="77777777" w:rsidR="001C77C0" w:rsidRDefault="001C77C0" w:rsidP="001C77C0">
            <w:pPr>
              <w:rPr>
                <w:rFonts w:ascii="Times New Roman" w:hAnsi="Times New Roman" w:cs="Times New Roman"/>
                <w:b/>
                <w:bCs w:val="0"/>
                <w:sz w:val="20"/>
                <w:szCs w:val="20"/>
              </w:rPr>
            </w:pPr>
            <w:r>
              <w:rPr>
                <w:rFonts w:ascii="Times New Roman" w:hAnsi="Times New Roman" w:cs="Times New Roman"/>
                <w:b/>
                <w:bCs w:val="0"/>
                <w:sz w:val="20"/>
                <w:szCs w:val="20"/>
              </w:rPr>
              <w:t>SEG Derived PoD</w:t>
            </w:r>
          </w:p>
          <w:p w14:paraId="2C0A2749" w14:textId="77777777" w:rsidR="00DE69D9" w:rsidRDefault="00F33158" w:rsidP="00612FA0">
            <w:pPr>
              <w:rPr>
                <w:rFonts w:ascii="Times New Roman" w:hAnsi="Times New Roman" w:cs="Times New Roman"/>
                <w:sz w:val="20"/>
                <w:szCs w:val="20"/>
              </w:rPr>
            </w:pPr>
            <w:r w:rsidRPr="004C34BF">
              <w:rPr>
                <w:rFonts w:ascii="Times New Roman" w:hAnsi="Times New Roman" w:cs="Times New Roman"/>
                <w:b/>
                <w:bCs w:val="0"/>
                <w:sz w:val="20"/>
                <w:szCs w:val="20"/>
              </w:rPr>
              <w:t>200 µg/L THg</w:t>
            </w:r>
            <w:r>
              <w:rPr>
                <w:rFonts w:ascii="Times New Roman" w:hAnsi="Times New Roman" w:cs="Times New Roman"/>
                <w:sz w:val="20"/>
                <w:szCs w:val="20"/>
              </w:rPr>
              <w:t xml:space="preserve"> </w:t>
            </w:r>
          </w:p>
          <w:p w14:paraId="7557437D" w14:textId="77777777" w:rsidR="00F33158" w:rsidRDefault="00F33158" w:rsidP="00DE69D9">
            <w:pPr>
              <w:rPr>
                <w:rFonts w:ascii="Times New Roman" w:hAnsi="Times New Roman" w:cs="Times New Roman"/>
                <w:bCs w:val="0"/>
                <w:sz w:val="16"/>
                <w:szCs w:val="16"/>
              </w:rPr>
            </w:pPr>
            <w:r w:rsidRPr="00DE69D9">
              <w:rPr>
                <w:rFonts w:ascii="Times New Roman" w:hAnsi="Times New Roman" w:cs="Times New Roman"/>
                <w:sz w:val="16"/>
                <w:szCs w:val="16"/>
              </w:rPr>
              <w:t>(reported as 0.2 µg/g</w:t>
            </w:r>
            <w:r w:rsidR="00DE69D9" w:rsidRPr="00DE69D9">
              <w:rPr>
                <w:rFonts w:ascii="Times New Roman" w:hAnsi="Times New Roman" w:cs="Times New Roman"/>
                <w:sz w:val="16"/>
                <w:szCs w:val="16"/>
              </w:rPr>
              <w:t xml:space="preserve">, </w:t>
            </w:r>
            <w:r w:rsidRPr="004646BE">
              <w:rPr>
                <w:rFonts w:ascii="Times New Roman" w:hAnsi="Times New Roman" w:cs="Times New Roman"/>
                <w:sz w:val="16"/>
                <w:szCs w:val="16"/>
              </w:rPr>
              <w:t>lower end of clinical disease from Niigata patients</w:t>
            </w:r>
            <w:r>
              <w:rPr>
                <w:rFonts w:ascii="Times New Roman" w:hAnsi="Times New Roman" w:cs="Times New Roman"/>
                <w:sz w:val="16"/>
                <w:szCs w:val="16"/>
              </w:rPr>
              <w:t>, lowest 3 cases (#17,18,19</w:t>
            </w:r>
            <w:r w:rsidRPr="004646BE">
              <w:rPr>
                <w:rFonts w:ascii="Times New Roman" w:hAnsi="Times New Roman" w:cs="Times New Roman"/>
                <w:sz w:val="16"/>
                <w:szCs w:val="16"/>
              </w:rPr>
              <w:t>)</w:t>
            </w:r>
            <w:r>
              <w:rPr>
                <w:rFonts w:ascii="Times New Roman" w:hAnsi="Times New Roman" w:cs="Times New Roman"/>
                <w:sz w:val="16"/>
                <w:szCs w:val="16"/>
              </w:rPr>
              <w:t xml:space="preserve"> had extrapolated day 0 blood levels of ~ 200 – 400 </w:t>
            </w:r>
            <w:r w:rsidRPr="0036103A">
              <w:rPr>
                <w:rFonts w:ascii="Times New Roman" w:hAnsi="Times New Roman" w:cs="Times New Roman"/>
                <w:sz w:val="16"/>
                <w:szCs w:val="16"/>
              </w:rPr>
              <w:t>µg/L THg</w:t>
            </w:r>
            <w:r w:rsidR="00A7363E" w:rsidRPr="00DE69D9">
              <w:rPr>
                <w:rFonts w:ascii="Times New Roman" w:hAnsi="Times New Roman" w:cs="Times New Roman"/>
                <w:bCs w:val="0"/>
                <w:sz w:val="16"/>
                <w:szCs w:val="16"/>
              </w:rPr>
              <w:t xml:space="preserve"> </w:t>
            </w:r>
            <w:r w:rsidR="00E80DF0" w:rsidRPr="00DE69D9">
              <w:rPr>
                <w:rFonts w:ascii="Times New Roman" w:hAnsi="Times New Roman" w:cs="Times New Roman"/>
                <w:bCs w:val="0"/>
                <w:sz w:val="16"/>
                <w:szCs w:val="16"/>
              </w:rPr>
              <w:t>on p. and p.</w:t>
            </w:r>
            <w:r w:rsidR="001C3FA7" w:rsidRPr="00DE69D9">
              <w:rPr>
                <w:rFonts w:ascii="Times New Roman" w:hAnsi="Times New Roman" w:cs="Times New Roman"/>
                <w:bCs w:val="0"/>
                <w:sz w:val="16"/>
                <w:szCs w:val="16"/>
              </w:rPr>
              <w:t>268-269 of the SEG report</w:t>
            </w:r>
            <w:r w:rsidRPr="00DE69D9">
              <w:rPr>
                <w:rFonts w:ascii="Times New Roman" w:hAnsi="Times New Roman" w:cs="Times New Roman"/>
                <w:bCs w:val="0"/>
                <w:sz w:val="16"/>
                <w:szCs w:val="16"/>
              </w:rPr>
              <w:t>)</w:t>
            </w:r>
          </w:p>
          <w:p w14:paraId="6751548D" w14:textId="29C83F07" w:rsidR="00F33158" w:rsidRPr="004646BE" w:rsidRDefault="00F33158" w:rsidP="00180362">
            <w:pPr>
              <w:rPr>
                <w:rFonts w:ascii="Times New Roman" w:hAnsi="Times New Roman" w:cs="Times New Roman"/>
                <w:sz w:val="16"/>
                <w:szCs w:val="16"/>
              </w:rPr>
            </w:pPr>
          </w:p>
        </w:tc>
        <w:tc>
          <w:tcPr>
            <w:tcW w:w="1097" w:type="dxa"/>
            <w:vMerge/>
          </w:tcPr>
          <w:p w14:paraId="36258E0C" w14:textId="77777777" w:rsidR="00F33158" w:rsidRPr="004646BE" w:rsidRDefault="00F33158" w:rsidP="00180362">
            <w:pPr>
              <w:rPr>
                <w:rFonts w:ascii="Times New Roman" w:hAnsi="Times New Roman" w:cs="Times New Roman"/>
                <w:sz w:val="20"/>
                <w:szCs w:val="20"/>
              </w:rPr>
            </w:pPr>
          </w:p>
        </w:tc>
        <w:tc>
          <w:tcPr>
            <w:tcW w:w="2632" w:type="dxa"/>
          </w:tcPr>
          <w:p w14:paraId="2F9C7244" w14:textId="77777777" w:rsidR="00823459" w:rsidRDefault="00823459" w:rsidP="00823459">
            <w:pPr>
              <w:rPr>
                <w:rFonts w:ascii="Times New Roman" w:hAnsi="Times New Roman" w:cs="Times New Roman"/>
                <w:b/>
                <w:bCs w:val="0"/>
                <w:sz w:val="20"/>
                <w:szCs w:val="20"/>
              </w:rPr>
            </w:pPr>
            <w:r>
              <w:rPr>
                <w:rFonts w:ascii="Times New Roman" w:hAnsi="Times New Roman" w:cs="Times New Roman"/>
                <w:b/>
                <w:bCs w:val="0"/>
                <w:sz w:val="20"/>
                <w:szCs w:val="20"/>
              </w:rPr>
              <w:t>SEG Derived TRV</w:t>
            </w:r>
          </w:p>
          <w:p w14:paraId="79FE0B9D" w14:textId="77777777" w:rsidR="0090194E" w:rsidRDefault="00F33158" w:rsidP="00180362">
            <w:pPr>
              <w:rPr>
                <w:rFonts w:ascii="Times New Roman" w:hAnsi="Times New Roman" w:cs="Times New Roman"/>
                <w:sz w:val="20"/>
                <w:szCs w:val="20"/>
              </w:rPr>
            </w:pPr>
            <w:r w:rsidRPr="004C34BF">
              <w:rPr>
                <w:rFonts w:ascii="Times New Roman" w:hAnsi="Times New Roman" w:cs="Times New Roman"/>
                <w:b/>
                <w:sz w:val="20"/>
                <w:szCs w:val="20"/>
              </w:rPr>
              <w:t>20 µg/L THg</w:t>
            </w:r>
            <w:r w:rsidRPr="004646BE">
              <w:rPr>
                <w:rFonts w:ascii="Times New Roman" w:hAnsi="Times New Roman" w:cs="Times New Roman"/>
                <w:sz w:val="20"/>
                <w:szCs w:val="20"/>
              </w:rPr>
              <w:t xml:space="preserve"> </w:t>
            </w:r>
          </w:p>
          <w:p w14:paraId="4C06DA92" w14:textId="4C827F1D" w:rsidR="00F33158" w:rsidRPr="004646BE" w:rsidRDefault="00F33158" w:rsidP="00EC62E7">
            <w:pPr>
              <w:rPr>
                <w:rFonts w:ascii="Times New Roman" w:hAnsi="Times New Roman" w:cs="Times New Roman"/>
                <w:sz w:val="16"/>
                <w:szCs w:val="16"/>
              </w:rPr>
            </w:pPr>
            <w:r w:rsidRPr="0090194E">
              <w:rPr>
                <w:rFonts w:ascii="Times New Roman" w:hAnsi="Times New Roman" w:cs="Times New Roman"/>
                <w:sz w:val="16"/>
                <w:szCs w:val="16"/>
              </w:rPr>
              <w:t>(reported as 0.02 µg/g</w:t>
            </w:r>
            <w:r w:rsidR="00EC62E7">
              <w:rPr>
                <w:rFonts w:ascii="Times New Roman" w:hAnsi="Times New Roman" w:cs="Times New Roman"/>
                <w:sz w:val="16"/>
                <w:szCs w:val="16"/>
              </w:rPr>
              <w:t xml:space="preserve"> on </w:t>
            </w:r>
            <w:r>
              <w:rPr>
                <w:rFonts w:ascii="Times New Roman" w:hAnsi="Times New Roman" w:cs="Times New Roman"/>
                <w:sz w:val="16"/>
                <w:szCs w:val="16"/>
              </w:rPr>
              <w:t>p.277 of the report</w:t>
            </w:r>
            <w:r w:rsidRPr="004646BE">
              <w:rPr>
                <w:rFonts w:ascii="Times New Roman" w:hAnsi="Times New Roman" w:cs="Times New Roman"/>
                <w:sz w:val="16"/>
                <w:szCs w:val="16"/>
              </w:rPr>
              <w:t>)</w:t>
            </w:r>
          </w:p>
        </w:tc>
      </w:tr>
      <w:tr w:rsidR="00F33158" w:rsidRPr="004646BE" w14:paraId="50CC68D0" w14:textId="77777777" w:rsidTr="00A1795F">
        <w:trPr>
          <w:trHeight w:val="300"/>
        </w:trPr>
        <w:tc>
          <w:tcPr>
            <w:tcW w:w="1020" w:type="dxa"/>
          </w:tcPr>
          <w:p w14:paraId="53625B4C" w14:textId="6112B9E6" w:rsidR="00F33158" w:rsidRPr="004646BE" w:rsidRDefault="00F33158" w:rsidP="00180362">
            <w:pPr>
              <w:rPr>
                <w:rFonts w:ascii="Times New Roman" w:hAnsi="Times New Roman" w:cs="Times New Roman"/>
                <w:sz w:val="20"/>
                <w:szCs w:val="20"/>
              </w:rPr>
            </w:pPr>
            <w:r w:rsidRPr="004646BE">
              <w:rPr>
                <w:rFonts w:ascii="Times New Roman" w:hAnsi="Times New Roman" w:cs="Times New Roman"/>
                <w:sz w:val="20"/>
                <w:szCs w:val="20"/>
              </w:rPr>
              <w:t>RBCs</w:t>
            </w:r>
          </w:p>
        </w:tc>
        <w:tc>
          <w:tcPr>
            <w:tcW w:w="5779" w:type="dxa"/>
          </w:tcPr>
          <w:p w14:paraId="23305C28" w14:textId="77777777" w:rsidR="001C77C0" w:rsidRDefault="001C77C0" w:rsidP="001C77C0">
            <w:pPr>
              <w:rPr>
                <w:rFonts w:ascii="Times New Roman" w:hAnsi="Times New Roman" w:cs="Times New Roman"/>
                <w:b/>
                <w:bCs w:val="0"/>
                <w:sz w:val="20"/>
                <w:szCs w:val="20"/>
              </w:rPr>
            </w:pPr>
            <w:r>
              <w:rPr>
                <w:rFonts w:ascii="Times New Roman" w:hAnsi="Times New Roman" w:cs="Times New Roman"/>
                <w:b/>
                <w:bCs w:val="0"/>
                <w:sz w:val="20"/>
                <w:szCs w:val="20"/>
              </w:rPr>
              <w:t>SEG Derived PoD</w:t>
            </w:r>
          </w:p>
          <w:p w14:paraId="3E98397A" w14:textId="77777777" w:rsidR="00DE69D9" w:rsidRDefault="00F33158" w:rsidP="001A773B">
            <w:pPr>
              <w:rPr>
                <w:rFonts w:ascii="Times New Roman" w:hAnsi="Times New Roman" w:cs="Times New Roman"/>
                <w:sz w:val="20"/>
                <w:szCs w:val="20"/>
              </w:rPr>
            </w:pPr>
            <w:r w:rsidRPr="004C34BF">
              <w:rPr>
                <w:rFonts w:ascii="Times New Roman" w:hAnsi="Times New Roman" w:cs="Times New Roman"/>
                <w:b/>
                <w:bCs w:val="0"/>
                <w:sz w:val="20"/>
                <w:szCs w:val="20"/>
              </w:rPr>
              <w:t>400 µg/kg THg</w:t>
            </w:r>
            <w:r>
              <w:rPr>
                <w:rFonts w:ascii="Times New Roman" w:hAnsi="Times New Roman" w:cs="Times New Roman"/>
                <w:sz w:val="20"/>
                <w:szCs w:val="20"/>
              </w:rPr>
              <w:t xml:space="preserve"> </w:t>
            </w:r>
          </w:p>
          <w:p w14:paraId="1923755B" w14:textId="77777777" w:rsidR="00F33158" w:rsidRDefault="00F33158" w:rsidP="00DE69D9">
            <w:pPr>
              <w:rPr>
                <w:rFonts w:ascii="Times New Roman" w:hAnsi="Times New Roman" w:cs="Times New Roman"/>
                <w:bCs w:val="0"/>
                <w:sz w:val="16"/>
                <w:szCs w:val="16"/>
              </w:rPr>
            </w:pPr>
            <w:r w:rsidRPr="00DE69D9">
              <w:rPr>
                <w:rFonts w:ascii="Times New Roman" w:hAnsi="Times New Roman" w:cs="Times New Roman"/>
                <w:sz w:val="16"/>
                <w:szCs w:val="16"/>
              </w:rPr>
              <w:t>(reported as 0.4 µg/g</w:t>
            </w:r>
            <w:r w:rsidR="00DE69D9" w:rsidRPr="00DE69D9">
              <w:rPr>
                <w:rFonts w:ascii="Times New Roman" w:hAnsi="Times New Roman" w:cs="Times New Roman"/>
                <w:sz w:val="16"/>
                <w:szCs w:val="16"/>
              </w:rPr>
              <w:t xml:space="preserve">, </w:t>
            </w:r>
            <w:r w:rsidRPr="00DE69D9">
              <w:rPr>
                <w:rFonts w:ascii="Times New Roman" w:hAnsi="Times New Roman" w:cs="Times New Roman"/>
                <w:sz w:val="16"/>
                <w:szCs w:val="16"/>
              </w:rPr>
              <w:t xml:space="preserve">2x the blood PoD of 200 </w:t>
            </w:r>
            <w:r w:rsidRPr="00DE69D9">
              <w:rPr>
                <w:rFonts w:ascii="Times New Roman" w:hAnsi="Times New Roman" w:cs="Times New Roman"/>
                <w:bCs w:val="0"/>
                <w:sz w:val="16"/>
                <w:szCs w:val="16"/>
              </w:rPr>
              <w:t>µg/L THg</w:t>
            </w:r>
            <w:r w:rsidR="002345B7" w:rsidRPr="00DE69D9">
              <w:rPr>
                <w:rFonts w:ascii="Times New Roman" w:hAnsi="Times New Roman" w:cs="Times New Roman"/>
                <w:sz w:val="16"/>
                <w:szCs w:val="16"/>
              </w:rPr>
              <w:t xml:space="preserve">, reported on </w:t>
            </w:r>
            <w:r w:rsidR="002345B7" w:rsidRPr="00DE69D9">
              <w:rPr>
                <w:rFonts w:ascii="Times New Roman" w:hAnsi="Times New Roman" w:cs="Times New Roman"/>
                <w:bCs w:val="0"/>
                <w:sz w:val="16"/>
                <w:szCs w:val="16"/>
              </w:rPr>
              <w:t>p.269 of the SEG report)</w:t>
            </w:r>
          </w:p>
          <w:p w14:paraId="7F554F11" w14:textId="1D2A0987" w:rsidR="00F33158" w:rsidRPr="00DE69D9" w:rsidRDefault="00F33158" w:rsidP="001A773B">
            <w:pPr>
              <w:rPr>
                <w:rFonts w:ascii="Times New Roman" w:hAnsi="Times New Roman" w:cs="Times New Roman"/>
                <w:sz w:val="16"/>
                <w:szCs w:val="16"/>
              </w:rPr>
            </w:pPr>
          </w:p>
        </w:tc>
        <w:tc>
          <w:tcPr>
            <w:tcW w:w="1097" w:type="dxa"/>
            <w:vMerge/>
          </w:tcPr>
          <w:p w14:paraId="06C744ED" w14:textId="77777777" w:rsidR="00F33158" w:rsidRPr="004646BE" w:rsidRDefault="00F33158" w:rsidP="00180362">
            <w:pPr>
              <w:rPr>
                <w:rFonts w:ascii="Times New Roman" w:hAnsi="Times New Roman" w:cs="Times New Roman"/>
                <w:sz w:val="20"/>
                <w:szCs w:val="20"/>
              </w:rPr>
            </w:pPr>
          </w:p>
        </w:tc>
        <w:tc>
          <w:tcPr>
            <w:tcW w:w="2632" w:type="dxa"/>
          </w:tcPr>
          <w:p w14:paraId="69948DD8" w14:textId="77777777" w:rsidR="00823459" w:rsidRDefault="00823459" w:rsidP="00823459">
            <w:pPr>
              <w:rPr>
                <w:rFonts w:ascii="Times New Roman" w:hAnsi="Times New Roman" w:cs="Times New Roman"/>
                <w:b/>
                <w:bCs w:val="0"/>
                <w:sz w:val="20"/>
                <w:szCs w:val="20"/>
              </w:rPr>
            </w:pPr>
            <w:r>
              <w:rPr>
                <w:rFonts w:ascii="Times New Roman" w:hAnsi="Times New Roman" w:cs="Times New Roman"/>
                <w:b/>
                <w:bCs w:val="0"/>
                <w:sz w:val="20"/>
                <w:szCs w:val="20"/>
              </w:rPr>
              <w:t>SEG Derived TRV</w:t>
            </w:r>
          </w:p>
          <w:p w14:paraId="5D63FBF9" w14:textId="77777777" w:rsidR="00EC62E7" w:rsidRDefault="00F33158" w:rsidP="00180362">
            <w:pPr>
              <w:rPr>
                <w:rFonts w:ascii="Times New Roman" w:hAnsi="Times New Roman" w:cs="Times New Roman"/>
                <w:sz w:val="20"/>
                <w:szCs w:val="20"/>
              </w:rPr>
            </w:pPr>
            <w:r w:rsidRPr="004C34BF">
              <w:rPr>
                <w:rFonts w:ascii="Times New Roman" w:hAnsi="Times New Roman" w:cs="Times New Roman"/>
                <w:b/>
                <w:sz w:val="20"/>
                <w:szCs w:val="20"/>
              </w:rPr>
              <w:t>40 µg/kg THg</w:t>
            </w:r>
            <w:r>
              <w:rPr>
                <w:rFonts w:ascii="Times New Roman" w:hAnsi="Times New Roman" w:cs="Times New Roman"/>
                <w:sz w:val="20"/>
                <w:szCs w:val="20"/>
              </w:rPr>
              <w:t xml:space="preserve"> </w:t>
            </w:r>
          </w:p>
          <w:p w14:paraId="25ABF46B" w14:textId="7C6716E8" w:rsidR="00F33158" w:rsidRPr="004646BE" w:rsidRDefault="00F33158" w:rsidP="00EC62E7">
            <w:pPr>
              <w:rPr>
                <w:rFonts w:ascii="Times New Roman" w:hAnsi="Times New Roman" w:cs="Times New Roman"/>
                <w:sz w:val="20"/>
                <w:szCs w:val="20"/>
              </w:rPr>
            </w:pPr>
            <w:r w:rsidRPr="00EC62E7">
              <w:rPr>
                <w:rFonts w:ascii="Times New Roman" w:hAnsi="Times New Roman" w:cs="Times New Roman"/>
                <w:sz w:val="16"/>
                <w:szCs w:val="16"/>
              </w:rPr>
              <w:t>(reported as 0.04 µg/g</w:t>
            </w:r>
            <w:r w:rsidR="00EC62E7">
              <w:rPr>
                <w:rFonts w:ascii="Times New Roman" w:hAnsi="Times New Roman" w:cs="Times New Roman"/>
                <w:sz w:val="16"/>
                <w:szCs w:val="16"/>
              </w:rPr>
              <w:t xml:space="preserve"> on </w:t>
            </w:r>
            <w:r w:rsidRPr="00EC62E7">
              <w:rPr>
                <w:rFonts w:ascii="Times New Roman" w:hAnsi="Times New Roman" w:cs="Times New Roman"/>
                <w:sz w:val="16"/>
                <w:szCs w:val="16"/>
              </w:rPr>
              <w:t>p.277 of the report)</w:t>
            </w:r>
          </w:p>
        </w:tc>
      </w:tr>
      <w:tr w:rsidR="00F33158" w:rsidRPr="004646BE" w14:paraId="6A9AC097" w14:textId="77777777" w:rsidTr="00A1795F">
        <w:trPr>
          <w:trHeight w:val="300"/>
        </w:trPr>
        <w:tc>
          <w:tcPr>
            <w:tcW w:w="1020" w:type="dxa"/>
          </w:tcPr>
          <w:p w14:paraId="041879F5" w14:textId="77777777" w:rsidR="00F33158" w:rsidRDefault="00F33158" w:rsidP="00180362">
            <w:pPr>
              <w:rPr>
                <w:rFonts w:ascii="Times New Roman" w:hAnsi="Times New Roman" w:cs="Times New Roman"/>
                <w:sz w:val="20"/>
                <w:szCs w:val="20"/>
              </w:rPr>
            </w:pPr>
            <w:r w:rsidRPr="004646BE">
              <w:rPr>
                <w:rFonts w:ascii="Times New Roman" w:hAnsi="Times New Roman" w:cs="Times New Roman"/>
                <w:sz w:val="20"/>
                <w:szCs w:val="20"/>
              </w:rPr>
              <w:t>oral</w:t>
            </w:r>
          </w:p>
          <w:p w14:paraId="02B8BC90" w14:textId="52CB7A48" w:rsidR="00F33158" w:rsidRPr="004646BE" w:rsidRDefault="00E62382" w:rsidP="00180362">
            <w:pPr>
              <w:rPr>
                <w:rFonts w:ascii="Times New Roman" w:hAnsi="Times New Roman" w:cs="Times New Roman"/>
                <w:sz w:val="20"/>
                <w:szCs w:val="20"/>
              </w:rPr>
            </w:pPr>
            <w:r>
              <w:rPr>
                <w:rFonts w:ascii="Times New Roman" w:hAnsi="Times New Roman" w:cs="Times New Roman"/>
                <w:sz w:val="20"/>
                <w:szCs w:val="20"/>
              </w:rPr>
              <w:t>(</w:t>
            </w:r>
            <w:r w:rsidR="00F33158">
              <w:rPr>
                <w:rFonts w:ascii="Times New Roman" w:hAnsi="Times New Roman" w:cs="Times New Roman"/>
                <w:sz w:val="20"/>
                <w:szCs w:val="20"/>
              </w:rPr>
              <w:t>per person per day</w:t>
            </w:r>
            <w:r>
              <w:rPr>
                <w:rFonts w:ascii="Times New Roman" w:hAnsi="Times New Roman" w:cs="Times New Roman"/>
                <w:sz w:val="20"/>
                <w:szCs w:val="20"/>
              </w:rPr>
              <w:t>)</w:t>
            </w:r>
          </w:p>
        </w:tc>
        <w:tc>
          <w:tcPr>
            <w:tcW w:w="5779" w:type="dxa"/>
          </w:tcPr>
          <w:p w14:paraId="28354781" w14:textId="77777777" w:rsidR="001C77C0" w:rsidRDefault="001C77C0" w:rsidP="001C77C0">
            <w:pPr>
              <w:rPr>
                <w:rFonts w:ascii="Times New Roman" w:hAnsi="Times New Roman" w:cs="Times New Roman"/>
                <w:b/>
                <w:bCs w:val="0"/>
                <w:sz w:val="20"/>
                <w:szCs w:val="20"/>
              </w:rPr>
            </w:pPr>
            <w:r>
              <w:rPr>
                <w:rFonts w:ascii="Times New Roman" w:hAnsi="Times New Roman" w:cs="Times New Roman"/>
                <w:b/>
                <w:bCs w:val="0"/>
                <w:sz w:val="20"/>
                <w:szCs w:val="20"/>
              </w:rPr>
              <w:t>SEG Derived PoD</w:t>
            </w:r>
          </w:p>
          <w:p w14:paraId="2D26AD38" w14:textId="77777777" w:rsidR="003630A6" w:rsidRDefault="00F33158" w:rsidP="00612FA0">
            <w:pPr>
              <w:rPr>
                <w:rFonts w:ascii="Times New Roman" w:hAnsi="Times New Roman" w:cs="Times New Roman"/>
                <w:sz w:val="20"/>
                <w:szCs w:val="20"/>
              </w:rPr>
            </w:pPr>
            <w:r w:rsidRPr="004C34BF">
              <w:rPr>
                <w:rFonts w:ascii="Times New Roman" w:hAnsi="Times New Roman" w:cs="Times New Roman"/>
                <w:b/>
                <w:sz w:val="20"/>
                <w:szCs w:val="20"/>
              </w:rPr>
              <w:t>300 µg/day MeHg</w:t>
            </w:r>
            <w:r>
              <w:rPr>
                <w:rFonts w:ascii="Times New Roman" w:hAnsi="Times New Roman" w:cs="Times New Roman"/>
                <w:sz w:val="20"/>
                <w:szCs w:val="20"/>
              </w:rPr>
              <w:t xml:space="preserve"> </w:t>
            </w:r>
          </w:p>
          <w:p w14:paraId="2EAAC231" w14:textId="0590DF97" w:rsidR="00F33158" w:rsidRPr="002C3565" w:rsidRDefault="00F33158" w:rsidP="00180362">
            <w:pPr>
              <w:rPr>
                <w:rFonts w:ascii="Times New Roman" w:hAnsi="Times New Roman" w:cs="Times New Roman"/>
                <w:sz w:val="16"/>
                <w:szCs w:val="16"/>
              </w:rPr>
            </w:pPr>
            <w:r w:rsidRPr="002C3565">
              <w:rPr>
                <w:rFonts w:ascii="Times New Roman" w:hAnsi="Times New Roman" w:cs="Times New Roman"/>
                <w:sz w:val="16"/>
                <w:szCs w:val="16"/>
              </w:rPr>
              <w:t>(reported as 0.3 mg/day</w:t>
            </w:r>
            <w:r w:rsidR="003630A6" w:rsidRPr="002C3565">
              <w:rPr>
                <w:rFonts w:ascii="Times New Roman" w:hAnsi="Times New Roman" w:cs="Times New Roman"/>
                <w:sz w:val="16"/>
                <w:szCs w:val="16"/>
              </w:rPr>
              <w:t xml:space="preserve">, reported on </w:t>
            </w:r>
            <w:r w:rsidR="003630A6" w:rsidRPr="002C3565">
              <w:rPr>
                <w:rFonts w:ascii="Times New Roman" w:hAnsi="Times New Roman" w:cs="Times New Roman"/>
                <w:bCs w:val="0"/>
                <w:sz w:val="16"/>
                <w:szCs w:val="16"/>
              </w:rPr>
              <w:t>p.269 of the SEG report</w:t>
            </w:r>
            <w:r w:rsidRPr="002C3565">
              <w:rPr>
                <w:rFonts w:ascii="Times New Roman" w:hAnsi="Times New Roman" w:cs="Times New Roman"/>
                <w:sz w:val="16"/>
                <w:szCs w:val="16"/>
              </w:rPr>
              <w:t>)</w:t>
            </w:r>
          </w:p>
          <w:p w14:paraId="583F8FB3" w14:textId="77777777" w:rsidR="00F33158" w:rsidRPr="002C3565" w:rsidRDefault="00F33158" w:rsidP="00180362">
            <w:pPr>
              <w:rPr>
                <w:rFonts w:ascii="Times New Roman" w:hAnsi="Times New Roman" w:cs="Times New Roman"/>
                <w:sz w:val="16"/>
                <w:szCs w:val="16"/>
              </w:rPr>
            </w:pPr>
          </w:p>
          <w:p w14:paraId="4FD59AA0" w14:textId="2139059F" w:rsidR="00F33158" w:rsidRDefault="00F33158" w:rsidP="004965C2">
            <w:pPr>
              <w:rPr>
                <w:rFonts w:ascii="Times New Roman" w:hAnsi="Times New Roman" w:cs="Times New Roman"/>
                <w:bCs w:val="0"/>
                <w:sz w:val="16"/>
                <w:szCs w:val="16"/>
              </w:rPr>
            </w:pPr>
            <w:r w:rsidRPr="004646BE">
              <w:rPr>
                <w:rFonts w:ascii="Times New Roman" w:hAnsi="Times New Roman" w:cs="Times New Roman"/>
                <w:sz w:val="16"/>
                <w:szCs w:val="16"/>
              </w:rPr>
              <w:t xml:space="preserve">(i.e. </w:t>
            </w:r>
            <w:r>
              <w:rPr>
                <w:rFonts w:ascii="Times New Roman" w:hAnsi="Times New Roman" w:cs="Times New Roman"/>
                <w:sz w:val="16"/>
                <w:szCs w:val="16"/>
              </w:rPr>
              <w:t xml:space="preserve">from regression equation by Birke et al. </w:t>
            </w:r>
            <w:r w:rsidRPr="004965C2">
              <w:rPr>
                <w:sz w:val="16"/>
                <w:szCs w:val="16"/>
              </w:rPr>
              <w:fldChar w:fldCharType="begin" w:fldLock="1"/>
            </w:r>
            <w:r>
              <w:rPr>
                <w:rFonts w:ascii="Times New Roman" w:hAnsi="Times New Roman" w:cs="Times New Roman"/>
                <w:sz w:val="16"/>
                <w:szCs w:val="16"/>
              </w:rPr>
              <w:instrText>ADDIN CSL_CITATION {"citationItems":[{"id":"ITEM-1","itemData":{"author":[{"dropping-particle":"","family":"Birke","given":"G","non-dropping-particle":"","parse-names":false,"suffix":""},{"dropping-particle":"","family":"Johnels","given":"AG","non-dropping-particle":"","parse-names":false,"suffix":""},{"dropping-particle":"","family":"Plantin","given":"LO","non-dropping-particle":"","parse-names":false,"suffix":""},{"dropping-particle":"","family":"Sjostrand","given":"B","non-dropping-particle":"","parse-names":false,"suffix":""},{"dropping-particle":"","family":"Westermark","given":"T","non-dropping-particle":"","parse-names":false,"suffix":""}],"container-title":"Lakartidningen","id":"ITEM-1","issued":{"date-parts":[["1967"]]},"page":"3628-3637","title":"Mercury poisoning through eating fish?","type":"article-journal","volume":"64"},"suppress-author":1,"uris":["http://www.mendeley.com/documents/?uuid=9d2f0b14-6159-41e5-adcb-79fae5461161"]}],"mendeley":{"formattedCitation":"(1967)","plainTextFormattedCitation":"(1967)","previouslyFormattedCitation":"(1967)"},"properties":{"noteIndex":0},"schema":"https://github.com/citation-style-language/schema/raw/master/csl-citation.json"}</w:instrText>
            </w:r>
            <w:r w:rsidRPr="004965C2">
              <w:rPr>
                <w:sz w:val="16"/>
                <w:szCs w:val="16"/>
              </w:rPr>
              <w:fldChar w:fldCharType="separate"/>
            </w:r>
            <w:r w:rsidRPr="004965C2">
              <w:rPr>
                <w:rFonts w:ascii="Times New Roman" w:hAnsi="Times New Roman" w:cs="Times New Roman"/>
                <w:noProof/>
                <w:sz w:val="16"/>
                <w:szCs w:val="16"/>
              </w:rPr>
              <w:t>(1967)</w:t>
            </w:r>
            <w:r w:rsidRPr="004965C2">
              <w:rPr>
                <w:sz w:val="16"/>
                <w:szCs w:val="16"/>
              </w:rPr>
              <w:fldChar w:fldCharType="end"/>
            </w:r>
            <w:r w:rsidRPr="004965C2">
              <w:rPr>
                <w:rFonts w:ascii="Times New Roman" w:hAnsi="Times New Roman" w:cs="Times New Roman"/>
                <w:sz w:val="16"/>
                <w:szCs w:val="16"/>
              </w:rPr>
              <w:t xml:space="preserve"> in Figure 11.2 and p.217-219</w:t>
            </w:r>
            <w:r>
              <w:rPr>
                <w:rFonts w:ascii="Times New Roman" w:hAnsi="Times New Roman" w:cs="Times New Roman"/>
                <w:sz w:val="16"/>
                <w:szCs w:val="16"/>
              </w:rPr>
              <w:t>:</w:t>
            </w:r>
          </w:p>
          <w:p w14:paraId="3B1747EA" w14:textId="4F044AD2" w:rsidR="00F33158" w:rsidRDefault="00F33158" w:rsidP="00173598">
            <w:pPr>
              <w:ind w:left="318"/>
              <w:rPr>
                <w:rFonts w:ascii="Times New Roman" w:hAnsi="Times New Roman" w:cs="Times New Roman"/>
                <w:bCs w:val="0"/>
                <w:sz w:val="16"/>
                <w:szCs w:val="16"/>
              </w:rPr>
            </w:pPr>
            <w:r w:rsidRPr="004965C2">
              <w:rPr>
                <w:rFonts w:ascii="Times New Roman" w:hAnsi="Times New Roman" w:cs="Times New Roman"/>
                <w:sz w:val="16"/>
                <w:szCs w:val="16"/>
              </w:rPr>
              <w:t xml:space="preserve">[RBC </w:t>
            </w:r>
            <w:r w:rsidRPr="0036103A">
              <w:rPr>
                <w:rFonts w:ascii="Times New Roman" w:hAnsi="Times New Roman" w:cs="Times New Roman"/>
                <w:sz w:val="16"/>
                <w:szCs w:val="16"/>
              </w:rPr>
              <w:t>µ</w:t>
            </w:r>
            <w:r w:rsidRPr="004965C2">
              <w:rPr>
                <w:rFonts w:ascii="Times New Roman" w:hAnsi="Times New Roman" w:cs="Times New Roman"/>
                <w:sz w:val="16"/>
                <w:szCs w:val="16"/>
              </w:rPr>
              <w:t xml:space="preserve">g/kg THg] = 1400 * [oral intake of mg/day MeHg] + </w:t>
            </w:r>
            <w:r>
              <w:rPr>
                <w:rFonts w:ascii="Times New Roman" w:hAnsi="Times New Roman" w:cs="Times New Roman"/>
                <w:sz w:val="16"/>
                <w:szCs w:val="16"/>
              </w:rPr>
              <w:t>3</w:t>
            </w:r>
          </w:p>
          <w:p w14:paraId="0C3003B9" w14:textId="2C4BFDF5" w:rsidR="00F33158" w:rsidRDefault="00F33158" w:rsidP="00173598">
            <w:pPr>
              <w:ind w:left="318"/>
              <w:rPr>
                <w:rFonts w:ascii="Times New Roman" w:hAnsi="Times New Roman" w:cs="Times New Roman"/>
                <w:bCs w:val="0"/>
                <w:sz w:val="16"/>
                <w:szCs w:val="16"/>
              </w:rPr>
            </w:pPr>
            <w:r>
              <w:rPr>
                <w:rFonts w:ascii="Times New Roman" w:hAnsi="Times New Roman" w:cs="Times New Roman"/>
                <w:sz w:val="16"/>
                <w:szCs w:val="16"/>
              </w:rPr>
              <w:t>rearranged to:</w:t>
            </w:r>
          </w:p>
          <w:p w14:paraId="109622C6" w14:textId="05A07C22" w:rsidR="00F33158" w:rsidRDefault="00F33158" w:rsidP="00173598">
            <w:pPr>
              <w:ind w:left="318"/>
              <w:rPr>
                <w:rFonts w:ascii="Times New Roman" w:hAnsi="Times New Roman" w:cs="Times New Roman"/>
                <w:bCs w:val="0"/>
                <w:sz w:val="16"/>
                <w:szCs w:val="16"/>
              </w:rPr>
            </w:pPr>
            <w:r w:rsidRPr="004965C2">
              <w:rPr>
                <w:rFonts w:ascii="Times New Roman" w:hAnsi="Times New Roman" w:cs="Times New Roman"/>
                <w:sz w:val="16"/>
                <w:szCs w:val="16"/>
              </w:rPr>
              <w:t>[oral intake of mg/day MeHg]</w:t>
            </w:r>
            <w:r>
              <w:rPr>
                <w:rFonts w:ascii="Times New Roman" w:hAnsi="Times New Roman" w:cs="Times New Roman"/>
                <w:sz w:val="16"/>
                <w:szCs w:val="16"/>
              </w:rPr>
              <w:t xml:space="preserve"> = (</w:t>
            </w:r>
            <w:r w:rsidRPr="004965C2">
              <w:rPr>
                <w:rFonts w:ascii="Times New Roman" w:hAnsi="Times New Roman" w:cs="Times New Roman"/>
                <w:sz w:val="16"/>
                <w:szCs w:val="16"/>
              </w:rPr>
              <w:t xml:space="preserve">[RBC </w:t>
            </w:r>
            <w:r w:rsidRPr="0036103A">
              <w:rPr>
                <w:rFonts w:ascii="Times New Roman" w:hAnsi="Times New Roman" w:cs="Times New Roman"/>
                <w:sz w:val="16"/>
                <w:szCs w:val="16"/>
              </w:rPr>
              <w:t>µ</w:t>
            </w:r>
            <w:r w:rsidRPr="004965C2">
              <w:rPr>
                <w:rFonts w:ascii="Times New Roman" w:hAnsi="Times New Roman" w:cs="Times New Roman"/>
                <w:sz w:val="16"/>
                <w:szCs w:val="16"/>
              </w:rPr>
              <w:t>g/kg THg]</w:t>
            </w:r>
            <w:r>
              <w:rPr>
                <w:rFonts w:ascii="Times New Roman" w:hAnsi="Times New Roman" w:cs="Times New Roman"/>
                <w:sz w:val="16"/>
                <w:szCs w:val="16"/>
              </w:rPr>
              <w:t xml:space="preserve"> -3)</w:t>
            </w:r>
            <w:r w:rsidR="007E553A">
              <w:rPr>
                <w:rFonts w:ascii="Times New Roman" w:hAnsi="Times New Roman" w:cs="Times New Roman"/>
                <w:sz w:val="16"/>
                <w:szCs w:val="16"/>
              </w:rPr>
              <w:t xml:space="preserve"> </w:t>
            </w:r>
            <w:r w:rsidR="007E553A">
              <w:rPr>
                <w:rFonts w:ascii="Symbol" w:eastAsia="Symbol" w:hAnsi="Symbol" w:cs="Symbol"/>
                <w:sz w:val="16"/>
                <w:szCs w:val="16"/>
              </w:rPr>
              <w:t>¸</w:t>
            </w:r>
            <w:r w:rsidR="007E553A">
              <w:rPr>
                <w:rFonts w:ascii="Times New Roman" w:hAnsi="Times New Roman" w:cs="Times New Roman"/>
                <w:sz w:val="16"/>
                <w:szCs w:val="16"/>
              </w:rPr>
              <w:t xml:space="preserve"> </w:t>
            </w:r>
            <w:r>
              <w:rPr>
                <w:rFonts w:ascii="Times New Roman" w:hAnsi="Times New Roman" w:cs="Times New Roman"/>
                <w:sz w:val="16"/>
                <w:szCs w:val="16"/>
              </w:rPr>
              <w:t>1400</w:t>
            </w:r>
          </w:p>
          <w:p w14:paraId="625962DA" w14:textId="1F1B120D" w:rsidR="00F33158" w:rsidRDefault="00F33158" w:rsidP="00173598">
            <w:pPr>
              <w:ind w:left="318"/>
              <w:rPr>
                <w:rFonts w:ascii="Times New Roman" w:hAnsi="Times New Roman" w:cs="Times New Roman"/>
                <w:bCs w:val="0"/>
                <w:sz w:val="16"/>
                <w:szCs w:val="16"/>
              </w:rPr>
            </w:pPr>
            <w:r>
              <w:rPr>
                <w:rFonts w:ascii="Times New Roman" w:hAnsi="Times New Roman" w:cs="Times New Roman"/>
                <w:sz w:val="16"/>
                <w:szCs w:val="16"/>
              </w:rPr>
              <w:t xml:space="preserve">when substituted with the lowest effect level in RBCs of 400 </w:t>
            </w:r>
            <w:r w:rsidRPr="00E766F2">
              <w:rPr>
                <w:rFonts w:ascii="Times New Roman" w:hAnsi="Times New Roman" w:cs="Times New Roman"/>
                <w:sz w:val="16"/>
                <w:szCs w:val="16"/>
              </w:rPr>
              <w:t>µg/kg THg</w:t>
            </w:r>
            <w:r>
              <w:rPr>
                <w:rFonts w:ascii="Times New Roman" w:hAnsi="Times New Roman" w:cs="Times New Roman"/>
                <w:sz w:val="16"/>
                <w:szCs w:val="16"/>
              </w:rPr>
              <w:t>:</w:t>
            </w:r>
          </w:p>
          <w:p w14:paraId="2ED02397" w14:textId="4F3514F1" w:rsidR="00F33158" w:rsidRDefault="00F33158" w:rsidP="00173598">
            <w:pPr>
              <w:ind w:left="318"/>
              <w:rPr>
                <w:rFonts w:ascii="Times New Roman" w:hAnsi="Times New Roman" w:cs="Times New Roman"/>
                <w:bCs w:val="0"/>
                <w:sz w:val="16"/>
                <w:szCs w:val="16"/>
              </w:rPr>
            </w:pPr>
            <w:r w:rsidRPr="004965C2">
              <w:rPr>
                <w:rFonts w:ascii="Times New Roman" w:hAnsi="Times New Roman" w:cs="Times New Roman"/>
                <w:sz w:val="16"/>
                <w:szCs w:val="16"/>
              </w:rPr>
              <w:t>[oral intake of mg/day MeHg]</w:t>
            </w:r>
            <w:r>
              <w:rPr>
                <w:rFonts w:ascii="Times New Roman" w:hAnsi="Times New Roman" w:cs="Times New Roman"/>
                <w:sz w:val="16"/>
                <w:szCs w:val="16"/>
              </w:rPr>
              <w:t xml:space="preserve"> = (400 -3)</w:t>
            </w:r>
            <w:r w:rsidR="007E553A">
              <w:rPr>
                <w:rFonts w:ascii="Times New Roman" w:hAnsi="Times New Roman" w:cs="Times New Roman"/>
                <w:sz w:val="16"/>
                <w:szCs w:val="16"/>
              </w:rPr>
              <w:t xml:space="preserve"> </w:t>
            </w:r>
            <w:r w:rsidR="007E553A">
              <w:rPr>
                <w:rFonts w:ascii="Symbol" w:eastAsia="Symbol" w:hAnsi="Symbol" w:cs="Symbol"/>
                <w:sz w:val="16"/>
                <w:szCs w:val="16"/>
              </w:rPr>
              <w:t>¸</w:t>
            </w:r>
            <w:r w:rsidR="007E553A">
              <w:rPr>
                <w:rFonts w:ascii="Times New Roman" w:hAnsi="Times New Roman" w:cs="Times New Roman"/>
                <w:sz w:val="16"/>
                <w:szCs w:val="16"/>
              </w:rPr>
              <w:t xml:space="preserve"> </w:t>
            </w:r>
            <w:r>
              <w:rPr>
                <w:rFonts w:ascii="Times New Roman" w:hAnsi="Times New Roman" w:cs="Times New Roman"/>
                <w:sz w:val="16"/>
                <w:szCs w:val="16"/>
              </w:rPr>
              <w:t>1400</w:t>
            </w:r>
          </w:p>
          <w:p w14:paraId="6895763C" w14:textId="3C5651F5" w:rsidR="00F33158" w:rsidRDefault="00F33158" w:rsidP="00173598">
            <w:pPr>
              <w:ind w:left="318"/>
              <w:rPr>
                <w:rFonts w:ascii="Times New Roman" w:hAnsi="Times New Roman" w:cs="Times New Roman"/>
                <w:bCs w:val="0"/>
                <w:sz w:val="16"/>
                <w:szCs w:val="16"/>
              </w:rPr>
            </w:pPr>
            <w:r w:rsidRPr="004965C2">
              <w:rPr>
                <w:rFonts w:ascii="Times New Roman" w:hAnsi="Times New Roman" w:cs="Times New Roman"/>
                <w:sz w:val="16"/>
                <w:szCs w:val="16"/>
              </w:rPr>
              <w:t>[oral intake of mg/day MeHg]</w:t>
            </w:r>
            <w:r>
              <w:rPr>
                <w:rFonts w:ascii="Times New Roman" w:hAnsi="Times New Roman" w:cs="Times New Roman"/>
                <w:sz w:val="16"/>
                <w:szCs w:val="16"/>
              </w:rPr>
              <w:t xml:space="preserve"> = 0.284 mg/day MeHg (</w:t>
            </w:r>
            <w:r w:rsidRPr="0038027B">
              <w:rPr>
                <w:rFonts w:ascii="Times New Roman" w:hAnsi="Times New Roman" w:cs="Times New Roman"/>
                <w:b/>
                <w:sz w:val="16"/>
                <w:szCs w:val="16"/>
              </w:rPr>
              <w:t>284 µg/day MeHg</w:t>
            </w:r>
            <w:r>
              <w:rPr>
                <w:rFonts w:ascii="Times New Roman" w:hAnsi="Times New Roman" w:cs="Times New Roman"/>
                <w:sz w:val="16"/>
                <w:szCs w:val="16"/>
              </w:rPr>
              <w:t>)</w:t>
            </w:r>
          </w:p>
          <w:p w14:paraId="7B148420" w14:textId="684057A6" w:rsidR="00F33158" w:rsidRDefault="00F33158" w:rsidP="00173598">
            <w:pPr>
              <w:ind w:left="318"/>
              <w:rPr>
                <w:rFonts w:ascii="Times New Roman" w:hAnsi="Times New Roman" w:cs="Times New Roman"/>
                <w:bCs w:val="0"/>
                <w:sz w:val="16"/>
                <w:szCs w:val="16"/>
              </w:rPr>
            </w:pPr>
            <w:r w:rsidRPr="004965C2">
              <w:rPr>
                <w:rFonts w:ascii="Times New Roman" w:hAnsi="Times New Roman" w:cs="Times New Roman"/>
                <w:sz w:val="16"/>
                <w:szCs w:val="16"/>
              </w:rPr>
              <w:t>[oral intake of mg/day MeHg]</w:t>
            </w:r>
            <w:r>
              <w:rPr>
                <w:rFonts w:ascii="Times New Roman" w:hAnsi="Times New Roman" w:cs="Times New Roman"/>
                <w:sz w:val="16"/>
                <w:szCs w:val="16"/>
              </w:rPr>
              <w:t xml:space="preserve"> = ~ 0.3 mg/day MeHg (</w:t>
            </w:r>
            <w:r w:rsidRPr="0038027B">
              <w:rPr>
                <w:rFonts w:ascii="Times New Roman" w:hAnsi="Times New Roman" w:cs="Times New Roman"/>
                <w:b/>
                <w:sz w:val="16"/>
                <w:szCs w:val="16"/>
              </w:rPr>
              <w:t>300 µg/day MeHg</w:t>
            </w:r>
            <w:r>
              <w:rPr>
                <w:rFonts w:ascii="Times New Roman" w:hAnsi="Times New Roman" w:cs="Times New Roman"/>
                <w:sz w:val="16"/>
                <w:szCs w:val="16"/>
              </w:rPr>
              <w:t>)</w:t>
            </w:r>
          </w:p>
          <w:p w14:paraId="476AD156" w14:textId="4C363591" w:rsidR="00F33158" w:rsidRPr="0050204F" w:rsidRDefault="00F33158" w:rsidP="0050204F">
            <w:pPr>
              <w:ind w:left="720"/>
              <w:rPr>
                <w:rFonts w:ascii="Times New Roman" w:hAnsi="Times New Roman" w:cs="Times New Roman"/>
                <w:bCs w:val="0"/>
                <w:sz w:val="16"/>
                <w:szCs w:val="16"/>
              </w:rPr>
            </w:pPr>
          </w:p>
        </w:tc>
        <w:tc>
          <w:tcPr>
            <w:tcW w:w="1097" w:type="dxa"/>
            <w:vMerge/>
          </w:tcPr>
          <w:p w14:paraId="67EDB9D0" w14:textId="77777777" w:rsidR="00F33158" w:rsidRPr="004646BE" w:rsidRDefault="00F33158" w:rsidP="00180362">
            <w:pPr>
              <w:rPr>
                <w:rFonts w:ascii="Times New Roman" w:hAnsi="Times New Roman" w:cs="Times New Roman"/>
                <w:sz w:val="20"/>
                <w:szCs w:val="20"/>
              </w:rPr>
            </w:pPr>
          </w:p>
        </w:tc>
        <w:tc>
          <w:tcPr>
            <w:tcW w:w="2632" w:type="dxa"/>
          </w:tcPr>
          <w:p w14:paraId="25D4A28F" w14:textId="0E8A25BB" w:rsidR="00823459" w:rsidRDefault="00823459" w:rsidP="00823459">
            <w:pPr>
              <w:rPr>
                <w:rFonts w:ascii="Times New Roman" w:hAnsi="Times New Roman" w:cs="Times New Roman"/>
                <w:b/>
                <w:bCs w:val="0"/>
                <w:sz w:val="20"/>
                <w:szCs w:val="20"/>
              </w:rPr>
            </w:pPr>
            <w:r>
              <w:rPr>
                <w:rFonts w:ascii="Times New Roman" w:hAnsi="Times New Roman" w:cs="Times New Roman"/>
                <w:b/>
                <w:bCs w:val="0"/>
                <w:sz w:val="20"/>
                <w:szCs w:val="20"/>
              </w:rPr>
              <w:t>SEG Derived TRV</w:t>
            </w:r>
          </w:p>
          <w:p w14:paraId="353A036E" w14:textId="77777777" w:rsidR="00BF7C80" w:rsidRDefault="00F33158" w:rsidP="000550C8">
            <w:pPr>
              <w:rPr>
                <w:rFonts w:ascii="Times New Roman" w:hAnsi="Times New Roman" w:cs="Times New Roman"/>
                <w:sz w:val="20"/>
                <w:szCs w:val="20"/>
              </w:rPr>
            </w:pPr>
            <w:r w:rsidRPr="004C34BF">
              <w:rPr>
                <w:rFonts w:ascii="Times New Roman" w:hAnsi="Times New Roman" w:cs="Times New Roman"/>
                <w:b/>
                <w:sz w:val="20"/>
                <w:szCs w:val="20"/>
              </w:rPr>
              <w:t>30 µg/day MeHg</w:t>
            </w:r>
            <w:r>
              <w:rPr>
                <w:rFonts w:ascii="Times New Roman" w:hAnsi="Times New Roman" w:cs="Times New Roman"/>
                <w:sz w:val="20"/>
                <w:szCs w:val="20"/>
              </w:rPr>
              <w:t xml:space="preserve"> </w:t>
            </w:r>
          </w:p>
          <w:p w14:paraId="524A0E65" w14:textId="6ADE6B2C" w:rsidR="00707C33" w:rsidRPr="00BF7C80" w:rsidRDefault="00F33158" w:rsidP="000550C8">
            <w:pPr>
              <w:rPr>
                <w:rFonts w:ascii="Times New Roman" w:hAnsi="Times New Roman" w:cs="Times New Roman"/>
                <w:sz w:val="16"/>
                <w:szCs w:val="16"/>
              </w:rPr>
            </w:pPr>
            <w:r w:rsidRPr="00BF7C80">
              <w:rPr>
                <w:rFonts w:ascii="Times New Roman" w:hAnsi="Times New Roman" w:cs="Times New Roman"/>
                <w:sz w:val="16"/>
                <w:szCs w:val="16"/>
              </w:rPr>
              <w:t>(reported as 0.03 mg/day</w:t>
            </w:r>
            <w:r w:rsidR="00BF7C80">
              <w:rPr>
                <w:rFonts w:ascii="Times New Roman" w:hAnsi="Times New Roman" w:cs="Times New Roman"/>
                <w:sz w:val="16"/>
                <w:szCs w:val="16"/>
              </w:rPr>
              <w:t xml:space="preserve"> on </w:t>
            </w:r>
            <w:r w:rsidR="00707C33" w:rsidRPr="00BF7C80">
              <w:rPr>
                <w:rFonts w:ascii="Times New Roman" w:hAnsi="Times New Roman" w:cs="Times New Roman"/>
                <w:sz w:val="16"/>
                <w:szCs w:val="16"/>
              </w:rPr>
              <w:t>p.277 of the report)</w:t>
            </w:r>
          </w:p>
          <w:p w14:paraId="2A6E7567" w14:textId="53D38DCF" w:rsidR="00F33158" w:rsidRPr="004646BE" w:rsidRDefault="00F33158" w:rsidP="00180362">
            <w:pPr>
              <w:rPr>
                <w:rFonts w:ascii="Times New Roman" w:hAnsi="Times New Roman" w:cs="Times New Roman"/>
                <w:bCs w:val="0"/>
                <w:sz w:val="16"/>
                <w:szCs w:val="16"/>
              </w:rPr>
            </w:pPr>
          </w:p>
        </w:tc>
      </w:tr>
      <w:tr w:rsidR="00F33158" w:rsidRPr="004646BE" w14:paraId="5D1EB3A2" w14:textId="77777777" w:rsidTr="00A1795F">
        <w:trPr>
          <w:trHeight w:val="300"/>
        </w:trPr>
        <w:tc>
          <w:tcPr>
            <w:tcW w:w="1020" w:type="dxa"/>
          </w:tcPr>
          <w:p w14:paraId="36A79F9C" w14:textId="77777777" w:rsidR="00E62382" w:rsidRDefault="00F33158" w:rsidP="00180362">
            <w:pPr>
              <w:rPr>
                <w:rFonts w:ascii="Times New Roman" w:hAnsi="Times New Roman" w:cs="Times New Roman"/>
                <w:sz w:val="20"/>
                <w:szCs w:val="20"/>
              </w:rPr>
            </w:pPr>
            <w:r w:rsidRPr="00F33158">
              <w:rPr>
                <w:rFonts w:ascii="Times New Roman" w:hAnsi="Times New Roman" w:cs="Times New Roman"/>
                <w:sz w:val="20"/>
                <w:szCs w:val="20"/>
              </w:rPr>
              <w:t xml:space="preserve">oral </w:t>
            </w:r>
          </w:p>
          <w:p w14:paraId="623883FD" w14:textId="42D7C4CE" w:rsidR="00F33158" w:rsidRPr="00F33158" w:rsidRDefault="00F33158" w:rsidP="00180362">
            <w:pPr>
              <w:rPr>
                <w:rFonts w:ascii="Times New Roman" w:hAnsi="Times New Roman" w:cs="Times New Roman"/>
                <w:sz w:val="20"/>
                <w:szCs w:val="20"/>
              </w:rPr>
            </w:pPr>
            <w:r w:rsidRPr="00F33158">
              <w:rPr>
                <w:rFonts w:ascii="Times New Roman" w:hAnsi="Times New Roman" w:cs="Times New Roman"/>
                <w:sz w:val="20"/>
                <w:szCs w:val="20"/>
              </w:rPr>
              <w:t>(per</w:t>
            </w:r>
            <w:r>
              <w:rPr>
                <w:rFonts w:ascii="Times New Roman" w:hAnsi="Times New Roman" w:cs="Times New Roman"/>
                <w:sz w:val="20"/>
                <w:szCs w:val="20"/>
              </w:rPr>
              <w:t xml:space="preserve"> </w:t>
            </w:r>
            <w:r w:rsidR="006E4C09">
              <w:rPr>
                <w:rFonts w:ascii="Times New Roman" w:hAnsi="Times New Roman" w:cs="Times New Roman"/>
                <w:sz w:val="20"/>
                <w:szCs w:val="20"/>
              </w:rPr>
              <w:t xml:space="preserve">kg </w:t>
            </w:r>
            <w:r>
              <w:rPr>
                <w:rFonts w:ascii="Times New Roman" w:hAnsi="Times New Roman" w:cs="Times New Roman"/>
                <w:sz w:val="20"/>
                <w:szCs w:val="20"/>
              </w:rPr>
              <w:t>body weight per day)</w:t>
            </w:r>
          </w:p>
        </w:tc>
        <w:tc>
          <w:tcPr>
            <w:tcW w:w="5779" w:type="dxa"/>
          </w:tcPr>
          <w:p w14:paraId="31FCC59C" w14:textId="77777777" w:rsidR="00823459" w:rsidRDefault="00823459" w:rsidP="00823459">
            <w:pPr>
              <w:rPr>
                <w:rFonts w:ascii="Times New Roman" w:hAnsi="Times New Roman" w:cs="Times New Roman"/>
                <w:b/>
                <w:bCs w:val="0"/>
                <w:sz w:val="20"/>
                <w:szCs w:val="20"/>
              </w:rPr>
            </w:pPr>
            <w:r>
              <w:rPr>
                <w:rFonts w:ascii="Times New Roman" w:hAnsi="Times New Roman" w:cs="Times New Roman"/>
                <w:b/>
                <w:bCs w:val="0"/>
                <w:sz w:val="20"/>
                <w:szCs w:val="20"/>
              </w:rPr>
              <w:t>SEG Derived PoD</w:t>
            </w:r>
          </w:p>
          <w:p w14:paraId="5EF0F33E" w14:textId="77777777" w:rsidR="0004159C" w:rsidRDefault="00F33158" w:rsidP="00612FA0">
            <w:pPr>
              <w:rPr>
                <w:rFonts w:ascii="Times New Roman" w:hAnsi="Times New Roman" w:cs="Times New Roman"/>
                <w:sz w:val="20"/>
                <w:szCs w:val="20"/>
              </w:rPr>
            </w:pPr>
            <w:r w:rsidRPr="004C34BF">
              <w:rPr>
                <w:rFonts w:ascii="Times New Roman" w:hAnsi="Times New Roman" w:cs="Times New Roman"/>
                <w:b/>
                <w:sz w:val="20"/>
                <w:szCs w:val="20"/>
              </w:rPr>
              <w:t>4 µg/kg-bw/day MeHg</w:t>
            </w:r>
            <w:r>
              <w:rPr>
                <w:rFonts w:ascii="Times New Roman" w:hAnsi="Times New Roman" w:cs="Times New Roman"/>
                <w:sz w:val="20"/>
                <w:szCs w:val="20"/>
              </w:rPr>
              <w:t xml:space="preserve"> </w:t>
            </w:r>
          </w:p>
          <w:p w14:paraId="2F823685" w14:textId="071F692B" w:rsidR="00F33158" w:rsidRPr="002C3565" w:rsidRDefault="0004159C" w:rsidP="00180362">
            <w:pPr>
              <w:rPr>
                <w:rFonts w:ascii="Times New Roman" w:hAnsi="Times New Roman" w:cs="Times New Roman"/>
                <w:sz w:val="16"/>
                <w:szCs w:val="16"/>
              </w:rPr>
            </w:pPr>
            <w:r w:rsidRPr="002C3565">
              <w:rPr>
                <w:rFonts w:ascii="Times New Roman" w:hAnsi="Times New Roman" w:cs="Times New Roman"/>
                <w:sz w:val="16"/>
                <w:szCs w:val="16"/>
              </w:rPr>
              <w:t>(</w:t>
            </w:r>
            <w:r w:rsidR="00F33158" w:rsidRPr="002C3565">
              <w:rPr>
                <w:rFonts w:ascii="Times New Roman" w:hAnsi="Times New Roman" w:cs="Times New Roman"/>
                <w:sz w:val="16"/>
                <w:szCs w:val="16"/>
              </w:rPr>
              <w:t>for 70</w:t>
            </w:r>
            <w:r w:rsidR="00320AD0" w:rsidRPr="002C3565">
              <w:rPr>
                <w:rFonts w:ascii="Times New Roman" w:hAnsi="Times New Roman" w:cs="Times New Roman"/>
                <w:sz w:val="16"/>
                <w:szCs w:val="16"/>
              </w:rPr>
              <w:t xml:space="preserve"> </w:t>
            </w:r>
            <w:r w:rsidR="00F33158" w:rsidRPr="002C3565">
              <w:rPr>
                <w:rFonts w:ascii="Times New Roman" w:hAnsi="Times New Roman" w:cs="Times New Roman"/>
                <w:sz w:val="16"/>
                <w:szCs w:val="16"/>
              </w:rPr>
              <w:t>kg adult</w:t>
            </w:r>
            <w:r w:rsidRPr="002C3565">
              <w:rPr>
                <w:rFonts w:ascii="Times New Roman" w:hAnsi="Times New Roman" w:cs="Times New Roman"/>
                <w:sz w:val="16"/>
                <w:szCs w:val="16"/>
              </w:rPr>
              <w:t xml:space="preserve">, reported on </w:t>
            </w:r>
            <w:r w:rsidRPr="002C3565">
              <w:rPr>
                <w:rFonts w:ascii="Times New Roman" w:hAnsi="Times New Roman" w:cs="Times New Roman"/>
                <w:bCs w:val="0"/>
                <w:sz w:val="16"/>
                <w:szCs w:val="16"/>
              </w:rPr>
              <w:t>p.269 of the SEG report)</w:t>
            </w:r>
          </w:p>
          <w:p w14:paraId="38C0527C" w14:textId="77777777" w:rsidR="007E553A" w:rsidRPr="002C3565" w:rsidRDefault="007E553A" w:rsidP="00180362">
            <w:pPr>
              <w:rPr>
                <w:rFonts w:ascii="Times New Roman" w:hAnsi="Times New Roman" w:cs="Times New Roman"/>
                <w:sz w:val="16"/>
                <w:szCs w:val="16"/>
              </w:rPr>
            </w:pPr>
          </w:p>
          <w:p w14:paraId="203305A6" w14:textId="19FED3E4" w:rsidR="000043B8" w:rsidRDefault="000043B8" w:rsidP="000043B8">
            <w:pPr>
              <w:rPr>
                <w:rFonts w:ascii="Times New Roman" w:hAnsi="Times New Roman" w:cs="Times New Roman"/>
                <w:bCs w:val="0"/>
                <w:sz w:val="16"/>
                <w:szCs w:val="16"/>
              </w:rPr>
            </w:pPr>
            <w:r>
              <w:rPr>
                <w:rFonts w:ascii="Times New Roman" w:hAnsi="Times New Roman" w:cs="Times New Roman"/>
                <w:sz w:val="16"/>
                <w:szCs w:val="16"/>
              </w:rPr>
              <w:t>for a 70</w:t>
            </w:r>
            <w:r w:rsidR="005A7B29">
              <w:rPr>
                <w:rFonts w:ascii="Times New Roman" w:hAnsi="Times New Roman" w:cs="Times New Roman"/>
                <w:sz w:val="16"/>
                <w:szCs w:val="16"/>
              </w:rPr>
              <w:t xml:space="preserve"> </w:t>
            </w:r>
            <w:r>
              <w:rPr>
                <w:rFonts w:ascii="Times New Roman" w:hAnsi="Times New Roman" w:cs="Times New Roman"/>
                <w:sz w:val="16"/>
                <w:szCs w:val="16"/>
              </w:rPr>
              <w:t>kg adult:</w:t>
            </w:r>
          </w:p>
          <w:p w14:paraId="05B91B6F" w14:textId="398968B6" w:rsidR="007704D2" w:rsidRDefault="007704D2" w:rsidP="00173598">
            <w:pPr>
              <w:ind w:left="318"/>
              <w:rPr>
                <w:rFonts w:ascii="Times New Roman" w:hAnsi="Times New Roman" w:cs="Times New Roman"/>
                <w:bCs w:val="0"/>
                <w:sz w:val="16"/>
                <w:szCs w:val="16"/>
              </w:rPr>
            </w:pPr>
            <w:r>
              <w:rPr>
                <w:rFonts w:ascii="Times New Roman" w:hAnsi="Times New Roman" w:cs="Times New Roman"/>
                <w:sz w:val="16"/>
                <w:szCs w:val="16"/>
              </w:rPr>
              <w:t xml:space="preserve">if using the 284 </w:t>
            </w:r>
            <w:r w:rsidRPr="007A2A0F">
              <w:rPr>
                <w:rFonts w:ascii="Times New Roman" w:hAnsi="Times New Roman" w:cs="Times New Roman"/>
                <w:sz w:val="16"/>
                <w:szCs w:val="16"/>
              </w:rPr>
              <w:t>µ</w:t>
            </w:r>
            <w:r w:rsidRPr="009D60C1">
              <w:rPr>
                <w:rFonts w:ascii="Times New Roman" w:hAnsi="Times New Roman" w:cs="Times New Roman"/>
                <w:sz w:val="16"/>
                <w:szCs w:val="16"/>
              </w:rPr>
              <w:t>g/day MeHg</w:t>
            </w:r>
            <w:r>
              <w:rPr>
                <w:rFonts w:ascii="Times New Roman" w:hAnsi="Times New Roman" w:cs="Times New Roman"/>
                <w:sz w:val="16"/>
                <w:szCs w:val="16"/>
              </w:rPr>
              <w:t xml:space="preserve">: (284 </w:t>
            </w:r>
            <w:r w:rsidRPr="007A2A0F">
              <w:rPr>
                <w:rFonts w:ascii="Times New Roman" w:hAnsi="Times New Roman" w:cs="Times New Roman"/>
                <w:sz w:val="16"/>
                <w:szCs w:val="16"/>
              </w:rPr>
              <w:t>µ</w:t>
            </w:r>
            <w:r>
              <w:rPr>
                <w:rFonts w:ascii="Times New Roman" w:hAnsi="Times New Roman" w:cs="Times New Roman"/>
                <w:sz w:val="16"/>
                <w:szCs w:val="16"/>
              </w:rPr>
              <w:t>g/day</w:t>
            </w:r>
            <w:r>
              <w:rPr>
                <w:rFonts w:ascii="Times New Roman" w:hAnsi="Times New Roman" w:cs="Times New Roman"/>
                <w:bCs w:val="0"/>
                <w:sz w:val="16"/>
                <w:szCs w:val="16"/>
              </w:rPr>
              <w:t>)</w:t>
            </w:r>
            <w:r w:rsidR="00412931" w:rsidRPr="00187523">
              <w:rPr>
                <w:sz w:val="16"/>
                <w:szCs w:val="16"/>
              </w:rPr>
              <w:t xml:space="preserve"> ÷</w:t>
            </w:r>
            <w:r w:rsidR="00412931">
              <w:rPr>
                <w:sz w:val="16"/>
                <w:szCs w:val="16"/>
              </w:rPr>
              <w:t xml:space="preserve"> </w:t>
            </w:r>
            <w:r>
              <w:rPr>
                <w:rFonts w:ascii="Times New Roman" w:hAnsi="Times New Roman" w:cs="Times New Roman"/>
                <w:sz w:val="16"/>
                <w:szCs w:val="16"/>
              </w:rPr>
              <w:t>70</w:t>
            </w:r>
            <w:r w:rsidR="005A7B29">
              <w:rPr>
                <w:rFonts w:ascii="Times New Roman" w:hAnsi="Times New Roman" w:cs="Times New Roman"/>
                <w:sz w:val="16"/>
                <w:szCs w:val="16"/>
              </w:rPr>
              <w:t xml:space="preserve"> </w:t>
            </w:r>
            <w:r>
              <w:rPr>
                <w:rFonts w:ascii="Times New Roman" w:hAnsi="Times New Roman" w:cs="Times New Roman"/>
                <w:sz w:val="16"/>
                <w:szCs w:val="16"/>
              </w:rPr>
              <w:t xml:space="preserve">kg = </w:t>
            </w:r>
            <w:r w:rsidR="0017636E">
              <w:rPr>
                <w:rFonts w:ascii="Times New Roman" w:hAnsi="Times New Roman" w:cs="Times New Roman"/>
                <w:sz w:val="16"/>
                <w:szCs w:val="16"/>
              </w:rPr>
              <w:t xml:space="preserve">4.06 </w:t>
            </w:r>
            <w:r w:rsidR="0017636E" w:rsidRPr="007A2A0F">
              <w:rPr>
                <w:rFonts w:ascii="Times New Roman" w:hAnsi="Times New Roman" w:cs="Times New Roman"/>
                <w:sz w:val="16"/>
                <w:szCs w:val="16"/>
              </w:rPr>
              <w:t>µg/kg-bw/day</w:t>
            </w:r>
            <w:r w:rsidR="0017636E">
              <w:rPr>
                <w:rFonts w:ascii="Times New Roman" w:hAnsi="Times New Roman" w:cs="Times New Roman"/>
                <w:sz w:val="16"/>
                <w:szCs w:val="16"/>
              </w:rPr>
              <w:t xml:space="preserve"> MeHg </w:t>
            </w:r>
          </w:p>
          <w:p w14:paraId="7FA423B1" w14:textId="673F8295" w:rsidR="007E553A" w:rsidRDefault="000043B8" w:rsidP="00173598">
            <w:pPr>
              <w:ind w:left="318"/>
              <w:rPr>
                <w:rFonts w:ascii="Times New Roman" w:hAnsi="Times New Roman" w:cs="Times New Roman"/>
                <w:bCs w:val="0"/>
                <w:sz w:val="16"/>
                <w:szCs w:val="16"/>
              </w:rPr>
            </w:pPr>
            <w:r>
              <w:rPr>
                <w:rFonts w:ascii="Times New Roman" w:hAnsi="Times New Roman" w:cs="Times New Roman"/>
                <w:sz w:val="16"/>
                <w:szCs w:val="16"/>
              </w:rPr>
              <w:t xml:space="preserve">if using the </w:t>
            </w:r>
            <w:r w:rsidR="007704D2">
              <w:rPr>
                <w:rFonts w:ascii="Times New Roman" w:hAnsi="Times New Roman" w:cs="Times New Roman"/>
                <w:sz w:val="16"/>
                <w:szCs w:val="16"/>
              </w:rPr>
              <w:t>300</w:t>
            </w:r>
            <w:r>
              <w:rPr>
                <w:rFonts w:ascii="Times New Roman" w:hAnsi="Times New Roman" w:cs="Times New Roman"/>
                <w:sz w:val="16"/>
                <w:szCs w:val="16"/>
              </w:rPr>
              <w:t xml:space="preserve"> </w:t>
            </w:r>
            <w:r w:rsidRPr="007A2A0F">
              <w:rPr>
                <w:rFonts w:ascii="Times New Roman" w:hAnsi="Times New Roman" w:cs="Times New Roman"/>
                <w:sz w:val="16"/>
                <w:szCs w:val="16"/>
              </w:rPr>
              <w:t>µ</w:t>
            </w:r>
            <w:r w:rsidRPr="009D60C1">
              <w:rPr>
                <w:rFonts w:ascii="Times New Roman" w:hAnsi="Times New Roman" w:cs="Times New Roman"/>
                <w:sz w:val="16"/>
                <w:szCs w:val="16"/>
              </w:rPr>
              <w:t>g/day MeHg</w:t>
            </w:r>
            <w:r w:rsidR="007704D2">
              <w:rPr>
                <w:rFonts w:ascii="Times New Roman" w:hAnsi="Times New Roman" w:cs="Times New Roman"/>
                <w:sz w:val="16"/>
                <w:szCs w:val="16"/>
              </w:rPr>
              <w:t xml:space="preserve">: </w:t>
            </w:r>
            <w:r w:rsidR="009F7069">
              <w:rPr>
                <w:rFonts w:ascii="Times New Roman" w:hAnsi="Times New Roman" w:cs="Times New Roman"/>
                <w:sz w:val="16"/>
                <w:szCs w:val="16"/>
              </w:rPr>
              <w:t xml:space="preserve">(300 </w:t>
            </w:r>
            <w:r w:rsidR="009F7069" w:rsidRPr="007A2A0F">
              <w:rPr>
                <w:rFonts w:ascii="Times New Roman" w:hAnsi="Times New Roman" w:cs="Times New Roman"/>
                <w:sz w:val="16"/>
                <w:szCs w:val="16"/>
              </w:rPr>
              <w:t>µ</w:t>
            </w:r>
            <w:r w:rsidR="009F7069">
              <w:rPr>
                <w:rFonts w:ascii="Times New Roman" w:hAnsi="Times New Roman" w:cs="Times New Roman"/>
                <w:sz w:val="16"/>
                <w:szCs w:val="16"/>
              </w:rPr>
              <w:t>g/day</w:t>
            </w:r>
            <w:r w:rsidR="009F7069">
              <w:rPr>
                <w:rFonts w:ascii="Times New Roman" w:hAnsi="Times New Roman" w:cs="Times New Roman"/>
                <w:bCs w:val="0"/>
                <w:sz w:val="16"/>
                <w:szCs w:val="16"/>
              </w:rPr>
              <w:t>)</w:t>
            </w:r>
            <w:r w:rsidR="00412931">
              <w:rPr>
                <w:rFonts w:ascii="Times New Roman" w:hAnsi="Times New Roman" w:cs="Times New Roman"/>
                <w:bCs w:val="0"/>
                <w:sz w:val="16"/>
                <w:szCs w:val="16"/>
              </w:rPr>
              <w:t xml:space="preserve"> </w:t>
            </w:r>
            <w:r w:rsidR="00412931" w:rsidRPr="00187523">
              <w:rPr>
                <w:sz w:val="16"/>
                <w:szCs w:val="16"/>
              </w:rPr>
              <w:t>÷</w:t>
            </w:r>
            <w:r w:rsidR="00412931">
              <w:rPr>
                <w:sz w:val="16"/>
                <w:szCs w:val="16"/>
              </w:rPr>
              <w:t xml:space="preserve"> </w:t>
            </w:r>
            <w:r w:rsidR="009F7069">
              <w:rPr>
                <w:rFonts w:ascii="Times New Roman" w:hAnsi="Times New Roman" w:cs="Times New Roman"/>
                <w:sz w:val="16"/>
                <w:szCs w:val="16"/>
              </w:rPr>
              <w:t>70</w:t>
            </w:r>
            <w:r w:rsidR="005A7B29">
              <w:rPr>
                <w:rFonts w:ascii="Times New Roman" w:hAnsi="Times New Roman" w:cs="Times New Roman"/>
                <w:sz w:val="16"/>
                <w:szCs w:val="16"/>
              </w:rPr>
              <w:t xml:space="preserve"> </w:t>
            </w:r>
            <w:r w:rsidR="009F7069">
              <w:rPr>
                <w:rFonts w:ascii="Times New Roman" w:hAnsi="Times New Roman" w:cs="Times New Roman"/>
                <w:sz w:val="16"/>
                <w:szCs w:val="16"/>
              </w:rPr>
              <w:t xml:space="preserve">kg = </w:t>
            </w:r>
            <w:r>
              <w:rPr>
                <w:rFonts w:ascii="Times New Roman" w:hAnsi="Times New Roman" w:cs="Times New Roman"/>
                <w:sz w:val="16"/>
                <w:szCs w:val="16"/>
              </w:rPr>
              <w:t xml:space="preserve">4.29 </w:t>
            </w:r>
            <w:r w:rsidRPr="007A2A0F">
              <w:rPr>
                <w:rFonts w:ascii="Times New Roman" w:hAnsi="Times New Roman" w:cs="Times New Roman"/>
                <w:sz w:val="16"/>
                <w:szCs w:val="16"/>
              </w:rPr>
              <w:t>µg/kg-bw/day</w:t>
            </w:r>
            <w:r w:rsidR="009F7069">
              <w:rPr>
                <w:rFonts w:ascii="Times New Roman" w:hAnsi="Times New Roman" w:cs="Times New Roman"/>
                <w:sz w:val="16"/>
                <w:szCs w:val="16"/>
              </w:rPr>
              <w:t xml:space="preserve"> MeHg</w:t>
            </w:r>
            <w:r>
              <w:rPr>
                <w:rFonts w:ascii="Times New Roman" w:hAnsi="Times New Roman" w:cs="Times New Roman"/>
                <w:sz w:val="16"/>
                <w:szCs w:val="16"/>
              </w:rPr>
              <w:t>)</w:t>
            </w:r>
          </w:p>
          <w:p w14:paraId="2D2C6D55" w14:textId="16506681" w:rsidR="009F7069" w:rsidRPr="00506D25" w:rsidRDefault="004A1ABC" w:rsidP="00173598">
            <w:pPr>
              <w:ind w:left="318"/>
              <w:rPr>
                <w:rFonts w:ascii="Times New Roman" w:hAnsi="Times New Roman" w:cs="Times New Roman"/>
                <w:bCs w:val="0"/>
                <w:sz w:val="16"/>
                <w:szCs w:val="16"/>
              </w:rPr>
            </w:pPr>
            <w:r>
              <w:rPr>
                <w:rFonts w:ascii="Times New Roman" w:hAnsi="Times New Roman" w:cs="Times New Roman"/>
                <w:bCs w:val="0"/>
                <w:sz w:val="16"/>
                <w:szCs w:val="16"/>
              </w:rPr>
              <w:t>both</w:t>
            </w:r>
            <w:r w:rsidR="009668D0">
              <w:rPr>
                <w:rFonts w:ascii="Times New Roman" w:hAnsi="Times New Roman" w:cs="Times New Roman"/>
                <w:bCs w:val="0"/>
                <w:sz w:val="16"/>
                <w:szCs w:val="16"/>
              </w:rPr>
              <w:t xml:space="preserve"> value</w:t>
            </w:r>
            <w:r>
              <w:rPr>
                <w:rFonts w:ascii="Times New Roman" w:hAnsi="Times New Roman" w:cs="Times New Roman"/>
                <w:bCs w:val="0"/>
                <w:sz w:val="16"/>
                <w:szCs w:val="16"/>
              </w:rPr>
              <w:t>s</w:t>
            </w:r>
            <w:r w:rsidR="009668D0">
              <w:rPr>
                <w:rFonts w:ascii="Times New Roman" w:hAnsi="Times New Roman" w:cs="Times New Roman"/>
                <w:bCs w:val="0"/>
                <w:sz w:val="16"/>
                <w:szCs w:val="16"/>
              </w:rPr>
              <w:t xml:space="preserve"> </w:t>
            </w:r>
            <w:r>
              <w:rPr>
                <w:rFonts w:ascii="Times New Roman" w:hAnsi="Times New Roman" w:cs="Times New Roman"/>
                <w:bCs w:val="0"/>
                <w:sz w:val="16"/>
                <w:szCs w:val="16"/>
              </w:rPr>
              <w:t>can be</w:t>
            </w:r>
            <w:r w:rsidR="009668D0">
              <w:rPr>
                <w:rFonts w:ascii="Times New Roman" w:hAnsi="Times New Roman" w:cs="Times New Roman"/>
                <w:sz w:val="16"/>
                <w:szCs w:val="16"/>
              </w:rPr>
              <w:t xml:space="preserve"> rounded down to ~4 </w:t>
            </w:r>
            <w:r w:rsidR="009668D0" w:rsidRPr="007A2A0F">
              <w:rPr>
                <w:rFonts w:ascii="Times New Roman" w:hAnsi="Times New Roman" w:cs="Times New Roman"/>
                <w:sz w:val="16"/>
                <w:szCs w:val="16"/>
              </w:rPr>
              <w:t>µg/kg-bw/day</w:t>
            </w:r>
            <w:r w:rsidR="009668D0">
              <w:rPr>
                <w:rFonts w:ascii="Times New Roman" w:hAnsi="Times New Roman" w:cs="Times New Roman"/>
                <w:sz w:val="16"/>
                <w:szCs w:val="16"/>
              </w:rPr>
              <w:t xml:space="preserve"> MeHg</w:t>
            </w:r>
          </w:p>
        </w:tc>
        <w:tc>
          <w:tcPr>
            <w:tcW w:w="1097" w:type="dxa"/>
            <w:vMerge/>
          </w:tcPr>
          <w:p w14:paraId="1C6B295A" w14:textId="77777777" w:rsidR="00F33158" w:rsidRPr="004646BE" w:rsidRDefault="00F33158" w:rsidP="00180362"/>
        </w:tc>
        <w:tc>
          <w:tcPr>
            <w:tcW w:w="2632" w:type="dxa"/>
          </w:tcPr>
          <w:p w14:paraId="05376610" w14:textId="77777777" w:rsidR="00823459" w:rsidRDefault="00823459" w:rsidP="00823459">
            <w:pPr>
              <w:rPr>
                <w:rFonts w:ascii="Times New Roman" w:hAnsi="Times New Roman" w:cs="Times New Roman"/>
                <w:b/>
                <w:bCs w:val="0"/>
                <w:sz w:val="20"/>
                <w:szCs w:val="20"/>
              </w:rPr>
            </w:pPr>
            <w:r>
              <w:rPr>
                <w:rFonts w:ascii="Times New Roman" w:hAnsi="Times New Roman" w:cs="Times New Roman"/>
                <w:b/>
                <w:bCs w:val="0"/>
                <w:sz w:val="20"/>
                <w:szCs w:val="20"/>
              </w:rPr>
              <w:t>SEG Derived TRV</w:t>
            </w:r>
          </w:p>
          <w:p w14:paraId="10F98BB0" w14:textId="77777777" w:rsidR="00BF7C80" w:rsidRDefault="00F33158" w:rsidP="00F33158">
            <w:pPr>
              <w:rPr>
                <w:rFonts w:ascii="Times New Roman" w:hAnsi="Times New Roman" w:cs="Times New Roman"/>
                <w:sz w:val="20"/>
                <w:szCs w:val="20"/>
              </w:rPr>
            </w:pPr>
            <w:r w:rsidRPr="004C34BF">
              <w:rPr>
                <w:rFonts w:ascii="Times New Roman" w:hAnsi="Times New Roman" w:cs="Times New Roman"/>
                <w:b/>
                <w:sz w:val="20"/>
                <w:szCs w:val="20"/>
              </w:rPr>
              <w:t>0.4 µg/kg-bw/day MeHg</w:t>
            </w:r>
            <w:r>
              <w:rPr>
                <w:rFonts w:ascii="Times New Roman" w:hAnsi="Times New Roman" w:cs="Times New Roman"/>
                <w:sz w:val="20"/>
                <w:szCs w:val="20"/>
              </w:rPr>
              <w:t xml:space="preserve"> </w:t>
            </w:r>
          </w:p>
          <w:p w14:paraId="561E2282" w14:textId="523C9C17" w:rsidR="00F33158" w:rsidRPr="004C34BF" w:rsidRDefault="00BF7C80" w:rsidP="00BF7C80">
            <w:pPr>
              <w:rPr>
                <w:b/>
              </w:rPr>
            </w:pPr>
            <w:r w:rsidRPr="00BF7C80">
              <w:rPr>
                <w:rFonts w:ascii="Times New Roman" w:hAnsi="Times New Roman" w:cs="Times New Roman"/>
                <w:sz w:val="16"/>
                <w:szCs w:val="16"/>
              </w:rPr>
              <w:t>(</w:t>
            </w:r>
            <w:r w:rsidR="00F33158" w:rsidRPr="00BF7C80">
              <w:rPr>
                <w:rFonts w:ascii="Times New Roman" w:hAnsi="Times New Roman" w:cs="Times New Roman"/>
                <w:sz w:val="16"/>
                <w:szCs w:val="16"/>
              </w:rPr>
              <w:t>for 70</w:t>
            </w:r>
            <w:r w:rsidR="004A6942">
              <w:rPr>
                <w:rFonts w:ascii="Times New Roman" w:hAnsi="Times New Roman" w:cs="Times New Roman"/>
                <w:sz w:val="16"/>
                <w:szCs w:val="16"/>
              </w:rPr>
              <w:t xml:space="preserve"> </w:t>
            </w:r>
            <w:r w:rsidR="00F33158" w:rsidRPr="00BF7C80">
              <w:rPr>
                <w:rFonts w:ascii="Times New Roman" w:hAnsi="Times New Roman" w:cs="Times New Roman"/>
                <w:sz w:val="16"/>
                <w:szCs w:val="16"/>
              </w:rPr>
              <w:t>kg adult</w:t>
            </w:r>
            <w:r>
              <w:rPr>
                <w:rFonts w:ascii="Times New Roman" w:hAnsi="Times New Roman" w:cs="Times New Roman"/>
                <w:sz w:val="16"/>
                <w:szCs w:val="16"/>
              </w:rPr>
              <w:t xml:space="preserve">, reported on </w:t>
            </w:r>
            <w:r w:rsidR="00F33158" w:rsidRPr="00BF7C80">
              <w:rPr>
                <w:rFonts w:ascii="Times New Roman" w:hAnsi="Times New Roman" w:cs="Times New Roman"/>
                <w:sz w:val="16"/>
                <w:szCs w:val="16"/>
              </w:rPr>
              <w:t>p.277 of the report)</w:t>
            </w:r>
          </w:p>
        </w:tc>
      </w:tr>
    </w:tbl>
    <w:p w14:paraId="0980F52B" w14:textId="22F18BB2" w:rsidR="00B266FE" w:rsidRDefault="002C7C6D" w:rsidP="00B266FE">
      <w:pPr>
        <w:rPr>
          <w:sz w:val="16"/>
          <w:szCs w:val="16"/>
        </w:rPr>
      </w:pPr>
      <w:r>
        <w:rPr>
          <w:sz w:val="16"/>
          <w:szCs w:val="16"/>
          <w:vertAlign w:val="superscript"/>
        </w:rPr>
        <w:t xml:space="preserve">a </w:t>
      </w:r>
      <w:r w:rsidRPr="002C7C6D">
        <w:rPr>
          <w:sz w:val="16"/>
          <w:szCs w:val="16"/>
        </w:rPr>
        <w:t xml:space="preserve">the PoD in hair was also reported as 60 µg/g THg in Table 14.1 of p.269 </w:t>
      </w:r>
      <w:r w:rsidR="00B9739E">
        <w:rPr>
          <w:sz w:val="16"/>
          <w:szCs w:val="16"/>
        </w:rPr>
        <w:t>and p.290</w:t>
      </w:r>
      <w:r w:rsidRPr="002C7C6D">
        <w:rPr>
          <w:sz w:val="16"/>
          <w:szCs w:val="16"/>
        </w:rPr>
        <w:t xml:space="preserve"> of the </w:t>
      </w:r>
      <w:r w:rsidR="00B9739E">
        <w:rPr>
          <w:sz w:val="16"/>
          <w:szCs w:val="16"/>
        </w:rPr>
        <w:t xml:space="preserve">SEG </w:t>
      </w:r>
      <w:r w:rsidRPr="002C7C6D">
        <w:rPr>
          <w:sz w:val="16"/>
          <w:szCs w:val="16"/>
        </w:rPr>
        <w:t>report</w:t>
      </w:r>
    </w:p>
    <w:p w14:paraId="3754B061" w14:textId="2ED85EE9" w:rsidR="002C7C6D" w:rsidRPr="002C7C6D" w:rsidRDefault="002C7C6D" w:rsidP="00B266FE">
      <w:pPr>
        <w:rPr>
          <w:sz w:val="16"/>
          <w:szCs w:val="16"/>
        </w:rPr>
      </w:pPr>
      <w:r>
        <w:rPr>
          <w:sz w:val="16"/>
          <w:szCs w:val="16"/>
          <w:vertAlign w:val="superscript"/>
        </w:rPr>
        <w:t xml:space="preserve">b </w:t>
      </w:r>
      <w:r w:rsidRPr="002C7C6D">
        <w:rPr>
          <w:sz w:val="16"/>
          <w:szCs w:val="16"/>
        </w:rPr>
        <w:t xml:space="preserve">also reported as a TRV </w:t>
      </w:r>
      <w:r w:rsidR="00F10CEC">
        <w:rPr>
          <w:sz w:val="16"/>
          <w:szCs w:val="16"/>
        </w:rPr>
        <w:t>in hair</w:t>
      </w:r>
      <w:r w:rsidRPr="002C7C6D">
        <w:rPr>
          <w:sz w:val="16"/>
          <w:szCs w:val="16"/>
        </w:rPr>
        <w:t xml:space="preserve"> of 6 µg/g THg on p.</w:t>
      </w:r>
      <w:r w:rsidR="00527B9F">
        <w:rPr>
          <w:sz w:val="16"/>
          <w:szCs w:val="16"/>
        </w:rPr>
        <w:t xml:space="preserve">30, </w:t>
      </w:r>
      <w:r w:rsidRPr="002C7C6D">
        <w:rPr>
          <w:sz w:val="16"/>
          <w:szCs w:val="16"/>
        </w:rPr>
        <w:t>p.277</w:t>
      </w:r>
      <w:r w:rsidR="00527B9F">
        <w:rPr>
          <w:sz w:val="16"/>
          <w:szCs w:val="16"/>
        </w:rPr>
        <w:t>,</w:t>
      </w:r>
      <w:r w:rsidRPr="002C7C6D">
        <w:rPr>
          <w:sz w:val="16"/>
          <w:szCs w:val="16"/>
        </w:rPr>
        <w:t xml:space="preserve"> </w:t>
      </w:r>
      <w:r w:rsidR="00B9739E">
        <w:rPr>
          <w:sz w:val="16"/>
          <w:szCs w:val="16"/>
        </w:rPr>
        <w:t>and p.290</w:t>
      </w:r>
      <w:r w:rsidRPr="002C7C6D">
        <w:rPr>
          <w:sz w:val="16"/>
          <w:szCs w:val="16"/>
        </w:rPr>
        <w:t xml:space="preserve"> of the </w:t>
      </w:r>
      <w:r w:rsidR="00B9739E">
        <w:rPr>
          <w:sz w:val="16"/>
          <w:szCs w:val="16"/>
        </w:rPr>
        <w:t xml:space="preserve">SEG </w:t>
      </w:r>
      <w:r w:rsidRPr="002C7C6D">
        <w:rPr>
          <w:sz w:val="16"/>
          <w:szCs w:val="16"/>
        </w:rPr>
        <w:t>report</w:t>
      </w:r>
    </w:p>
    <w:p w14:paraId="62CAB190" w14:textId="77777777" w:rsidR="006430F4" w:rsidRDefault="006430F4" w:rsidP="00B266FE"/>
    <w:p w14:paraId="69560002" w14:textId="77777777" w:rsidR="0093007C" w:rsidRPr="00B266FE" w:rsidRDefault="0093007C" w:rsidP="00B266FE"/>
    <w:p w14:paraId="5876CD8F" w14:textId="6F968086" w:rsidR="005E1AAB" w:rsidRDefault="00534EB9" w:rsidP="0041219F">
      <w:pPr>
        <w:pStyle w:val="Heading1"/>
      </w:pPr>
      <w:r w:rsidRPr="00534EB9">
        <w:t xml:space="preserve">JECFA </w:t>
      </w:r>
      <w:r w:rsidR="005A395D">
        <w:t>(</w:t>
      </w:r>
      <w:r w:rsidR="005A395D" w:rsidRPr="00534EB9">
        <w:t>1972</w:t>
      </w:r>
      <w:r w:rsidR="005A395D">
        <w:t>-1989)</w:t>
      </w:r>
    </w:p>
    <w:p w14:paraId="1B834280" w14:textId="77777777" w:rsidR="005E1AAB" w:rsidRDefault="005E1AAB" w:rsidP="005E1AAB"/>
    <w:p w14:paraId="78A8D84F" w14:textId="4DA5AE35" w:rsidR="00567357" w:rsidRPr="00567357" w:rsidRDefault="00567357" w:rsidP="00567357">
      <w:pPr>
        <w:ind w:left="57" w:right="57"/>
        <w:rPr>
          <w:rFonts w:eastAsia="Calibri"/>
          <w:kern w:val="0"/>
          <w14:ligatures w14:val="none"/>
        </w:rPr>
      </w:pPr>
      <w:r w:rsidRPr="00567357">
        <w:rPr>
          <w:rFonts w:eastAsia="Calibri"/>
          <w:kern w:val="0"/>
          <w14:ligatures w14:val="none"/>
        </w:rPr>
        <w:t xml:space="preserve">The Joint FAO/WHO Expert Committee on Food Additives (JECFA) concluded </w:t>
      </w:r>
      <w:r w:rsidR="00191404">
        <w:rPr>
          <w:rFonts w:eastAsia="Calibri"/>
          <w:kern w:val="0"/>
          <w14:ligatures w14:val="none"/>
        </w:rPr>
        <w:t>at its 16</w:t>
      </w:r>
      <w:r w:rsidR="00191404" w:rsidRPr="00A1795F">
        <w:rPr>
          <w:rFonts w:eastAsia="Calibri"/>
          <w:kern w:val="0"/>
          <w:vertAlign w:val="superscript"/>
          <w14:ligatures w14:val="none"/>
        </w:rPr>
        <w:t>th</w:t>
      </w:r>
      <w:r w:rsidR="00191404">
        <w:rPr>
          <w:rFonts w:eastAsia="Calibri"/>
          <w:kern w:val="0"/>
          <w14:ligatures w14:val="none"/>
        </w:rPr>
        <w:t xml:space="preserve"> meeting </w:t>
      </w:r>
      <w:r w:rsidRPr="00567357">
        <w:rPr>
          <w:rFonts w:eastAsia="Calibri"/>
          <w:kern w:val="0"/>
          <w14:ligatures w14:val="none"/>
        </w:rPr>
        <w:t xml:space="preserve">that </w:t>
      </w:r>
      <w:r w:rsidRPr="40BEC1F5">
        <w:rPr>
          <w:rFonts w:eastAsia="Calibri"/>
          <w:i/>
          <w:iCs/>
          <w:kern w:val="0"/>
          <w14:ligatures w14:val="none"/>
        </w:rPr>
        <w:t>“The lowest mercury levels associated with the onset of clinical disease have been reported to be 50 µg/g in hair and 0.2 µg/g in whole blood</w:t>
      </w:r>
      <w:r w:rsidR="00DB25DC">
        <w:rPr>
          <w:rFonts w:eastAsia="Calibri"/>
          <w:i/>
          <w:iCs/>
          <w:kern w:val="0"/>
          <w14:ligatures w14:val="none"/>
        </w:rPr>
        <w:t xml:space="preserve"> </w:t>
      </w:r>
      <w:r w:rsidR="00DB25DC" w:rsidRPr="008E3958">
        <w:rPr>
          <w:rStyle w:val="FootnoteReference"/>
        </w:rPr>
        <w:footnoteReference w:id="4"/>
      </w:r>
      <w:r w:rsidRPr="40BEC1F5">
        <w:rPr>
          <w:rFonts w:eastAsia="Calibri"/>
          <w:i/>
          <w:iCs/>
          <w:kern w:val="0"/>
          <w14:ligatures w14:val="none"/>
        </w:rPr>
        <w:t xml:space="preserve">, corresponding to 0.4 µg/g in blood cells. These levels would seem to represent individuals on the lower end of a distribution curve of methylmercury levels in blood and hair in the population exposed in Niigata”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1972)</w:t>
      </w:r>
      <w:r w:rsidRPr="00567357">
        <w:rPr>
          <w:rFonts w:eastAsia="Calibri"/>
          <w:kern w:val="0"/>
          <w14:ligatures w14:val="none"/>
        </w:rPr>
        <w:fldChar w:fldCharType="end"/>
      </w:r>
      <w:r w:rsidRPr="00567357">
        <w:rPr>
          <w:rFonts w:eastAsia="Calibri"/>
          <w:kern w:val="0"/>
          <w14:ligatures w14:val="none"/>
        </w:rPr>
        <w:t>. This conclusion was principally</w:t>
      </w:r>
      <w:r w:rsidRPr="40BEC1F5">
        <w:rPr>
          <w:rFonts w:eastAsia="Calibri"/>
          <w:i/>
          <w:iCs/>
          <w:kern w:val="0"/>
          <w14:ligatures w14:val="none"/>
        </w:rPr>
        <w:t xml:space="preserve"> </w:t>
      </w:r>
      <w:r w:rsidRPr="00567357">
        <w:rPr>
          <w:rFonts w:eastAsia="Calibri"/>
          <w:kern w:val="0"/>
          <w14:ligatures w14:val="none"/>
        </w:rPr>
        <w:t>based on data o</w:t>
      </w:r>
      <w:r w:rsidR="566540DC" w:rsidRPr="00567357">
        <w:rPr>
          <w:rFonts w:eastAsia="Calibri"/>
          <w:kern w:val="0"/>
          <w14:ligatures w14:val="none"/>
        </w:rPr>
        <w:t>f</w:t>
      </w:r>
      <w:r w:rsidRPr="00567357">
        <w:rPr>
          <w:rFonts w:eastAsia="Calibri"/>
          <w:kern w:val="0"/>
          <w14:ligatures w14:val="none"/>
        </w:rPr>
        <w:t xml:space="preserve"> adult poisoning cases from Niigata, Japan from an unpublished report by Tsubaki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{"citationItems":[{"id":"ITEM-1","itemData":{"author":[{"dropping-particle":"","family":"Tsubaki","given":"T.","non-dropping-particle":"","parse-names":false,"suffix":""}],"id":"ITEM-1","issued":{"date-parts":[["1972"]]},"title":"Paper submitted to WHO (unpublished, cited in FAO-WHO 1972)","type":"report"},"suppress-author":1,"uris":["http://www.mendeley.com/documents/?uuid=d2796f91-6abd-4e24-a150-078f887229ed"]}],"mendeley":{"formattedCitation":"(1972)","plainTextFormattedCitation":"(1972)","previouslyFormattedCitation":"(1972)"},"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(1972)</w:t>
      </w:r>
      <w:r w:rsidRPr="00567357">
        <w:rPr>
          <w:rFonts w:eastAsia="Calibri"/>
          <w:kern w:val="0"/>
          <w14:ligatures w14:val="none"/>
        </w:rPr>
        <w:fldChar w:fldCharType="end"/>
      </w:r>
      <w:r w:rsidRPr="00567357">
        <w:rPr>
          <w:rFonts w:eastAsia="Calibri"/>
          <w:kern w:val="0"/>
          <w14:ligatures w14:val="none"/>
        </w:rPr>
        <w:t xml:space="preserve"> submitted to JECFA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1972)</w:t>
      </w:r>
      <w:r w:rsidRPr="00567357">
        <w:rPr>
          <w:rFonts w:eastAsia="Calibri"/>
          <w:kern w:val="0"/>
          <w14:ligatures w14:val="none"/>
        </w:rPr>
        <w:fldChar w:fldCharType="end"/>
      </w:r>
      <w:r w:rsidRPr="00567357">
        <w:rPr>
          <w:rFonts w:eastAsia="Calibri"/>
          <w:kern w:val="0"/>
          <w14:ligatures w14:val="none"/>
        </w:rPr>
        <w:t xml:space="preserve">. The JECFA committee further determined, based on regression equations by Kojima &amp; Araki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Kojima","given":"K.","non-dropping-particle":"","parse-names":false,"suffix":""},{"dropping-particle":"","family":"Araki","given":"T.","non-dropping-particle":"","parse-names":false,"suffix":""}],"id":"ITEM-1","issued":{"date-parts":[["1972"]]},"title":"Paper submitted to WHO (unpublished, cited in FAO-WHO 1972)","type":"report"},"suppress-author":1,"uris":["http://www.mendeley.com/documents/?uuid=f95b3c0f-235a-490e-b64c-a9038cc03dbf"]}],"mendeley":{"formattedCitation":"(1972)","plainTextFormattedCitation":"(1972)","previouslyFormattedCitation":"(1972)"},"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(1972)</w:t>
      </w:r>
      <w:r w:rsidRPr="00567357">
        <w:rPr>
          <w:rFonts w:eastAsia="Calibri"/>
          <w:kern w:val="0"/>
          <w14:ligatures w14:val="none"/>
        </w:rPr>
        <w:fldChar w:fldCharType="end"/>
      </w:r>
      <w:r w:rsidRPr="00567357">
        <w:rPr>
          <w:rFonts w:eastAsia="Calibri"/>
          <w:kern w:val="0"/>
          <w14:ligatures w14:val="none"/>
        </w:rPr>
        <w:t xml:space="preserve"> </w:t>
      </w:r>
      <w:r w:rsidRPr="00567357">
        <w:rPr>
          <w:rFonts w:eastAsia="Calibri"/>
          <w:kern w:val="0"/>
          <w14:ligatures w14:val="none"/>
        </w:rPr>
        <w:lastRenderedPageBreak/>
        <w:t xml:space="preserve">and Birke et al.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Birke","given":"G","non-dropping-particle":"","parse-names":false,"suffix":""},{"dropping-particle":"","family":"Johnels","given":"AG","non-dropping-particle":"","parse-names":false,"suffix":""},{"dropping-particle":"","family":"Plantin","given":"LO","non-dropping-particle":"","parse-names":false,"suffix":""},{"dropping-particle":"","family":"Sjostrand","given":"B","non-dropping-particle":"","parse-names":false,"suffix":""},{"dropping-particle":"","family":"Westermark","given":"T","non-dropping-particle":"","parse-names":false,"suffix":""}],"container-title":"Lakartidningen","id":"ITEM-1","issued":{"date-parts":[["1967"]]},"page":"3628-3637","title":"Mercury poisoning through eating fish?","type":"article-journal","volume":"64"},"suppress-author":1,"uris":["http://www.mendeley.com/documents/?uuid=9d2f0b14-6159-41e5-adcb-79fae5461161"]}],"mendeley":{"formattedCitation":"(1967)","plainTextFormattedCitation":"(1967)","previouslyFormattedCitation":"(1967)"},"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(1967)</w:t>
      </w:r>
      <w:r w:rsidRPr="00567357">
        <w:rPr>
          <w:rFonts w:eastAsia="Calibri"/>
          <w:kern w:val="0"/>
          <w14:ligatures w14:val="none"/>
        </w:rPr>
        <w:fldChar w:fldCharType="end"/>
      </w:r>
      <w:r w:rsidRPr="00567357">
        <w:rPr>
          <w:rFonts w:eastAsia="Calibri"/>
          <w:kern w:val="0"/>
          <w14:ligatures w14:val="none"/>
        </w:rPr>
        <w:t xml:space="preserve">, that the </w:t>
      </w:r>
      <w:r w:rsidR="004500A1">
        <w:rPr>
          <w:rFonts w:eastAsia="Calibri"/>
          <w:kern w:val="0"/>
          <w14:ligatures w14:val="none"/>
        </w:rPr>
        <w:t>PoD</w:t>
      </w:r>
      <w:r w:rsidRPr="00567357">
        <w:rPr>
          <w:rFonts w:eastAsia="Calibri"/>
          <w:kern w:val="0"/>
          <w14:ligatures w14:val="none"/>
        </w:rPr>
        <w:t xml:space="preserve"> in tissue biomarkers represented an oral daily intake (</w:t>
      </w:r>
      <w:r w:rsidR="004500A1">
        <w:rPr>
          <w:rFonts w:eastAsia="Calibri"/>
          <w:kern w:val="0"/>
          <w14:ligatures w14:val="none"/>
        </w:rPr>
        <w:t>PoD</w:t>
      </w:r>
      <w:r w:rsidRPr="00567357">
        <w:rPr>
          <w:rFonts w:eastAsia="Calibri"/>
          <w:kern w:val="0"/>
          <w14:ligatures w14:val="none"/>
        </w:rPr>
        <w:t>) of approximately 300 µg/day</w:t>
      </w:r>
      <w:r w:rsidRPr="008E3958">
        <w:rPr>
          <w:rStyle w:val="FootnoteReference"/>
        </w:rPr>
        <w:footnoteReference w:id="5"/>
      </w:r>
      <w:r w:rsidRPr="00567357">
        <w:rPr>
          <w:rFonts w:eastAsia="Calibri"/>
          <w:kern w:val="0"/>
          <w14:ligatures w14:val="none"/>
        </w:rPr>
        <w:t xml:space="preserve"> MeHg (reported as 0.3 mg/day “mainly as methylmercury compounds”)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1972)</w:t>
      </w:r>
      <w:r w:rsidRPr="00567357">
        <w:rPr>
          <w:rFonts w:eastAsia="Calibri"/>
          <w:kern w:val="0"/>
          <w14:ligatures w14:val="none"/>
        </w:rPr>
        <w:fldChar w:fldCharType="end"/>
      </w:r>
      <w:r w:rsidRPr="00567357">
        <w:rPr>
          <w:rFonts w:eastAsia="Calibri"/>
          <w:kern w:val="0"/>
          <w14:ligatures w14:val="none"/>
        </w:rPr>
        <w:t xml:space="preserve">. Although not explicitly reported by JECFA, this per person daily oral </w:t>
      </w:r>
      <w:r w:rsidR="004500A1">
        <w:rPr>
          <w:rFonts w:eastAsia="Calibri"/>
          <w:kern w:val="0"/>
          <w14:ligatures w14:val="none"/>
        </w:rPr>
        <w:t>PoD</w:t>
      </w:r>
      <w:r w:rsidRPr="00567357">
        <w:rPr>
          <w:rFonts w:eastAsia="Calibri"/>
          <w:kern w:val="0"/>
          <w14:ligatures w14:val="none"/>
        </w:rPr>
        <w:t xml:space="preserve"> can also be expressed as a per person weekly </w:t>
      </w:r>
      <w:r w:rsidR="004500A1">
        <w:rPr>
          <w:rFonts w:eastAsia="Calibri"/>
          <w:kern w:val="0"/>
          <w14:ligatures w14:val="none"/>
        </w:rPr>
        <w:t>PoD</w:t>
      </w:r>
      <w:r w:rsidRPr="00567357">
        <w:rPr>
          <w:rFonts w:eastAsia="Calibri"/>
          <w:kern w:val="0"/>
          <w14:ligatures w14:val="none"/>
        </w:rPr>
        <w:t xml:space="preserve"> of 2100 µg/week MeHg (i.e. 300 µg/day * 7</w:t>
      </w:r>
      <w:r w:rsidR="3A74F342" w:rsidRPr="00567357">
        <w:rPr>
          <w:rFonts w:eastAsia="Calibri"/>
          <w:kern w:val="0"/>
          <w14:ligatures w14:val="none"/>
        </w:rPr>
        <w:t xml:space="preserve"> </w:t>
      </w:r>
      <w:r w:rsidRPr="00567357">
        <w:rPr>
          <w:rFonts w:eastAsia="Calibri"/>
          <w:kern w:val="0"/>
          <w14:ligatures w14:val="none"/>
        </w:rPr>
        <w:t xml:space="preserve">days/week). Based on this estimated oral </w:t>
      </w:r>
      <w:r w:rsidR="004500A1">
        <w:rPr>
          <w:rFonts w:eastAsia="Calibri"/>
          <w:kern w:val="0"/>
          <w14:ligatures w14:val="none"/>
        </w:rPr>
        <w:t>PoD</w:t>
      </w:r>
      <w:r w:rsidRPr="00567357">
        <w:rPr>
          <w:rFonts w:eastAsia="Calibri"/>
          <w:kern w:val="0"/>
          <w14:ligatures w14:val="none"/>
        </w:rPr>
        <w:t xml:space="preserve">, the JECFA committee derived the first “provisional” tolerable weekly intake (pTWI) of 300 µg/week THg of which no more than 200 µg/week should be present as MeHg (i.e. two thirds as MeHg)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1972)</w:t>
      </w:r>
      <w:r w:rsidRPr="00567357">
        <w:rPr>
          <w:rFonts w:eastAsia="Calibri"/>
          <w:kern w:val="0"/>
          <w14:ligatures w14:val="none"/>
        </w:rPr>
        <w:fldChar w:fldCharType="end"/>
      </w:r>
      <w:r w:rsidRPr="00567357">
        <w:rPr>
          <w:rFonts w:eastAsia="Calibri"/>
          <w:kern w:val="0"/>
          <w14:ligatures w14:val="none"/>
        </w:rPr>
        <w:t xml:space="preserve">. While not explicitly stated, it is inferred that an uncertainty factor (UF) of 10 was used for derivation of the pTWI (i.e. [2100 µg/week MeHg]/[200 µg/week MeHg] ≈ 10). </w:t>
      </w:r>
    </w:p>
    <w:p w14:paraId="007F3F9F" w14:textId="77777777" w:rsidR="00567357" w:rsidRPr="00567357" w:rsidRDefault="00567357" w:rsidP="00567357">
      <w:pPr>
        <w:ind w:left="57" w:right="57"/>
        <w:rPr>
          <w:rFonts w:eastAsia="Calibri"/>
          <w:kern w:val="0"/>
          <w14:ligatures w14:val="none"/>
        </w:rPr>
      </w:pPr>
    </w:p>
    <w:p w14:paraId="2CB8600C" w14:textId="11284CCB" w:rsidR="00567357" w:rsidRPr="00567357" w:rsidRDefault="00567357" w:rsidP="00567357">
      <w:pPr>
        <w:ind w:left="57" w:right="57"/>
        <w:rPr>
          <w:rFonts w:eastAsia="Calibri"/>
          <w:kern w:val="0"/>
          <w14:ligatures w14:val="none"/>
        </w:rPr>
      </w:pPr>
      <w:r w:rsidRPr="00567357">
        <w:rPr>
          <w:rFonts w:eastAsia="Calibri"/>
          <w:kern w:val="0"/>
          <w14:ligatures w14:val="none"/>
        </w:rPr>
        <w:t xml:space="preserve">At a subsequent meeting of JECFA, the per person pTWIs for THg and MeHg </w:t>
      </w:r>
      <w:r w:rsidR="1F4D18EF" w:rsidRPr="00567357">
        <w:rPr>
          <w:rFonts w:eastAsia="Calibri"/>
          <w:kern w:val="0"/>
          <w14:ligatures w14:val="none"/>
        </w:rPr>
        <w:t>were</w:t>
      </w:r>
      <w:r w:rsidRPr="00567357">
        <w:rPr>
          <w:rFonts w:eastAsia="Calibri"/>
          <w:kern w:val="0"/>
          <w14:ligatures w14:val="none"/>
        </w:rPr>
        <w:t xml:space="preserve"> expressed on a body weight basis for a 60 kg adult and reported as 5.0 µg/kg bw/week THg and 3.3 µg/kg bw/week MeHg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{"citationItems":[{"id":"ITEM-1","itemData":{"author":[{"dropping-particle":"","family":"FAO/WHO","given":"","non-dropping-particle":"","parse-names":false,"suffix":""}],"id":"ITEM-1","issued":{"date-parts":[["1989"]]},"number-of-pages":"33-34","title":"Methylmercury. Toxicological evaluation of certain food additives and contaminants. (FAS 24) WHO Food Additives Series, No. 24. Cambridge University Press, 1989, nos 651-664 (Thirty-third report of the Joint FAO/WHO Expert Committee on Food Additives).","type":"report"},"uris":["http://www.mendeley.com/documents/?uuid=99126b9a-1234-4fd2-8e8e-b6b3dcc63a69"]}],"mendeley":{"formattedCitation":"(FAO/WHO, 1989)","plainTextFormattedCitation":"(FAO/WHO, 1989)","previouslyFormattedCitation":"(FAO/WHO, 1989)"},"properties":{"noteIndex":0},"schema":"https://github.com/citation-style-language/schema/raw/master/csl-citation.json"}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1989)</w:t>
      </w:r>
      <w:r w:rsidRPr="00567357">
        <w:rPr>
          <w:rFonts w:eastAsia="Calibri"/>
          <w:kern w:val="0"/>
          <w14:ligatures w14:val="none"/>
        </w:rPr>
        <w:fldChar w:fldCharType="end"/>
      </w:r>
      <w:r w:rsidRPr="00567357">
        <w:rPr>
          <w:rFonts w:eastAsia="Calibri"/>
          <w:kern w:val="0"/>
          <w14:ligatures w14:val="none"/>
        </w:rPr>
        <w:t>. While not explicitly reported by JECFA, the per body weight pTWIs can be also expressed as equivalent TDI of 0.714 µg/kg bw/day THg or 0.476 µg/kg bw/day MeHg</w:t>
      </w:r>
      <w:r w:rsidR="00C27AE9">
        <w:rPr>
          <w:rFonts w:eastAsia="Calibri"/>
          <w:kern w:val="0"/>
          <w14:ligatures w14:val="none"/>
        </w:rPr>
        <w:t>,</w:t>
      </w:r>
      <w:r w:rsidRPr="00567357">
        <w:rPr>
          <w:rFonts w:eastAsia="Calibri"/>
          <w:kern w:val="0"/>
          <w14:ligatures w14:val="none"/>
        </w:rPr>
        <w:t xml:space="preserve"> which are frequently cited in secondary sources </w:t>
      </w:r>
      <w:r w:rsidRPr="00567357">
        <w:rPr>
          <w:rFonts w:eastAsia="Calibri"/>
          <w:kern w:val="0"/>
          <w14:ligatures w14:val="none"/>
        </w:rPr>
        <w:fldChar w:fldCharType="begin" w:fldLock="1"/>
      </w:r>
      <w:r w:rsidR="00F11FBB">
        <w:rPr>
          <w:rFonts w:eastAsia="Calibri"/>
          <w:kern w:val="0"/>
          <w14:ligatures w14:val="none"/>
        </w:rPr>
        <w:instrText>ADDIN CSL_CITATION {"citationItems":[{"id":"ITEM-1","itemData":{"author":[{"dropping-particle":"","family":"Health Canada","given":"","non-dropping-particle":"","parse-names":false,"suffix":""}],"id":"ITEM-1","issued":{"date-parts":[["2007"]]},"number-of-pages":"76","title":"Human Health Risk Assessment of Mercury in Fish and Health Benefits of Fish Consumption. (Bureau of Chemical Safety, Food Directorate, Health Products and Food Branch)","type":"report"},"uris":["http://www.mendeley.com/documents/?uuid=166e86a5-647a-4b9c-b6a7-5ba3b350708d"]}],"mendeley":{"formattedCitation":"(Health Canada, 2007)","plainTextFormattedCitation":"(Health Canada, 2007)","previouslyFormattedCitation":"(Health Canada, 2007)"},"properties":{"noteIndex":0},"schema":"https://github.com/citation-style-language/schema/raw/master/csl-citation.json"}</w:instrText>
      </w:r>
      <w:r w:rsidRPr="00567357">
        <w:rPr>
          <w:rFonts w:eastAsia="Calibri"/>
          <w:kern w:val="0"/>
          <w14:ligatures w14:val="none"/>
        </w:rPr>
        <w:fldChar w:fldCharType="separate"/>
      </w:r>
      <w:r w:rsidR="00514792" w:rsidRPr="00514792">
        <w:rPr>
          <w:rFonts w:eastAsia="Calibri"/>
          <w:noProof/>
          <w:kern w:val="0"/>
          <w14:ligatures w14:val="none"/>
        </w:rPr>
        <w:t>(Health Canada, 2007)</w:t>
      </w:r>
      <w:r w:rsidRPr="00567357">
        <w:rPr>
          <w:rFonts w:eastAsia="Calibri"/>
          <w:kern w:val="0"/>
          <w14:ligatures w14:val="none"/>
        </w:rPr>
        <w:fldChar w:fldCharType="end"/>
      </w:r>
      <w:r w:rsidRPr="00567357">
        <w:rPr>
          <w:rFonts w:eastAsia="Calibri"/>
          <w:kern w:val="0"/>
          <w14:ligatures w14:val="none"/>
        </w:rPr>
        <w:t>. While the JECFA report included some limited data from Minamata Bay of exposed mothers who gave birth to children exhibiting cerebral palsy-like symptoms and severe mental disability, the dose-response was not characterized nor was an effect level selected for sensitive subpopulations</w:t>
      </w:r>
      <w:r w:rsidR="000E15DB">
        <w:rPr>
          <w:rFonts w:eastAsia="Calibri"/>
          <w:kern w:val="0"/>
          <w14:ligatures w14:val="none"/>
        </w:rPr>
        <w:t>,</w:t>
      </w:r>
      <w:r w:rsidRPr="00567357">
        <w:rPr>
          <w:rFonts w:eastAsia="Calibri"/>
          <w:kern w:val="0"/>
          <w14:ligatures w14:val="none"/>
        </w:rPr>
        <w:t xml:space="preserve"> including fetal exposure. Therefore, the JECFA </w:t>
      </w:r>
      <w:r w:rsidR="004500A1">
        <w:rPr>
          <w:rFonts w:eastAsia="Calibri"/>
          <w:kern w:val="0"/>
          <w14:ligatures w14:val="none"/>
        </w:rPr>
        <w:t>PoD</w:t>
      </w:r>
      <w:r w:rsidRPr="00567357">
        <w:rPr>
          <w:rFonts w:eastAsia="Calibri"/>
          <w:kern w:val="0"/>
          <w14:ligatures w14:val="none"/>
        </w:rPr>
        <w:t xml:space="preserve">s, pTWIs and pTDIs were considered to apply to the whole population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1972)</w:t>
      </w:r>
      <w:r w:rsidRPr="00567357">
        <w:rPr>
          <w:rFonts w:eastAsia="Calibri"/>
          <w:kern w:val="0"/>
          <w14:ligatures w14:val="none"/>
        </w:rPr>
        <w:fldChar w:fldCharType="end"/>
      </w:r>
      <w:r w:rsidRPr="00567357">
        <w:rPr>
          <w:rFonts w:eastAsia="Calibri"/>
          <w:kern w:val="0"/>
          <w14:ligatures w14:val="none"/>
        </w:rPr>
        <w:t xml:space="preserve">. These </w:t>
      </w:r>
      <w:r w:rsidR="004500A1">
        <w:rPr>
          <w:rFonts w:eastAsia="Calibri"/>
          <w:kern w:val="0"/>
          <w14:ligatures w14:val="none"/>
        </w:rPr>
        <w:t>PoD</w:t>
      </w:r>
      <w:r w:rsidRPr="00567357">
        <w:rPr>
          <w:rFonts w:eastAsia="Calibri"/>
          <w:kern w:val="0"/>
          <w14:ligatures w14:val="none"/>
        </w:rPr>
        <w:t>s and TRVs for neurologic</w:t>
      </w:r>
      <w:r w:rsidR="00A75BC8">
        <w:rPr>
          <w:rFonts w:eastAsia="Calibri"/>
          <w:kern w:val="0"/>
          <w14:ligatures w14:val="none"/>
        </w:rPr>
        <w:t>al</w:t>
      </w:r>
      <w:r w:rsidRPr="00567357">
        <w:rPr>
          <w:rFonts w:eastAsia="Calibri"/>
          <w:kern w:val="0"/>
          <w14:ligatures w14:val="none"/>
        </w:rPr>
        <w:t xml:space="preserve"> effects in adults were subsequently reaffirmed in the 33</w:t>
      </w:r>
      <w:r w:rsidRPr="00567357">
        <w:rPr>
          <w:rFonts w:eastAsia="Calibri"/>
          <w:kern w:val="0"/>
          <w:vertAlign w:val="superscript"/>
          <w14:ligatures w14:val="none"/>
        </w:rPr>
        <w:t>rd</w:t>
      </w:r>
      <w:r w:rsidRPr="00567357">
        <w:rPr>
          <w:rFonts w:eastAsia="Calibri"/>
          <w:kern w:val="0"/>
          <w14:ligatures w14:val="none"/>
        </w:rPr>
        <w:t xml:space="preserve"> meeting of JECFA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{"citationItems":[{"id":"ITEM-1","itemData":{"author":[{"dropping-particle":"","family":"FAO/WHO","given":"","non-dropping-particle":"","parse-names":false,"suffix":""}],"id":"ITEM-1","issued":{"date-parts":[["1989"]]},"number-of-pages":"33-34","title":"Methylmercury. Toxicological evaluation of certain food additives and contaminants. (FAS 24) WHO Food Additives Series, No. 24. Cambridge University Press, 1989, nos 651-664 (Thirty-third report of the Joint FAO/WHO Expert Committee on Food Additives).","type":"report"},"uris":["http://www.mendeley.com/documents/?uuid=99126b9a-1234-4fd2-8e8e-b6b3dcc63a69"]}],"mendeley":{"formattedCitation":"(FAO/WHO, 1989)","plainTextFormattedCitation":"(FAO/WHO, 1989)","previouslyFormattedCitation":"(FAO/WHO, 1989)"},"properties":{"noteIndex":0},"schema":"https://github.com/citation-style-language/schema/raw/master/csl-citation.json"}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1989)</w:t>
      </w:r>
      <w:r w:rsidRPr="00567357">
        <w:rPr>
          <w:rFonts w:eastAsia="Calibri"/>
          <w:kern w:val="0"/>
          <w14:ligatures w14:val="none"/>
        </w:rPr>
        <w:fldChar w:fldCharType="end"/>
      </w:r>
      <w:r w:rsidRPr="00567357">
        <w:rPr>
          <w:rFonts w:eastAsia="Calibri"/>
          <w:kern w:val="0"/>
          <w14:ligatures w14:val="none"/>
        </w:rPr>
        <w:t xml:space="preserve">. While JECFA later derived lower </w:t>
      </w:r>
      <w:r w:rsidR="004500A1">
        <w:rPr>
          <w:rFonts w:eastAsia="Calibri"/>
          <w:kern w:val="0"/>
          <w14:ligatures w14:val="none"/>
        </w:rPr>
        <w:t>PoD</w:t>
      </w:r>
      <w:r w:rsidRPr="00567357">
        <w:rPr>
          <w:rFonts w:eastAsia="Calibri"/>
          <w:kern w:val="0"/>
          <w14:ligatures w14:val="none"/>
        </w:rPr>
        <w:t xml:space="preserve">s and TRVs for neurodevelopmental effects of prenatal MeHg exposure (see </w:t>
      </w:r>
      <w:r w:rsidRPr="00567357">
        <w:rPr>
          <w:rFonts w:eastAsia="Calibri"/>
          <w:kern w:val="0"/>
          <w14:ligatures w14:val="none"/>
        </w:rPr>
        <w:fldChar w:fldCharType="begin"/>
      </w:r>
      <w:r w:rsidRPr="00567357">
        <w:rPr>
          <w:rFonts w:eastAsia="Calibri"/>
          <w:kern w:val="0"/>
          <w14:ligatures w14:val="none"/>
        </w:rPr>
        <w:instrText xml:space="preserve"> REF _Ref190699314 \h  \* MERGEFORMAT </w:instrText>
      </w:r>
      <w:r w:rsidRPr="00567357">
        <w:rPr>
          <w:rFonts w:eastAsia="Calibri"/>
          <w:kern w:val="0"/>
          <w14:ligatures w14:val="none"/>
        </w:rPr>
      </w:r>
      <w:r w:rsidRPr="00567357">
        <w:rPr>
          <w:rFonts w:eastAsia="Calibri"/>
          <w:kern w:val="0"/>
          <w14:ligatures w14:val="none"/>
        </w:rPr>
        <w:fldChar w:fldCharType="separate"/>
      </w:r>
      <w:r w:rsidRPr="00567357">
        <w:rPr>
          <w:rFonts w:eastAsia="Calibri"/>
          <w:kern w:val="0"/>
          <w14:ligatures w14:val="none"/>
        </w:rPr>
        <w:t xml:space="preserve">Table </w:t>
      </w:r>
      <w:r w:rsidRPr="00567357">
        <w:rPr>
          <w:rFonts w:eastAsia="Calibri"/>
          <w:noProof/>
          <w:kern w:val="0"/>
          <w14:ligatures w14:val="none"/>
        </w:rPr>
        <w:t>1</w:t>
      </w:r>
      <w:r w:rsidRPr="00567357">
        <w:rPr>
          <w:rFonts w:eastAsia="Calibri"/>
          <w:kern w:val="0"/>
          <w14:ligatures w14:val="none"/>
        </w:rPr>
        <w:fldChar w:fldCharType="end"/>
      </w:r>
      <w:r w:rsidRPr="00567357">
        <w:rPr>
          <w:rFonts w:eastAsia="Calibri"/>
          <w:kern w:val="0"/>
          <w14:ligatures w14:val="none"/>
        </w:rPr>
        <w:t xml:space="preserve"> </w:t>
      </w:r>
      <w:r w:rsidR="002B709F">
        <w:rPr>
          <w:rFonts w:eastAsia="Calibri"/>
          <w:kern w:val="0"/>
          <w14:ligatures w14:val="none"/>
        </w:rPr>
        <w:t>of the main paper</w:t>
      </w:r>
      <w:r w:rsidRPr="00567357">
        <w:rPr>
          <w:rFonts w:eastAsia="Calibri"/>
          <w:kern w:val="0"/>
          <w14:ligatures w14:val="none"/>
        </w:rPr>
        <w:t xml:space="preserve">), the committee continued to state </w:t>
      </w:r>
      <w:r w:rsidR="00A10ED8">
        <w:rPr>
          <w:rFonts w:eastAsia="Calibri"/>
          <w:kern w:val="0"/>
          <w14:ligatures w14:val="none"/>
        </w:rPr>
        <w:t>at</w:t>
      </w:r>
      <w:r w:rsidRPr="00567357">
        <w:rPr>
          <w:rFonts w:eastAsia="Calibri"/>
          <w:kern w:val="0"/>
          <w14:ligatures w14:val="none"/>
        </w:rPr>
        <w:t xml:space="preserve"> their 67</w:t>
      </w:r>
      <w:r w:rsidRPr="00567357">
        <w:rPr>
          <w:rFonts w:eastAsia="Calibri"/>
          <w:kern w:val="0"/>
          <w:vertAlign w:val="superscript"/>
          <w14:ligatures w14:val="none"/>
        </w:rPr>
        <w:t>th</w:t>
      </w:r>
      <w:r w:rsidRPr="00567357">
        <w:rPr>
          <w:rFonts w:eastAsia="Calibri"/>
          <w:kern w:val="0"/>
          <w14:ligatures w14:val="none"/>
        </w:rPr>
        <w:t xml:space="preserve"> meeting that the earlier derived </w:t>
      </w:r>
      <w:r w:rsidR="004500A1">
        <w:rPr>
          <w:rFonts w:eastAsia="Calibri"/>
          <w:kern w:val="0"/>
          <w14:ligatures w14:val="none"/>
        </w:rPr>
        <w:t>PoD</w:t>
      </w:r>
      <w:r w:rsidRPr="00567357">
        <w:rPr>
          <w:rFonts w:eastAsia="Calibri"/>
          <w:kern w:val="0"/>
          <w14:ligatures w14:val="none"/>
        </w:rPr>
        <w:t xml:space="preserve">s and TRVs remained “adequate to take account of neurotoxicity” in adults </w:t>
      </w:r>
      <w:r w:rsidRPr="00567357">
        <w:rPr>
          <w:rFonts w:eastAsia="Calibri"/>
          <w:kern w:val="0"/>
          <w14:ligatures w14:val="none"/>
        </w:rPr>
        <w:fldChar w:fldCharType="begin" w:fldLock="1"/>
      </w:r>
      <w:r w:rsidRPr="00567357">
        <w:rPr>
          <w:rFonts w:eastAsia="Calibri"/>
          <w:kern w:val="0"/>
          <w14:ligatures w14:val="none"/>
        </w:rPr>
        <w:instrText>ADDIN CSL_CITATION {"citationItems":[{"id":"ITEM-1","itemData":{"ISBN":"9251055599","author":[{"dropping-particle":"","family":"FAO/WHO","given":"","non-dropping-particle":"","parse-names":false,"suffix":""}],"id":"ITEM-1","issued":{"date-parts":[["2007"]]},"number-of-pages":"269-315","title":"Methylmercury (addendum): Safety evaluation of certain food additives and contaminants. (FAS 58) WHO Food Additive Series 58. Prepared by the Sixty-seventh meeting of the Joint FAO/WHO Expert Committee on Food Additives (JECFA)","type":"report"},"uris":["http://www.mendeley.com/documents/?uuid=12daf5a5-0751-4931-9f9a-37f01d454e4c"]}],"mendeley":{"formattedCitation":"(FAO/WHO, 2007)","plainTextFormattedCitation":"(FAO/WHO, 2007)","previouslyFormattedCitation":"(FAO/WHO, 2007)"},"properties":{"noteIndex":0},"schema":"https://github.com/citation-style-language/schema/raw/master/csl-citation.json"}</w:instrText>
      </w:r>
      <w:r w:rsidRPr="00567357">
        <w:rPr>
          <w:rFonts w:eastAsia="Calibri"/>
          <w:kern w:val="0"/>
          <w14:ligatures w14:val="none"/>
        </w:rPr>
        <w:fldChar w:fldCharType="separate"/>
      </w:r>
      <w:r w:rsidRPr="00567357">
        <w:rPr>
          <w:rFonts w:eastAsia="Calibri"/>
          <w:noProof/>
          <w:kern w:val="0"/>
          <w14:ligatures w14:val="none"/>
        </w:rPr>
        <w:t>(FAO/WHO, 2007)</w:t>
      </w:r>
      <w:r w:rsidRPr="00567357">
        <w:rPr>
          <w:rFonts w:eastAsia="Calibri"/>
          <w:kern w:val="0"/>
          <w14:ligatures w14:val="none"/>
        </w:rPr>
        <w:fldChar w:fldCharType="end"/>
      </w:r>
      <w:r w:rsidRPr="00567357">
        <w:rPr>
          <w:rFonts w:eastAsia="Calibri"/>
          <w:kern w:val="0"/>
          <w14:ligatures w14:val="none"/>
        </w:rPr>
        <w:t>.</w:t>
      </w:r>
    </w:p>
    <w:p w14:paraId="20859359" w14:textId="17C1961F" w:rsidR="008C6941" w:rsidRDefault="008C6941" w:rsidP="1D1BC5C8"/>
    <w:p w14:paraId="1ECEB80E" w14:textId="23E14F54" w:rsidR="00F236B8" w:rsidRDefault="00567357" w:rsidP="1D1BC5C8">
      <w:pPr>
        <w:rPr>
          <w:b/>
          <w:bCs/>
        </w:rPr>
      </w:pPr>
      <w:r w:rsidRPr="002F7639">
        <w:rPr>
          <w:b/>
        </w:rPr>
        <w:t>Table S1.</w:t>
      </w:r>
      <w:r>
        <w:rPr>
          <w:b/>
        </w:rPr>
        <w:t xml:space="preserve">2 PoDs and TRVs for adult neurotoxicity of MeHg </w:t>
      </w:r>
      <w:r w:rsidR="00945BB8">
        <w:rPr>
          <w:b/>
          <w:bCs/>
        </w:rPr>
        <w:t>derived</w:t>
      </w:r>
      <w:r>
        <w:rPr>
          <w:b/>
        </w:rPr>
        <w:t xml:space="preserve"> by JECFA (1972)</w:t>
      </w:r>
      <w:r w:rsidR="00945BB8">
        <w:rPr>
          <w:b/>
          <w:bCs/>
        </w:rPr>
        <w:t xml:space="preserve"> or </w:t>
      </w:r>
      <w:r w:rsidR="00945BB8" w:rsidRPr="00945BB8">
        <w:rPr>
          <w:b/>
          <w:bCs/>
          <w:color w:val="0000FF"/>
        </w:rPr>
        <w:t>inferred by the authors</w:t>
      </w:r>
    </w:p>
    <w:tbl>
      <w:tblPr>
        <w:tblStyle w:val="TableGrid"/>
        <w:tblW w:w="10490" w:type="dxa"/>
        <w:tblInd w:w="-147" w:type="dxa"/>
        <w:tblLayout w:type="fixed"/>
        <w:tblCellMar>
          <w:left w:w="57" w:type="dxa"/>
          <w:right w:w="57" w:type="dxa"/>
        </w:tblCellMar>
        <w:tblLook w:val="04A0" w:firstRow="1" w:lastRow="0" w:firstColumn="1" w:lastColumn="0" w:noHBand="0" w:noVBand="1"/>
      </w:tblPr>
      <w:tblGrid>
        <w:gridCol w:w="991"/>
        <w:gridCol w:w="5010"/>
        <w:gridCol w:w="995"/>
        <w:gridCol w:w="3494"/>
      </w:tblGrid>
      <w:tr w:rsidR="0053182E" w:rsidRPr="00524806" w14:paraId="54F846A5" w14:textId="77777777" w:rsidTr="00343D54">
        <w:trPr>
          <w:tblHeader/>
        </w:trPr>
        <w:tc>
          <w:tcPr>
            <w:tcW w:w="991" w:type="dxa"/>
            <w:shd w:val="clear" w:color="auto" w:fill="D9D9D9" w:themeFill="background1" w:themeFillShade="D9"/>
          </w:tcPr>
          <w:p w14:paraId="3A104FB8"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Exposure Metric</w:t>
            </w:r>
          </w:p>
        </w:tc>
        <w:tc>
          <w:tcPr>
            <w:tcW w:w="5010" w:type="dxa"/>
            <w:shd w:val="clear" w:color="auto" w:fill="D9D9D9" w:themeFill="background1" w:themeFillShade="D9"/>
          </w:tcPr>
          <w:p w14:paraId="1ECF1592" w14:textId="4BB9A48F" w:rsidR="0053182E" w:rsidRPr="00524806" w:rsidRDefault="004500A1" w:rsidP="00F31134">
            <w:pPr>
              <w:widowControl w:val="0"/>
              <w:ind w:left="57" w:right="57"/>
              <w:rPr>
                <w:rFonts w:ascii="Times New Roman" w:hAnsi="Times New Roman" w:cs="Times New Roman"/>
                <w:sz w:val="16"/>
                <w:szCs w:val="16"/>
              </w:rPr>
            </w:pPr>
            <w:r>
              <w:rPr>
                <w:rFonts w:ascii="Times New Roman" w:hAnsi="Times New Roman" w:cs="Times New Roman"/>
                <w:sz w:val="16"/>
                <w:szCs w:val="16"/>
              </w:rPr>
              <w:t>PoD</w:t>
            </w:r>
          </w:p>
        </w:tc>
        <w:tc>
          <w:tcPr>
            <w:tcW w:w="995" w:type="dxa"/>
            <w:shd w:val="clear" w:color="auto" w:fill="D9D9D9" w:themeFill="background1" w:themeFillShade="D9"/>
          </w:tcPr>
          <w:p w14:paraId="097B3FB5"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UF</w:t>
            </w:r>
          </w:p>
        </w:tc>
        <w:tc>
          <w:tcPr>
            <w:tcW w:w="3494" w:type="dxa"/>
            <w:shd w:val="clear" w:color="auto" w:fill="D9D9D9" w:themeFill="background1" w:themeFillShade="D9"/>
          </w:tcPr>
          <w:p w14:paraId="5847C909"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TRV</w:t>
            </w:r>
          </w:p>
        </w:tc>
      </w:tr>
      <w:tr w:rsidR="0053182E" w:rsidRPr="00524806" w14:paraId="7A0825F1" w14:textId="77777777" w:rsidTr="00343D54">
        <w:tc>
          <w:tcPr>
            <w:tcW w:w="991" w:type="dxa"/>
          </w:tcPr>
          <w:p w14:paraId="53BB02C1"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hair</w:t>
            </w:r>
          </w:p>
        </w:tc>
        <w:tc>
          <w:tcPr>
            <w:tcW w:w="5010" w:type="dxa"/>
          </w:tcPr>
          <w:p w14:paraId="67006E65" w14:textId="77777777" w:rsidR="00F33548" w:rsidRPr="002F21E3" w:rsidRDefault="00F33548" w:rsidP="00612FA0">
            <w:pPr>
              <w:widowControl w:val="0"/>
              <w:ind w:left="57" w:right="57"/>
              <w:rPr>
                <w:rFonts w:ascii="Times New Roman" w:hAnsi="Times New Roman" w:cs="Times New Roman"/>
                <w:b/>
                <w:sz w:val="20"/>
                <w:szCs w:val="20"/>
              </w:rPr>
            </w:pPr>
            <w:r w:rsidRPr="002F21E3">
              <w:rPr>
                <w:rFonts w:ascii="Times New Roman" w:hAnsi="Times New Roman" w:cs="Times New Roman"/>
                <w:b/>
                <w:sz w:val="20"/>
                <w:szCs w:val="20"/>
              </w:rPr>
              <w:t>JECFA Derived PoD</w:t>
            </w:r>
          </w:p>
          <w:p w14:paraId="486585A6" w14:textId="77777777" w:rsidR="0053182E" w:rsidRPr="002F21E3" w:rsidRDefault="0053182E" w:rsidP="00F31134">
            <w:pPr>
              <w:widowControl w:val="0"/>
              <w:ind w:left="57" w:right="57"/>
              <w:rPr>
                <w:rFonts w:ascii="Times New Roman" w:hAnsi="Times New Roman" w:cs="Times New Roman"/>
                <w:b/>
                <w:sz w:val="20"/>
                <w:szCs w:val="20"/>
              </w:rPr>
            </w:pPr>
            <w:r w:rsidRPr="002F21E3">
              <w:rPr>
                <w:rFonts w:ascii="Times New Roman" w:hAnsi="Times New Roman" w:cs="Times New Roman"/>
                <w:b/>
                <w:sz w:val="20"/>
                <w:szCs w:val="20"/>
              </w:rPr>
              <w:t>50 µg/g THg</w:t>
            </w:r>
          </w:p>
          <w:p w14:paraId="776CDECD" w14:textId="77777777" w:rsidR="0053182E" w:rsidRDefault="0053182E" w:rsidP="00612FA0">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(lower end of clinical disease from Niigata patients)</w:t>
            </w:r>
          </w:p>
          <w:p w14:paraId="79C4FB7B" w14:textId="7241B0C3" w:rsidR="0053182E" w:rsidRPr="00524806" w:rsidRDefault="0053182E" w:rsidP="00F31134">
            <w:pPr>
              <w:widowControl w:val="0"/>
              <w:ind w:left="57" w:right="57"/>
              <w:rPr>
                <w:rFonts w:ascii="Times New Roman" w:hAnsi="Times New Roman" w:cs="Times New Roman"/>
                <w:sz w:val="16"/>
                <w:szCs w:val="16"/>
              </w:rPr>
            </w:pPr>
          </w:p>
        </w:tc>
        <w:tc>
          <w:tcPr>
            <w:tcW w:w="995" w:type="dxa"/>
            <w:vMerge w:val="restart"/>
          </w:tcPr>
          <w:p w14:paraId="14F09725" w14:textId="77777777" w:rsidR="0053182E" w:rsidRPr="00524806" w:rsidRDefault="0053182E" w:rsidP="00F31134">
            <w:pPr>
              <w:widowControl w:val="0"/>
              <w:ind w:left="57" w:right="57"/>
              <w:rPr>
                <w:rFonts w:ascii="Times New Roman" w:hAnsi="Times New Roman" w:cs="Times New Roman"/>
                <w:b/>
                <w:bCs w:val="0"/>
                <w:sz w:val="16"/>
                <w:szCs w:val="16"/>
              </w:rPr>
            </w:pPr>
            <w:r w:rsidRPr="00524806">
              <w:rPr>
                <w:rFonts w:ascii="Times New Roman" w:hAnsi="Times New Roman" w:cs="Times New Roman"/>
                <w:b/>
                <w:sz w:val="16"/>
                <w:szCs w:val="16"/>
              </w:rPr>
              <w:t>10</w:t>
            </w:r>
          </w:p>
          <w:p w14:paraId="6CE32AD9" w14:textId="6C212480" w:rsidR="0053182E" w:rsidRPr="00524806" w:rsidRDefault="72FDF511" w:rsidP="00F31134">
            <w:pPr>
              <w:widowControl w:val="0"/>
              <w:ind w:left="57" w:right="57"/>
              <w:rPr>
                <w:rFonts w:ascii="Times New Roman" w:hAnsi="Times New Roman" w:cs="Times New Roman"/>
                <w:sz w:val="16"/>
                <w:szCs w:val="16"/>
              </w:rPr>
            </w:pPr>
            <w:r w:rsidRPr="40BEC1F5">
              <w:rPr>
                <w:rFonts w:ascii="Times New Roman" w:hAnsi="Times New Roman" w:cs="Times New Roman"/>
                <w:sz w:val="16"/>
                <w:szCs w:val="16"/>
              </w:rPr>
              <w:t xml:space="preserve">(inferred from the </w:t>
            </w:r>
            <w:r w:rsidR="026D6675" w:rsidRPr="40BEC1F5">
              <w:rPr>
                <w:rFonts w:ascii="Times New Roman" w:hAnsi="Times New Roman" w:cs="Times New Roman"/>
                <w:sz w:val="16"/>
                <w:szCs w:val="16"/>
              </w:rPr>
              <w:t>ratio</w:t>
            </w:r>
            <w:r w:rsidRPr="40BEC1F5">
              <w:rPr>
                <w:rFonts w:ascii="Times New Roman" w:hAnsi="Times New Roman" w:cs="Times New Roman"/>
                <w:sz w:val="16"/>
                <w:szCs w:val="16"/>
              </w:rPr>
              <w:t xml:space="preserve"> between the per person weekly </w:t>
            </w:r>
            <w:r w:rsidR="004500A1">
              <w:rPr>
                <w:rFonts w:ascii="Times New Roman" w:hAnsi="Times New Roman" w:cs="Times New Roman"/>
                <w:sz w:val="16"/>
                <w:szCs w:val="16"/>
              </w:rPr>
              <w:t>PoD</w:t>
            </w:r>
            <w:r w:rsidRPr="40BEC1F5">
              <w:rPr>
                <w:rFonts w:ascii="Times New Roman" w:hAnsi="Times New Roman" w:cs="Times New Roman"/>
                <w:sz w:val="16"/>
                <w:szCs w:val="16"/>
              </w:rPr>
              <w:t xml:space="preserve"> of 2100 µg/week MeHg and the reported rounded pTWI of 200 µg/week MeHg, </w:t>
            </w:r>
            <w:r w:rsidR="12F977A2" w:rsidRPr="40BEC1F5">
              <w:rPr>
                <w:rFonts w:ascii="Times New Roman" w:hAnsi="Times New Roman" w:cs="Times New Roman"/>
                <w:sz w:val="16"/>
                <w:szCs w:val="16"/>
              </w:rPr>
              <w:t>ratio</w:t>
            </w:r>
            <w:r w:rsidRPr="40BEC1F5">
              <w:rPr>
                <w:rFonts w:ascii="Times New Roman" w:hAnsi="Times New Roman" w:cs="Times New Roman"/>
                <w:sz w:val="16"/>
                <w:szCs w:val="16"/>
              </w:rPr>
              <w:t xml:space="preserve"> ≈ 10)</w:t>
            </w:r>
          </w:p>
        </w:tc>
        <w:tc>
          <w:tcPr>
            <w:tcW w:w="3494" w:type="dxa"/>
          </w:tcPr>
          <w:p w14:paraId="66983A5D" w14:textId="77777777" w:rsidR="001D06A4" w:rsidRPr="00945BB8" w:rsidRDefault="001D06A4" w:rsidP="001D06A4">
            <w:pPr>
              <w:widowControl w:val="0"/>
              <w:ind w:left="57" w:right="57"/>
              <w:rPr>
                <w:rFonts w:ascii="Times New Roman" w:hAnsi="Times New Roman" w:cs="Times New Roman"/>
                <w:b/>
                <w:color w:val="0000FF"/>
                <w:sz w:val="20"/>
                <w:szCs w:val="20"/>
              </w:rPr>
            </w:pPr>
            <w:r w:rsidRPr="00945BB8">
              <w:rPr>
                <w:rFonts w:ascii="Times New Roman" w:hAnsi="Times New Roman" w:cs="Times New Roman"/>
                <w:b/>
                <w:color w:val="0000FF"/>
                <w:sz w:val="20"/>
                <w:szCs w:val="20"/>
              </w:rPr>
              <w:t>Author Inferred TRV</w:t>
            </w:r>
          </w:p>
          <w:p w14:paraId="402F0917" w14:textId="6F561F19" w:rsidR="001D06A4" w:rsidRPr="00945BB8" w:rsidRDefault="0053182E" w:rsidP="00612FA0">
            <w:pPr>
              <w:widowControl w:val="0"/>
              <w:ind w:left="57" w:right="57"/>
              <w:rPr>
                <w:rFonts w:ascii="Times New Roman" w:hAnsi="Times New Roman" w:cs="Times New Roman"/>
                <w:color w:val="000000" w:themeColor="text1"/>
                <w:sz w:val="20"/>
                <w:szCs w:val="20"/>
              </w:rPr>
            </w:pPr>
            <w:r w:rsidRPr="00945BB8">
              <w:rPr>
                <w:rFonts w:ascii="Times New Roman" w:hAnsi="Times New Roman" w:cs="Times New Roman"/>
                <w:b/>
                <w:color w:val="000000" w:themeColor="text1"/>
                <w:sz w:val="20"/>
                <w:szCs w:val="20"/>
              </w:rPr>
              <w:t>5 µg/g THg</w:t>
            </w:r>
          </w:p>
          <w:p w14:paraId="0D31D9FD" w14:textId="710EBCA6" w:rsidR="006966FF" w:rsidRDefault="001D06A4" w:rsidP="006966FF">
            <w:pPr>
              <w:rPr>
                <w:rFonts w:ascii="Times New Roman" w:hAnsi="Times New Roman" w:cs="Times New Roman"/>
                <w:sz w:val="16"/>
                <w:szCs w:val="16"/>
              </w:rPr>
            </w:pPr>
            <w:r>
              <w:rPr>
                <w:rFonts w:ascii="Times New Roman" w:hAnsi="Times New Roman" w:cs="Times New Roman"/>
                <w:sz w:val="16"/>
                <w:szCs w:val="16"/>
              </w:rPr>
              <w:t>(</w:t>
            </w:r>
            <w:r w:rsidR="0053182E" w:rsidRPr="00524806">
              <w:rPr>
                <w:rFonts w:ascii="Times New Roman" w:hAnsi="Times New Roman" w:cs="Times New Roman"/>
                <w:sz w:val="16"/>
                <w:szCs w:val="16"/>
              </w:rPr>
              <w:t>not explicitly derived by JECFA</w:t>
            </w:r>
            <w:r w:rsidR="00F54589">
              <w:rPr>
                <w:rFonts w:ascii="Times New Roman" w:hAnsi="Times New Roman" w:cs="Times New Roman"/>
                <w:sz w:val="16"/>
                <w:szCs w:val="16"/>
              </w:rPr>
              <w:t xml:space="preserve">, inferred from the hair </w:t>
            </w:r>
            <w:r w:rsidR="006966FF">
              <w:rPr>
                <w:rFonts w:ascii="Times New Roman" w:hAnsi="Times New Roman" w:cs="Times New Roman"/>
                <w:sz w:val="16"/>
                <w:szCs w:val="16"/>
              </w:rPr>
              <w:t xml:space="preserve">PoD of 50 </w:t>
            </w:r>
            <w:r w:rsidR="006966FF" w:rsidRPr="00920B18">
              <w:rPr>
                <w:rFonts w:ascii="Times New Roman" w:hAnsi="Times New Roman" w:cs="Times New Roman"/>
                <w:bCs w:val="0"/>
                <w:sz w:val="16"/>
                <w:szCs w:val="16"/>
              </w:rPr>
              <w:t>µg/g THg</w:t>
            </w:r>
            <w:r w:rsidR="006966FF">
              <w:rPr>
                <w:rFonts w:ascii="Times New Roman" w:hAnsi="Times New Roman" w:cs="Times New Roman"/>
                <w:bCs w:val="0"/>
                <w:sz w:val="16"/>
                <w:szCs w:val="16"/>
              </w:rPr>
              <w:t xml:space="preserve"> </w:t>
            </w:r>
            <w:r w:rsidR="006966FF">
              <w:rPr>
                <w:rFonts w:ascii="Symbol" w:eastAsia="Symbol" w:hAnsi="Symbol" w:cs="Symbol"/>
                <w:bCs w:val="0"/>
                <w:sz w:val="16"/>
                <w:szCs w:val="16"/>
              </w:rPr>
              <w:t>¸</w:t>
            </w:r>
            <w:r w:rsidR="006966FF">
              <w:rPr>
                <w:rFonts w:ascii="Times New Roman" w:hAnsi="Times New Roman" w:cs="Times New Roman"/>
                <w:bCs w:val="0"/>
                <w:sz w:val="16"/>
                <w:szCs w:val="16"/>
              </w:rPr>
              <w:t xml:space="preserve"> UF10</w:t>
            </w:r>
            <w:r w:rsidR="006966FF" w:rsidRPr="004646BE">
              <w:rPr>
                <w:rFonts w:ascii="Times New Roman" w:hAnsi="Times New Roman" w:cs="Times New Roman"/>
                <w:sz w:val="16"/>
                <w:szCs w:val="16"/>
              </w:rPr>
              <w:t>)</w:t>
            </w:r>
          </w:p>
          <w:p w14:paraId="2CEC2304" w14:textId="7D9D8A48" w:rsidR="0053182E" w:rsidRPr="00524806" w:rsidRDefault="0053182E" w:rsidP="006966FF">
            <w:pPr>
              <w:widowControl w:val="0"/>
              <w:ind w:right="57"/>
              <w:rPr>
                <w:rFonts w:ascii="Times New Roman" w:hAnsi="Times New Roman" w:cs="Times New Roman"/>
                <w:sz w:val="16"/>
                <w:szCs w:val="16"/>
              </w:rPr>
            </w:pPr>
            <w:r w:rsidRPr="00524806">
              <w:rPr>
                <w:rFonts w:ascii="Times New Roman" w:hAnsi="Times New Roman" w:cs="Times New Roman"/>
                <w:sz w:val="16"/>
                <w:szCs w:val="16"/>
              </w:rPr>
              <w:t xml:space="preserve"> </w:t>
            </w:r>
          </w:p>
        </w:tc>
      </w:tr>
      <w:tr w:rsidR="0053182E" w:rsidRPr="00524806" w14:paraId="569B6188" w14:textId="77777777" w:rsidTr="00343D54">
        <w:tc>
          <w:tcPr>
            <w:tcW w:w="991" w:type="dxa"/>
          </w:tcPr>
          <w:p w14:paraId="25A4986C"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blood</w:t>
            </w:r>
          </w:p>
        </w:tc>
        <w:tc>
          <w:tcPr>
            <w:tcW w:w="5010" w:type="dxa"/>
          </w:tcPr>
          <w:p w14:paraId="4EBF6486" w14:textId="77777777" w:rsidR="00F33548" w:rsidRPr="002F21E3" w:rsidRDefault="00F33548" w:rsidP="00F33548">
            <w:pPr>
              <w:widowControl w:val="0"/>
              <w:ind w:left="57" w:right="57"/>
              <w:rPr>
                <w:rFonts w:ascii="Times New Roman" w:hAnsi="Times New Roman" w:cs="Times New Roman"/>
                <w:b/>
                <w:sz w:val="20"/>
                <w:szCs w:val="20"/>
              </w:rPr>
            </w:pPr>
            <w:r w:rsidRPr="002F21E3">
              <w:rPr>
                <w:rFonts w:ascii="Times New Roman" w:hAnsi="Times New Roman" w:cs="Times New Roman"/>
                <w:b/>
                <w:sz w:val="20"/>
                <w:szCs w:val="20"/>
              </w:rPr>
              <w:t>JECFA Derived PoD</w:t>
            </w:r>
          </w:p>
          <w:p w14:paraId="3678231A" w14:textId="77777777" w:rsidR="0053182E" w:rsidRPr="002F21E3" w:rsidRDefault="0053182E" w:rsidP="00F31134">
            <w:pPr>
              <w:widowControl w:val="0"/>
              <w:ind w:left="57" w:right="57"/>
              <w:rPr>
                <w:rFonts w:ascii="Times New Roman" w:hAnsi="Times New Roman" w:cs="Times New Roman"/>
                <w:b/>
                <w:sz w:val="20"/>
                <w:szCs w:val="20"/>
              </w:rPr>
            </w:pPr>
            <w:r w:rsidRPr="002F21E3">
              <w:rPr>
                <w:rFonts w:ascii="Times New Roman" w:hAnsi="Times New Roman" w:cs="Times New Roman"/>
                <w:b/>
                <w:sz w:val="20"/>
                <w:szCs w:val="20"/>
              </w:rPr>
              <w:t>200 µg/L THg</w:t>
            </w:r>
          </w:p>
          <w:p w14:paraId="127E81D1" w14:textId="77777777" w:rsidR="0053182E" w:rsidRDefault="0053182E" w:rsidP="00612FA0">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(lower end of clinical disease from Niigata patients)</w:t>
            </w:r>
          </w:p>
          <w:p w14:paraId="39E77B4E" w14:textId="6294C87D" w:rsidR="0053182E" w:rsidRPr="00524806" w:rsidRDefault="0053182E" w:rsidP="00F31134">
            <w:pPr>
              <w:widowControl w:val="0"/>
              <w:ind w:left="57" w:right="57"/>
              <w:rPr>
                <w:rFonts w:ascii="Times New Roman" w:hAnsi="Times New Roman" w:cs="Times New Roman"/>
                <w:sz w:val="16"/>
                <w:szCs w:val="16"/>
              </w:rPr>
            </w:pPr>
          </w:p>
        </w:tc>
        <w:tc>
          <w:tcPr>
            <w:tcW w:w="995" w:type="dxa"/>
            <w:vMerge/>
          </w:tcPr>
          <w:p w14:paraId="00723788" w14:textId="77777777" w:rsidR="0053182E" w:rsidRPr="00524806" w:rsidRDefault="0053182E" w:rsidP="00F31134">
            <w:pPr>
              <w:widowControl w:val="0"/>
              <w:ind w:left="57" w:right="57"/>
              <w:rPr>
                <w:rFonts w:ascii="Times New Roman" w:hAnsi="Times New Roman" w:cs="Times New Roman"/>
                <w:sz w:val="16"/>
                <w:szCs w:val="16"/>
              </w:rPr>
            </w:pPr>
          </w:p>
        </w:tc>
        <w:tc>
          <w:tcPr>
            <w:tcW w:w="3494" w:type="dxa"/>
          </w:tcPr>
          <w:p w14:paraId="55F3E24A" w14:textId="77777777" w:rsidR="001D06A4" w:rsidRPr="00945BB8" w:rsidRDefault="001D06A4" w:rsidP="001D06A4">
            <w:pPr>
              <w:widowControl w:val="0"/>
              <w:ind w:left="57" w:right="57"/>
              <w:rPr>
                <w:rFonts w:ascii="Times New Roman" w:hAnsi="Times New Roman" w:cs="Times New Roman"/>
                <w:b/>
                <w:color w:val="0000FF"/>
                <w:sz w:val="20"/>
                <w:szCs w:val="20"/>
              </w:rPr>
            </w:pPr>
            <w:r w:rsidRPr="00945BB8">
              <w:rPr>
                <w:rFonts w:ascii="Times New Roman" w:hAnsi="Times New Roman" w:cs="Times New Roman"/>
                <w:b/>
                <w:color w:val="0000FF"/>
                <w:sz w:val="20"/>
                <w:szCs w:val="20"/>
              </w:rPr>
              <w:t>Author Inferred TRV</w:t>
            </w:r>
          </w:p>
          <w:p w14:paraId="475BE1CF" w14:textId="77777777" w:rsidR="001D06A4" w:rsidRPr="00945BB8" w:rsidRDefault="0053182E" w:rsidP="00612FA0">
            <w:pPr>
              <w:widowControl w:val="0"/>
              <w:ind w:left="57" w:right="57"/>
              <w:rPr>
                <w:rFonts w:ascii="Times New Roman" w:hAnsi="Times New Roman" w:cs="Times New Roman"/>
                <w:b/>
                <w:color w:val="000000" w:themeColor="text1"/>
                <w:sz w:val="20"/>
                <w:szCs w:val="20"/>
              </w:rPr>
            </w:pPr>
            <w:r w:rsidRPr="00945BB8">
              <w:rPr>
                <w:rFonts w:ascii="Times New Roman" w:hAnsi="Times New Roman" w:cs="Times New Roman"/>
                <w:b/>
                <w:color w:val="000000" w:themeColor="text1"/>
                <w:sz w:val="20"/>
                <w:szCs w:val="20"/>
              </w:rPr>
              <w:t>20 µg/L THg</w:t>
            </w:r>
          </w:p>
          <w:p w14:paraId="0AC3399D" w14:textId="5C4E5E8D" w:rsidR="0053182E" w:rsidRDefault="001D06A4" w:rsidP="00612FA0">
            <w:pPr>
              <w:widowControl w:val="0"/>
              <w:ind w:left="57" w:right="57"/>
              <w:rPr>
                <w:rFonts w:ascii="Times New Roman" w:hAnsi="Times New Roman" w:cs="Times New Roman"/>
                <w:sz w:val="16"/>
                <w:szCs w:val="16"/>
              </w:rPr>
            </w:pPr>
            <w:r w:rsidRPr="001D06A4">
              <w:rPr>
                <w:rFonts w:ascii="Times New Roman" w:hAnsi="Times New Roman" w:cs="Times New Roman"/>
                <w:bCs w:val="0"/>
                <w:sz w:val="16"/>
                <w:szCs w:val="16"/>
              </w:rPr>
              <w:t>(</w:t>
            </w:r>
            <w:r w:rsidR="0053182E" w:rsidRPr="001D06A4">
              <w:rPr>
                <w:rFonts w:ascii="Times New Roman" w:hAnsi="Times New Roman" w:cs="Times New Roman"/>
                <w:bCs w:val="0"/>
                <w:sz w:val="16"/>
                <w:szCs w:val="16"/>
              </w:rPr>
              <w:t>not</w:t>
            </w:r>
            <w:r w:rsidR="0053182E" w:rsidRPr="00524806">
              <w:rPr>
                <w:rFonts w:ascii="Times New Roman" w:hAnsi="Times New Roman" w:cs="Times New Roman"/>
                <w:sz w:val="16"/>
                <w:szCs w:val="16"/>
              </w:rPr>
              <w:t xml:space="preserve"> explicitly derived by JECFA</w:t>
            </w:r>
            <w:r w:rsidR="00343D54">
              <w:rPr>
                <w:rFonts w:ascii="Times New Roman" w:hAnsi="Times New Roman" w:cs="Times New Roman"/>
                <w:sz w:val="16"/>
                <w:szCs w:val="16"/>
              </w:rPr>
              <w:t xml:space="preserve">, inferred from the blood PoD of 200 </w:t>
            </w:r>
            <w:r w:rsidR="00343D54" w:rsidRPr="00920B18">
              <w:rPr>
                <w:rFonts w:ascii="Times New Roman" w:hAnsi="Times New Roman" w:cs="Times New Roman"/>
                <w:bCs w:val="0"/>
                <w:sz w:val="16"/>
                <w:szCs w:val="16"/>
              </w:rPr>
              <w:t>µg/</w:t>
            </w:r>
            <w:r w:rsidR="00343D54">
              <w:rPr>
                <w:rFonts w:ascii="Times New Roman" w:hAnsi="Times New Roman" w:cs="Times New Roman"/>
                <w:bCs w:val="0"/>
                <w:sz w:val="16"/>
                <w:szCs w:val="16"/>
              </w:rPr>
              <w:t>L</w:t>
            </w:r>
            <w:r w:rsidR="00343D54" w:rsidRPr="00920B18">
              <w:rPr>
                <w:rFonts w:ascii="Times New Roman" w:hAnsi="Times New Roman" w:cs="Times New Roman"/>
                <w:bCs w:val="0"/>
                <w:sz w:val="16"/>
                <w:szCs w:val="16"/>
              </w:rPr>
              <w:t xml:space="preserve"> THg</w:t>
            </w:r>
            <w:r w:rsidR="00343D54">
              <w:rPr>
                <w:rFonts w:ascii="Times New Roman" w:hAnsi="Times New Roman" w:cs="Times New Roman"/>
                <w:bCs w:val="0"/>
                <w:sz w:val="16"/>
                <w:szCs w:val="16"/>
              </w:rPr>
              <w:t xml:space="preserve"> </w:t>
            </w:r>
            <w:r w:rsidR="00343D54">
              <w:rPr>
                <w:rFonts w:ascii="Symbol" w:eastAsia="Symbol" w:hAnsi="Symbol" w:cs="Symbol"/>
                <w:bCs w:val="0"/>
                <w:sz w:val="16"/>
                <w:szCs w:val="16"/>
              </w:rPr>
              <w:t>¸</w:t>
            </w:r>
            <w:r w:rsidR="00343D54">
              <w:rPr>
                <w:rFonts w:ascii="Times New Roman" w:hAnsi="Times New Roman" w:cs="Times New Roman"/>
                <w:bCs w:val="0"/>
                <w:sz w:val="16"/>
                <w:szCs w:val="16"/>
              </w:rPr>
              <w:t xml:space="preserve"> UF10</w:t>
            </w:r>
            <w:r w:rsidR="00343D54" w:rsidRPr="004646BE">
              <w:rPr>
                <w:rFonts w:ascii="Times New Roman" w:hAnsi="Times New Roman" w:cs="Times New Roman"/>
                <w:sz w:val="16"/>
                <w:szCs w:val="16"/>
              </w:rPr>
              <w:t>)</w:t>
            </w:r>
          </w:p>
          <w:p w14:paraId="089BA87C" w14:textId="481673BC" w:rsidR="0053182E" w:rsidRPr="00524806" w:rsidRDefault="0053182E" w:rsidP="00F31134">
            <w:pPr>
              <w:widowControl w:val="0"/>
              <w:ind w:left="57" w:right="57"/>
              <w:rPr>
                <w:rFonts w:ascii="Times New Roman" w:hAnsi="Times New Roman" w:cs="Times New Roman"/>
                <w:sz w:val="16"/>
                <w:szCs w:val="16"/>
              </w:rPr>
            </w:pPr>
          </w:p>
        </w:tc>
      </w:tr>
      <w:tr w:rsidR="0053182E" w:rsidRPr="00524806" w14:paraId="4E8C6461" w14:textId="77777777" w:rsidTr="00343D54">
        <w:tc>
          <w:tcPr>
            <w:tcW w:w="991" w:type="dxa"/>
          </w:tcPr>
          <w:p w14:paraId="21F978FF"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RBCs</w:t>
            </w:r>
          </w:p>
        </w:tc>
        <w:tc>
          <w:tcPr>
            <w:tcW w:w="5010" w:type="dxa"/>
          </w:tcPr>
          <w:p w14:paraId="212B54C2" w14:textId="77777777" w:rsidR="00F33548" w:rsidRPr="002F21E3" w:rsidRDefault="00F33548" w:rsidP="00F33548">
            <w:pPr>
              <w:widowControl w:val="0"/>
              <w:ind w:left="57" w:right="57"/>
              <w:rPr>
                <w:rFonts w:ascii="Times New Roman" w:hAnsi="Times New Roman" w:cs="Times New Roman"/>
                <w:b/>
                <w:sz w:val="20"/>
                <w:szCs w:val="20"/>
              </w:rPr>
            </w:pPr>
            <w:r w:rsidRPr="002F21E3">
              <w:rPr>
                <w:rFonts w:ascii="Times New Roman" w:hAnsi="Times New Roman" w:cs="Times New Roman"/>
                <w:b/>
                <w:sz w:val="20"/>
                <w:szCs w:val="20"/>
              </w:rPr>
              <w:t>JECFA Derived PoD</w:t>
            </w:r>
          </w:p>
          <w:p w14:paraId="684172E3" w14:textId="77777777" w:rsidR="00500397" w:rsidRPr="002F21E3" w:rsidRDefault="0053182E" w:rsidP="00612FA0">
            <w:pPr>
              <w:widowControl w:val="0"/>
              <w:ind w:left="57" w:right="57"/>
              <w:rPr>
                <w:rFonts w:ascii="Times New Roman" w:hAnsi="Times New Roman" w:cs="Times New Roman"/>
                <w:sz w:val="20"/>
                <w:szCs w:val="20"/>
              </w:rPr>
            </w:pPr>
            <w:r w:rsidRPr="002F21E3">
              <w:rPr>
                <w:rFonts w:ascii="Times New Roman" w:hAnsi="Times New Roman" w:cs="Times New Roman"/>
                <w:b/>
                <w:sz w:val="20"/>
                <w:szCs w:val="20"/>
              </w:rPr>
              <w:t>400 µg/kg THg</w:t>
            </w:r>
            <w:r w:rsidRPr="002F21E3">
              <w:rPr>
                <w:rFonts w:ascii="Times New Roman" w:hAnsi="Times New Roman" w:cs="Times New Roman"/>
                <w:sz w:val="20"/>
                <w:szCs w:val="20"/>
              </w:rPr>
              <w:t xml:space="preserve"> </w:t>
            </w:r>
          </w:p>
          <w:p w14:paraId="056DB587" w14:textId="77777777" w:rsidR="0053182E" w:rsidRDefault="0053182E" w:rsidP="00500397">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(reported as 0.4 µg/g</w:t>
            </w:r>
            <w:r w:rsidR="00500397">
              <w:rPr>
                <w:rFonts w:ascii="Times New Roman" w:hAnsi="Times New Roman" w:cs="Times New Roman"/>
                <w:sz w:val="16"/>
                <w:szCs w:val="16"/>
              </w:rPr>
              <w:t xml:space="preserve">, </w:t>
            </w:r>
            <w:r w:rsidR="001279B8">
              <w:rPr>
                <w:rFonts w:ascii="Times New Roman" w:hAnsi="Times New Roman" w:cs="Times New Roman"/>
                <w:sz w:val="16"/>
                <w:szCs w:val="16"/>
              </w:rPr>
              <w:t xml:space="preserve">or </w:t>
            </w:r>
            <w:r w:rsidRPr="00524806">
              <w:rPr>
                <w:rFonts w:ascii="Times New Roman" w:hAnsi="Times New Roman" w:cs="Times New Roman"/>
                <w:sz w:val="16"/>
                <w:szCs w:val="16"/>
              </w:rPr>
              <w:t>2x the blood P</w:t>
            </w:r>
            <w:r w:rsidR="001C6D84">
              <w:rPr>
                <w:rFonts w:ascii="Times New Roman" w:hAnsi="Times New Roman" w:cs="Times New Roman"/>
                <w:sz w:val="16"/>
                <w:szCs w:val="16"/>
              </w:rPr>
              <w:t>o</w:t>
            </w:r>
            <w:r w:rsidRPr="00524806">
              <w:rPr>
                <w:rFonts w:ascii="Times New Roman" w:hAnsi="Times New Roman" w:cs="Times New Roman"/>
                <w:sz w:val="16"/>
                <w:szCs w:val="16"/>
              </w:rPr>
              <w:t>D of 200 µg/L THg)</w:t>
            </w:r>
          </w:p>
          <w:p w14:paraId="713B9C3E" w14:textId="6F77316D" w:rsidR="0053182E" w:rsidRPr="00524806" w:rsidRDefault="0053182E" w:rsidP="00F31134">
            <w:pPr>
              <w:widowControl w:val="0"/>
              <w:ind w:left="57" w:right="57"/>
              <w:rPr>
                <w:rFonts w:ascii="Times New Roman" w:hAnsi="Times New Roman" w:cs="Times New Roman"/>
                <w:b/>
                <w:sz w:val="16"/>
                <w:szCs w:val="16"/>
              </w:rPr>
            </w:pPr>
          </w:p>
        </w:tc>
        <w:tc>
          <w:tcPr>
            <w:tcW w:w="995" w:type="dxa"/>
            <w:vMerge/>
          </w:tcPr>
          <w:p w14:paraId="16E5EEF0" w14:textId="77777777" w:rsidR="0053182E" w:rsidRPr="00524806" w:rsidRDefault="0053182E" w:rsidP="00F31134">
            <w:pPr>
              <w:widowControl w:val="0"/>
              <w:ind w:left="57" w:right="57"/>
              <w:rPr>
                <w:rFonts w:ascii="Times New Roman" w:hAnsi="Times New Roman" w:cs="Times New Roman"/>
                <w:sz w:val="16"/>
                <w:szCs w:val="16"/>
              </w:rPr>
            </w:pPr>
          </w:p>
        </w:tc>
        <w:tc>
          <w:tcPr>
            <w:tcW w:w="3494" w:type="dxa"/>
          </w:tcPr>
          <w:p w14:paraId="0F4DE5FE" w14:textId="77777777" w:rsidR="00557851" w:rsidRPr="00945BB8" w:rsidRDefault="00557851" w:rsidP="00557851">
            <w:pPr>
              <w:widowControl w:val="0"/>
              <w:ind w:left="57" w:right="57"/>
              <w:rPr>
                <w:rFonts w:ascii="Times New Roman" w:hAnsi="Times New Roman" w:cs="Times New Roman"/>
                <w:b/>
                <w:color w:val="0000FF"/>
                <w:sz w:val="20"/>
                <w:szCs w:val="20"/>
              </w:rPr>
            </w:pPr>
            <w:r w:rsidRPr="00945BB8">
              <w:rPr>
                <w:rFonts w:ascii="Times New Roman" w:hAnsi="Times New Roman" w:cs="Times New Roman"/>
                <w:b/>
                <w:color w:val="0000FF"/>
                <w:sz w:val="20"/>
                <w:szCs w:val="20"/>
              </w:rPr>
              <w:t>Author Inferred TRV</w:t>
            </w:r>
          </w:p>
          <w:p w14:paraId="56BBDE25" w14:textId="77777777" w:rsidR="00557851" w:rsidRPr="00945BB8" w:rsidRDefault="0053182E" w:rsidP="00612FA0">
            <w:pPr>
              <w:widowControl w:val="0"/>
              <w:ind w:left="57" w:right="57"/>
              <w:rPr>
                <w:rFonts w:ascii="Times New Roman" w:hAnsi="Times New Roman" w:cs="Times New Roman"/>
                <w:b/>
                <w:color w:val="000000" w:themeColor="text1"/>
                <w:sz w:val="20"/>
                <w:szCs w:val="20"/>
              </w:rPr>
            </w:pPr>
            <w:r w:rsidRPr="00945BB8">
              <w:rPr>
                <w:rFonts w:ascii="Times New Roman" w:hAnsi="Times New Roman" w:cs="Times New Roman"/>
                <w:b/>
                <w:color w:val="000000" w:themeColor="text1"/>
                <w:sz w:val="20"/>
                <w:szCs w:val="20"/>
              </w:rPr>
              <w:t>40 µg/kg THg</w:t>
            </w:r>
          </w:p>
          <w:p w14:paraId="087ABDCA" w14:textId="7D8F41A6" w:rsidR="00081954" w:rsidRDefault="00081954" w:rsidP="00081954">
            <w:pPr>
              <w:widowControl w:val="0"/>
              <w:ind w:left="57" w:right="57"/>
              <w:rPr>
                <w:rFonts w:ascii="Times New Roman" w:hAnsi="Times New Roman" w:cs="Times New Roman"/>
                <w:sz w:val="16"/>
                <w:szCs w:val="16"/>
              </w:rPr>
            </w:pPr>
            <w:r w:rsidRPr="001D06A4">
              <w:rPr>
                <w:rFonts w:ascii="Times New Roman" w:hAnsi="Times New Roman" w:cs="Times New Roman"/>
                <w:bCs w:val="0"/>
                <w:sz w:val="16"/>
                <w:szCs w:val="16"/>
              </w:rPr>
              <w:t>(not</w:t>
            </w:r>
            <w:r w:rsidRPr="00524806">
              <w:rPr>
                <w:rFonts w:ascii="Times New Roman" w:hAnsi="Times New Roman" w:cs="Times New Roman"/>
                <w:sz w:val="16"/>
                <w:szCs w:val="16"/>
              </w:rPr>
              <w:t xml:space="preserve"> explicitly derived by JECFA</w:t>
            </w:r>
            <w:r>
              <w:rPr>
                <w:rFonts w:ascii="Times New Roman" w:hAnsi="Times New Roman" w:cs="Times New Roman"/>
                <w:sz w:val="16"/>
                <w:szCs w:val="16"/>
              </w:rPr>
              <w:t xml:space="preserve">, inferred from the RBC PoD of 400 </w:t>
            </w:r>
            <w:r w:rsidRPr="00920B18">
              <w:rPr>
                <w:rFonts w:ascii="Times New Roman" w:hAnsi="Times New Roman" w:cs="Times New Roman"/>
                <w:bCs w:val="0"/>
                <w:sz w:val="16"/>
                <w:szCs w:val="16"/>
              </w:rPr>
              <w:t>µg/</w:t>
            </w:r>
            <w:r>
              <w:rPr>
                <w:rFonts w:ascii="Times New Roman" w:hAnsi="Times New Roman" w:cs="Times New Roman"/>
                <w:bCs w:val="0"/>
                <w:sz w:val="16"/>
                <w:szCs w:val="16"/>
              </w:rPr>
              <w:t>kg</w:t>
            </w:r>
            <w:r w:rsidRPr="00920B18">
              <w:rPr>
                <w:rFonts w:ascii="Times New Roman" w:hAnsi="Times New Roman" w:cs="Times New Roman"/>
                <w:bCs w:val="0"/>
                <w:sz w:val="16"/>
                <w:szCs w:val="16"/>
              </w:rPr>
              <w:t xml:space="preserve"> THg</w:t>
            </w:r>
            <w:r>
              <w:rPr>
                <w:rFonts w:ascii="Times New Roman" w:hAnsi="Times New Roman" w:cs="Times New Roman"/>
                <w:bCs w:val="0"/>
                <w:sz w:val="16"/>
                <w:szCs w:val="16"/>
              </w:rPr>
              <w:t xml:space="preserve"> </w:t>
            </w:r>
            <w:r>
              <w:rPr>
                <w:rFonts w:ascii="Symbol" w:eastAsia="Symbol" w:hAnsi="Symbol" w:cs="Symbol"/>
                <w:bCs w:val="0"/>
                <w:sz w:val="16"/>
                <w:szCs w:val="16"/>
              </w:rPr>
              <w:t>¸</w:t>
            </w:r>
            <w:r>
              <w:rPr>
                <w:rFonts w:ascii="Times New Roman" w:hAnsi="Times New Roman" w:cs="Times New Roman"/>
                <w:bCs w:val="0"/>
                <w:sz w:val="16"/>
                <w:szCs w:val="16"/>
              </w:rPr>
              <w:t xml:space="preserve"> UF10</w:t>
            </w:r>
            <w:r w:rsidRPr="004646BE">
              <w:rPr>
                <w:rFonts w:ascii="Times New Roman" w:hAnsi="Times New Roman" w:cs="Times New Roman"/>
                <w:sz w:val="16"/>
                <w:szCs w:val="16"/>
              </w:rPr>
              <w:t>)</w:t>
            </w:r>
          </w:p>
          <w:p w14:paraId="1C00320A" w14:textId="07454BD4" w:rsidR="0053182E" w:rsidRPr="00524806" w:rsidRDefault="0053182E" w:rsidP="00F31134">
            <w:pPr>
              <w:widowControl w:val="0"/>
              <w:ind w:left="57" w:right="57"/>
              <w:rPr>
                <w:rFonts w:ascii="Times New Roman" w:hAnsi="Times New Roman" w:cs="Times New Roman"/>
                <w:sz w:val="16"/>
                <w:szCs w:val="16"/>
              </w:rPr>
            </w:pPr>
          </w:p>
        </w:tc>
      </w:tr>
      <w:tr w:rsidR="0053182E" w:rsidRPr="00524806" w14:paraId="1997659F" w14:textId="77777777" w:rsidTr="00343D54">
        <w:tc>
          <w:tcPr>
            <w:tcW w:w="991" w:type="dxa"/>
          </w:tcPr>
          <w:p w14:paraId="7AF3B74C"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oral</w:t>
            </w:r>
          </w:p>
          <w:p w14:paraId="72CBEB8C"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(per person per day)</w:t>
            </w:r>
          </w:p>
        </w:tc>
        <w:tc>
          <w:tcPr>
            <w:tcW w:w="5010" w:type="dxa"/>
          </w:tcPr>
          <w:p w14:paraId="0D389E48" w14:textId="77777777" w:rsidR="00F33548" w:rsidRPr="002F21E3" w:rsidRDefault="00F33548" w:rsidP="00F33548">
            <w:pPr>
              <w:widowControl w:val="0"/>
              <w:ind w:left="57" w:right="57"/>
              <w:rPr>
                <w:rFonts w:ascii="Times New Roman" w:hAnsi="Times New Roman" w:cs="Times New Roman"/>
                <w:b/>
                <w:sz w:val="20"/>
                <w:szCs w:val="20"/>
              </w:rPr>
            </w:pPr>
            <w:r w:rsidRPr="002F21E3">
              <w:rPr>
                <w:rFonts w:ascii="Times New Roman" w:hAnsi="Times New Roman" w:cs="Times New Roman"/>
                <w:b/>
                <w:sz w:val="20"/>
                <w:szCs w:val="20"/>
              </w:rPr>
              <w:t>JECFA Derived PoD</w:t>
            </w:r>
          </w:p>
          <w:p w14:paraId="2D73B2B6" w14:textId="77777777" w:rsidR="00CB590E" w:rsidRPr="002F21E3" w:rsidRDefault="0053182E" w:rsidP="00612FA0">
            <w:pPr>
              <w:widowControl w:val="0"/>
              <w:ind w:left="57" w:right="57"/>
              <w:rPr>
                <w:rFonts w:ascii="Times New Roman" w:hAnsi="Times New Roman" w:cs="Times New Roman"/>
                <w:sz w:val="20"/>
                <w:szCs w:val="20"/>
              </w:rPr>
            </w:pPr>
            <w:r w:rsidRPr="002F21E3">
              <w:rPr>
                <w:rFonts w:ascii="Times New Roman" w:hAnsi="Times New Roman" w:cs="Times New Roman"/>
                <w:b/>
                <w:sz w:val="20"/>
                <w:szCs w:val="20"/>
              </w:rPr>
              <w:t>300 µg/day MeHg</w:t>
            </w:r>
            <w:r w:rsidRPr="002F21E3">
              <w:rPr>
                <w:rFonts w:ascii="Times New Roman" w:hAnsi="Times New Roman" w:cs="Times New Roman"/>
                <w:sz w:val="20"/>
                <w:szCs w:val="20"/>
              </w:rPr>
              <w:t xml:space="preserve"> </w:t>
            </w:r>
          </w:p>
          <w:p w14:paraId="79CCA554" w14:textId="70138D8E"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(reported as 0.3 mg/day</w:t>
            </w:r>
            <w:r w:rsidR="00E85FEA">
              <w:rPr>
                <w:rFonts w:ascii="Times New Roman" w:hAnsi="Times New Roman" w:cs="Times New Roman"/>
                <w:sz w:val="16"/>
                <w:szCs w:val="16"/>
              </w:rPr>
              <w:t xml:space="preserve">; </w:t>
            </w:r>
            <w:r w:rsidR="00B47057">
              <w:rPr>
                <w:rFonts w:ascii="Times New Roman" w:hAnsi="Times New Roman" w:cs="Times New Roman"/>
                <w:sz w:val="16"/>
                <w:szCs w:val="16"/>
              </w:rPr>
              <w:t xml:space="preserve">it is inferred </w:t>
            </w:r>
            <w:r w:rsidR="00E85FEA">
              <w:rPr>
                <w:rFonts w:ascii="Times New Roman" w:hAnsi="Times New Roman" w:cs="Times New Roman"/>
                <w:sz w:val="16"/>
                <w:szCs w:val="16"/>
              </w:rPr>
              <w:t xml:space="preserve">by the authors </w:t>
            </w:r>
            <w:r w:rsidR="0012578B">
              <w:rPr>
                <w:rFonts w:ascii="Times New Roman" w:hAnsi="Times New Roman" w:cs="Times New Roman"/>
                <w:sz w:val="16"/>
                <w:szCs w:val="16"/>
              </w:rPr>
              <w:t xml:space="preserve">of this manuscript </w:t>
            </w:r>
            <w:r w:rsidR="00B47057">
              <w:rPr>
                <w:rFonts w:ascii="Times New Roman" w:hAnsi="Times New Roman" w:cs="Times New Roman"/>
                <w:sz w:val="16"/>
                <w:szCs w:val="16"/>
              </w:rPr>
              <w:t>that</w:t>
            </w:r>
            <w:r w:rsidRPr="00524806">
              <w:rPr>
                <w:rFonts w:ascii="Times New Roman" w:hAnsi="Times New Roman" w:cs="Times New Roman"/>
                <w:sz w:val="16"/>
                <w:szCs w:val="16"/>
              </w:rPr>
              <w:t xml:space="preserve"> the </w:t>
            </w:r>
            <w:r w:rsidR="004A51D5">
              <w:rPr>
                <w:rFonts w:ascii="Times New Roman" w:hAnsi="Times New Roman" w:cs="Times New Roman"/>
                <w:sz w:val="16"/>
                <w:szCs w:val="16"/>
              </w:rPr>
              <w:t>PoD</w:t>
            </w:r>
            <w:r w:rsidRPr="00524806">
              <w:rPr>
                <w:rFonts w:ascii="Times New Roman" w:hAnsi="Times New Roman" w:cs="Times New Roman"/>
                <w:sz w:val="16"/>
                <w:szCs w:val="16"/>
              </w:rPr>
              <w:t xml:space="preserve"> of ~300 µg/day was </w:t>
            </w:r>
            <w:r w:rsidR="0012578B">
              <w:rPr>
                <w:rFonts w:ascii="Times New Roman" w:hAnsi="Times New Roman" w:cs="Times New Roman"/>
                <w:sz w:val="16"/>
                <w:szCs w:val="16"/>
              </w:rPr>
              <w:t xml:space="preserve">a </w:t>
            </w:r>
            <w:r w:rsidRPr="00524806">
              <w:rPr>
                <w:rFonts w:ascii="Times New Roman" w:hAnsi="Times New Roman" w:cs="Times New Roman"/>
                <w:sz w:val="16"/>
                <w:szCs w:val="16"/>
              </w:rPr>
              <w:t xml:space="preserve">rounded average from </w:t>
            </w:r>
            <w:r w:rsidR="00AF0B1D">
              <w:rPr>
                <w:rFonts w:ascii="Times New Roman" w:hAnsi="Times New Roman" w:cs="Times New Roman"/>
                <w:sz w:val="16"/>
                <w:szCs w:val="16"/>
              </w:rPr>
              <w:t xml:space="preserve">values of </w:t>
            </w:r>
            <w:r w:rsidRPr="00524806">
              <w:rPr>
                <w:rFonts w:ascii="Times New Roman" w:hAnsi="Times New Roman" w:cs="Times New Roman"/>
                <w:sz w:val="16"/>
                <w:szCs w:val="16"/>
              </w:rPr>
              <w:t>284 and 322 µg/day</w:t>
            </w:r>
            <w:r w:rsidR="00AF0B1D">
              <w:rPr>
                <w:rFonts w:ascii="Times New Roman" w:hAnsi="Times New Roman" w:cs="Times New Roman"/>
                <w:sz w:val="16"/>
                <w:szCs w:val="16"/>
              </w:rPr>
              <w:t xml:space="preserve"> calculated</w:t>
            </w:r>
            <w:r w:rsidRPr="00524806">
              <w:rPr>
                <w:rFonts w:ascii="Times New Roman" w:hAnsi="Times New Roman" w:cs="Times New Roman"/>
                <w:sz w:val="16"/>
                <w:szCs w:val="16"/>
              </w:rPr>
              <w:t xml:space="preserve"> from </w:t>
            </w:r>
            <w:r w:rsidR="00AF0B1D">
              <w:rPr>
                <w:rFonts w:ascii="Times New Roman" w:hAnsi="Times New Roman" w:cs="Times New Roman"/>
                <w:sz w:val="16"/>
                <w:szCs w:val="16"/>
              </w:rPr>
              <w:t xml:space="preserve">the </w:t>
            </w:r>
            <w:r w:rsidRPr="00524806">
              <w:rPr>
                <w:rFonts w:ascii="Times New Roman" w:hAnsi="Times New Roman" w:cs="Times New Roman"/>
                <w:sz w:val="16"/>
                <w:szCs w:val="16"/>
              </w:rPr>
              <w:t xml:space="preserve">two regression equations below: </w:t>
            </w:r>
          </w:p>
          <w:p w14:paraId="3AEF913C" w14:textId="77777777" w:rsidR="0053182E" w:rsidRPr="00524806" w:rsidRDefault="0053182E" w:rsidP="00F31134">
            <w:pPr>
              <w:widowControl w:val="0"/>
              <w:ind w:left="57" w:right="57"/>
              <w:rPr>
                <w:rFonts w:ascii="Times New Roman" w:hAnsi="Times New Roman" w:cs="Times New Roman"/>
                <w:bCs w:val="0"/>
                <w:sz w:val="16"/>
                <w:szCs w:val="16"/>
              </w:rPr>
            </w:pPr>
          </w:p>
          <w:p w14:paraId="13A37F3E"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 xml:space="preserve">1. Birke et al. </w:t>
            </w:r>
            <w:r w:rsidRPr="00524806">
              <w:rPr>
                <w:sz w:val="16"/>
                <w:szCs w:val="16"/>
              </w:rPr>
              <w:fldChar w:fldCharType="begin" w:fldLock="1"/>
            </w:r>
            <w:r w:rsidRPr="00524806">
              <w:rPr>
                <w:rFonts w:ascii="Times New Roman" w:hAnsi="Times New Roman" w:cs="Times New Roman"/>
                <w:sz w:val="16"/>
                <w:szCs w:val="16"/>
              </w:rPr>
              <w:instrText>ADDIN CSL_CITATION {"citationItems":[{"id":"ITEM-1","itemData":{"author":[{"dropping-particle":"","family":"Birke","given":"G","non-dropping-particle":"","parse-names":false,"suffix":""},{"dropping-particle":"","family":"Johnels","given":"AG","non-dropping-particle":"","parse-names":false,"suffix":""},{"dropping-particle":"","family":"Plantin","given":"LO","non-dropping-particle":"","parse-names":false,"suffix":""},{"dropping-particle":"","family":"Sjostrand","given":"B","non-dropping-particle":"","parse-names":false,"suffix":""},{"dropping-particle":"","family":"Westermark","given":"T","non-dropping-particle":"","parse-names":false,"suffix":""}],"container-title":"Lakartidningen","id":"ITEM-1","issued":{"date-parts":[["1967"]]},"page":"3628-3637","title":"Mercury poisoning through eating fish?","type":"article-journal","volume":"64"},"suppress-author":1,"uris":["http://www.mendeley.com/documents/?uuid=9d2f0b14-6159-41e5-adcb-79fae5461161"]}],"mendeley":{"formattedCitation":"(1967)","plainTextFormattedCitation":"(1967)","previouslyFormattedCitation":"(1967)"},"properties":{"noteIndex":0},"schema":"https://github.com/citation-style-language/schema/raw/master/csl-citation.json"}</w:instrText>
            </w:r>
            <w:r w:rsidRPr="00524806">
              <w:rPr>
                <w:sz w:val="16"/>
                <w:szCs w:val="16"/>
              </w:rPr>
              <w:fldChar w:fldCharType="separate"/>
            </w:r>
            <w:r w:rsidRPr="00524806">
              <w:rPr>
                <w:rFonts w:ascii="Times New Roman" w:hAnsi="Times New Roman" w:cs="Times New Roman"/>
                <w:noProof/>
                <w:sz w:val="16"/>
                <w:szCs w:val="16"/>
              </w:rPr>
              <w:t>(1967)</w:t>
            </w:r>
            <w:r w:rsidRPr="00524806">
              <w:rPr>
                <w:sz w:val="16"/>
                <w:szCs w:val="16"/>
              </w:rPr>
              <w:fldChar w:fldCharType="end"/>
            </w:r>
            <w:r w:rsidRPr="00524806">
              <w:rPr>
                <w:rFonts w:ascii="Times New Roman" w:hAnsi="Times New Roman" w:cs="Times New Roman"/>
                <w:sz w:val="16"/>
                <w:szCs w:val="16"/>
              </w:rPr>
              <w:t xml:space="preserve"> for hair THg:</w:t>
            </w:r>
          </w:p>
          <w:p w14:paraId="02553C34"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[RBC µg/g THg] = 1.4 * [oral intake of mg/day MeHg] +0.003</w:t>
            </w:r>
          </w:p>
          <w:p w14:paraId="1AF33FBB"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rearranged to:</w:t>
            </w:r>
          </w:p>
          <w:p w14:paraId="00E09C31" w14:textId="0FD03C65"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[oral intake of mg/day MeHg] = ([RBC µg/g THg] -0.003</w:t>
            </w:r>
            <w:r w:rsidRPr="00524806">
              <w:rPr>
                <w:rFonts w:ascii="Times New Roman" w:hAnsi="Times New Roman" w:cs="Times New Roman"/>
                <w:bCs w:val="0"/>
                <w:sz w:val="16"/>
                <w:szCs w:val="16"/>
              </w:rPr>
              <w:t>)</w:t>
            </w:r>
            <w:r w:rsidR="001C05FF" w:rsidRPr="00187523">
              <w:rPr>
                <w:sz w:val="16"/>
                <w:szCs w:val="16"/>
              </w:rPr>
              <w:t xml:space="preserve"> ÷</w:t>
            </w:r>
            <w:r w:rsidR="001C05FF">
              <w:rPr>
                <w:sz w:val="16"/>
                <w:szCs w:val="16"/>
              </w:rPr>
              <w:t xml:space="preserve"> </w:t>
            </w:r>
            <w:r w:rsidRPr="00524806">
              <w:rPr>
                <w:rFonts w:ascii="Times New Roman" w:hAnsi="Times New Roman" w:cs="Times New Roman"/>
                <w:sz w:val="16"/>
                <w:szCs w:val="16"/>
              </w:rPr>
              <w:t>1.4</w:t>
            </w:r>
          </w:p>
          <w:p w14:paraId="43D4B135" w14:textId="0662AA13"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 xml:space="preserve">when substituted with the </w:t>
            </w:r>
            <w:r w:rsidRPr="00524806">
              <w:rPr>
                <w:rFonts w:ascii="Times New Roman" w:hAnsi="Times New Roman" w:cs="Times New Roman"/>
                <w:bCs w:val="0"/>
                <w:sz w:val="16"/>
                <w:szCs w:val="16"/>
              </w:rPr>
              <w:t>P</w:t>
            </w:r>
            <w:r w:rsidR="001C6D84">
              <w:rPr>
                <w:rFonts w:ascii="Times New Roman" w:hAnsi="Times New Roman" w:cs="Times New Roman"/>
                <w:bCs w:val="0"/>
                <w:sz w:val="16"/>
                <w:szCs w:val="16"/>
              </w:rPr>
              <w:t>o</w:t>
            </w:r>
            <w:r w:rsidRPr="00524806">
              <w:rPr>
                <w:rFonts w:ascii="Times New Roman" w:hAnsi="Times New Roman" w:cs="Times New Roman"/>
                <w:bCs w:val="0"/>
                <w:sz w:val="16"/>
                <w:szCs w:val="16"/>
              </w:rPr>
              <w:t>D</w:t>
            </w:r>
            <w:r w:rsidRPr="00524806">
              <w:rPr>
                <w:rFonts w:ascii="Times New Roman" w:hAnsi="Times New Roman" w:cs="Times New Roman"/>
                <w:sz w:val="16"/>
                <w:szCs w:val="16"/>
              </w:rPr>
              <w:t xml:space="preserve"> in RBCs of 0.4 µg/g THg:</w:t>
            </w:r>
          </w:p>
          <w:p w14:paraId="519F1AF1" w14:textId="43F77BEE"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[oral intake of mg/day MeHg] = (0.4 -0.003</w:t>
            </w:r>
            <w:r w:rsidRPr="00524806">
              <w:rPr>
                <w:rFonts w:ascii="Times New Roman" w:hAnsi="Times New Roman" w:cs="Times New Roman"/>
                <w:bCs w:val="0"/>
                <w:sz w:val="16"/>
                <w:szCs w:val="16"/>
              </w:rPr>
              <w:t>)</w:t>
            </w:r>
            <w:r w:rsidR="001C05FF" w:rsidRPr="00187523">
              <w:rPr>
                <w:sz w:val="16"/>
                <w:szCs w:val="16"/>
              </w:rPr>
              <w:t xml:space="preserve"> ÷</w:t>
            </w:r>
            <w:r w:rsidR="001C05FF">
              <w:rPr>
                <w:sz w:val="16"/>
                <w:szCs w:val="16"/>
              </w:rPr>
              <w:t xml:space="preserve"> </w:t>
            </w:r>
            <w:r w:rsidRPr="00524806">
              <w:rPr>
                <w:rFonts w:ascii="Times New Roman" w:hAnsi="Times New Roman" w:cs="Times New Roman"/>
                <w:sz w:val="16"/>
                <w:szCs w:val="16"/>
              </w:rPr>
              <w:t>1.4</w:t>
            </w:r>
          </w:p>
          <w:p w14:paraId="5FD968F0"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 xml:space="preserve">[oral intake of mg/day MeHg] = 0.284 mg/day </w:t>
            </w:r>
            <w:r w:rsidRPr="00D47872">
              <w:rPr>
                <w:rFonts w:ascii="Times New Roman" w:hAnsi="Times New Roman" w:cs="Times New Roman"/>
                <w:sz w:val="16"/>
                <w:szCs w:val="16"/>
              </w:rPr>
              <w:t>or</w:t>
            </w:r>
            <w:r w:rsidRPr="00524806">
              <w:rPr>
                <w:rFonts w:ascii="Times New Roman" w:hAnsi="Times New Roman" w:cs="Times New Roman"/>
                <w:b/>
                <w:sz w:val="16"/>
                <w:szCs w:val="16"/>
              </w:rPr>
              <w:t xml:space="preserve"> 284 µg/day MeHg</w:t>
            </w:r>
            <w:r w:rsidRPr="00524806">
              <w:rPr>
                <w:rFonts w:ascii="Times New Roman" w:hAnsi="Times New Roman" w:cs="Times New Roman"/>
                <w:sz w:val="16"/>
                <w:szCs w:val="16"/>
              </w:rPr>
              <w:t>)</w:t>
            </w:r>
          </w:p>
          <w:p w14:paraId="329BB3C7" w14:textId="77777777" w:rsidR="0053182E" w:rsidRPr="00524806" w:rsidRDefault="0053182E" w:rsidP="00F31134">
            <w:pPr>
              <w:widowControl w:val="0"/>
              <w:ind w:left="57" w:right="57"/>
              <w:rPr>
                <w:rFonts w:ascii="Times New Roman" w:hAnsi="Times New Roman" w:cs="Times New Roman"/>
                <w:bCs w:val="0"/>
                <w:sz w:val="16"/>
                <w:szCs w:val="16"/>
              </w:rPr>
            </w:pPr>
          </w:p>
          <w:p w14:paraId="1A4CA50C"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 xml:space="preserve">2. Kojima &amp; Araki </w:t>
            </w:r>
            <w:r w:rsidRPr="00524806">
              <w:rPr>
                <w:sz w:val="16"/>
                <w:szCs w:val="16"/>
              </w:rPr>
              <w:fldChar w:fldCharType="begin" w:fldLock="1"/>
            </w:r>
            <w:r w:rsidRPr="00524806">
              <w:rPr>
                <w:rFonts w:ascii="Times New Roman" w:hAnsi="Times New Roman" w:cs="Times New Roman"/>
                <w:sz w:val="16"/>
                <w:szCs w:val="16"/>
              </w:rPr>
              <w:instrText>ADDIN CSL_CITATION {"citationItems":[{"id":"ITEM-1","itemData":{"author":[{"dropping-particle":"","family":"Kojima","given":"K.","non-dropping-particle":"","parse-names":false,"suffix":""},{"dropping-particle":"","family":"Araki","given":"T.","non-dropping-particle":"","parse-names":false,"suffix":""}],"id":"ITEM-1","issued":{"date-parts":[["1972"]]},"title":"Paper submitted to WHO (unpublished, cited in FAO-WHO 1972)","type":"report"},"suppress-author":1,"uris":["http://www.mendeley.com/documents/?uuid=f95b3c0f-235a-490e-b64c-a9038cc03dbf"]}],"mendeley":{"formattedCitation":"(1972)","plainTextFormattedCitation":"(1972)","previouslyFormattedCitation":"(1972)"},"properties":{"noteIndex":0},"schema":"https://github.com/citation-style-language/schema/raw/master/csl-citation.json"}</w:instrText>
            </w:r>
            <w:r w:rsidRPr="00524806">
              <w:rPr>
                <w:sz w:val="16"/>
                <w:szCs w:val="16"/>
              </w:rPr>
              <w:fldChar w:fldCharType="separate"/>
            </w:r>
            <w:r w:rsidRPr="00524806">
              <w:rPr>
                <w:rFonts w:ascii="Times New Roman" w:hAnsi="Times New Roman" w:cs="Times New Roman"/>
                <w:noProof/>
                <w:sz w:val="16"/>
                <w:szCs w:val="16"/>
              </w:rPr>
              <w:t>(1972)</w:t>
            </w:r>
            <w:r w:rsidRPr="00524806">
              <w:rPr>
                <w:sz w:val="16"/>
                <w:szCs w:val="16"/>
              </w:rPr>
              <w:fldChar w:fldCharType="end"/>
            </w:r>
            <w:r w:rsidRPr="00524806">
              <w:rPr>
                <w:rFonts w:ascii="Times New Roman" w:hAnsi="Times New Roman" w:cs="Times New Roman"/>
                <w:sz w:val="16"/>
                <w:szCs w:val="16"/>
              </w:rPr>
              <w:t xml:space="preserve"> for RBC THg:</w:t>
            </w:r>
          </w:p>
          <w:p w14:paraId="09648957"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[hair µg/g THg] = 150*[intake mg/day MeHg] + 1.66</w:t>
            </w:r>
          </w:p>
          <w:p w14:paraId="70F5891F"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rearranged to:</w:t>
            </w:r>
          </w:p>
          <w:p w14:paraId="169A6526" w14:textId="37924B45"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[intake mg/day MeHg] = ([hair µg/g THg] – 1.66</w:t>
            </w:r>
            <w:r w:rsidRPr="00524806">
              <w:rPr>
                <w:rFonts w:ascii="Times New Roman" w:hAnsi="Times New Roman" w:cs="Times New Roman"/>
                <w:bCs w:val="0"/>
                <w:sz w:val="16"/>
                <w:szCs w:val="16"/>
              </w:rPr>
              <w:t>)</w:t>
            </w:r>
            <w:r w:rsidR="008D3DC6" w:rsidRPr="00187523">
              <w:rPr>
                <w:sz w:val="16"/>
                <w:szCs w:val="16"/>
              </w:rPr>
              <w:t xml:space="preserve"> ÷</w:t>
            </w:r>
            <w:r w:rsidR="008D3DC6">
              <w:rPr>
                <w:sz w:val="16"/>
                <w:szCs w:val="16"/>
              </w:rPr>
              <w:t xml:space="preserve"> </w:t>
            </w:r>
            <w:r w:rsidRPr="00524806">
              <w:rPr>
                <w:rFonts w:ascii="Times New Roman" w:hAnsi="Times New Roman" w:cs="Times New Roman"/>
                <w:sz w:val="16"/>
                <w:szCs w:val="16"/>
              </w:rPr>
              <w:t>150</w:t>
            </w:r>
          </w:p>
          <w:p w14:paraId="3C271216" w14:textId="2DE25560"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 xml:space="preserve">when substituted with the hair </w:t>
            </w:r>
            <w:r w:rsidRPr="00524806">
              <w:rPr>
                <w:rFonts w:ascii="Times New Roman" w:hAnsi="Times New Roman" w:cs="Times New Roman"/>
                <w:bCs w:val="0"/>
                <w:sz w:val="16"/>
                <w:szCs w:val="16"/>
              </w:rPr>
              <w:t>P</w:t>
            </w:r>
            <w:r w:rsidR="001C6D84">
              <w:rPr>
                <w:rFonts w:ascii="Times New Roman" w:hAnsi="Times New Roman" w:cs="Times New Roman"/>
                <w:bCs w:val="0"/>
                <w:sz w:val="16"/>
                <w:szCs w:val="16"/>
              </w:rPr>
              <w:t>o</w:t>
            </w:r>
            <w:r w:rsidRPr="00524806">
              <w:rPr>
                <w:rFonts w:ascii="Times New Roman" w:hAnsi="Times New Roman" w:cs="Times New Roman"/>
                <w:bCs w:val="0"/>
                <w:sz w:val="16"/>
                <w:szCs w:val="16"/>
              </w:rPr>
              <w:t>D</w:t>
            </w:r>
            <w:r w:rsidRPr="00524806">
              <w:rPr>
                <w:rFonts w:ascii="Times New Roman" w:hAnsi="Times New Roman" w:cs="Times New Roman"/>
                <w:sz w:val="16"/>
                <w:szCs w:val="16"/>
              </w:rPr>
              <w:t xml:space="preserve"> of 50 µg/g THg: </w:t>
            </w:r>
          </w:p>
          <w:p w14:paraId="734535ED" w14:textId="77777777" w:rsidR="0053182E" w:rsidRDefault="0053182E" w:rsidP="00612FA0">
            <w:pPr>
              <w:widowControl w:val="0"/>
              <w:ind w:left="57" w:right="57"/>
              <w:rPr>
                <w:rFonts w:ascii="Times New Roman" w:hAnsi="Times New Roman" w:cs="Times New Roman"/>
                <w:b/>
                <w:sz w:val="16"/>
                <w:szCs w:val="16"/>
              </w:rPr>
            </w:pPr>
            <w:r w:rsidRPr="00524806">
              <w:rPr>
                <w:rFonts w:ascii="Times New Roman" w:hAnsi="Times New Roman" w:cs="Times New Roman"/>
                <w:sz w:val="16"/>
                <w:szCs w:val="16"/>
              </w:rPr>
              <w:t>[intake mg/day MeHg] = [50 – 1.66</w:t>
            </w:r>
            <w:r w:rsidRPr="00524806">
              <w:rPr>
                <w:rFonts w:ascii="Times New Roman" w:hAnsi="Times New Roman" w:cs="Times New Roman"/>
                <w:bCs w:val="0"/>
                <w:sz w:val="16"/>
                <w:szCs w:val="16"/>
              </w:rPr>
              <w:t>]</w:t>
            </w:r>
            <w:r w:rsidR="008D3DC6" w:rsidRPr="00187523">
              <w:rPr>
                <w:sz w:val="16"/>
                <w:szCs w:val="16"/>
              </w:rPr>
              <w:t xml:space="preserve"> ÷</w:t>
            </w:r>
            <w:r w:rsidR="008D3DC6">
              <w:rPr>
                <w:sz w:val="16"/>
                <w:szCs w:val="16"/>
              </w:rPr>
              <w:t xml:space="preserve"> </w:t>
            </w:r>
            <w:r w:rsidRPr="00524806">
              <w:rPr>
                <w:rFonts w:ascii="Times New Roman" w:hAnsi="Times New Roman" w:cs="Times New Roman"/>
                <w:sz w:val="16"/>
                <w:szCs w:val="16"/>
              </w:rPr>
              <w:t xml:space="preserve">150 = 0.322 mg/day or </w:t>
            </w:r>
            <w:r w:rsidRPr="00524806">
              <w:rPr>
                <w:rFonts w:ascii="Times New Roman" w:hAnsi="Times New Roman" w:cs="Times New Roman"/>
                <w:b/>
                <w:sz w:val="16"/>
                <w:szCs w:val="16"/>
              </w:rPr>
              <w:t>322 µg/day MeHg</w:t>
            </w:r>
          </w:p>
          <w:p w14:paraId="41EDA112" w14:textId="56C03E27" w:rsidR="0053182E" w:rsidRPr="00524806" w:rsidRDefault="0053182E" w:rsidP="00F31134">
            <w:pPr>
              <w:widowControl w:val="0"/>
              <w:ind w:left="57" w:right="57"/>
              <w:rPr>
                <w:rFonts w:ascii="Times New Roman" w:hAnsi="Times New Roman" w:cs="Times New Roman"/>
                <w:bCs w:val="0"/>
                <w:sz w:val="16"/>
                <w:szCs w:val="16"/>
              </w:rPr>
            </w:pPr>
          </w:p>
        </w:tc>
        <w:tc>
          <w:tcPr>
            <w:tcW w:w="995" w:type="dxa"/>
            <w:vMerge/>
          </w:tcPr>
          <w:p w14:paraId="54490987" w14:textId="77777777" w:rsidR="0053182E" w:rsidRPr="00524806" w:rsidRDefault="0053182E" w:rsidP="00F31134">
            <w:pPr>
              <w:widowControl w:val="0"/>
              <w:ind w:left="57" w:right="57"/>
              <w:rPr>
                <w:rFonts w:ascii="Times New Roman" w:hAnsi="Times New Roman" w:cs="Times New Roman"/>
                <w:sz w:val="16"/>
                <w:szCs w:val="16"/>
              </w:rPr>
            </w:pPr>
          </w:p>
        </w:tc>
        <w:tc>
          <w:tcPr>
            <w:tcW w:w="3494" w:type="dxa"/>
          </w:tcPr>
          <w:p w14:paraId="3BA54A86" w14:textId="77777777" w:rsidR="004E15EC" w:rsidRPr="00945BB8" w:rsidRDefault="004E15EC" w:rsidP="004E15EC">
            <w:pPr>
              <w:widowControl w:val="0"/>
              <w:ind w:left="57" w:right="57"/>
              <w:rPr>
                <w:rFonts w:ascii="Times New Roman" w:hAnsi="Times New Roman" w:cs="Times New Roman"/>
                <w:b/>
                <w:color w:val="0000FF"/>
                <w:sz w:val="20"/>
                <w:szCs w:val="20"/>
              </w:rPr>
            </w:pPr>
            <w:r w:rsidRPr="00945BB8">
              <w:rPr>
                <w:rFonts w:ascii="Times New Roman" w:hAnsi="Times New Roman" w:cs="Times New Roman"/>
                <w:b/>
                <w:color w:val="0000FF"/>
                <w:sz w:val="20"/>
                <w:szCs w:val="20"/>
              </w:rPr>
              <w:t>Author Inferred TRV</w:t>
            </w:r>
          </w:p>
          <w:p w14:paraId="7FC83089" w14:textId="77777777" w:rsidR="001D06A4" w:rsidRPr="00945BB8" w:rsidRDefault="0053182E" w:rsidP="00612FA0">
            <w:pPr>
              <w:widowControl w:val="0"/>
              <w:ind w:left="57" w:right="57"/>
              <w:rPr>
                <w:rFonts w:ascii="Times New Roman" w:hAnsi="Times New Roman" w:cs="Times New Roman"/>
                <w:b/>
                <w:color w:val="000000" w:themeColor="text1"/>
                <w:sz w:val="20"/>
                <w:szCs w:val="20"/>
              </w:rPr>
            </w:pPr>
            <w:r w:rsidRPr="00945BB8">
              <w:rPr>
                <w:rFonts w:ascii="Times New Roman" w:hAnsi="Times New Roman" w:cs="Times New Roman"/>
                <w:b/>
                <w:color w:val="000000" w:themeColor="text1"/>
                <w:sz w:val="20"/>
                <w:szCs w:val="20"/>
              </w:rPr>
              <w:t>30 µg/day MeHg</w:t>
            </w:r>
          </w:p>
          <w:p w14:paraId="13478067" w14:textId="35952738" w:rsidR="000131D0" w:rsidRDefault="000131D0" w:rsidP="000131D0">
            <w:pPr>
              <w:widowControl w:val="0"/>
              <w:ind w:left="57" w:right="57"/>
              <w:rPr>
                <w:rFonts w:ascii="Times New Roman" w:hAnsi="Times New Roman" w:cs="Times New Roman"/>
                <w:sz w:val="16"/>
                <w:szCs w:val="16"/>
              </w:rPr>
            </w:pPr>
            <w:r w:rsidRPr="001D06A4">
              <w:rPr>
                <w:rFonts w:ascii="Times New Roman" w:hAnsi="Times New Roman" w:cs="Times New Roman"/>
                <w:bCs w:val="0"/>
                <w:sz w:val="16"/>
                <w:szCs w:val="16"/>
              </w:rPr>
              <w:t>(not</w:t>
            </w:r>
            <w:r w:rsidRPr="00524806">
              <w:rPr>
                <w:rFonts w:ascii="Times New Roman" w:hAnsi="Times New Roman" w:cs="Times New Roman"/>
                <w:sz w:val="16"/>
                <w:szCs w:val="16"/>
              </w:rPr>
              <w:t xml:space="preserve"> explicitly derived by JECFA</w:t>
            </w:r>
            <w:r>
              <w:rPr>
                <w:rFonts w:ascii="Times New Roman" w:hAnsi="Times New Roman" w:cs="Times New Roman"/>
                <w:sz w:val="16"/>
                <w:szCs w:val="16"/>
              </w:rPr>
              <w:t xml:space="preserve">, inferred from the RBC PoD of 300 </w:t>
            </w:r>
            <w:r w:rsidRPr="00920B18">
              <w:rPr>
                <w:rFonts w:ascii="Times New Roman" w:hAnsi="Times New Roman" w:cs="Times New Roman"/>
                <w:bCs w:val="0"/>
                <w:sz w:val="16"/>
                <w:szCs w:val="16"/>
              </w:rPr>
              <w:t>µg/</w:t>
            </w:r>
            <w:r>
              <w:rPr>
                <w:rFonts w:ascii="Times New Roman" w:hAnsi="Times New Roman" w:cs="Times New Roman"/>
                <w:bCs w:val="0"/>
                <w:sz w:val="16"/>
                <w:szCs w:val="16"/>
              </w:rPr>
              <w:t>day</w:t>
            </w:r>
            <w:r w:rsidRPr="00920B18">
              <w:rPr>
                <w:rFonts w:ascii="Times New Roman" w:hAnsi="Times New Roman" w:cs="Times New Roman"/>
                <w:bCs w:val="0"/>
                <w:sz w:val="16"/>
                <w:szCs w:val="16"/>
              </w:rPr>
              <w:t xml:space="preserve"> THg</w:t>
            </w:r>
            <w:r>
              <w:rPr>
                <w:rFonts w:ascii="Times New Roman" w:hAnsi="Times New Roman" w:cs="Times New Roman"/>
                <w:bCs w:val="0"/>
                <w:sz w:val="16"/>
                <w:szCs w:val="16"/>
              </w:rPr>
              <w:t xml:space="preserve"> </w:t>
            </w:r>
            <w:r>
              <w:rPr>
                <w:rFonts w:ascii="Symbol" w:eastAsia="Symbol" w:hAnsi="Symbol" w:cs="Symbol"/>
                <w:bCs w:val="0"/>
                <w:sz w:val="16"/>
                <w:szCs w:val="16"/>
              </w:rPr>
              <w:t>¸</w:t>
            </w:r>
            <w:r>
              <w:rPr>
                <w:rFonts w:ascii="Times New Roman" w:hAnsi="Times New Roman" w:cs="Times New Roman"/>
                <w:bCs w:val="0"/>
                <w:sz w:val="16"/>
                <w:szCs w:val="16"/>
              </w:rPr>
              <w:t xml:space="preserve"> UF10</w:t>
            </w:r>
            <w:r w:rsidRPr="004646BE">
              <w:rPr>
                <w:rFonts w:ascii="Times New Roman" w:hAnsi="Times New Roman" w:cs="Times New Roman"/>
                <w:sz w:val="16"/>
                <w:szCs w:val="16"/>
              </w:rPr>
              <w:t>)</w:t>
            </w:r>
          </w:p>
          <w:p w14:paraId="549CACA0" w14:textId="3CE75F80" w:rsidR="0053182E" w:rsidRPr="00524806" w:rsidRDefault="0053182E" w:rsidP="00F31134">
            <w:pPr>
              <w:widowControl w:val="0"/>
              <w:ind w:left="57" w:right="57"/>
              <w:rPr>
                <w:rFonts w:ascii="Times New Roman" w:hAnsi="Times New Roman" w:cs="Times New Roman"/>
                <w:sz w:val="16"/>
                <w:szCs w:val="16"/>
              </w:rPr>
            </w:pPr>
          </w:p>
        </w:tc>
      </w:tr>
      <w:tr w:rsidR="0053182E" w:rsidRPr="00524806" w14:paraId="11F0FCE7" w14:textId="77777777" w:rsidTr="00343D54">
        <w:tc>
          <w:tcPr>
            <w:tcW w:w="991" w:type="dxa"/>
          </w:tcPr>
          <w:p w14:paraId="60224307"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oral</w:t>
            </w:r>
          </w:p>
          <w:p w14:paraId="1D723B36"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(per person per week)</w:t>
            </w:r>
          </w:p>
        </w:tc>
        <w:tc>
          <w:tcPr>
            <w:tcW w:w="5010" w:type="dxa"/>
          </w:tcPr>
          <w:p w14:paraId="7ED2F6B8" w14:textId="5A6F4837" w:rsidR="004E15EC" w:rsidRPr="00856360" w:rsidRDefault="004E15EC" w:rsidP="004E15EC">
            <w:pPr>
              <w:widowControl w:val="0"/>
              <w:ind w:left="57" w:right="57"/>
              <w:rPr>
                <w:rFonts w:ascii="Times New Roman" w:hAnsi="Times New Roman" w:cs="Times New Roman"/>
                <w:b/>
                <w:color w:val="0000FF"/>
                <w:sz w:val="20"/>
                <w:szCs w:val="20"/>
              </w:rPr>
            </w:pPr>
            <w:r w:rsidRPr="00856360">
              <w:rPr>
                <w:rFonts w:ascii="Times New Roman" w:hAnsi="Times New Roman" w:cs="Times New Roman"/>
                <w:b/>
                <w:color w:val="0000FF"/>
                <w:sz w:val="20"/>
                <w:szCs w:val="20"/>
              </w:rPr>
              <w:t>Author Inferred PoD</w:t>
            </w:r>
          </w:p>
          <w:p w14:paraId="7E5C066D" w14:textId="744A101E" w:rsidR="00CD72E0" w:rsidRPr="002F21E3" w:rsidRDefault="0053182E" w:rsidP="00612FA0">
            <w:pPr>
              <w:widowControl w:val="0"/>
              <w:ind w:left="57" w:right="57"/>
              <w:rPr>
                <w:rFonts w:ascii="Times New Roman" w:hAnsi="Times New Roman" w:cs="Times New Roman"/>
                <w:sz w:val="20"/>
                <w:szCs w:val="20"/>
              </w:rPr>
            </w:pPr>
            <w:r w:rsidRPr="002F21E3">
              <w:rPr>
                <w:rFonts w:ascii="Times New Roman" w:hAnsi="Times New Roman" w:cs="Times New Roman"/>
                <w:b/>
                <w:sz w:val="20"/>
                <w:szCs w:val="20"/>
              </w:rPr>
              <w:t>2100 µg/week MeHg</w:t>
            </w:r>
            <w:r w:rsidRPr="002F21E3">
              <w:rPr>
                <w:rFonts w:ascii="Times New Roman" w:hAnsi="Times New Roman" w:cs="Times New Roman"/>
                <w:sz w:val="20"/>
                <w:szCs w:val="20"/>
              </w:rPr>
              <w:t xml:space="preserve"> </w:t>
            </w:r>
          </w:p>
          <w:p w14:paraId="6E527401" w14:textId="1C4C231B" w:rsidR="0053182E" w:rsidRPr="00524806" w:rsidRDefault="00CD72E0" w:rsidP="00F31134">
            <w:pPr>
              <w:widowControl w:val="0"/>
              <w:ind w:left="57" w:right="57"/>
              <w:rPr>
                <w:rFonts w:ascii="Times New Roman" w:hAnsi="Times New Roman" w:cs="Times New Roman"/>
                <w:b/>
                <w:sz w:val="16"/>
                <w:szCs w:val="16"/>
              </w:rPr>
            </w:pPr>
            <w:r w:rsidRPr="00CD72E0">
              <w:rPr>
                <w:rFonts w:ascii="Times New Roman" w:hAnsi="Times New Roman" w:cs="Times New Roman"/>
                <w:bCs w:val="0"/>
                <w:sz w:val="16"/>
                <w:szCs w:val="16"/>
              </w:rPr>
              <w:t>(</w:t>
            </w:r>
            <w:r w:rsidR="0053182E" w:rsidRPr="00524806">
              <w:rPr>
                <w:rFonts w:ascii="Times New Roman" w:hAnsi="Times New Roman" w:cs="Times New Roman"/>
                <w:sz w:val="16"/>
                <w:szCs w:val="16"/>
              </w:rPr>
              <w:t>not explicitly derived by JECFA</w:t>
            </w:r>
            <w:r w:rsidR="00D22350">
              <w:rPr>
                <w:rFonts w:ascii="Times New Roman" w:hAnsi="Times New Roman" w:cs="Times New Roman"/>
                <w:sz w:val="16"/>
                <w:szCs w:val="16"/>
              </w:rPr>
              <w:t>; the authors of this manuscript</w:t>
            </w:r>
            <w:r w:rsidR="001067E1">
              <w:rPr>
                <w:rFonts w:ascii="Times New Roman" w:hAnsi="Times New Roman" w:cs="Times New Roman"/>
                <w:sz w:val="16"/>
                <w:szCs w:val="16"/>
              </w:rPr>
              <w:t xml:space="preserve"> inferred</w:t>
            </w:r>
            <w:r w:rsidR="00115B95">
              <w:rPr>
                <w:rFonts w:ascii="Times New Roman" w:hAnsi="Times New Roman" w:cs="Times New Roman"/>
                <w:sz w:val="16"/>
                <w:szCs w:val="16"/>
              </w:rPr>
              <w:t xml:space="preserve"> </w:t>
            </w:r>
            <w:r w:rsidR="00115B95">
              <w:rPr>
                <w:rFonts w:ascii="Times New Roman" w:hAnsi="Times New Roman" w:cs="Times New Roman"/>
                <w:sz w:val="16"/>
                <w:szCs w:val="16"/>
              </w:rPr>
              <w:lastRenderedPageBreak/>
              <w:t>this</w:t>
            </w:r>
            <w:r w:rsidR="0053182E" w:rsidRPr="00524806">
              <w:rPr>
                <w:rFonts w:ascii="Times New Roman" w:hAnsi="Times New Roman" w:cs="Times New Roman"/>
                <w:sz w:val="16"/>
                <w:szCs w:val="16"/>
              </w:rPr>
              <w:t xml:space="preserve"> </w:t>
            </w:r>
            <w:r w:rsidR="004500A1">
              <w:rPr>
                <w:rFonts w:ascii="Times New Roman" w:hAnsi="Times New Roman" w:cs="Times New Roman"/>
                <w:sz w:val="16"/>
                <w:szCs w:val="16"/>
              </w:rPr>
              <w:t>PoD</w:t>
            </w:r>
            <w:r w:rsidR="0053182E" w:rsidRPr="00524806">
              <w:rPr>
                <w:rFonts w:ascii="Times New Roman" w:hAnsi="Times New Roman" w:cs="Times New Roman"/>
                <w:sz w:val="16"/>
                <w:szCs w:val="16"/>
              </w:rPr>
              <w:t xml:space="preserve"> </w:t>
            </w:r>
            <w:r w:rsidR="00115B95">
              <w:rPr>
                <w:rFonts w:ascii="Times New Roman" w:hAnsi="Times New Roman" w:cs="Times New Roman"/>
                <w:sz w:val="16"/>
                <w:szCs w:val="16"/>
              </w:rPr>
              <w:t>as</w:t>
            </w:r>
            <w:r w:rsidR="0053182E" w:rsidRPr="00524806">
              <w:rPr>
                <w:rFonts w:ascii="Times New Roman" w:hAnsi="Times New Roman" w:cs="Times New Roman"/>
                <w:sz w:val="16"/>
                <w:szCs w:val="16"/>
              </w:rPr>
              <w:t xml:space="preserve"> derived from the per person daily P</w:t>
            </w:r>
            <w:r w:rsidR="001C6D84">
              <w:rPr>
                <w:rFonts w:ascii="Times New Roman" w:hAnsi="Times New Roman" w:cs="Times New Roman"/>
                <w:sz w:val="16"/>
                <w:szCs w:val="16"/>
              </w:rPr>
              <w:t>o</w:t>
            </w:r>
            <w:r w:rsidR="0053182E" w:rsidRPr="00524806">
              <w:rPr>
                <w:rFonts w:ascii="Times New Roman" w:hAnsi="Times New Roman" w:cs="Times New Roman"/>
                <w:sz w:val="16"/>
                <w:szCs w:val="16"/>
              </w:rPr>
              <w:t>D: [300 µg/day MeHg]*[7days/week] = 2100 µg/week MeHg)</w:t>
            </w:r>
          </w:p>
        </w:tc>
        <w:tc>
          <w:tcPr>
            <w:tcW w:w="995" w:type="dxa"/>
            <w:vMerge/>
          </w:tcPr>
          <w:p w14:paraId="6C392C98" w14:textId="77777777" w:rsidR="0053182E" w:rsidRPr="00524806" w:rsidRDefault="0053182E" w:rsidP="00F31134">
            <w:pPr>
              <w:widowControl w:val="0"/>
              <w:ind w:left="57" w:right="57"/>
              <w:rPr>
                <w:rFonts w:ascii="Times New Roman" w:hAnsi="Times New Roman" w:cs="Times New Roman"/>
                <w:sz w:val="16"/>
                <w:szCs w:val="16"/>
              </w:rPr>
            </w:pPr>
          </w:p>
        </w:tc>
        <w:tc>
          <w:tcPr>
            <w:tcW w:w="3494" w:type="dxa"/>
          </w:tcPr>
          <w:p w14:paraId="5CB5DB36" w14:textId="59E57463" w:rsidR="00F33548" w:rsidRPr="002F21E3" w:rsidRDefault="00F33548" w:rsidP="00F33548">
            <w:pPr>
              <w:widowControl w:val="0"/>
              <w:ind w:left="57" w:right="57"/>
              <w:rPr>
                <w:rFonts w:ascii="Times New Roman" w:hAnsi="Times New Roman" w:cs="Times New Roman"/>
                <w:b/>
                <w:sz w:val="20"/>
                <w:szCs w:val="20"/>
              </w:rPr>
            </w:pPr>
            <w:r w:rsidRPr="002F21E3">
              <w:rPr>
                <w:rFonts w:ascii="Times New Roman" w:hAnsi="Times New Roman" w:cs="Times New Roman"/>
                <w:b/>
                <w:sz w:val="20"/>
                <w:szCs w:val="20"/>
              </w:rPr>
              <w:t>JECFA Derived TRV</w:t>
            </w:r>
          </w:p>
          <w:p w14:paraId="6870A227" w14:textId="77777777" w:rsidR="0053182E" w:rsidRPr="002F21E3" w:rsidRDefault="0053182E" w:rsidP="00F31134">
            <w:pPr>
              <w:widowControl w:val="0"/>
              <w:ind w:left="57" w:right="57"/>
              <w:rPr>
                <w:rFonts w:ascii="Times New Roman" w:hAnsi="Times New Roman" w:cs="Times New Roman"/>
                <w:sz w:val="20"/>
                <w:szCs w:val="20"/>
                <w:vertAlign w:val="superscript"/>
              </w:rPr>
            </w:pPr>
            <w:r w:rsidRPr="002F21E3">
              <w:rPr>
                <w:rFonts w:ascii="Times New Roman" w:hAnsi="Times New Roman" w:cs="Times New Roman"/>
                <w:b/>
                <w:sz w:val="20"/>
                <w:szCs w:val="20"/>
              </w:rPr>
              <w:t>200 µg/week MeHg</w:t>
            </w:r>
            <w:r w:rsidRPr="002F21E3">
              <w:rPr>
                <w:rFonts w:ascii="Times New Roman" w:hAnsi="Times New Roman" w:cs="Times New Roman"/>
                <w:sz w:val="20"/>
                <w:szCs w:val="20"/>
              </w:rPr>
              <w:t xml:space="preserve"> </w:t>
            </w:r>
            <w:r w:rsidRPr="002F21E3">
              <w:rPr>
                <w:rFonts w:ascii="Times New Roman" w:hAnsi="Times New Roman" w:cs="Times New Roman"/>
                <w:sz w:val="20"/>
                <w:szCs w:val="20"/>
                <w:vertAlign w:val="superscript"/>
              </w:rPr>
              <w:t>a</w:t>
            </w:r>
          </w:p>
          <w:p w14:paraId="44099167" w14:textId="68705796" w:rsidR="0053182E" w:rsidRPr="002F21E3" w:rsidRDefault="002F21E3" w:rsidP="00F31134">
            <w:pPr>
              <w:widowControl w:val="0"/>
              <w:ind w:left="57" w:right="57"/>
              <w:rPr>
                <w:rFonts w:ascii="Times New Roman" w:hAnsi="Times New Roman" w:cs="Times New Roman"/>
                <w:sz w:val="16"/>
                <w:szCs w:val="16"/>
              </w:rPr>
            </w:pPr>
            <w:r w:rsidRPr="002F21E3">
              <w:rPr>
                <w:rFonts w:ascii="Times New Roman" w:hAnsi="Times New Roman" w:cs="Times New Roman"/>
                <w:bCs w:val="0"/>
                <w:sz w:val="16"/>
                <w:szCs w:val="16"/>
              </w:rPr>
              <w:t xml:space="preserve">(JECFA </w:t>
            </w:r>
            <w:r w:rsidR="0053182E" w:rsidRPr="002F21E3">
              <w:rPr>
                <w:rFonts w:ascii="Times New Roman" w:hAnsi="Times New Roman" w:cs="Times New Roman"/>
                <w:sz w:val="16"/>
                <w:szCs w:val="16"/>
              </w:rPr>
              <w:t xml:space="preserve">reported </w:t>
            </w:r>
            <w:r w:rsidRPr="002F21E3">
              <w:rPr>
                <w:rFonts w:ascii="Times New Roman" w:hAnsi="Times New Roman" w:cs="Times New Roman"/>
                <w:bCs w:val="0"/>
                <w:sz w:val="16"/>
                <w:szCs w:val="16"/>
              </w:rPr>
              <w:t xml:space="preserve">a </w:t>
            </w:r>
            <w:r w:rsidR="0053182E" w:rsidRPr="002F21E3">
              <w:rPr>
                <w:rFonts w:ascii="Times New Roman" w:hAnsi="Times New Roman" w:cs="Times New Roman"/>
                <w:bCs w:val="0"/>
                <w:sz w:val="16"/>
                <w:szCs w:val="16"/>
              </w:rPr>
              <w:t>pTWI</w:t>
            </w:r>
            <w:r w:rsidR="0053182E" w:rsidRPr="002F21E3">
              <w:rPr>
                <w:rFonts w:ascii="Times New Roman" w:hAnsi="Times New Roman" w:cs="Times New Roman"/>
                <w:sz w:val="16"/>
                <w:szCs w:val="16"/>
              </w:rPr>
              <w:t xml:space="preserve"> </w:t>
            </w:r>
            <w:r w:rsidR="0053182E" w:rsidRPr="00524806">
              <w:rPr>
                <w:sz w:val="16"/>
                <w:szCs w:val="16"/>
              </w:rPr>
              <w:fldChar w:fldCharType="begin" w:fldLock="1"/>
            </w:r>
            <w:r w:rsidR="0053182E" w:rsidRPr="002F21E3">
              <w:rPr>
                <w:rFonts w:ascii="Times New Roman" w:hAnsi="Times New Roman" w:cs="Times New Roman"/>
                <w:sz w:val="16"/>
                <w:szCs w:val="16"/>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0053182E" w:rsidRPr="00524806">
              <w:rPr>
                <w:sz w:val="16"/>
                <w:szCs w:val="16"/>
              </w:rPr>
              <w:fldChar w:fldCharType="separate"/>
            </w:r>
            <w:r w:rsidR="0053182E" w:rsidRPr="00524806">
              <w:rPr>
                <w:rFonts w:ascii="Times New Roman" w:hAnsi="Times New Roman" w:cs="Times New Roman"/>
                <w:noProof/>
                <w:sz w:val="16"/>
                <w:szCs w:val="16"/>
              </w:rPr>
              <w:t>(FAO/WHO, 1972)</w:t>
            </w:r>
            <w:r w:rsidR="0053182E" w:rsidRPr="00524806">
              <w:rPr>
                <w:sz w:val="16"/>
                <w:szCs w:val="16"/>
              </w:rPr>
              <w:fldChar w:fldCharType="end"/>
            </w:r>
            <w:r w:rsidR="0053182E" w:rsidRPr="002F21E3">
              <w:rPr>
                <w:rFonts w:ascii="Times New Roman" w:hAnsi="Times New Roman" w:cs="Times New Roman"/>
                <w:sz w:val="16"/>
                <w:szCs w:val="16"/>
              </w:rPr>
              <w:t xml:space="preserve">, </w:t>
            </w:r>
            <w:r w:rsidR="0053182E" w:rsidRPr="00524806">
              <w:rPr>
                <w:rFonts w:ascii="Times New Roman" w:hAnsi="Times New Roman" w:cs="Times New Roman"/>
                <w:sz w:val="16"/>
                <w:szCs w:val="16"/>
              </w:rPr>
              <w:lastRenderedPageBreak/>
              <w:t xml:space="preserve">presumably rounded from the more precise per person weekly pTWI of 210 µg/week MeHg derived directly from the weekly </w:t>
            </w:r>
            <w:r w:rsidR="004500A1">
              <w:rPr>
                <w:rFonts w:ascii="Times New Roman" w:hAnsi="Times New Roman" w:cs="Times New Roman"/>
                <w:sz w:val="16"/>
                <w:szCs w:val="16"/>
              </w:rPr>
              <w:t>PoD</w:t>
            </w:r>
            <w:r w:rsidR="0053182E" w:rsidRPr="00524806">
              <w:rPr>
                <w:rFonts w:ascii="Times New Roman" w:hAnsi="Times New Roman" w:cs="Times New Roman"/>
                <w:sz w:val="16"/>
                <w:szCs w:val="16"/>
              </w:rPr>
              <w:t>: [2100 µg/week MeHg]</w:t>
            </w:r>
            <w:r w:rsidR="00F34FA3" w:rsidRPr="00187523">
              <w:rPr>
                <w:sz w:val="16"/>
                <w:szCs w:val="16"/>
              </w:rPr>
              <w:t xml:space="preserve"> ÷</w:t>
            </w:r>
            <w:r w:rsidR="00F34FA3">
              <w:rPr>
                <w:sz w:val="16"/>
                <w:szCs w:val="16"/>
              </w:rPr>
              <w:t xml:space="preserve"> </w:t>
            </w:r>
            <w:r w:rsidR="0053182E" w:rsidRPr="00524806">
              <w:rPr>
                <w:rFonts w:ascii="Times New Roman" w:hAnsi="Times New Roman" w:cs="Times New Roman"/>
                <w:sz w:val="16"/>
                <w:szCs w:val="16"/>
              </w:rPr>
              <w:t>UF10 = 210 µg/week ≈ 200 µg/week rounded</w:t>
            </w:r>
            <w:r w:rsidRPr="002F21E3">
              <w:rPr>
                <w:rFonts w:ascii="Times New Roman" w:hAnsi="Times New Roman" w:cs="Times New Roman"/>
                <w:bCs w:val="0"/>
                <w:sz w:val="16"/>
                <w:szCs w:val="16"/>
              </w:rPr>
              <w:t>)</w:t>
            </w:r>
          </w:p>
          <w:p w14:paraId="3679B1D9" w14:textId="77777777" w:rsidR="00F33548" w:rsidRDefault="00F33548" w:rsidP="00612FA0">
            <w:pPr>
              <w:widowControl w:val="0"/>
              <w:ind w:left="57" w:right="57"/>
              <w:rPr>
                <w:rFonts w:ascii="Times New Roman" w:hAnsi="Times New Roman" w:cs="Times New Roman"/>
                <w:b/>
                <w:color w:val="0000FF"/>
                <w:sz w:val="16"/>
                <w:szCs w:val="16"/>
              </w:rPr>
            </w:pPr>
          </w:p>
          <w:p w14:paraId="5EF4C383" w14:textId="07ECBD1D" w:rsidR="00F33548" w:rsidRPr="00BA2DF7" w:rsidRDefault="00F33548" w:rsidP="00612FA0">
            <w:pPr>
              <w:widowControl w:val="0"/>
              <w:ind w:left="57" w:right="57"/>
              <w:rPr>
                <w:rFonts w:ascii="Times New Roman" w:hAnsi="Times New Roman" w:cs="Times New Roman"/>
                <w:b/>
                <w:color w:val="0000FF"/>
                <w:sz w:val="20"/>
                <w:szCs w:val="20"/>
              </w:rPr>
            </w:pPr>
            <w:r w:rsidRPr="00BA2DF7">
              <w:rPr>
                <w:rFonts w:ascii="Times New Roman" w:hAnsi="Times New Roman" w:cs="Times New Roman"/>
                <w:b/>
                <w:color w:val="0000FF"/>
                <w:sz w:val="20"/>
                <w:szCs w:val="20"/>
              </w:rPr>
              <w:t>Author Inferred TRV</w:t>
            </w:r>
          </w:p>
          <w:p w14:paraId="50FCBC92" w14:textId="77777777" w:rsidR="0053182E" w:rsidRPr="00BA2DF7" w:rsidRDefault="0053182E" w:rsidP="00F31134">
            <w:pPr>
              <w:widowControl w:val="0"/>
              <w:ind w:left="57" w:right="57"/>
              <w:rPr>
                <w:rFonts w:ascii="Times New Roman" w:hAnsi="Times New Roman" w:cs="Times New Roman"/>
                <w:color w:val="000000" w:themeColor="text1"/>
                <w:sz w:val="20"/>
                <w:szCs w:val="20"/>
              </w:rPr>
            </w:pPr>
            <w:r w:rsidRPr="00BA2DF7">
              <w:rPr>
                <w:rFonts w:ascii="Times New Roman" w:hAnsi="Times New Roman" w:cs="Times New Roman"/>
                <w:b/>
                <w:color w:val="000000" w:themeColor="text1"/>
                <w:sz w:val="20"/>
                <w:szCs w:val="20"/>
              </w:rPr>
              <w:t>210 µg/week MeHg</w:t>
            </w:r>
            <w:r w:rsidRPr="00BA2DF7">
              <w:rPr>
                <w:rFonts w:ascii="Times New Roman" w:hAnsi="Times New Roman" w:cs="Times New Roman"/>
                <w:color w:val="000000" w:themeColor="text1"/>
                <w:sz w:val="20"/>
                <w:szCs w:val="20"/>
              </w:rPr>
              <w:t xml:space="preserve"> </w:t>
            </w:r>
            <w:r w:rsidRPr="00BA2DF7">
              <w:rPr>
                <w:rFonts w:ascii="Times New Roman" w:hAnsi="Times New Roman" w:cs="Times New Roman"/>
                <w:color w:val="000000" w:themeColor="text1"/>
                <w:sz w:val="20"/>
                <w:szCs w:val="20"/>
                <w:vertAlign w:val="superscript"/>
              </w:rPr>
              <w:t xml:space="preserve">a </w:t>
            </w:r>
          </w:p>
          <w:p w14:paraId="0ADB163E" w14:textId="10871116" w:rsidR="0053182E" w:rsidRPr="00524806" w:rsidRDefault="00BA2DF7" w:rsidP="00F31134">
            <w:pPr>
              <w:widowControl w:val="0"/>
              <w:ind w:left="57" w:right="57"/>
              <w:rPr>
                <w:rFonts w:ascii="Times New Roman" w:hAnsi="Times New Roman" w:cs="Times New Roman"/>
                <w:bCs w:val="0"/>
                <w:sz w:val="16"/>
                <w:szCs w:val="16"/>
              </w:rPr>
            </w:pPr>
            <w:r>
              <w:rPr>
                <w:rFonts w:ascii="Times New Roman" w:hAnsi="Times New Roman" w:cs="Times New Roman"/>
                <w:bCs w:val="0"/>
                <w:sz w:val="16"/>
                <w:szCs w:val="16"/>
              </w:rPr>
              <w:t>(</w:t>
            </w:r>
            <w:r w:rsidR="0053182E" w:rsidRPr="00524806">
              <w:rPr>
                <w:rFonts w:ascii="Times New Roman" w:hAnsi="Times New Roman" w:cs="Times New Roman"/>
                <w:sz w:val="16"/>
                <w:szCs w:val="16"/>
              </w:rPr>
              <w:t xml:space="preserve">a more precise per person pTWI if derived directly from the per person </w:t>
            </w:r>
            <w:r w:rsidR="0053182E" w:rsidRPr="00524806">
              <w:rPr>
                <w:rFonts w:ascii="Times New Roman" w:hAnsi="Times New Roman" w:cs="Times New Roman"/>
                <w:bCs w:val="0"/>
                <w:sz w:val="16"/>
                <w:szCs w:val="16"/>
              </w:rPr>
              <w:t>P</w:t>
            </w:r>
            <w:r w:rsidR="001C6D84">
              <w:rPr>
                <w:rFonts w:ascii="Times New Roman" w:hAnsi="Times New Roman" w:cs="Times New Roman"/>
                <w:bCs w:val="0"/>
                <w:sz w:val="16"/>
                <w:szCs w:val="16"/>
              </w:rPr>
              <w:t>o</w:t>
            </w:r>
            <w:r w:rsidR="0053182E" w:rsidRPr="00524806">
              <w:rPr>
                <w:rFonts w:ascii="Times New Roman" w:hAnsi="Times New Roman" w:cs="Times New Roman"/>
                <w:bCs w:val="0"/>
                <w:sz w:val="16"/>
                <w:szCs w:val="16"/>
              </w:rPr>
              <w:t>D</w:t>
            </w:r>
            <w:r w:rsidR="0053182E" w:rsidRPr="00524806">
              <w:rPr>
                <w:rFonts w:ascii="Times New Roman" w:hAnsi="Times New Roman" w:cs="Times New Roman"/>
                <w:sz w:val="16"/>
                <w:szCs w:val="16"/>
              </w:rPr>
              <w:t>: [300 µg/day MeHg]*[7days/week</w:t>
            </w:r>
            <w:r w:rsidR="0053182E" w:rsidRPr="00524806">
              <w:rPr>
                <w:rFonts w:ascii="Times New Roman" w:hAnsi="Times New Roman" w:cs="Times New Roman"/>
                <w:bCs w:val="0"/>
                <w:sz w:val="16"/>
                <w:szCs w:val="16"/>
              </w:rPr>
              <w:t>]</w:t>
            </w:r>
            <w:r w:rsidR="002D2502">
              <w:rPr>
                <w:rFonts w:ascii="Times New Roman" w:hAnsi="Times New Roman" w:cs="Times New Roman"/>
                <w:bCs w:val="0"/>
                <w:sz w:val="16"/>
                <w:szCs w:val="16"/>
              </w:rPr>
              <w:t xml:space="preserve"> </w:t>
            </w:r>
            <w:r w:rsidR="002D2502" w:rsidRPr="00187523">
              <w:rPr>
                <w:sz w:val="16"/>
                <w:szCs w:val="16"/>
              </w:rPr>
              <w:t>÷</w:t>
            </w:r>
            <w:r w:rsidR="002D2502">
              <w:rPr>
                <w:sz w:val="16"/>
                <w:szCs w:val="16"/>
              </w:rPr>
              <w:t xml:space="preserve"> </w:t>
            </w:r>
            <w:r w:rsidR="0053182E" w:rsidRPr="00524806">
              <w:rPr>
                <w:rFonts w:ascii="Times New Roman" w:hAnsi="Times New Roman" w:cs="Times New Roman"/>
                <w:sz w:val="16"/>
                <w:szCs w:val="16"/>
              </w:rPr>
              <w:t>UF10 = 210 µg/week</w:t>
            </w:r>
            <w:r>
              <w:rPr>
                <w:rFonts w:ascii="Times New Roman" w:hAnsi="Times New Roman" w:cs="Times New Roman"/>
                <w:sz w:val="16"/>
                <w:szCs w:val="16"/>
              </w:rPr>
              <w:t>)</w:t>
            </w:r>
          </w:p>
        </w:tc>
      </w:tr>
      <w:tr w:rsidR="0053182E" w:rsidRPr="00524806" w14:paraId="67E53152" w14:textId="77777777" w:rsidTr="00343D54">
        <w:tc>
          <w:tcPr>
            <w:tcW w:w="991" w:type="dxa"/>
          </w:tcPr>
          <w:p w14:paraId="6522DC1E"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lastRenderedPageBreak/>
              <w:t xml:space="preserve">oral </w:t>
            </w:r>
          </w:p>
          <w:p w14:paraId="05635F91" w14:textId="151419E3"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 xml:space="preserve">(per </w:t>
            </w:r>
            <w:r w:rsidR="008206E7">
              <w:rPr>
                <w:rFonts w:ascii="Times New Roman" w:hAnsi="Times New Roman" w:cs="Times New Roman"/>
                <w:sz w:val="16"/>
                <w:szCs w:val="16"/>
              </w:rPr>
              <w:t xml:space="preserve">kg </w:t>
            </w:r>
            <w:r w:rsidRPr="00524806">
              <w:rPr>
                <w:rFonts w:ascii="Times New Roman" w:hAnsi="Times New Roman" w:cs="Times New Roman"/>
                <w:sz w:val="16"/>
                <w:szCs w:val="16"/>
              </w:rPr>
              <w:t>body weight per week)</w:t>
            </w:r>
          </w:p>
        </w:tc>
        <w:tc>
          <w:tcPr>
            <w:tcW w:w="5010" w:type="dxa"/>
          </w:tcPr>
          <w:p w14:paraId="27F097D7" w14:textId="100C8C65" w:rsidR="00F33548" w:rsidRPr="0071000A" w:rsidRDefault="00F33548" w:rsidP="00F33548">
            <w:pPr>
              <w:widowControl w:val="0"/>
              <w:ind w:left="57" w:right="57"/>
              <w:rPr>
                <w:rFonts w:ascii="Times New Roman" w:hAnsi="Times New Roman" w:cs="Times New Roman"/>
                <w:b/>
                <w:color w:val="0000FF"/>
                <w:sz w:val="20"/>
                <w:szCs w:val="20"/>
              </w:rPr>
            </w:pPr>
            <w:r w:rsidRPr="0071000A">
              <w:rPr>
                <w:rFonts w:ascii="Times New Roman" w:hAnsi="Times New Roman" w:cs="Times New Roman"/>
                <w:b/>
                <w:color w:val="0000FF"/>
                <w:sz w:val="20"/>
                <w:szCs w:val="20"/>
              </w:rPr>
              <w:t xml:space="preserve">Author Inferred </w:t>
            </w:r>
            <w:r w:rsidR="004E15EC" w:rsidRPr="0071000A">
              <w:rPr>
                <w:rFonts w:ascii="Times New Roman" w:hAnsi="Times New Roman" w:cs="Times New Roman"/>
                <w:b/>
                <w:color w:val="0000FF"/>
                <w:sz w:val="20"/>
                <w:szCs w:val="20"/>
              </w:rPr>
              <w:t>PoD</w:t>
            </w:r>
          </w:p>
          <w:p w14:paraId="1F5063E2" w14:textId="4810E219" w:rsidR="0053182E" w:rsidRPr="0071000A" w:rsidRDefault="0053182E" w:rsidP="00F31134">
            <w:pPr>
              <w:widowControl w:val="0"/>
              <w:ind w:left="57" w:right="57"/>
              <w:rPr>
                <w:rFonts w:ascii="Times New Roman" w:hAnsi="Times New Roman" w:cs="Times New Roman"/>
                <w:sz w:val="20"/>
                <w:szCs w:val="20"/>
              </w:rPr>
            </w:pPr>
            <w:r w:rsidRPr="0071000A">
              <w:rPr>
                <w:rFonts w:ascii="Times New Roman" w:hAnsi="Times New Roman" w:cs="Times New Roman"/>
                <w:b/>
                <w:sz w:val="20"/>
                <w:szCs w:val="20"/>
              </w:rPr>
              <w:t>35 µg/kg bw/week MeHg</w:t>
            </w:r>
          </w:p>
          <w:p w14:paraId="6A14A619" w14:textId="48AB7071" w:rsidR="0053182E" w:rsidRPr="00524806" w:rsidRDefault="0053182E" w:rsidP="00F31134">
            <w:pPr>
              <w:widowControl w:val="0"/>
              <w:ind w:left="57" w:right="57"/>
              <w:rPr>
                <w:rFonts w:ascii="Times New Roman" w:hAnsi="Times New Roman" w:cs="Times New Roman"/>
                <w:b/>
                <w:sz w:val="16"/>
                <w:szCs w:val="16"/>
              </w:rPr>
            </w:pPr>
            <w:r w:rsidRPr="00524806">
              <w:rPr>
                <w:rFonts w:ascii="Times New Roman" w:hAnsi="Times New Roman" w:cs="Times New Roman"/>
                <w:sz w:val="16"/>
                <w:szCs w:val="16"/>
              </w:rPr>
              <w:t xml:space="preserve">(not explicitly </w:t>
            </w:r>
            <w:r w:rsidR="002E5BFB" w:rsidRPr="00524806">
              <w:rPr>
                <w:rFonts w:ascii="Times New Roman" w:hAnsi="Times New Roman" w:cs="Times New Roman"/>
                <w:sz w:val="16"/>
                <w:szCs w:val="16"/>
              </w:rPr>
              <w:t>derived</w:t>
            </w:r>
            <w:r w:rsidRPr="00524806">
              <w:rPr>
                <w:rFonts w:ascii="Times New Roman" w:hAnsi="Times New Roman" w:cs="Times New Roman"/>
                <w:sz w:val="16"/>
                <w:szCs w:val="16"/>
              </w:rPr>
              <w:t xml:space="preserve"> by JECFA</w:t>
            </w:r>
            <w:r w:rsidR="002E5BFB">
              <w:rPr>
                <w:rFonts w:ascii="Times New Roman" w:hAnsi="Times New Roman" w:cs="Times New Roman"/>
                <w:sz w:val="16"/>
                <w:szCs w:val="16"/>
              </w:rPr>
              <w:t>; the authors of this manuscript inferred this PoD as</w:t>
            </w:r>
            <w:r w:rsidRPr="00524806">
              <w:rPr>
                <w:rFonts w:ascii="Times New Roman" w:hAnsi="Times New Roman" w:cs="Times New Roman"/>
                <w:sz w:val="16"/>
                <w:szCs w:val="16"/>
              </w:rPr>
              <w:t xml:space="preserve"> derived from the per person weekly P</w:t>
            </w:r>
            <w:r w:rsidR="001C6D84">
              <w:rPr>
                <w:rFonts w:ascii="Times New Roman" w:hAnsi="Times New Roman" w:cs="Times New Roman"/>
                <w:sz w:val="16"/>
                <w:szCs w:val="16"/>
              </w:rPr>
              <w:t>o</w:t>
            </w:r>
            <w:r w:rsidRPr="00524806">
              <w:rPr>
                <w:rFonts w:ascii="Times New Roman" w:hAnsi="Times New Roman" w:cs="Times New Roman"/>
                <w:sz w:val="16"/>
                <w:szCs w:val="16"/>
              </w:rPr>
              <w:t>D: [2100 µg/week MeHg</w:t>
            </w:r>
            <w:r w:rsidRPr="00524806">
              <w:rPr>
                <w:rFonts w:ascii="Times New Roman" w:hAnsi="Times New Roman" w:cs="Times New Roman"/>
                <w:bCs w:val="0"/>
                <w:sz w:val="16"/>
                <w:szCs w:val="16"/>
              </w:rPr>
              <w:t>]</w:t>
            </w:r>
            <w:r w:rsidR="00BD4241" w:rsidRPr="00187523">
              <w:rPr>
                <w:sz w:val="16"/>
                <w:szCs w:val="16"/>
              </w:rPr>
              <w:t xml:space="preserve"> ÷</w:t>
            </w:r>
            <w:r w:rsidR="00BD4241">
              <w:rPr>
                <w:sz w:val="16"/>
                <w:szCs w:val="16"/>
              </w:rPr>
              <w:t xml:space="preserve"> </w:t>
            </w:r>
            <w:r w:rsidRPr="00524806">
              <w:rPr>
                <w:rFonts w:ascii="Times New Roman" w:hAnsi="Times New Roman" w:cs="Times New Roman"/>
                <w:sz w:val="16"/>
                <w:szCs w:val="16"/>
              </w:rPr>
              <w:t>60kg = [7days/week] = 35 µg/kg bw/week MeHg)</w:t>
            </w:r>
          </w:p>
        </w:tc>
        <w:tc>
          <w:tcPr>
            <w:tcW w:w="995" w:type="dxa"/>
            <w:vMerge/>
          </w:tcPr>
          <w:p w14:paraId="3534F47C" w14:textId="77777777" w:rsidR="0053182E" w:rsidRPr="00524806" w:rsidRDefault="0053182E" w:rsidP="00F31134">
            <w:pPr>
              <w:widowControl w:val="0"/>
              <w:ind w:left="57" w:right="57"/>
              <w:rPr>
                <w:rFonts w:ascii="Times New Roman" w:hAnsi="Times New Roman" w:cs="Times New Roman"/>
                <w:sz w:val="16"/>
                <w:szCs w:val="16"/>
              </w:rPr>
            </w:pPr>
          </w:p>
        </w:tc>
        <w:tc>
          <w:tcPr>
            <w:tcW w:w="3494" w:type="dxa"/>
          </w:tcPr>
          <w:p w14:paraId="52AEE27D" w14:textId="78BAF3AD" w:rsidR="00F33548" w:rsidRPr="00274811" w:rsidRDefault="00F33548" w:rsidP="00F33548">
            <w:pPr>
              <w:widowControl w:val="0"/>
              <w:ind w:left="57" w:right="57"/>
              <w:rPr>
                <w:rFonts w:ascii="Times New Roman" w:hAnsi="Times New Roman" w:cs="Times New Roman"/>
                <w:b/>
                <w:sz w:val="20"/>
                <w:szCs w:val="20"/>
              </w:rPr>
            </w:pPr>
            <w:r w:rsidRPr="00274811">
              <w:rPr>
                <w:rFonts w:ascii="Times New Roman" w:hAnsi="Times New Roman" w:cs="Times New Roman"/>
                <w:b/>
                <w:sz w:val="20"/>
                <w:szCs w:val="20"/>
              </w:rPr>
              <w:t>JECFA Derived TRV</w:t>
            </w:r>
          </w:p>
          <w:p w14:paraId="4B9405FF" w14:textId="77777777" w:rsidR="0053182E" w:rsidRPr="00274811" w:rsidRDefault="0053182E" w:rsidP="00F31134">
            <w:pPr>
              <w:widowControl w:val="0"/>
              <w:ind w:left="57" w:right="57"/>
              <w:rPr>
                <w:rFonts w:ascii="Times New Roman" w:hAnsi="Times New Roman" w:cs="Times New Roman"/>
                <w:sz w:val="20"/>
                <w:szCs w:val="20"/>
              </w:rPr>
            </w:pPr>
            <w:r w:rsidRPr="00274811">
              <w:rPr>
                <w:rFonts w:ascii="Times New Roman" w:hAnsi="Times New Roman" w:cs="Times New Roman"/>
                <w:b/>
                <w:sz w:val="20"/>
                <w:szCs w:val="20"/>
              </w:rPr>
              <w:t xml:space="preserve">3.3 µg/kg bw/week MeHg </w:t>
            </w:r>
            <w:r w:rsidRPr="00274811">
              <w:rPr>
                <w:rFonts w:ascii="Times New Roman" w:hAnsi="Times New Roman" w:cs="Times New Roman"/>
                <w:sz w:val="20"/>
                <w:szCs w:val="20"/>
                <w:vertAlign w:val="superscript"/>
              </w:rPr>
              <w:t>a</w:t>
            </w:r>
            <w:r w:rsidRPr="00274811">
              <w:rPr>
                <w:rFonts w:ascii="Times New Roman" w:hAnsi="Times New Roman" w:cs="Times New Roman"/>
                <w:sz w:val="20"/>
                <w:szCs w:val="20"/>
              </w:rPr>
              <w:t xml:space="preserve"> </w:t>
            </w:r>
          </w:p>
          <w:p w14:paraId="08B6F662" w14:textId="6FF60845" w:rsidR="0053182E" w:rsidRPr="00524806" w:rsidRDefault="004F3095" w:rsidP="00F31134">
            <w:pPr>
              <w:widowControl w:val="0"/>
              <w:ind w:left="57" w:right="57"/>
              <w:rPr>
                <w:rFonts w:ascii="Times New Roman" w:hAnsi="Times New Roman" w:cs="Times New Roman"/>
                <w:sz w:val="16"/>
                <w:szCs w:val="16"/>
              </w:rPr>
            </w:pPr>
            <w:r>
              <w:rPr>
                <w:rFonts w:ascii="Times New Roman" w:hAnsi="Times New Roman" w:cs="Times New Roman"/>
                <w:sz w:val="16"/>
                <w:szCs w:val="16"/>
              </w:rPr>
              <w:t xml:space="preserve">(JECFA </w:t>
            </w:r>
            <w:r w:rsidR="0053182E">
              <w:rPr>
                <w:rFonts w:ascii="Times New Roman" w:hAnsi="Times New Roman" w:cs="Times New Roman"/>
                <w:sz w:val="16"/>
                <w:szCs w:val="16"/>
              </w:rPr>
              <w:t xml:space="preserve">reported </w:t>
            </w:r>
            <w:r>
              <w:rPr>
                <w:rFonts w:ascii="Times New Roman" w:hAnsi="Times New Roman" w:cs="Times New Roman"/>
                <w:sz w:val="16"/>
                <w:szCs w:val="16"/>
              </w:rPr>
              <w:t xml:space="preserve">a </w:t>
            </w:r>
            <w:r w:rsidR="0053182E" w:rsidRPr="004F3095">
              <w:rPr>
                <w:rFonts w:ascii="Times New Roman" w:hAnsi="Times New Roman" w:cs="Times New Roman"/>
                <w:sz w:val="16"/>
                <w:szCs w:val="16"/>
              </w:rPr>
              <w:t xml:space="preserve">pTWI </w:t>
            </w:r>
            <w:r w:rsidR="0053182E" w:rsidRPr="00524806">
              <w:rPr>
                <w:sz w:val="16"/>
                <w:szCs w:val="16"/>
              </w:rPr>
              <w:fldChar w:fldCharType="begin" w:fldLock="1"/>
            </w:r>
            <w:r w:rsidR="0053182E" w:rsidRPr="004F3095">
              <w:rPr>
                <w:rFonts w:ascii="Times New Roman" w:hAnsi="Times New Roman" w:cs="Times New Roman"/>
                <w:sz w:val="16"/>
                <w:szCs w:val="16"/>
              </w:rPr>
              <w:instrText>ADDIN CSL_CITATION {"citationItems":[{"id":"ITEM-1","itemData":{"author":[{"dropping-particle":"","family":"FAO/WHO","given":"","non-dropping-particle":"","parse-names":false,"suffix":""}],"id":"ITEM-1","issued":{"date-parts":[["1989"]]},"number-of-pages":"33-34","title":"Methylmercury. Toxicological evaluation of certain food additives and contaminants. (FAS 24) WHO Food Additives Series, No. 24. Cambridge University Press, 1989, nos 651-664 (Thirty-third report of the Joint FAO/WHO Expert Committee on Food Additives).","type":"report"},"uris":["http://www.mendeley.com/documents/?uuid=99126b9a-1234-4fd2-8e8e-b6b3dcc63a69"]}],"mendeley":{"formattedCitation":"(FAO/WHO, 1989)","plainTextFormattedCitation":"(FAO/WHO, 1989)","previouslyFormattedCitation":"(FAO/WHO, 1989)"},"properties":{"noteIndex":0},"schema":"https://github.com/citation-style-language/schema/raw/master/csl-citation.json"}</w:instrText>
            </w:r>
            <w:r w:rsidR="0053182E" w:rsidRPr="00524806">
              <w:rPr>
                <w:sz w:val="16"/>
                <w:szCs w:val="16"/>
              </w:rPr>
              <w:fldChar w:fldCharType="separate"/>
            </w:r>
            <w:r w:rsidR="0053182E" w:rsidRPr="00524806">
              <w:rPr>
                <w:rFonts w:ascii="Times New Roman" w:hAnsi="Times New Roman" w:cs="Times New Roman"/>
                <w:noProof/>
                <w:sz w:val="16"/>
                <w:szCs w:val="16"/>
              </w:rPr>
              <w:t>(FAO/WHO, 1989)</w:t>
            </w:r>
            <w:r w:rsidR="0053182E" w:rsidRPr="00524806">
              <w:rPr>
                <w:sz w:val="16"/>
                <w:szCs w:val="16"/>
              </w:rPr>
              <w:fldChar w:fldCharType="end"/>
            </w:r>
            <w:r w:rsidR="0053182E" w:rsidRPr="00524806">
              <w:rPr>
                <w:rFonts w:ascii="Times New Roman" w:hAnsi="Times New Roman" w:cs="Times New Roman"/>
                <w:sz w:val="16"/>
                <w:szCs w:val="16"/>
              </w:rPr>
              <w:t xml:space="preserve"> presumably derived from the rounded pTWI: [200 µg/week MeHg</w:t>
            </w:r>
            <w:r w:rsidR="0053182E" w:rsidRPr="00524806">
              <w:rPr>
                <w:rFonts w:ascii="Times New Roman" w:hAnsi="Times New Roman" w:cs="Times New Roman"/>
                <w:bCs w:val="0"/>
                <w:sz w:val="16"/>
                <w:szCs w:val="16"/>
              </w:rPr>
              <w:t>]</w:t>
            </w:r>
            <w:r w:rsidR="00BD4241">
              <w:rPr>
                <w:rFonts w:ascii="Times New Roman" w:hAnsi="Times New Roman" w:cs="Times New Roman"/>
                <w:bCs w:val="0"/>
                <w:sz w:val="16"/>
                <w:szCs w:val="16"/>
              </w:rPr>
              <w:t xml:space="preserve"> </w:t>
            </w:r>
            <w:r w:rsidR="00BD4241" w:rsidRPr="00187523">
              <w:rPr>
                <w:sz w:val="16"/>
                <w:szCs w:val="16"/>
              </w:rPr>
              <w:t>÷</w:t>
            </w:r>
            <w:r w:rsidR="00BD4241">
              <w:rPr>
                <w:sz w:val="16"/>
                <w:szCs w:val="16"/>
              </w:rPr>
              <w:t xml:space="preserve"> </w:t>
            </w:r>
            <w:r w:rsidR="0053182E" w:rsidRPr="00524806">
              <w:rPr>
                <w:rFonts w:ascii="Times New Roman" w:hAnsi="Times New Roman" w:cs="Times New Roman"/>
                <w:sz w:val="16"/>
                <w:szCs w:val="16"/>
              </w:rPr>
              <w:t>60kg = 3.3 µg/kg bw/week</w:t>
            </w:r>
            <w:r>
              <w:rPr>
                <w:rFonts w:ascii="Times New Roman" w:hAnsi="Times New Roman" w:cs="Times New Roman"/>
                <w:sz w:val="16"/>
                <w:szCs w:val="16"/>
              </w:rPr>
              <w:t>)</w:t>
            </w:r>
          </w:p>
          <w:p w14:paraId="5A0E0521" w14:textId="77777777" w:rsidR="00F33548" w:rsidRDefault="00F33548" w:rsidP="00F33548">
            <w:pPr>
              <w:widowControl w:val="0"/>
              <w:ind w:left="57" w:right="57"/>
              <w:rPr>
                <w:rFonts w:ascii="Times New Roman" w:hAnsi="Times New Roman" w:cs="Times New Roman"/>
                <w:b/>
                <w:color w:val="000000" w:themeColor="text1"/>
                <w:sz w:val="16"/>
                <w:szCs w:val="16"/>
              </w:rPr>
            </w:pPr>
          </w:p>
          <w:p w14:paraId="0C00F469" w14:textId="58413EAB" w:rsidR="00F33548" w:rsidRPr="000B161A" w:rsidRDefault="00F33548" w:rsidP="00F33548">
            <w:pPr>
              <w:widowControl w:val="0"/>
              <w:ind w:left="57" w:right="57"/>
              <w:rPr>
                <w:rFonts w:ascii="Times New Roman" w:hAnsi="Times New Roman" w:cs="Times New Roman"/>
                <w:b/>
                <w:color w:val="0000FF"/>
                <w:sz w:val="20"/>
                <w:szCs w:val="20"/>
              </w:rPr>
            </w:pPr>
            <w:r w:rsidRPr="000B161A">
              <w:rPr>
                <w:rFonts w:ascii="Times New Roman" w:hAnsi="Times New Roman" w:cs="Times New Roman"/>
                <w:b/>
                <w:color w:val="0000FF"/>
                <w:sz w:val="20"/>
                <w:szCs w:val="20"/>
              </w:rPr>
              <w:t>Author Inferred TRV</w:t>
            </w:r>
          </w:p>
          <w:p w14:paraId="7CA60F28" w14:textId="77777777" w:rsidR="0053182E" w:rsidRPr="00866218" w:rsidRDefault="0053182E" w:rsidP="00F31134">
            <w:pPr>
              <w:widowControl w:val="0"/>
              <w:ind w:left="57" w:right="57"/>
              <w:rPr>
                <w:rFonts w:ascii="Times New Roman" w:hAnsi="Times New Roman" w:cs="Times New Roman"/>
                <w:sz w:val="20"/>
                <w:szCs w:val="20"/>
              </w:rPr>
            </w:pPr>
            <w:r w:rsidRPr="00E87F17">
              <w:rPr>
                <w:rFonts w:ascii="Times New Roman" w:hAnsi="Times New Roman" w:cs="Times New Roman"/>
                <w:b/>
                <w:color w:val="000000" w:themeColor="text1"/>
                <w:sz w:val="20"/>
                <w:szCs w:val="20"/>
              </w:rPr>
              <w:t>3.5 µg/kg bw/week MeHg</w:t>
            </w:r>
            <w:r w:rsidRPr="00E87F17">
              <w:rPr>
                <w:rFonts w:ascii="Times New Roman" w:hAnsi="Times New Roman" w:cs="Times New Roman"/>
                <w:color w:val="000000" w:themeColor="text1"/>
                <w:sz w:val="20"/>
                <w:szCs w:val="20"/>
              </w:rPr>
              <w:t xml:space="preserve"> </w:t>
            </w:r>
            <w:r w:rsidRPr="00866218">
              <w:rPr>
                <w:rFonts w:ascii="Times New Roman" w:hAnsi="Times New Roman" w:cs="Times New Roman"/>
                <w:sz w:val="20"/>
                <w:szCs w:val="20"/>
                <w:vertAlign w:val="superscript"/>
              </w:rPr>
              <w:t xml:space="preserve">a </w:t>
            </w:r>
          </w:p>
          <w:p w14:paraId="09A05B8F" w14:textId="31E95A01" w:rsidR="0053182E" w:rsidRPr="00524806" w:rsidRDefault="00447BAC" w:rsidP="00F31134">
            <w:pPr>
              <w:widowControl w:val="0"/>
              <w:ind w:left="57" w:right="57"/>
              <w:rPr>
                <w:rFonts w:ascii="Times New Roman" w:hAnsi="Times New Roman" w:cs="Times New Roman"/>
                <w:bCs w:val="0"/>
                <w:sz w:val="16"/>
                <w:szCs w:val="16"/>
              </w:rPr>
            </w:pPr>
            <w:r>
              <w:rPr>
                <w:rFonts w:ascii="Times New Roman" w:hAnsi="Times New Roman" w:cs="Times New Roman"/>
                <w:bCs w:val="0"/>
                <w:sz w:val="16"/>
                <w:szCs w:val="16"/>
              </w:rPr>
              <w:t>(</w:t>
            </w:r>
            <w:r w:rsidR="0053182E" w:rsidRPr="00524806">
              <w:rPr>
                <w:rFonts w:ascii="Times New Roman" w:hAnsi="Times New Roman" w:cs="Times New Roman"/>
                <w:sz w:val="16"/>
                <w:szCs w:val="16"/>
              </w:rPr>
              <w:t xml:space="preserve">a more precise per body weight pTWI if derived directly from the per person </w:t>
            </w:r>
            <w:r w:rsidR="004500A1">
              <w:rPr>
                <w:rFonts w:ascii="Times New Roman" w:hAnsi="Times New Roman" w:cs="Times New Roman"/>
                <w:bCs w:val="0"/>
                <w:sz w:val="16"/>
                <w:szCs w:val="16"/>
              </w:rPr>
              <w:t>PoD</w:t>
            </w:r>
            <w:r w:rsidR="0053182E" w:rsidRPr="00524806">
              <w:rPr>
                <w:rFonts w:ascii="Times New Roman" w:hAnsi="Times New Roman" w:cs="Times New Roman"/>
                <w:sz w:val="16"/>
                <w:szCs w:val="16"/>
              </w:rPr>
              <w:t>: [300 µg/day MeHg]*[7days/week</w:t>
            </w:r>
            <w:r w:rsidR="0053182E" w:rsidRPr="00524806">
              <w:rPr>
                <w:rFonts w:ascii="Times New Roman" w:hAnsi="Times New Roman" w:cs="Times New Roman"/>
                <w:bCs w:val="0"/>
                <w:sz w:val="16"/>
                <w:szCs w:val="16"/>
              </w:rPr>
              <w:t>]</w:t>
            </w:r>
            <w:r w:rsidR="00BD4241" w:rsidRPr="00187523">
              <w:rPr>
                <w:sz w:val="16"/>
                <w:szCs w:val="16"/>
              </w:rPr>
              <w:t xml:space="preserve"> ÷</w:t>
            </w:r>
            <w:r w:rsidR="00BD4241">
              <w:rPr>
                <w:sz w:val="16"/>
                <w:szCs w:val="16"/>
              </w:rPr>
              <w:t xml:space="preserve"> </w:t>
            </w:r>
            <w:r w:rsidR="0053182E" w:rsidRPr="00524806">
              <w:rPr>
                <w:rFonts w:ascii="Times New Roman" w:hAnsi="Times New Roman" w:cs="Times New Roman"/>
                <w:sz w:val="16"/>
                <w:szCs w:val="16"/>
              </w:rPr>
              <w:t>60kg = 3.5 µg/kg bw/week</w:t>
            </w:r>
            <w:r w:rsidR="00735D0B">
              <w:rPr>
                <w:rFonts w:ascii="Times New Roman" w:hAnsi="Times New Roman" w:cs="Times New Roman"/>
                <w:sz w:val="16"/>
                <w:szCs w:val="16"/>
              </w:rPr>
              <w:t>)</w:t>
            </w:r>
          </w:p>
        </w:tc>
      </w:tr>
      <w:tr w:rsidR="0053182E" w:rsidRPr="00524806" w14:paraId="6177B470" w14:textId="77777777" w:rsidTr="00343D54">
        <w:tc>
          <w:tcPr>
            <w:tcW w:w="991" w:type="dxa"/>
          </w:tcPr>
          <w:p w14:paraId="5EA215B7" w14:textId="77777777"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oral</w:t>
            </w:r>
          </w:p>
          <w:p w14:paraId="0B280226" w14:textId="337D797F"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 xml:space="preserve">(per </w:t>
            </w:r>
            <w:r w:rsidR="000D279B">
              <w:rPr>
                <w:rFonts w:ascii="Times New Roman" w:hAnsi="Times New Roman" w:cs="Times New Roman"/>
                <w:sz w:val="16"/>
                <w:szCs w:val="16"/>
              </w:rPr>
              <w:t xml:space="preserve">kg </w:t>
            </w:r>
            <w:r w:rsidRPr="00524806">
              <w:rPr>
                <w:rFonts w:ascii="Times New Roman" w:hAnsi="Times New Roman" w:cs="Times New Roman"/>
                <w:sz w:val="16"/>
                <w:szCs w:val="16"/>
              </w:rPr>
              <w:t>body weight per day)</w:t>
            </w:r>
          </w:p>
        </w:tc>
        <w:tc>
          <w:tcPr>
            <w:tcW w:w="5010" w:type="dxa"/>
          </w:tcPr>
          <w:p w14:paraId="7340B7FD" w14:textId="77777777" w:rsidR="00B0393A" w:rsidRPr="0071000A" w:rsidRDefault="00B0393A" w:rsidP="00B0393A">
            <w:pPr>
              <w:widowControl w:val="0"/>
              <w:ind w:left="57" w:right="57"/>
              <w:rPr>
                <w:rFonts w:ascii="Times New Roman" w:hAnsi="Times New Roman" w:cs="Times New Roman"/>
                <w:b/>
                <w:color w:val="0000FF"/>
                <w:sz w:val="20"/>
                <w:szCs w:val="20"/>
              </w:rPr>
            </w:pPr>
            <w:r w:rsidRPr="0071000A">
              <w:rPr>
                <w:rFonts w:ascii="Times New Roman" w:hAnsi="Times New Roman" w:cs="Times New Roman"/>
                <w:b/>
                <w:color w:val="0000FF"/>
                <w:sz w:val="20"/>
                <w:szCs w:val="20"/>
              </w:rPr>
              <w:t>Author Inferred PoD</w:t>
            </w:r>
          </w:p>
          <w:p w14:paraId="64D44B7E" w14:textId="77777777" w:rsidR="00B0393A" w:rsidRPr="00876D4A" w:rsidRDefault="0053182E" w:rsidP="00612FA0">
            <w:pPr>
              <w:widowControl w:val="0"/>
              <w:ind w:left="57" w:right="57"/>
              <w:rPr>
                <w:rFonts w:ascii="Times New Roman" w:hAnsi="Times New Roman" w:cs="Times New Roman"/>
                <w:b/>
                <w:sz w:val="20"/>
                <w:szCs w:val="20"/>
              </w:rPr>
            </w:pPr>
            <w:r w:rsidRPr="00876D4A">
              <w:rPr>
                <w:rFonts w:ascii="Times New Roman" w:hAnsi="Times New Roman" w:cs="Times New Roman"/>
                <w:b/>
                <w:sz w:val="20"/>
                <w:szCs w:val="20"/>
              </w:rPr>
              <w:t>5 µg/kg bw/day MeHg</w:t>
            </w:r>
          </w:p>
          <w:p w14:paraId="522754E5" w14:textId="6D049404" w:rsidR="0053182E" w:rsidRPr="00524806" w:rsidRDefault="0002341E" w:rsidP="00F31134">
            <w:pPr>
              <w:widowControl w:val="0"/>
              <w:ind w:left="57" w:right="57"/>
              <w:rPr>
                <w:rFonts w:ascii="Times New Roman" w:hAnsi="Times New Roman" w:cs="Times New Roman"/>
                <w:sz w:val="16"/>
                <w:szCs w:val="16"/>
              </w:rPr>
            </w:pPr>
            <w:r>
              <w:rPr>
                <w:rFonts w:ascii="Times New Roman" w:hAnsi="Times New Roman" w:cs="Times New Roman"/>
                <w:sz w:val="16"/>
                <w:szCs w:val="16"/>
              </w:rPr>
              <w:t>(</w:t>
            </w:r>
            <w:r w:rsidR="0053182E" w:rsidRPr="00524806">
              <w:rPr>
                <w:rFonts w:ascii="Times New Roman" w:hAnsi="Times New Roman" w:cs="Times New Roman"/>
                <w:sz w:val="16"/>
                <w:szCs w:val="16"/>
              </w:rPr>
              <w:t xml:space="preserve">the per body weight daily </w:t>
            </w:r>
            <w:r w:rsidR="004500A1">
              <w:rPr>
                <w:rFonts w:ascii="Times New Roman" w:hAnsi="Times New Roman" w:cs="Times New Roman"/>
                <w:sz w:val="16"/>
                <w:szCs w:val="16"/>
              </w:rPr>
              <w:t>PoD</w:t>
            </w:r>
            <w:r w:rsidR="0053182E" w:rsidRPr="00524806">
              <w:rPr>
                <w:rFonts w:ascii="Times New Roman" w:hAnsi="Times New Roman" w:cs="Times New Roman"/>
                <w:sz w:val="16"/>
                <w:szCs w:val="16"/>
              </w:rPr>
              <w:t xml:space="preserve"> was not explicitly stated by JECFA but can be derived from the reported daily per person </w:t>
            </w:r>
            <w:r w:rsidR="004500A1">
              <w:rPr>
                <w:rFonts w:ascii="Times New Roman" w:hAnsi="Times New Roman" w:cs="Times New Roman"/>
                <w:sz w:val="16"/>
                <w:szCs w:val="16"/>
              </w:rPr>
              <w:t>PoD</w:t>
            </w:r>
            <w:r w:rsidR="0053182E" w:rsidRPr="00524806">
              <w:rPr>
                <w:rFonts w:ascii="Times New Roman" w:hAnsi="Times New Roman" w:cs="Times New Roman"/>
                <w:sz w:val="16"/>
                <w:szCs w:val="16"/>
              </w:rPr>
              <w:t xml:space="preserve"> of ~300 µg/day MeHg</w:t>
            </w:r>
            <w:r w:rsidR="00C55205">
              <w:rPr>
                <w:rFonts w:ascii="Times New Roman" w:hAnsi="Times New Roman" w:cs="Times New Roman"/>
                <w:sz w:val="16"/>
                <w:szCs w:val="16"/>
              </w:rPr>
              <w:t xml:space="preserve"> and using the default body weight of 60kg used by JECFA at that time</w:t>
            </w:r>
            <w:r w:rsidR="0053182E" w:rsidRPr="00524806">
              <w:rPr>
                <w:rFonts w:ascii="Times New Roman" w:hAnsi="Times New Roman" w:cs="Times New Roman"/>
                <w:sz w:val="16"/>
                <w:szCs w:val="16"/>
              </w:rPr>
              <w:t>: [300 µg/day]</w:t>
            </w:r>
            <w:r w:rsidR="00946BD8" w:rsidRPr="00187523">
              <w:rPr>
                <w:sz w:val="16"/>
                <w:szCs w:val="16"/>
              </w:rPr>
              <w:t xml:space="preserve"> ÷</w:t>
            </w:r>
            <w:r w:rsidR="00946BD8">
              <w:rPr>
                <w:sz w:val="16"/>
                <w:szCs w:val="16"/>
              </w:rPr>
              <w:t xml:space="preserve"> </w:t>
            </w:r>
            <w:r w:rsidR="0053182E" w:rsidRPr="00524806">
              <w:rPr>
                <w:rFonts w:ascii="Times New Roman" w:hAnsi="Times New Roman" w:cs="Times New Roman"/>
                <w:sz w:val="16"/>
                <w:szCs w:val="16"/>
              </w:rPr>
              <w:t>60kg = 5.0 µg/kg bw/day MeHg)</w:t>
            </w:r>
          </w:p>
          <w:p w14:paraId="49F0A42A" w14:textId="77777777" w:rsidR="0053182E" w:rsidRPr="00524806" w:rsidRDefault="0053182E" w:rsidP="00F31134">
            <w:pPr>
              <w:widowControl w:val="0"/>
              <w:ind w:left="57" w:right="57"/>
              <w:rPr>
                <w:rFonts w:ascii="Times New Roman" w:hAnsi="Times New Roman" w:cs="Times New Roman"/>
                <w:bCs w:val="0"/>
                <w:sz w:val="16"/>
                <w:szCs w:val="16"/>
              </w:rPr>
            </w:pPr>
          </w:p>
          <w:p w14:paraId="2FD6CA55" w14:textId="42FCC62D" w:rsidR="0053182E" w:rsidRPr="00524806" w:rsidRDefault="0053182E" w:rsidP="00F31134">
            <w:pPr>
              <w:widowControl w:val="0"/>
              <w:ind w:left="57" w:right="57"/>
              <w:rPr>
                <w:rFonts w:ascii="Times New Roman" w:hAnsi="Times New Roman" w:cs="Times New Roman"/>
                <w:sz w:val="16"/>
                <w:szCs w:val="16"/>
              </w:rPr>
            </w:pPr>
            <w:r w:rsidRPr="00524806">
              <w:rPr>
                <w:rFonts w:ascii="Times New Roman" w:hAnsi="Times New Roman" w:cs="Times New Roman"/>
                <w:sz w:val="16"/>
                <w:szCs w:val="16"/>
              </w:rPr>
              <w:t>Note: this corresponds to a blood to oral conversion factor (</w:t>
            </w:r>
            <w:r w:rsidRPr="00524806">
              <w:rPr>
                <w:rFonts w:ascii="Times New Roman" w:hAnsi="Times New Roman" w:cs="Times New Roman"/>
                <w:b/>
                <w:sz w:val="16"/>
                <w:szCs w:val="16"/>
              </w:rPr>
              <w:t>CF</w:t>
            </w:r>
            <w:r w:rsidRPr="00524806">
              <w:rPr>
                <w:rFonts w:ascii="Times New Roman" w:hAnsi="Times New Roman" w:cs="Times New Roman"/>
                <w:sz w:val="16"/>
                <w:szCs w:val="16"/>
              </w:rPr>
              <w:t>) of 0.025 where: [</w:t>
            </w:r>
            <w:r w:rsidR="004500A1">
              <w:rPr>
                <w:rFonts w:ascii="Times New Roman" w:hAnsi="Times New Roman" w:cs="Times New Roman"/>
                <w:sz w:val="16"/>
                <w:szCs w:val="16"/>
              </w:rPr>
              <w:t>PoD</w:t>
            </w:r>
            <w:r w:rsidRPr="00524806">
              <w:rPr>
                <w:rFonts w:ascii="Times New Roman" w:hAnsi="Times New Roman" w:cs="Times New Roman"/>
                <w:sz w:val="16"/>
                <w:szCs w:val="16"/>
              </w:rPr>
              <w:t xml:space="preserve"> MB µg/L]*</w:t>
            </w:r>
            <w:r w:rsidRPr="00524806">
              <w:rPr>
                <w:rFonts w:ascii="Times New Roman" w:hAnsi="Times New Roman" w:cs="Times New Roman"/>
                <w:b/>
                <w:sz w:val="16"/>
                <w:szCs w:val="16"/>
              </w:rPr>
              <w:t xml:space="preserve">CF </w:t>
            </w:r>
            <w:r w:rsidRPr="00524806">
              <w:rPr>
                <w:rFonts w:ascii="Times New Roman" w:hAnsi="Times New Roman" w:cs="Times New Roman"/>
                <w:sz w:val="16"/>
                <w:szCs w:val="16"/>
              </w:rPr>
              <w:t>= [</w:t>
            </w:r>
            <w:r w:rsidR="004500A1">
              <w:rPr>
                <w:rFonts w:ascii="Times New Roman" w:hAnsi="Times New Roman" w:cs="Times New Roman"/>
                <w:sz w:val="16"/>
                <w:szCs w:val="16"/>
              </w:rPr>
              <w:t>PoD</w:t>
            </w:r>
            <w:r w:rsidRPr="00524806">
              <w:rPr>
                <w:rFonts w:ascii="Times New Roman" w:hAnsi="Times New Roman" w:cs="Times New Roman"/>
                <w:sz w:val="16"/>
                <w:szCs w:val="16"/>
              </w:rPr>
              <w:t xml:space="preserve"> oral µg/kg bw/day]</w:t>
            </w:r>
          </w:p>
          <w:p w14:paraId="5E1CE802" w14:textId="77777777"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sz w:val="16"/>
                <w:szCs w:val="16"/>
              </w:rPr>
              <w:t>or</w:t>
            </w:r>
          </w:p>
          <w:p w14:paraId="15FD795C" w14:textId="074812BA"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b/>
                <w:sz w:val="16"/>
                <w:szCs w:val="16"/>
              </w:rPr>
              <w:t>CF</w:t>
            </w:r>
            <w:r w:rsidRPr="00524806">
              <w:rPr>
                <w:rFonts w:ascii="Times New Roman" w:hAnsi="Times New Roman" w:cs="Times New Roman"/>
                <w:sz w:val="16"/>
                <w:szCs w:val="16"/>
              </w:rPr>
              <w:t xml:space="preserve"> = [</w:t>
            </w:r>
            <w:r w:rsidR="004500A1">
              <w:rPr>
                <w:rFonts w:ascii="Times New Roman" w:hAnsi="Times New Roman" w:cs="Times New Roman"/>
                <w:bCs w:val="0"/>
                <w:sz w:val="16"/>
                <w:szCs w:val="16"/>
              </w:rPr>
              <w:t>PoD</w:t>
            </w:r>
            <w:r w:rsidRPr="00524806">
              <w:rPr>
                <w:rFonts w:ascii="Times New Roman" w:hAnsi="Times New Roman" w:cs="Times New Roman"/>
                <w:sz w:val="16"/>
                <w:szCs w:val="16"/>
              </w:rPr>
              <w:t xml:space="preserve"> oral µg/kg bw/day</w:t>
            </w:r>
            <w:r w:rsidRPr="00524806">
              <w:rPr>
                <w:rFonts w:ascii="Times New Roman" w:hAnsi="Times New Roman" w:cs="Times New Roman"/>
                <w:bCs w:val="0"/>
                <w:sz w:val="16"/>
                <w:szCs w:val="16"/>
              </w:rPr>
              <w:t>]</w:t>
            </w:r>
            <w:r w:rsidR="00946BD8" w:rsidRPr="00187523">
              <w:rPr>
                <w:sz w:val="16"/>
                <w:szCs w:val="16"/>
              </w:rPr>
              <w:t xml:space="preserve"> ÷</w:t>
            </w:r>
            <w:r w:rsidRPr="00524806">
              <w:rPr>
                <w:rFonts w:ascii="Times New Roman" w:hAnsi="Times New Roman" w:cs="Times New Roman"/>
                <w:sz w:val="16"/>
                <w:szCs w:val="16"/>
              </w:rPr>
              <w:t xml:space="preserve"> [</w:t>
            </w:r>
            <w:r w:rsidR="004500A1">
              <w:rPr>
                <w:rFonts w:ascii="Times New Roman" w:hAnsi="Times New Roman" w:cs="Times New Roman"/>
                <w:bCs w:val="0"/>
                <w:sz w:val="16"/>
                <w:szCs w:val="16"/>
              </w:rPr>
              <w:t>PoD</w:t>
            </w:r>
            <w:r w:rsidRPr="00524806">
              <w:rPr>
                <w:rFonts w:ascii="Times New Roman" w:hAnsi="Times New Roman" w:cs="Times New Roman"/>
                <w:sz w:val="16"/>
                <w:szCs w:val="16"/>
              </w:rPr>
              <w:t xml:space="preserve"> MB µg/L]</w:t>
            </w:r>
          </w:p>
          <w:p w14:paraId="38256FBA" w14:textId="4C6434E8" w:rsidR="0053182E" w:rsidRPr="00524806" w:rsidRDefault="0053182E" w:rsidP="00F31134">
            <w:pPr>
              <w:widowControl w:val="0"/>
              <w:ind w:left="57" w:right="57"/>
              <w:rPr>
                <w:rFonts w:ascii="Times New Roman" w:hAnsi="Times New Roman" w:cs="Times New Roman"/>
                <w:bCs w:val="0"/>
                <w:sz w:val="16"/>
                <w:szCs w:val="16"/>
              </w:rPr>
            </w:pPr>
            <w:r w:rsidRPr="00524806">
              <w:rPr>
                <w:rFonts w:ascii="Times New Roman" w:hAnsi="Times New Roman" w:cs="Times New Roman"/>
                <w:b/>
                <w:sz w:val="16"/>
                <w:szCs w:val="16"/>
              </w:rPr>
              <w:t>CF</w:t>
            </w:r>
            <w:r w:rsidRPr="00524806">
              <w:rPr>
                <w:rFonts w:ascii="Times New Roman" w:hAnsi="Times New Roman" w:cs="Times New Roman"/>
                <w:sz w:val="16"/>
                <w:szCs w:val="16"/>
              </w:rPr>
              <w:t xml:space="preserve"> = [5.0 µg/kg bw/day</w:t>
            </w:r>
            <w:r w:rsidRPr="00524806">
              <w:rPr>
                <w:rFonts w:ascii="Times New Roman" w:hAnsi="Times New Roman" w:cs="Times New Roman"/>
                <w:bCs w:val="0"/>
                <w:sz w:val="16"/>
                <w:szCs w:val="16"/>
              </w:rPr>
              <w:t>]</w:t>
            </w:r>
            <w:r w:rsidR="00946BD8" w:rsidRPr="00187523">
              <w:rPr>
                <w:sz w:val="16"/>
                <w:szCs w:val="16"/>
              </w:rPr>
              <w:t xml:space="preserve"> ÷</w:t>
            </w:r>
            <w:r w:rsidRPr="00524806">
              <w:rPr>
                <w:rFonts w:ascii="Times New Roman" w:hAnsi="Times New Roman" w:cs="Times New Roman"/>
                <w:sz w:val="16"/>
                <w:szCs w:val="16"/>
              </w:rPr>
              <w:t xml:space="preserve"> [200 µg/L]</w:t>
            </w:r>
          </w:p>
          <w:p w14:paraId="0F3BF9FB" w14:textId="77777777" w:rsidR="0053182E" w:rsidRPr="00524806" w:rsidRDefault="0053182E" w:rsidP="00F31134">
            <w:pPr>
              <w:widowControl w:val="0"/>
              <w:ind w:left="57" w:right="57"/>
              <w:rPr>
                <w:rFonts w:ascii="Times New Roman" w:hAnsi="Times New Roman" w:cs="Times New Roman"/>
                <w:b/>
                <w:sz w:val="16"/>
                <w:szCs w:val="16"/>
              </w:rPr>
            </w:pPr>
            <w:r w:rsidRPr="00524806">
              <w:rPr>
                <w:rFonts w:ascii="Times New Roman" w:hAnsi="Times New Roman" w:cs="Times New Roman"/>
                <w:b/>
                <w:sz w:val="16"/>
                <w:szCs w:val="16"/>
              </w:rPr>
              <w:t>CF = 0.025</w:t>
            </w:r>
          </w:p>
        </w:tc>
        <w:tc>
          <w:tcPr>
            <w:tcW w:w="995" w:type="dxa"/>
            <w:vMerge/>
          </w:tcPr>
          <w:p w14:paraId="0AF1C9A2" w14:textId="77777777" w:rsidR="0053182E" w:rsidRPr="00524806" w:rsidRDefault="0053182E" w:rsidP="00F31134">
            <w:pPr>
              <w:widowControl w:val="0"/>
              <w:ind w:left="57" w:right="57"/>
              <w:rPr>
                <w:rFonts w:ascii="Times New Roman" w:hAnsi="Times New Roman" w:cs="Times New Roman"/>
                <w:sz w:val="16"/>
                <w:szCs w:val="16"/>
              </w:rPr>
            </w:pPr>
          </w:p>
        </w:tc>
        <w:tc>
          <w:tcPr>
            <w:tcW w:w="3494" w:type="dxa"/>
          </w:tcPr>
          <w:p w14:paraId="463637F0" w14:textId="77777777" w:rsidR="000D053E" w:rsidRPr="000B161A" w:rsidRDefault="000D053E" w:rsidP="000D053E">
            <w:pPr>
              <w:widowControl w:val="0"/>
              <w:ind w:left="57" w:right="57"/>
              <w:rPr>
                <w:rFonts w:ascii="Times New Roman" w:hAnsi="Times New Roman" w:cs="Times New Roman"/>
                <w:b/>
                <w:color w:val="0000FF"/>
                <w:sz w:val="20"/>
                <w:szCs w:val="20"/>
              </w:rPr>
            </w:pPr>
            <w:r w:rsidRPr="000B161A">
              <w:rPr>
                <w:rFonts w:ascii="Times New Roman" w:hAnsi="Times New Roman" w:cs="Times New Roman"/>
                <w:b/>
                <w:color w:val="0000FF"/>
                <w:sz w:val="20"/>
                <w:szCs w:val="20"/>
              </w:rPr>
              <w:t>Author Inferred TRV</w:t>
            </w:r>
          </w:p>
          <w:p w14:paraId="0CBFCE16" w14:textId="77777777" w:rsidR="0053182E" w:rsidRPr="00866218" w:rsidRDefault="0053182E" w:rsidP="00F31134">
            <w:pPr>
              <w:widowControl w:val="0"/>
              <w:ind w:left="57" w:right="57"/>
              <w:rPr>
                <w:rFonts w:ascii="Times New Roman" w:hAnsi="Times New Roman" w:cs="Times New Roman"/>
                <w:sz w:val="20"/>
                <w:szCs w:val="20"/>
              </w:rPr>
            </w:pPr>
            <w:r w:rsidRPr="00E87F17">
              <w:rPr>
                <w:rFonts w:ascii="Times New Roman" w:hAnsi="Times New Roman" w:cs="Times New Roman"/>
                <w:b/>
                <w:color w:val="000000" w:themeColor="text1"/>
                <w:sz w:val="20"/>
                <w:szCs w:val="20"/>
              </w:rPr>
              <w:t>0.5</w:t>
            </w:r>
            <w:r w:rsidRPr="00E87F17">
              <w:rPr>
                <w:rFonts w:ascii="Times New Roman" w:hAnsi="Times New Roman" w:cs="Times New Roman"/>
                <w:color w:val="000000" w:themeColor="text1"/>
                <w:sz w:val="20"/>
                <w:szCs w:val="20"/>
              </w:rPr>
              <w:t xml:space="preserve"> </w:t>
            </w:r>
            <w:r w:rsidRPr="00E87F17">
              <w:rPr>
                <w:rFonts w:ascii="Times New Roman" w:hAnsi="Times New Roman" w:cs="Times New Roman"/>
                <w:b/>
                <w:color w:val="000000" w:themeColor="text1"/>
                <w:sz w:val="20"/>
                <w:szCs w:val="20"/>
              </w:rPr>
              <w:t>µg/kg bw/day MeHg</w:t>
            </w:r>
            <w:r w:rsidRPr="00E87F17">
              <w:rPr>
                <w:rFonts w:ascii="Times New Roman" w:hAnsi="Times New Roman" w:cs="Times New Roman"/>
                <w:color w:val="000000" w:themeColor="text1"/>
                <w:sz w:val="20"/>
                <w:szCs w:val="20"/>
                <w:vertAlign w:val="superscript"/>
              </w:rPr>
              <w:t xml:space="preserve"> </w:t>
            </w:r>
            <w:r w:rsidRPr="00866218">
              <w:rPr>
                <w:rFonts w:ascii="Times New Roman" w:hAnsi="Times New Roman" w:cs="Times New Roman"/>
                <w:sz w:val="20"/>
                <w:szCs w:val="20"/>
                <w:vertAlign w:val="superscript"/>
              </w:rPr>
              <w:t xml:space="preserve">a </w:t>
            </w:r>
          </w:p>
          <w:p w14:paraId="3551DAB7" w14:textId="13C88CB8" w:rsidR="0053182E" w:rsidRPr="00524806" w:rsidRDefault="000D053E" w:rsidP="00F31134">
            <w:pPr>
              <w:widowControl w:val="0"/>
              <w:ind w:left="57" w:right="57"/>
              <w:rPr>
                <w:rFonts w:ascii="Times New Roman" w:hAnsi="Times New Roman" w:cs="Times New Roman"/>
                <w:bCs w:val="0"/>
                <w:sz w:val="16"/>
                <w:szCs w:val="16"/>
              </w:rPr>
            </w:pPr>
            <w:r>
              <w:rPr>
                <w:rFonts w:ascii="Times New Roman" w:hAnsi="Times New Roman" w:cs="Times New Roman"/>
                <w:bCs w:val="0"/>
                <w:sz w:val="16"/>
                <w:szCs w:val="16"/>
              </w:rPr>
              <w:t>(</w:t>
            </w:r>
            <w:r w:rsidR="0053182E" w:rsidRPr="00524806">
              <w:rPr>
                <w:rFonts w:ascii="Times New Roman" w:hAnsi="Times New Roman" w:cs="Times New Roman"/>
                <w:sz w:val="16"/>
                <w:szCs w:val="16"/>
              </w:rPr>
              <w:t xml:space="preserve">a per body weight pTDI </w:t>
            </w:r>
            <w:r w:rsidR="00AA142D">
              <w:rPr>
                <w:rFonts w:ascii="Times New Roman" w:hAnsi="Times New Roman" w:cs="Times New Roman"/>
                <w:bCs w:val="0"/>
                <w:sz w:val="16"/>
                <w:szCs w:val="16"/>
              </w:rPr>
              <w:t xml:space="preserve">was </w:t>
            </w:r>
            <w:r w:rsidR="00AA142D" w:rsidRPr="00524806">
              <w:rPr>
                <w:rFonts w:ascii="Times New Roman" w:hAnsi="Times New Roman" w:cs="Times New Roman"/>
                <w:sz w:val="16"/>
                <w:szCs w:val="16"/>
              </w:rPr>
              <w:t xml:space="preserve">not explicitly derived by JECFA but </w:t>
            </w:r>
            <w:r w:rsidR="00AA142D">
              <w:rPr>
                <w:rFonts w:ascii="Times New Roman" w:hAnsi="Times New Roman" w:cs="Times New Roman"/>
                <w:bCs w:val="0"/>
                <w:sz w:val="16"/>
                <w:szCs w:val="16"/>
              </w:rPr>
              <w:t>could be</w:t>
            </w:r>
            <w:r w:rsidR="0053182E" w:rsidRPr="00524806">
              <w:rPr>
                <w:rFonts w:ascii="Times New Roman" w:hAnsi="Times New Roman" w:cs="Times New Roman"/>
                <w:sz w:val="16"/>
                <w:szCs w:val="16"/>
              </w:rPr>
              <w:t xml:space="preserve"> derived directly from the per person per day </w:t>
            </w:r>
            <w:r w:rsidR="004500A1">
              <w:rPr>
                <w:rFonts w:ascii="Times New Roman" w:hAnsi="Times New Roman" w:cs="Times New Roman"/>
                <w:bCs w:val="0"/>
                <w:sz w:val="16"/>
                <w:szCs w:val="16"/>
              </w:rPr>
              <w:t>PoD</w:t>
            </w:r>
            <w:r w:rsidR="0053182E" w:rsidRPr="00524806">
              <w:rPr>
                <w:rFonts w:ascii="Times New Roman" w:hAnsi="Times New Roman" w:cs="Times New Roman"/>
                <w:sz w:val="16"/>
                <w:szCs w:val="16"/>
              </w:rPr>
              <w:t xml:space="preserve"> and using an adult body weight of 60kg: </w:t>
            </w:r>
          </w:p>
          <w:p w14:paraId="20406537" w14:textId="4BCBEF77" w:rsidR="0053182E" w:rsidRPr="00524806" w:rsidRDefault="0053182E" w:rsidP="00F31134">
            <w:pPr>
              <w:widowControl w:val="0"/>
              <w:ind w:left="57" w:right="57"/>
              <w:rPr>
                <w:rFonts w:ascii="Times New Roman" w:hAnsi="Times New Roman" w:cs="Times New Roman"/>
                <w:b/>
                <w:sz w:val="16"/>
                <w:szCs w:val="16"/>
              </w:rPr>
            </w:pPr>
            <w:r w:rsidRPr="00524806">
              <w:rPr>
                <w:rFonts w:ascii="Times New Roman" w:hAnsi="Times New Roman" w:cs="Times New Roman"/>
                <w:sz w:val="16"/>
                <w:szCs w:val="16"/>
              </w:rPr>
              <w:t>[300 µg/day</w:t>
            </w:r>
            <w:r w:rsidRPr="00524806">
              <w:rPr>
                <w:rFonts w:ascii="Times New Roman" w:hAnsi="Times New Roman" w:cs="Times New Roman"/>
                <w:bCs w:val="0"/>
                <w:sz w:val="16"/>
                <w:szCs w:val="16"/>
              </w:rPr>
              <w:t>]</w:t>
            </w:r>
            <w:r w:rsidR="00946BD8" w:rsidRPr="00187523">
              <w:rPr>
                <w:sz w:val="16"/>
                <w:szCs w:val="16"/>
              </w:rPr>
              <w:t xml:space="preserve"> ÷</w:t>
            </w:r>
            <w:r w:rsidR="00946BD8">
              <w:rPr>
                <w:sz w:val="16"/>
                <w:szCs w:val="16"/>
              </w:rPr>
              <w:t xml:space="preserve"> </w:t>
            </w:r>
            <w:r w:rsidRPr="00524806">
              <w:rPr>
                <w:rFonts w:ascii="Times New Roman" w:hAnsi="Times New Roman" w:cs="Times New Roman"/>
                <w:sz w:val="16"/>
                <w:szCs w:val="16"/>
              </w:rPr>
              <w:t>60kg</w:t>
            </w:r>
            <w:r w:rsidR="00946BD8">
              <w:rPr>
                <w:rFonts w:ascii="Times New Roman" w:hAnsi="Times New Roman" w:cs="Times New Roman"/>
                <w:bCs w:val="0"/>
                <w:sz w:val="16"/>
                <w:szCs w:val="16"/>
              </w:rPr>
              <w:t xml:space="preserve"> </w:t>
            </w:r>
            <w:r w:rsidR="00946BD8" w:rsidRPr="00187523">
              <w:rPr>
                <w:sz w:val="16"/>
                <w:szCs w:val="16"/>
              </w:rPr>
              <w:t>÷</w:t>
            </w:r>
            <w:r w:rsidR="00946BD8">
              <w:rPr>
                <w:sz w:val="16"/>
                <w:szCs w:val="16"/>
              </w:rPr>
              <w:t xml:space="preserve"> </w:t>
            </w:r>
            <w:r w:rsidRPr="00524806">
              <w:rPr>
                <w:rFonts w:ascii="Times New Roman" w:hAnsi="Times New Roman" w:cs="Times New Roman"/>
                <w:sz w:val="16"/>
                <w:szCs w:val="16"/>
              </w:rPr>
              <w:t>UF10 = 0.5 µg/kg bw/day MeHg</w:t>
            </w:r>
            <w:r w:rsidRPr="004F3095">
              <w:rPr>
                <w:rFonts w:ascii="Times New Roman" w:hAnsi="Times New Roman" w:cs="Times New Roman"/>
                <w:sz w:val="16"/>
                <w:szCs w:val="16"/>
              </w:rPr>
              <w:t>)</w:t>
            </w:r>
          </w:p>
        </w:tc>
      </w:tr>
    </w:tbl>
    <w:p w14:paraId="6D1700C1" w14:textId="0A28F610" w:rsidR="00DA74F6" w:rsidRPr="00431A77" w:rsidRDefault="00DA74F6" w:rsidP="00DA74F6">
      <w:pPr>
        <w:rPr>
          <w:sz w:val="16"/>
          <w:szCs w:val="16"/>
        </w:rPr>
      </w:pPr>
      <w:r w:rsidRPr="00431A77">
        <w:rPr>
          <w:sz w:val="16"/>
          <w:szCs w:val="16"/>
          <w:vertAlign w:val="superscript"/>
        </w:rPr>
        <w:t>a</w:t>
      </w:r>
      <w:r w:rsidRPr="00431A77">
        <w:rPr>
          <w:sz w:val="16"/>
          <w:szCs w:val="16"/>
        </w:rPr>
        <w:t xml:space="preserve"> </w:t>
      </w:r>
      <w:r w:rsidR="00250E87">
        <w:rPr>
          <w:sz w:val="16"/>
          <w:szCs w:val="16"/>
        </w:rPr>
        <w:t>T</w:t>
      </w:r>
      <w:r w:rsidR="00250E87" w:rsidRPr="00524806">
        <w:rPr>
          <w:sz w:val="16"/>
          <w:szCs w:val="16"/>
        </w:rPr>
        <w:t xml:space="preserve">he JECFA </w:t>
      </w:r>
      <w:r w:rsidR="00626309">
        <w:rPr>
          <w:sz w:val="16"/>
          <w:szCs w:val="16"/>
        </w:rPr>
        <w:t xml:space="preserve">did not explicitly report a </w:t>
      </w:r>
      <w:r w:rsidR="00AD3D1D">
        <w:rPr>
          <w:sz w:val="16"/>
          <w:szCs w:val="16"/>
        </w:rPr>
        <w:t>daily per k</w:t>
      </w:r>
      <w:r w:rsidR="007202E2">
        <w:rPr>
          <w:sz w:val="16"/>
          <w:szCs w:val="16"/>
        </w:rPr>
        <w:t xml:space="preserve">g body weight </w:t>
      </w:r>
      <w:r w:rsidR="004A37C8">
        <w:rPr>
          <w:sz w:val="16"/>
          <w:szCs w:val="16"/>
        </w:rPr>
        <w:t>pTDI</w:t>
      </w:r>
      <w:r w:rsidR="00903352">
        <w:rPr>
          <w:sz w:val="16"/>
          <w:szCs w:val="16"/>
        </w:rPr>
        <w:t>, however</w:t>
      </w:r>
      <w:r w:rsidR="00DC7DDA">
        <w:rPr>
          <w:sz w:val="16"/>
          <w:szCs w:val="16"/>
        </w:rPr>
        <w:t xml:space="preserve"> </w:t>
      </w:r>
      <w:r w:rsidR="00180AA3">
        <w:rPr>
          <w:sz w:val="16"/>
          <w:szCs w:val="16"/>
        </w:rPr>
        <w:t xml:space="preserve">a </w:t>
      </w:r>
      <w:r w:rsidR="00180AA3" w:rsidRPr="00524806">
        <w:rPr>
          <w:sz w:val="16"/>
          <w:szCs w:val="16"/>
        </w:rPr>
        <w:t xml:space="preserve">pTDI </w:t>
      </w:r>
      <w:r w:rsidR="00180AA3">
        <w:rPr>
          <w:sz w:val="16"/>
          <w:szCs w:val="16"/>
        </w:rPr>
        <w:t xml:space="preserve">of </w:t>
      </w:r>
      <w:r w:rsidR="00180AA3" w:rsidRPr="00524806">
        <w:rPr>
          <w:sz w:val="16"/>
          <w:szCs w:val="16"/>
        </w:rPr>
        <w:t>0.47 µg/kg bw/day MeHg</w:t>
      </w:r>
      <w:r w:rsidR="00180AA3">
        <w:rPr>
          <w:sz w:val="16"/>
          <w:szCs w:val="16"/>
        </w:rPr>
        <w:t xml:space="preserve"> or sometimes 0.476 </w:t>
      </w:r>
      <w:r w:rsidR="00180AA3" w:rsidRPr="00524806">
        <w:rPr>
          <w:sz w:val="16"/>
          <w:szCs w:val="16"/>
        </w:rPr>
        <w:t xml:space="preserve">µg/kg bw/day MeHg </w:t>
      </w:r>
      <w:r w:rsidR="00180AA3">
        <w:rPr>
          <w:sz w:val="16"/>
          <w:szCs w:val="16"/>
        </w:rPr>
        <w:t xml:space="preserve">is </w:t>
      </w:r>
      <w:r w:rsidR="00DA48B8">
        <w:rPr>
          <w:sz w:val="16"/>
          <w:szCs w:val="16"/>
        </w:rPr>
        <w:t xml:space="preserve">sometimes reported as being </w:t>
      </w:r>
      <w:r w:rsidR="00180AA3">
        <w:rPr>
          <w:sz w:val="16"/>
          <w:szCs w:val="16"/>
        </w:rPr>
        <w:t xml:space="preserve">attributed to JECFA </w:t>
      </w:r>
      <w:r w:rsidR="00013F51">
        <w:rPr>
          <w:sz w:val="16"/>
          <w:szCs w:val="16"/>
        </w:rPr>
        <w:fldChar w:fldCharType="begin" w:fldLock="1"/>
      </w:r>
      <w:r w:rsidR="007A4227">
        <w:rPr>
          <w:sz w:val="16"/>
          <w:szCs w:val="16"/>
        </w:rPr>
        <w:instrText>ADDIN CSL_CITATION {"citationItems":[{"id":"ITEM-1","itemData":{"author":[{"dropping-particle":"","family":"Health Canada","given":"","non-dropping-particle":"","parse-names":false,"suffix":""}],"id":"ITEM-1","issued":{"date-parts":[["2007"]]},"number-of-pages":"76","title":"Human Health Risk Assessment of Mercury in Fish and Health Benefits of Fish Consumption. (Bureau of Chemical Safety, Food Directorate, Health Products and Food Branch)","type":"report"},"uris":["http://www.mendeley.com/documents/?uuid=166e86a5-647a-4b9c-b6a7-5ba3b350708d"]},{"id":"ITEM-2","itemData":{"author":[{"dropping-particle":"","family":"Feeley","given":"MM","non-dropping-particle":"","parse-names":false,"suffix":""},{"dropping-particle":"","family":"Lo","given":"M-T","non-dropping-particle":"","parse-names":false,"suffix":""}],"container-title":"Conference Proceedings. Mercury in Eastern Canada and the Northeast States. New Brunswick, September 21-23, 1998. Ecological Monitoring and Assessment Network (EMAN), Environment Canada-Atlantic Region, Health Canada and New Brunswick Dept. of the Env't.","editor":[{"dropping-particle":"","family":"Pilgrim","given":"W","non-dropping-particle":"","parse-names":false,"suffix":""},{"dropping-particle":"","family":"Burgess","given":"N","non-dropping-particle":"","parse-names":false,"suffix":""},{"dropping-particle":"","family":"Giguere","given":"M-F","non-dropping-particle":"","parse-names":false,"suffix":""}],"id":"ITEM-2","issued":{"date-parts":[["1998"]]},"page":"32","title":"Risk Assessment for Mercury in Health Canada - Development of the Provisional Tolerable Daily Intake (pTDI) Value","type":"paper-conference"},"uris":["http://www.mendeley.com/documents/?uuid=36df9ea2-eec5-4f40-b5e2-2c0f66a32b15"]}],"mendeley":{"formattedCitation":"(Feeley &amp; Lo, 1998; Health Canada, 2007)","plainTextFormattedCitation":"(Feeley &amp; Lo, 1998; Health Canada, 2007)","previouslyFormattedCitation":"(Feeley &amp; Lo, 1998; Health Canada, 2007)"},"properties":{"noteIndex":0},"schema":"https://github.com/citation-style-language/schema/raw/master/csl-citation.json"}</w:instrText>
      </w:r>
      <w:r w:rsidR="00013F51">
        <w:rPr>
          <w:sz w:val="16"/>
          <w:szCs w:val="16"/>
        </w:rPr>
        <w:fldChar w:fldCharType="separate"/>
      </w:r>
      <w:r w:rsidR="001C2F33" w:rsidRPr="001C2F33">
        <w:rPr>
          <w:noProof/>
          <w:sz w:val="16"/>
          <w:szCs w:val="16"/>
        </w:rPr>
        <w:t>(Feeley &amp; Lo, 1998; Health Canada, 2007)</w:t>
      </w:r>
      <w:r w:rsidR="00013F51">
        <w:rPr>
          <w:sz w:val="16"/>
          <w:szCs w:val="16"/>
        </w:rPr>
        <w:fldChar w:fldCharType="end"/>
      </w:r>
      <w:r w:rsidR="00A7405A">
        <w:rPr>
          <w:sz w:val="16"/>
          <w:szCs w:val="16"/>
        </w:rPr>
        <w:t xml:space="preserve"> </w:t>
      </w:r>
      <w:r w:rsidR="006117DD">
        <w:rPr>
          <w:sz w:val="16"/>
          <w:szCs w:val="16"/>
        </w:rPr>
        <w:t xml:space="preserve">via derivation from JECFA’s </w:t>
      </w:r>
      <w:r w:rsidR="007D0100">
        <w:rPr>
          <w:sz w:val="16"/>
          <w:szCs w:val="16"/>
        </w:rPr>
        <w:t xml:space="preserve">rounded </w:t>
      </w:r>
      <w:r w:rsidR="00250E87">
        <w:rPr>
          <w:sz w:val="16"/>
          <w:szCs w:val="16"/>
        </w:rPr>
        <w:t xml:space="preserve">weekly </w:t>
      </w:r>
      <w:r w:rsidR="00EE7F3B">
        <w:rPr>
          <w:sz w:val="16"/>
          <w:szCs w:val="16"/>
        </w:rPr>
        <w:t xml:space="preserve">per person </w:t>
      </w:r>
      <w:r w:rsidR="00250E87" w:rsidRPr="00524806">
        <w:rPr>
          <w:sz w:val="16"/>
          <w:szCs w:val="16"/>
        </w:rPr>
        <w:t xml:space="preserve">pTWI </w:t>
      </w:r>
      <w:r w:rsidR="005746E9">
        <w:rPr>
          <w:sz w:val="16"/>
          <w:szCs w:val="16"/>
        </w:rPr>
        <w:t xml:space="preserve">of </w:t>
      </w:r>
      <w:r w:rsidR="00250E87" w:rsidRPr="00524806">
        <w:rPr>
          <w:sz w:val="16"/>
          <w:szCs w:val="16"/>
        </w:rPr>
        <w:t>200 µg/week</w:t>
      </w:r>
      <w:r w:rsidR="00EE7F3B">
        <w:rPr>
          <w:sz w:val="16"/>
          <w:szCs w:val="16"/>
        </w:rPr>
        <w:t xml:space="preserve"> (assumed to be rounded down from </w:t>
      </w:r>
      <w:r w:rsidR="00EE7F3B" w:rsidRPr="00524806">
        <w:rPr>
          <w:sz w:val="16"/>
          <w:szCs w:val="16"/>
        </w:rPr>
        <w:t>210 µg/week</w:t>
      </w:r>
      <w:r w:rsidR="00EE7F3B">
        <w:rPr>
          <w:sz w:val="16"/>
          <w:szCs w:val="16"/>
        </w:rPr>
        <w:t>)</w:t>
      </w:r>
      <w:r w:rsidR="00250E87" w:rsidRPr="00524806">
        <w:rPr>
          <w:sz w:val="16"/>
          <w:szCs w:val="16"/>
        </w:rPr>
        <w:t xml:space="preserve"> or </w:t>
      </w:r>
      <w:r w:rsidR="009722A5">
        <w:rPr>
          <w:sz w:val="16"/>
          <w:szCs w:val="16"/>
        </w:rPr>
        <w:t xml:space="preserve">weekly per kg body weight pTWI of </w:t>
      </w:r>
      <w:r w:rsidR="00250E87" w:rsidRPr="00524806">
        <w:rPr>
          <w:sz w:val="16"/>
          <w:szCs w:val="16"/>
        </w:rPr>
        <w:t xml:space="preserve">3.3 µg/kg bw/week MeHg </w:t>
      </w:r>
      <w:r w:rsidR="009722A5">
        <w:rPr>
          <w:sz w:val="16"/>
          <w:szCs w:val="16"/>
        </w:rPr>
        <w:t xml:space="preserve">(assumed to be rounded down from </w:t>
      </w:r>
      <w:r w:rsidR="00C81961" w:rsidRPr="00524806">
        <w:rPr>
          <w:sz w:val="16"/>
          <w:szCs w:val="16"/>
        </w:rPr>
        <w:t>3.5 µg/kg bw/week MeHg</w:t>
      </w:r>
      <w:r w:rsidR="00C81961">
        <w:rPr>
          <w:sz w:val="16"/>
          <w:szCs w:val="16"/>
        </w:rPr>
        <w:t>)</w:t>
      </w:r>
      <w:r w:rsidR="00AC2F78">
        <w:rPr>
          <w:sz w:val="16"/>
          <w:szCs w:val="16"/>
        </w:rPr>
        <w:t xml:space="preserve">. </w:t>
      </w:r>
      <w:r w:rsidR="00396B7D">
        <w:rPr>
          <w:sz w:val="16"/>
          <w:szCs w:val="16"/>
        </w:rPr>
        <w:t xml:space="preserve">However </w:t>
      </w:r>
      <w:r w:rsidR="00D8424F">
        <w:rPr>
          <w:sz w:val="16"/>
          <w:szCs w:val="16"/>
        </w:rPr>
        <w:t xml:space="preserve">a more precise </w:t>
      </w:r>
      <w:r w:rsidR="00341B69">
        <w:rPr>
          <w:sz w:val="16"/>
          <w:szCs w:val="16"/>
        </w:rPr>
        <w:t>TRV can be inferred by</w:t>
      </w:r>
      <w:r w:rsidR="00250E87" w:rsidRPr="00524806">
        <w:rPr>
          <w:sz w:val="16"/>
          <w:szCs w:val="16"/>
        </w:rPr>
        <w:t xml:space="preserve"> directly </w:t>
      </w:r>
      <w:r w:rsidR="003143D8">
        <w:rPr>
          <w:sz w:val="16"/>
          <w:szCs w:val="16"/>
        </w:rPr>
        <w:t xml:space="preserve">derivation </w:t>
      </w:r>
      <w:r w:rsidR="00250E87" w:rsidRPr="00524806">
        <w:rPr>
          <w:sz w:val="16"/>
          <w:szCs w:val="16"/>
        </w:rPr>
        <w:t xml:space="preserve">from </w:t>
      </w:r>
      <w:r w:rsidR="003143D8">
        <w:rPr>
          <w:sz w:val="16"/>
          <w:szCs w:val="16"/>
        </w:rPr>
        <w:t xml:space="preserve">JECFA’s </w:t>
      </w:r>
      <w:r w:rsidR="00250E87" w:rsidRPr="00524806">
        <w:rPr>
          <w:sz w:val="16"/>
          <w:szCs w:val="16"/>
        </w:rPr>
        <w:t xml:space="preserve">per person daily </w:t>
      </w:r>
      <w:r w:rsidR="004500A1">
        <w:rPr>
          <w:sz w:val="16"/>
          <w:szCs w:val="16"/>
        </w:rPr>
        <w:t>PoD</w:t>
      </w:r>
      <w:r w:rsidR="00250E87" w:rsidRPr="00524806">
        <w:rPr>
          <w:sz w:val="16"/>
          <w:szCs w:val="16"/>
        </w:rPr>
        <w:t xml:space="preserve"> of 300 µg/day MeHg </w:t>
      </w:r>
      <w:r w:rsidR="003143D8">
        <w:rPr>
          <w:sz w:val="16"/>
          <w:szCs w:val="16"/>
        </w:rPr>
        <w:t xml:space="preserve">with a </w:t>
      </w:r>
      <w:r w:rsidR="00250E87" w:rsidRPr="00524806">
        <w:rPr>
          <w:sz w:val="16"/>
          <w:szCs w:val="16"/>
        </w:rPr>
        <w:t xml:space="preserve">UF of 10 </w:t>
      </w:r>
      <w:r w:rsidR="003143D8">
        <w:rPr>
          <w:sz w:val="16"/>
          <w:szCs w:val="16"/>
        </w:rPr>
        <w:t>and 60kg body weight</w:t>
      </w:r>
      <w:r w:rsidR="009545C1">
        <w:rPr>
          <w:sz w:val="16"/>
          <w:szCs w:val="16"/>
        </w:rPr>
        <w:t>.</w:t>
      </w:r>
      <w:r w:rsidR="00250E87" w:rsidRPr="00524806">
        <w:rPr>
          <w:sz w:val="16"/>
          <w:szCs w:val="16"/>
        </w:rPr>
        <w:t xml:space="preserve">– to avoid confusion these </w:t>
      </w:r>
      <w:r w:rsidR="00855E00">
        <w:rPr>
          <w:sz w:val="16"/>
          <w:szCs w:val="16"/>
        </w:rPr>
        <w:t xml:space="preserve">unrounded weekly TRVs </w:t>
      </w:r>
      <w:r w:rsidR="00CC5B6E">
        <w:rPr>
          <w:sz w:val="16"/>
          <w:szCs w:val="16"/>
        </w:rPr>
        <w:t xml:space="preserve">and </w:t>
      </w:r>
      <w:r w:rsidR="00250E87" w:rsidRPr="00524806">
        <w:rPr>
          <w:sz w:val="16"/>
          <w:szCs w:val="16"/>
        </w:rPr>
        <w:t xml:space="preserve">more precise directly-derived </w:t>
      </w:r>
      <w:r w:rsidR="00CC5B6E">
        <w:rPr>
          <w:sz w:val="16"/>
          <w:szCs w:val="16"/>
        </w:rPr>
        <w:t xml:space="preserve">daily </w:t>
      </w:r>
      <w:r w:rsidR="00250E87" w:rsidRPr="00524806">
        <w:rPr>
          <w:sz w:val="16"/>
          <w:szCs w:val="16"/>
        </w:rPr>
        <w:t>TRV</w:t>
      </w:r>
      <w:r w:rsidR="00475EA9">
        <w:rPr>
          <w:sz w:val="16"/>
          <w:szCs w:val="16"/>
        </w:rPr>
        <w:t xml:space="preserve"> inferred by the authors</w:t>
      </w:r>
      <w:r w:rsidR="00250E87" w:rsidRPr="00524806">
        <w:rPr>
          <w:sz w:val="16"/>
          <w:szCs w:val="16"/>
        </w:rPr>
        <w:t xml:space="preserve"> are </w:t>
      </w:r>
      <w:r w:rsidR="00250E87">
        <w:rPr>
          <w:sz w:val="16"/>
          <w:szCs w:val="16"/>
        </w:rPr>
        <w:t xml:space="preserve">also </w:t>
      </w:r>
      <w:r w:rsidR="00250E87" w:rsidRPr="00524806">
        <w:rPr>
          <w:sz w:val="16"/>
          <w:szCs w:val="16"/>
        </w:rPr>
        <w:t xml:space="preserve">provided </w:t>
      </w:r>
      <w:r w:rsidR="00250E87">
        <w:rPr>
          <w:sz w:val="16"/>
          <w:szCs w:val="16"/>
        </w:rPr>
        <w:t>in the table</w:t>
      </w:r>
      <w:r w:rsidR="00250E87" w:rsidRPr="00524806">
        <w:rPr>
          <w:sz w:val="16"/>
          <w:szCs w:val="16"/>
        </w:rPr>
        <w:t>.</w:t>
      </w:r>
    </w:p>
    <w:p w14:paraId="297FB671" w14:textId="77777777" w:rsidR="00567357" w:rsidRDefault="00567357" w:rsidP="1D1BC5C8"/>
    <w:p w14:paraId="5229A070" w14:textId="77777777" w:rsidR="0053182E" w:rsidRDefault="0053182E" w:rsidP="1D1BC5C8"/>
    <w:p w14:paraId="3165B69C" w14:textId="0377D406" w:rsidR="005E1AAB" w:rsidRDefault="00534EB9" w:rsidP="0041219F">
      <w:pPr>
        <w:pStyle w:val="Heading1"/>
      </w:pPr>
      <w:r w:rsidRPr="00534EB9">
        <w:t xml:space="preserve">WHO </w:t>
      </w:r>
      <w:r w:rsidR="00D6509D">
        <w:t>IPCS</w:t>
      </w:r>
      <w:r w:rsidR="005A395D">
        <w:t xml:space="preserve"> (</w:t>
      </w:r>
      <w:r w:rsidR="005A395D" w:rsidRPr="00534EB9">
        <w:t>1976</w:t>
      </w:r>
      <w:r w:rsidR="005A395D">
        <w:t>-1990)</w:t>
      </w:r>
    </w:p>
    <w:p w14:paraId="79352132" w14:textId="77777777" w:rsidR="005E1AAB" w:rsidRDefault="005E1AAB" w:rsidP="005E1AAB"/>
    <w:p w14:paraId="6895FACA" w14:textId="224A7D32" w:rsidR="00534EB9" w:rsidRDefault="00534EB9" w:rsidP="005E1AAB">
      <w:r>
        <w:t>In 1976, the W</w:t>
      </w:r>
      <w:r w:rsidR="3FC37B4D">
        <w:t>orld Health Organization</w:t>
      </w:r>
      <w:r>
        <w:t xml:space="preserve"> International Programme on Chemical Safety (</w:t>
      </w:r>
      <w:r w:rsidR="7001F1BF">
        <w:t xml:space="preserve">WHO </w:t>
      </w:r>
      <w:r>
        <w:t xml:space="preserve">IPCS) followed up on the 1972 JECFA review </w:t>
      </w:r>
      <w:r w:rsidR="004929D8">
        <w:t>to</w:t>
      </w:r>
      <w:r>
        <w:t xml:space="preserve"> includ</w:t>
      </w:r>
      <w:r w:rsidR="004929D8">
        <w:t>e</w:t>
      </w:r>
      <w:r>
        <w:t xml:space="preserve"> more detailed analys</w:t>
      </w:r>
      <w:r w:rsidR="006D1B96">
        <w:t>e</w:t>
      </w:r>
      <w:r>
        <w:t xml:space="preserve">s of data </w:t>
      </w:r>
      <w:r w:rsidR="003718C2">
        <w:t>f</w:t>
      </w:r>
      <w:r>
        <w:t>o</w:t>
      </w:r>
      <w:r w:rsidR="003718C2">
        <w:t>r</w:t>
      </w:r>
      <w:r>
        <w:t xml:space="preserve"> adult poisoning cases from Niigata, Japan, multiple publications from the Iraq </w:t>
      </w:r>
      <w:r w:rsidR="3610C8DA">
        <w:t>poisoning</w:t>
      </w:r>
      <w:r>
        <w:t xml:space="preserve">, as well as data on fish-eating populations </w:t>
      </w:r>
      <w:r w:rsidR="003C1D1C">
        <w:t xml:space="preserve">with high dietary MeHg exposure </w:t>
      </w:r>
      <w:r w:rsidR="42E6BBEA">
        <w:t xml:space="preserve">from </w:t>
      </w:r>
      <w:r>
        <w:t xml:space="preserve">Sweden, Samoa, </w:t>
      </w:r>
      <w:r w:rsidR="115EC873">
        <w:t xml:space="preserve">and </w:t>
      </w:r>
      <w:r>
        <w:t xml:space="preserve">Peru </w:t>
      </w:r>
      <w:r>
        <w:fldChar w:fldCharType="begin" w:fldLock="1"/>
      </w:r>
      <w:r>
        <w:instrText>ADDIN CSL_CITATION {"citationItems":[{"id":"ITEM-1","itemData":{"author":[{"dropping-particle":"","family":"WHO","given":"","non-dropping-particle":"","parse-names":false,"suffix":""}],"id":"ITEM-1","issued":{"date-parts":[["1976"]]},"title":"Environmental Health Criteria 1: Mercury. International Programme on Chemical Safety (IPCS).","type":"report"},"uris":["http://www.mendeley.com/documents/?uuid=85e0c1a9-9214-4aa7-bbca-013028200ae0"]}],"mendeley":{"formattedCitation":"(WHO, 1976)","plainTextFormattedCitation":"(WHO, 1976)","previouslyFormattedCitation":"(WHO, 1976)"},"properties":{"noteIndex":0},"schema":"https://github.com/citation-style-language/schema/raw/master/csl-citation.json"}</w:instrText>
      </w:r>
      <w:r>
        <w:fldChar w:fldCharType="separate"/>
      </w:r>
      <w:r w:rsidR="009C7931" w:rsidRPr="1D1BC5C8">
        <w:rPr>
          <w:noProof/>
        </w:rPr>
        <w:t>(WHO, 1976)</w:t>
      </w:r>
      <w:r>
        <w:fldChar w:fldCharType="end"/>
      </w:r>
      <w:r>
        <w:t xml:space="preserve">. </w:t>
      </w:r>
      <w:r w:rsidR="00353122">
        <w:t>A</w:t>
      </w:r>
      <w:r>
        <w:t xml:space="preserve"> quantitative reanalysis of adult poisoning cases from Niigata </w:t>
      </w:r>
      <w:r>
        <w:fldChar w:fldCharType="begin" w:fldLock="1"/>
      </w:r>
      <w:r w:rsidR="000F4DE2">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group","type":"report","volume":"Supplement"},"uris":["http://www.mendeley.com/documents/?uuid=52dd9d4c-b2cd-4d1d-9d4b-5b9a780fdd35"]}],"mendeley":{"formattedCitation":"(SEG, 1971)","plainTextFormattedCitation":"(SEG, 1971)","previouslyFormattedCitation":"(SEG, 1971)"},"properties":{"noteIndex":0},"schema":"https://github.com/citation-style-language/schema/raw/master/csl-citation.json"}</w:instrText>
      </w:r>
      <w:r>
        <w:fldChar w:fldCharType="separate"/>
      </w:r>
      <w:r w:rsidR="004028B4" w:rsidRPr="004028B4">
        <w:rPr>
          <w:noProof/>
        </w:rPr>
        <w:t>(SEG, 1971)</w:t>
      </w:r>
      <w:r>
        <w:fldChar w:fldCharType="end"/>
      </w:r>
      <w:r>
        <w:t xml:space="preserve"> and multiple </w:t>
      </w:r>
      <w:r w:rsidR="001406B1">
        <w:t xml:space="preserve">dose-response case series </w:t>
      </w:r>
      <w:r>
        <w:t xml:space="preserve">from Iraq </w:t>
      </w:r>
      <w:r w:rsidR="001D1675">
        <w:fldChar w:fldCharType="begin" w:fldLock="1"/>
      </w:r>
      <w:r w:rsidR="00BE293F">
        <w:instrText>ADDIN CSL_CITATION {"citationItems":[{"id":"ITEM-1","itemData":{"DOI":"10.1126/science.181.4096.230","ISSN":"0036-8075 (Print)","PMID":"4719063","author":[{"dropping-particle":"","family":"Bakir","given":"F","non-dropping-particle":"","parse-names":false,"suffix":""},{"dropping-particle":"","family":"Damluji","given":"S F","non-dropping-particle":"","parse-names":false,"suffix":""},{"dropping-particle":"","family":"Amin-Zaki","given":"L","non-dropping-particle":"","parse-names":false,"suffix":""},{"dropping-particle":"","family":"Murtadha","given":"M","non-dropping-particle":"","parse-names":false,"suffix":""},{"dropping-particle":"","family":"Khalidi","given":"A","non-dropping-particle":"","parse-names":false,"suffix":""},{"dropping-particle":"","family":"al-Rawi","given":"N Y","non-dropping-particle":"","parse-names":false,"suffix":""},{"dropping-particle":"","family":"Tikriti","given":"S","non-dropping-particle":"","parse-names":false,"suffix":""},{"dropping-particle":"","family":"Dahahir","given":"H I","non-dropping-particle":"","parse-names":false,"suffix":""},{"dropping-particle":"","family":"Clarkson","given":"T W","non-dropping-particle":"","parse-names":false,"suffix":""},{"dropping-particle":"","family":"Smith","given":"J C","non-dropping-particle":"","parse-names":false,"suffix":""},{"dropping-particle":"","family":"Doherty","given":"R A","non-dropping-particle":"","parse-names":false,"suffix":""}],"container-title":"Science (New York, N.Y.)","id":"ITEM-1","issue":"4096","issued":{"date-parts":[["1973","7"]]},"language":"eng","page":"230-241","publisher-place":"United States","title":"Methylmercury poisoning in Iraq.","type":"article-journal","volume":"181"},"uris":["http://www.mendeley.com/documents/?uuid=2b8b1ce4-df6d-481c-9754-71dfca372fdc"]},{"id":"ITEM-2","itemData":{"ISSN":"0042-9686 (Print)","PMID":"1086164","abstract":"A survey was carried out in a defined area in rural Iraq where there had been many cases of organomercury poisoning following the consumption of bread contaminated by mercury, in order to determine the true incidence of the disorder. The results were compared with those obtained from a similar rural area from which few cases had been reported. A questionnaire was used to determine the amount of contaminated bread eaten and the frequency of symptoms; a simple clinical examination was performed and blood and hair samples were collected for estimation of total mercury concentration. Of 700 people over the age of 5 years in the high-exposure area, 66% admitted to having eaten contaminated bread, while none of the 864 persons in the low exposure area had done so. The mean period during which contaminated bread was eaten was 32 days, but some people had eaten it for as long as 3 months. A mean of 121 loaves was eaten, the maximum being 480 loaves. For the mean number of loaves the intake of methylmercury was likely to have been between 80 mg and 250 mg, but the people who had consumed the largest amount of contaminated bread may have ingested up to 1 000 mg of methylmercury over a 3-month period. Of those with signs of alkylmercury poisoning at the time of the survey, 80% had eaten more than 100 loaves, and 53 (71%) out of 75 persons who had eaten more than 200 loaves showed some evidence of poisoning.The incidence rate for poisoning was estimated at 271 per 1 000; this figure includes a mortality rate of 59 per 1 000, 32 per 1 000 cases with severe disability, 41 per 1 000 cases with mild or moderate disability and 138 per 1 000 cases with only subjective evidence of poisoning at the time of the study.","author":[{"dropping-particle":"","family":"Al-Mufti","given":"A W","non-dropping-particle":"","parse-names":false,"suffix":""},{"dropping-particle":"","family":"Copplestone","given":"J F","non-dropping-particle":"","parse-names":false,"suffix":""},{"dropping-particle":"","family":"Kazantzis","given":"G","non-dropping-particle":"","parse-names":false,"suffix":""},{"dropping-particle":"","family":"Mahmoud","given":"R M","non-dropping-particle":"","parse-names":false,"suffix":""},{"dropping-particle":"","family":"Majid","given":"M A","non-dropping-particle":"","parse-names":false,"suffix":""}],"container-title":"Bulletin of the World Health Organization","id":"ITEM-2","issue":"Suppl","issued":{"date-parts":[["1976"]]},"language":"eng","page":"23-36","publisher-place":"Switzerland","title":"Epidemiology of organomercury poisoning in Iraq. I. Incidence in a defined area and relationship to the eating of contaminated bread.","type":"article-journal","volume":"53 Suppl"},"uris":["http://www.mendeley.com/documents/?uuid=9b3bc0f4-af9a-4788-8ede-074cc1ccd8b8"]},{"id":"ITEM-3","itemData":{"ISSN":"0042-9686 (Print)","PMID":"1086158","abstract":"Hair is known to concentrate mercury, and in general the concentration of mercury in hair is proportional to and many times higher than its concentration in the blood. The variation of the mercury concentration in human head hair was used to follow the history of poisoning in people who ingested grain treated with methylmercury. Instrumental neutron activation analysis was used for mercury determination. The initial rising slope of mercury concentration along the hair was proportional to the daily intake of methylmercury per kg of body weight. The ratio of the concentration of methylmercury in human head hair to the average body concentration was found to be about 137. By using this ratio and measuring mercury concentration in hair, the total body burden can be calculated. In the patients studied, the peak body burden ranged from 0.8 to 4.4 mg/kg in cases showing mild symptoms, from 1.5 to 6 mg/kg in cases with moderate symptoms, and from 3 to 12 mg/kg in cases with severe symptoms. The curve of the variation in mercury concentrations along the hair was also used to calculate the biological half-life of methylmercury in man. Forty-eight cases were studied and it was found that the frequency curve (population distribution curve) was grouped into two distinct regions. In about 90% of the population the biological half-life of methylmercury was 35-100 days, and 10% showed high values of 110-120 days.","author":[{"dropping-particle":"","family":"Al-Shahristani","given":"H","non-dropping-particle":"","parse-names":false,"suffix":""},{"dropping-particle":"","family":"Shihab","given":"K","non-dropping-particle":"","parse-names":false,"suffix":""},{"dropping-particle":"","family":"Al-Haddad","given":"I K","non-dropping-particle":"","parse-names":false,"suffix":""}],"container-title":"Bulletin of the World Health Organization","id":"ITEM-3","issue":"Suppl","issued":{"date-parts":[["1976"]]},"language":"eng","page":"105-112","publisher-place":"Switzerland","title":"Mercury in hair as an indicator of total body burden.","type":"article-journal","volume":"53 Suppl"},"uris":["http://www.mendeley.com/documents/?uuid=44f49324-5995-4fdf-a073-4e5ce7be3034"]}],"mendeley":{"formattedCitation":"(Al-Mufti et al., 1976; Al-Shahristani et al., 1976; Bakir et al., 1973)","plainTextFormattedCitation":"(Al-Mufti et al., 1976; Al-Shahristani et al., 1976; Bakir et al., 1973)","previouslyFormattedCitation":"(Al-Mufti et al., 1976; Al-Shahristani et al., 1976; Bakir et al., 1973)"},"properties":{"noteIndex":0},"schema":"https://github.com/citation-style-language/schema/raw/master/csl-citation.json"}</w:instrText>
      </w:r>
      <w:r w:rsidR="001D1675">
        <w:fldChar w:fldCharType="separate"/>
      </w:r>
      <w:r w:rsidR="00964674" w:rsidRPr="00964674">
        <w:rPr>
          <w:noProof/>
        </w:rPr>
        <w:t>(Al-Mufti et al., 1976; Al-Shahristani et al., 1976; Bakir et al., 1973)</w:t>
      </w:r>
      <w:r w:rsidR="001D1675">
        <w:fldChar w:fldCharType="end"/>
      </w:r>
      <w:r w:rsidR="00CE417B">
        <w:t xml:space="preserve"> </w:t>
      </w:r>
      <w:r>
        <w:t xml:space="preserve">were used to estimate biomarker and oral intake </w:t>
      </w:r>
      <w:r w:rsidR="00A76902">
        <w:t>PoDs</w:t>
      </w:r>
      <w:r w:rsidR="001D1675">
        <w:t xml:space="preserve"> </w:t>
      </w:r>
      <w:r w:rsidR="00AD55BF">
        <w:t xml:space="preserve">(Table 4 in the WHO 1976 report). </w:t>
      </w:r>
      <w:r w:rsidR="006A511E">
        <w:t xml:space="preserve">The WHO </w:t>
      </w:r>
      <w:r w:rsidR="006D23B3">
        <w:t>reported</w:t>
      </w:r>
      <w:r>
        <w:t xml:space="preserve"> PoD</w:t>
      </w:r>
      <w:r w:rsidR="00B672BF">
        <w:t>s</w:t>
      </w:r>
      <w:r>
        <w:t xml:space="preserve"> rang</w:t>
      </w:r>
      <w:r w:rsidR="00B672BF">
        <w:t>ing</w:t>
      </w:r>
      <w:r>
        <w:t xml:space="preserve"> from 200-500 µg/L THg in blood, 50-125 µg/g THg in hair, and long-term daily intake</w:t>
      </w:r>
      <w:r w:rsidR="00B672BF">
        <w:t>s</w:t>
      </w:r>
      <w:r>
        <w:t xml:space="preserve"> </w:t>
      </w:r>
      <w:r w:rsidR="0012023B">
        <w:t>of</w:t>
      </w:r>
      <w:r>
        <w:t xml:space="preserve"> 3-7 µg/kg-bw/day</w:t>
      </w:r>
      <w:r w:rsidR="00D71FDF">
        <w:t xml:space="preserve"> </w:t>
      </w:r>
      <w:r w:rsidR="00827C2B">
        <w:t>MeHg</w:t>
      </w:r>
      <w:r w:rsidR="0006332F" w:rsidRPr="008E3958">
        <w:rPr>
          <w:rStyle w:val="FootnoteReference"/>
        </w:rPr>
        <w:footnoteReference w:id="6"/>
      </w:r>
      <w:r>
        <w:t xml:space="preserve"> </w:t>
      </w:r>
      <w:r w:rsidR="003526B8">
        <w:t>(Table 6 in the WHO 1976 report). These PoDs were</w:t>
      </w:r>
      <w:r w:rsidR="006D23B3">
        <w:t xml:space="preserve"> expected to be </w:t>
      </w:r>
      <w:r w:rsidR="006D23B3" w:rsidRPr="2A0E7B58">
        <w:rPr>
          <w:i/>
          <w:iCs/>
        </w:rPr>
        <w:t>“associated with the earliest effects in the most sensitive group in the adult population”</w:t>
      </w:r>
      <w:r w:rsidR="006D23B3">
        <w:t xml:space="preserve"> corresponding to an approximate prevalence of 5% </w:t>
      </w:r>
      <w:r w:rsidR="00513FE0">
        <w:t xml:space="preserve">of </w:t>
      </w:r>
      <w:r w:rsidR="00AC689B">
        <w:t>in a population with exposure at the PoD</w:t>
      </w:r>
      <w:r w:rsidR="00513FE0">
        <w:t xml:space="preserve"> </w:t>
      </w:r>
      <w:r w:rsidR="006D23B3">
        <w:t>experiencing paresthesia (burning, tingling of extremities)</w:t>
      </w:r>
      <w:r>
        <w:t xml:space="preserve">. </w:t>
      </w:r>
      <w:r w:rsidR="006538DC">
        <w:t xml:space="preserve">Conversion from </w:t>
      </w:r>
      <w:r w:rsidR="00C5228B">
        <w:t xml:space="preserve">the </w:t>
      </w:r>
      <w:r w:rsidR="00EB3EE5">
        <w:t xml:space="preserve">lower range blood </w:t>
      </w:r>
      <w:r w:rsidR="00C5228B">
        <w:t xml:space="preserve">PoD of 200 </w:t>
      </w:r>
      <w:r w:rsidR="00645EBB">
        <w:t>µg/L THg to oral intake</w:t>
      </w:r>
      <w:r w:rsidR="00C5228B">
        <w:t xml:space="preserve"> range of 3-7 </w:t>
      </w:r>
      <w:r w:rsidR="00645EBB">
        <w:t xml:space="preserve">µg/kg-bw/day MeHg was based on </w:t>
      </w:r>
      <w:r w:rsidR="00B367C9">
        <w:t>the most conservat</w:t>
      </w:r>
      <w:r w:rsidR="00EA36F0">
        <w:t xml:space="preserve">ive coefficient from a series of regression equations </w:t>
      </w:r>
      <w:r w:rsidR="005424DB">
        <w:t xml:space="preserve">in </w:t>
      </w:r>
      <w:r w:rsidR="00EA36F0">
        <w:t xml:space="preserve">Table 3 </w:t>
      </w:r>
      <w:r w:rsidR="005424DB">
        <w:t>of</w:t>
      </w:r>
      <w:r w:rsidR="00EA36F0">
        <w:t xml:space="preserve"> the WHO 1976 report corresponding to a </w:t>
      </w:r>
      <w:r w:rsidR="00E91EC9">
        <w:t>conversion factor (</w:t>
      </w:r>
      <w:r w:rsidR="00EA36F0">
        <w:t>CF</w:t>
      </w:r>
      <w:r w:rsidR="00E91EC9">
        <w:t xml:space="preserve">) of 0.0143 </w:t>
      </w:r>
      <w:r w:rsidR="003E5ADF">
        <w:t>(</w:t>
      </w:r>
      <w:r w:rsidR="002F7639">
        <w:t xml:space="preserve">i.e. </w:t>
      </w:r>
      <w:r w:rsidR="00E91EC9">
        <w:t>blood*CF=intake</w:t>
      </w:r>
      <w:r w:rsidR="002F7639">
        <w:t xml:space="preserve">, see </w:t>
      </w:r>
      <w:r w:rsidR="008F2F70">
        <w:t>Table S1.3</w:t>
      </w:r>
      <w:r w:rsidR="002F7639">
        <w:t xml:space="preserve"> below</w:t>
      </w:r>
      <w:r w:rsidR="00E91EC9">
        <w:t>)</w:t>
      </w:r>
      <w:r w:rsidR="00EA36F0">
        <w:t xml:space="preserve">. </w:t>
      </w:r>
      <w:r>
        <w:t xml:space="preserve">These </w:t>
      </w:r>
      <w:r w:rsidR="00FA30AC">
        <w:t xml:space="preserve">blood, hair, and oral intake PoDs </w:t>
      </w:r>
      <w:r>
        <w:t xml:space="preserve">were in agreement with those from the JECFA 1972 </w:t>
      </w:r>
      <w:r w:rsidR="00F05C4E">
        <w:t xml:space="preserve">evaluation </w:t>
      </w:r>
      <w:r>
        <w:t>and similarly</w:t>
      </w:r>
      <w:r w:rsidR="00F05C4E">
        <w:t>,</w:t>
      </w:r>
      <w:r>
        <w:t xml:space="preserve"> were considered to apply only to neurologic</w:t>
      </w:r>
      <w:r w:rsidR="00200AFA">
        <w:t>al</w:t>
      </w:r>
      <w:r>
        <w:t xml:space="preserve"> effects</w:t>
      </w:r>
      <w:r w:rsidR="00C250E7">
        <w:t xml:space="preserve"> in adults</w:t>
      </w:r>
      <w:r>
        <w:t xml:space="preserve">. The WHO </w:t>
      </w:r>
      <w:r w:rsidR="0096394E">
        <w:t xml:space="preserve">1976 </w:t>
      </w:r>
      <w:r>
        <w:t xml:space="preserve">review also considered epidemiological data </w:t>
      </w:r>
      <w:r w:rsidR="00EE138F">
        <w:t>f</w:t>
      </w:r>
      <w:r>
        <w:t>o</w:t>
      </w:r>
      <w:r w:rsidR="00EE138F">
        <w:t>r</w:t>
      </w:r>
      <w:r>
        <w:t xml:space="preserve"> infants exposed to MeHg in utero from Minamata Bay</w:t>
      </w:r>
      <w:r w:rsidR="00DE5DDF">
        <w:t>,</w:t>
      </w:r>
      <w:r>
        <w:t xml:space="preserve"> Iraq, and other case reports suggesting fetal development may represent a more </w:t>
      </w:r>
      <w:r w:rsidR="00046862">
        <w:t>sensitive</w:t>
      </w:r>
      <w:r>
        <w:t xml:space="preserve"> period of exposure. However, similar to the JECFA 1972 </w:t>
      </w:r>
      <w:r w:rsidR="00444B0E">
        <w:t>evaluation</w:t>
      </w:r>
      <w:r>
        <w:t xml:space="preserve">, the </w:t>
      </w:r>
      <w:r w:rsidR="7278153A">
        <w:t>WHO IPCS considered the</w:t>
      </w:r>
      <w:r w:rsidR="00CA795D">
        <w:t>se</w:t>
      </w:r>
      <w:r w:rsidR="7278153A">
        <w:t xml:space="preserve"> </w:t>
      </w:r>
      <w:r>
        <w:t xml:space="preserve">data to be too preliminary to quantify </w:t>
      </w:r>
      <w:r w:rsidR="00CA795D">
        <w:t xml:space="preserve">the potential </w:t>
      </w:r>
      <w:r>
        <w:t>risks</w:t>
      </w:r>
      <w:r w:rsidR="43011108">
        <w:t xml:space="preserve"> to children </w:t>
      </w:r>
      <w:r w:rsidR="43011108">
        <w:lastRenderedPageBreak/>
        <w:t>from</w:t>
      </w:r>
      <w:r>
        <w:t xml:space="preserve"> prenatal exposure</w:t>
      </w:r>
      <w:r w:rsidR="00CA795D">
        <w:t xml:space="preserve"> to MeHg</w:t>
      </w:r>
      <w:r>
        <w:t xml:space="preserve"> </w:t>
      </w:r>
      <w:r>
        <w:fldChar w:fldCharType="begin" w:fldLock="1"/>
      </w:r>
      <w:r>
        <w:instrText>ADDIN CSL_CITATION {"citationItems":[{"id":"ITEM-1","itemData":{"author":[{"dropping-particle":"","family":"WHO","given":"","non-dropping-particle":"","parse-names":false,"suffix":""}],"id":"ITEM-1","issued":{"date-parts":[["1976"]]},"title":"Environmental Health Criteria 1: Mercury. International Programme on Chemical Safety (IPCS).","type":"report"},"uris":["http://www.mendeley.com/documents/?uuid=85e0c1a9-9214-4aa7-bbca-013028200ae0"]}],"mendeley":{"formattedCitation":"(WHO, 1976)","plainTextFormattedCitation":"(WHO, 1976)","previouslyFormattedCitation":"(WHO, 1976)"},"properties":{"noteIndex":0},"schema":"https://github.com/citation-style-language/schema/raw/master/csl-citation.json"}</w:instrText>
      </w:r>
      <w:r>
        <w:fldChar w:fldCharType="separate"/>
      </w:r>
      <w:r w:rsidR="009C7931" w:rsidRPr="1D1BC5C8">
        <w:rPr>
          <w:noProof/>
        </w:rPr>
        <w:t>(WHO, 1976)</w:t>
      </w:r>
      <w:r>
        <w:fldChar w:fldCharType="end"/>
      </w:r>
      <w:r>
        <w:t xml:space="preserve">. </w:t>
      </w:r>
      <w:r w:rsidR="00DE5DDF">
        <w:t>A</w:t>
      </w:r>
      <w:r>
        <w:t xml:space="preserve"> </w:t>
      </w:r>
      <w:r w:rsidR="00E2321A">
        <w:t xml:space="preserve">subsequent </w:t>
      </w:r>
      <w:r>
        <w:t>update</w:t>
      </w:r>
      <w:r w:rsidR="008D79AB">
        <w:t xml:space="preserve"> </w:t>
      </w:r>
      <w:r w:rsidR="00DE5DDF">
        <w:t>by the WHO IPCS in 1</w:t>
      </w:r>
      <w:r w:rsidR="008D79AB">
        <w:t>990</w:t>
      </w:r>
      <w:r>
        <w:t xml:space="preserve"> </w:t>
      </w:r>
      <w:r w:rsidR="00462D1E">
        <w:t>used</w:t>
      </w:r>
      <w:r>
        <w:t xml:space="preserve"> </w:t>
      </w:r>
      <w:r w:rsidR="008D79AB">
        <w:t xml:space="preserve">more recently published data from </w:t>
      </w:r>
      <w:r>
        <w:t xml:space="preserve">the Iraq </w:t>
      </w:r>
      <w:r w:rsidR="008D79AB">
        <w:t>poisoning</w:t>
      </w:r>
      <w:r w:rsidR="00670D21">
        <w:t xml:space="preserve"> inciden</w:t>
      </w:r>
      <w:r w:rsidR="0023705C">
        <w:t>t</w:t>
      </w:r>
      <w:r w:rsidR="00120D88">
        <w:t>, which</w:t>
      </w:r>
      <w:r>
        <w:t xml:space="preserve"> conclude</w:t>
      </w:r>
      <w:r w:rsidR="00120D88">
        <w:t>d</w:t>
      </w:r>
      <w:r w:rsidR="00462D1E">
        <w:t xml:space="preserve"> that</w:t>
      </w:r>
      <w:r>
        <w:t xml:space="preserve"> </w:t>
      </w:r>
      <w:r w:rsidRPr="2A0E7B58">
        <w:rPr>
          <w:i/>
          <w:iCs/>
        </w:rPr>
        <w:t>“The general population does not face a significant health risk from methylmercury. Certain groups with a high fish consumption may attain a blood methylmercury level (about 200 µg/</w:t>
      </w:r>
      <w:r w:rsidR="1DE6EDDD" w:rsidRPr="2A0E7B58">
        <w:rPr>
          <w:i/>
          <w:iCs/>
        </w:rPr>
        <w:t>L</w:t>
      </w:r>
      <w:r w:rsidRPr="2A0E7B58">
        <w:rPr>
          <w:i/>
          <w:iCs/>
        </w:rPr>
        <w:t>, corresponding to 50 µg/g of hair) associated with a low (5%) risk of neurological damage to adults.</w:t>
      </w:r>
      <w:r w:rsidR="00670D21" w:rsidRPr="2A0E7B58">
        <w:rPr>
          <w:i/>
          <w:iCs/>
        </w:rPr>
        <w:t>”</w:t>
      </w:r>
      <w:r>
        <w:t xml:space="preserve"> </w:t>
      </w:r>
      <w:r>
        <w:fldChar w:fldCharType="begin" w:fldLock="1"/>
      </w:r>
      <w:r>
        <w:instrText>ADDIN CSL_CITATION {"citationItems":[{"id":"ITEM-1","itemData":{"author":[{"dropping-particle":"","family":"WHO","given":"","non-dropping-particle":"","parse-names":false,"suffix":""}],"id":"ITEM-1","issued":{"date-parts":[["1990"]]},"title":"Environmental Health Criteria 101: Methylmercury. International Programme on Chemical Safety (IPCS).","type":"report"},"uris":["http://www.mendeley.com/documents/?uuid=0e835b07-5fb8-4e3c-a955-efeffb8cb8fd"]}],"mendeley":{"formattedCitation":"(WHO, 1990)","plainTextFormattedCitation":"(WHO, 1990)","previouslyFormattedCitation":"(WHO, 1990)"},"properties":{"noteIndex":0},"schema":"https://github.com/citation-style-language/schema/raw/master/csl-citation.json"}</w:instrText>
      </w:r>
      <w:r>
        <w:fldChar w:fldCharType="separate"/>
      </w:r>
      <w:r w:rsidR="009C7931" w:rsidRPr="1D1BC5C8">
        <w:rPr>
          <w:noProof/>
        </w:rPr>
        <w:t>(WHO, 1990)</w:t>
      </w:r>
      <w:r>
        <w:fldChar w:fldCharType="end"/>
      </w:r>
      <w:r w:rsidR="00670D21">
        <w:t>.</w:t>
      </w:r>
    </w:p>
    <w:p w14:paraId="00768CE3" w14:textId="77777777" w:rsidR="0041053E" w:rsidRDefault="0041053E" w:rsidP="005E1AAB"/>
    <w:p w14:paraId="2BA9B0E1" w14:textId="1EF0AB9F" w:rsidR="002F7639" w:rsidRPr="002F7639" w:rsidRDefault="002F7639" w:rsidP="005E1AAB">
      <w:pPr>
        <w:rPr>
          <w:b/>
          <w:bCs/>
        </w:rPr>
      </w:pPr>
      <w:r w:rsidRPr="002F7639">
        <w:rPr>
          <w:b/>
        </w:rPr>
        <w:t>Table S1.</w:t>
      </w:r>
      <w:r w:rsidR="00BD2C22">
        <w:rPr>
          <w:b/>
        </w:rPr>
        <w:t>3</w:t>
      </w:r>
      <w:r w:rsidR="00D02BEC">
        <w:rPr>
          <w:b/>
        </w:rPr>
        <w:t xml:space="preserve"> PoDs and TRVs </w:t>
      </w:r>
      <w:r w:rsidR="00A93FC9">
        <w:rPr>
          <w:b/>
        </w:rPr>
        <w:t xml:space="preserve">for </w:t>
      </w:r>
      <w:r w:rsidR="00D02BEC">
        <w:rPr>
          <w:b/>
        </w:rPr>
        <w:t>adult</w:t>
      </w:r>
      <w:r w:rsidR="00A93FC9">
        <w:rPr>
          <w:b/>
        </w:rPr>
        <w:t xml:space="preserve"> neurotoxicity</w:t>
      </w:r>
      <w:r w:rsidR="00D02BEC">
        <w:rPr>
          <w:b/>
        </w:rPr>
        <w:t xml:space="preserve"> </w:t>
      </w:r>
      <w:r w:rsidR="00501360">
        <w:rPr>
          <w:b/>
        </w:rPr>
        <w:t xml:space="preserve">of MeHg </w:t>
      </w:r>
      <w:r w:rsidR="00236DC5">
        <w:rPr>
          <w:b/>
          <w:bCs/>
        </w:rPr>
        <w:t>derived</w:t>
      </w:r>
      <w:r w:rsidR="008B6F7C">
        <w:rPr>
          <w:b/>
        </w:rPr>
        <w:t xml:space="preserve"> by the </w:t>
      </w:r>
      <w:r w:rsidR="00D02BEC">
        <w:rPr>
          <w:b/>
        </w:rPr>
        <w:t>WHO IPCS</w:t>
      </w:r>
      <w:r w:rsidR="003424B0">
        <w:rPr>
          <w:b/>
        </w:rPr>
        <w:t xml:space="preserve"> (1976)</w:t>
      </w:r>
    </w:p>
    <w:tbl>
      <w:tblPr>
        <w:tblStyle w:val="TableGrid"/>
        <w:tblW w:w="0" w:type="auto"/>
        <w:tblLook w:val="04A0" w:firstRow="1" w:lastRow="0" w:firstColumn="1" w:lastColumn="0" w:noHBand="0" w:noVBand="1"/>
      </w:tblPr>
      <w:tblGrid>
        <w:gridCol w:w="988"/>
        <w:gridCol w:w="7480"/>
        <w:gridCol w:w="1027"/>
        <w:gridCol w:w="1033"/>
      </w:tblGrid>
      <w:tr w:rsidR="0041053E" w:rsidRPr="009705CD" w14:paraId="70878CDD" w14:textId="77777777" w:rsidTr="2A0E7B58">
        <w:tc>
          <w:tcPr>
            <w:tcW w:w="988" w:type="dxa"/>
            <w:shd w:val="clear" w:color="auto" w:fill="D9D9D9" w:themeFill="background1" w:themeFillShade="D9"/>
          </w:tcPr>
          <w:p w14:paraId="2E74561A" w14:textId="77777777" w:rsidR="0041053E" w:rsidRPr="009705CD" w:rsidRDefault="0041053E" w:rsidP="007909E6">
            <w:pPr>
              <w:rPr>
                <w:rFonts w:ascii="Times New Roman" w:hAnsi="Times New Roman" w:cs="Times New Roman"/>
                <w:sz w:val="20"/>
                <w:szCs w:val="20"/>
              </w:rPr>
            </w:pPr>
            <w:r>
              <w:rPr>
                <w:rFonts w:ascii="Times New Roman" w:hAnsi="Times New Roman" w:cs="Times New Roman"/>
                <w:sz w:val="20"/>
                <w:szCs w:val="20"/>
              </w:rPr>
              <w:t>Exposure Metric</w:t>
            </w:r>
          </w:p>
        </w:tc>
        <w:tc>
          <w:tcPr>
            <w:tcW w:w="7512" w:type="dxa"/>
            <w:shd w:val="clear" w:color="auto" w:fill="D9D9D9" w:themeFill="background1" w:themeFillShade="D9"/>
          </w:tcPr>
          <w:p w14:paraId="4017FFC2" w14:textId="77777777" w:rsidR="0041053E" w:rsidRPr="009705CD" w:rsidRDefault="0041053E" w:rsidP="007909E6">
            <w:pPr>
              <w:rPr>
                <w:rFonts w:ascii="Times New Roman" w:hAnsi="Times New Roman" w:cs="Times New Roman"/>
                <w:sz w:val="20"/>
                <w:szCs w:val="20"/>
              </w:rPr>
            </w:pPr>
            <w:r w:rsidRPr="009705CD">
              <w:rPr>
                <w:rFonts w:ascii="Times New Roman" w:hAnsi="Times New Roman" w:cs="Times New Roman"/>
                <w:sz w:val="20"/>
                <w:szCs w:val="20"/>
              </w:rPr>
              <w:t>PoD</w:t>
            </w:r>
          </w:p>
        </w:tc>
        <w:tc>
          <w:tcPr>
            <w:tcW w:w="993" w:type="dxa"/>
            <w:shd w:val="clear" w:color="auto" w:fill="D9D9D9" w:themeFill="background1" w:themeFillShade="D9"/>
          </w:tcPr>
          <w:p w14:paraId="73BB86EC" w14:textId="527E3CA2" w:rsidR="0041053E" w:rsidRPr="009705CD" w:rsidRDefault="0041053E" w:rsidP="007909E6">
            <w:pPr>
              <w:rPr>
                <w:rFonts w:ascii="Times New Roman" w:hAnsi="Times New Roman" w:cs="Times New Roman"/>
                <w:sz w:val="20"/>
                <w:szCs w:val="20"/>
              </w:rPr>
            </w:pPr>
            <w:r w:rsidRPr="009705CD">
              <w:rPr>
                <w:rFonts w:ascii="Times New Roman" w:hAnsi="Times New Roman" w:cs="Times New Roman"/>
                <w:sz w:val="20"/>
                <w:szCs w:val="20"/>
              </w:rPr>
              <w:t>UF</w:t>
            </w:r>
          </w:p>
        </w:tc>
        <w:tc>
          <w:tcPr>
            <w:tcW w:w="1035" w:type="dxa"/>
            <w:shd w:val="clear" w:color="auto" w:fill="D9D9D9" w:themeFill="background1" w:themeFillShade="D9"/>
          </w:tcPr>
          <w:p w14:paraId="7C33F694" w14:textId="77777777" w:rsidR="0041053E" w:rsidRPr="009705CD" w:rsidRDefault="0041053E" w:rsidP="007909E6">
            <w:pPr>
              <w:rPr>
                <w:rFonts w:ascii="Times New Roman" w:hAnsi="Times New Roman" w:cs="Times New Roman"/>
                <w:sz w:val="20"/>
                <w:szCs w:val="20"/>
              </w:rPr>
            </w:pPr>
            <w:r w:rsidRPr="009705CD">
              <w:rPr>
                <w:rFonts w:ascii="Times New Roman" w:hAnsi="Times New Roman" w:cs="Times New Roman"/>
                <w:sz w:val="20"/>
                <w:szCs w:val="20"/>
              </w:rPr>
              <w:t>TRV</w:t>
            </w:r>
          </w:p>
        </w:tc>
      </w:tr>
      <w:tr w:rsidR="00BC2ED3" w:rsidRPr="009705CD" w14:paraId="36A15B17" w14:textId="77777777" w:rsidTr="2A0E7B58">
        <w:tc>
          <w:tcPr>
            <w:tcW w:w="988" w:type="dxa"/>
          </w:tcPr>
          <w:p w14:paraId="1B33F94B" w14:textId="77777777" w:rsidR="00BC2ED3" w:rsidRPr="009705CD" w:rsidRDefault="00BC2ED3" w:rsidP="007909E6">
            <w:pPr>
              <w:rPr>
                <w:rFonts w:ascii="Times New Roman" w:hAnsi="Times New Roman" w:cs="Times New Roman"/>
                <w:sz w:val="20"/>
                <w:szCs w:val="20"/>
              </w:rPr>
            </w:pPr>
            <w:r>
              <w:rPr>
                <w:rFonts w:ascii="Times New Roman" w:hAnsi="Times New Roman" w:cs="Times New Roman"/>
                <w:sz w:val="20"/>
                <w:szCs w:val="20"/>
              </w:rPr>
              <w:t>hair</w:t>
            </w:r>
          </w:p>
        </w:tc>
        <w:tc>
          <w:tcPr>
            <w:tcW w:w="7512" w:type="dxa"/>
          </w:tcPr>
          <w:p w14:paraId="3C4F3F6A" w14:textId="4EF44344" w:rsidR="004561A1" w:rsidRDefault="004561A1" w:rsidP="00612FA0">
            <w:pPr>
              <w:rPr>
                <w:rFonts w:ascii="Times New Roman" w:hAnsi="Times New Roman" w:cs="Times New Roman"/>
                <w:b/>
                <w:bCs w:val="0"/>
                <w:sz w:val="20"/>
                <w:szCs w:val="20"/>
              </w:rPr>
            </w:pPr>
            <w:r>
              <w:rPr>
                <w:rFonts w:ascii="Times New Roman" w:hAnsi="Times New Roman" w:cs="Times New Roman"/>
                <w:b/>
                <w:bCs w:val="0"/>
                <w:sz w:val="20"/>
                <w:szCs w:val="20"/>
              </w:rPr>
              <w:t>WHO Derived PoD</w:t>
            </w:r>
          </w:p>
          <w:p w14:paraId="2DA949C4" w14:textId="77777777" w:rsidR="00BC2ED3" w:rsidRDefault="00BC2ED3" w:rsidP="00612FA0">
            <w:pPr>
              <w:rPr>
                <w:rFonts w:ascii="Times New Roman" w:hAnsi="Times New Roman" w:cs="Times New Roman"/>
                <w:b/>
                <w:bCs w:val="0"/>
                <w:sz w:val="20"/>
                <w:szCs w:val="20"/>
              </w:rPr>
            </w:pPr>
            <w:r w:rsidRPr="008D7FC4">
              <w:rPr>
                <w:rFonts w:ascii="Times New Roman" w:hAnsi="Times New Roman" w:cs="Times New Roman"/>
                <w:b/>
                <w:sz w:val="20"/>
                <w:szCs w:val="20"/>
              </w:rPr>
              <w:t>50 µg/g THg</w:t>
            </w:r>
          </w:p>
          <w:p w14:paraId="33EF613A" w14:textId="7D4ADEB8" w:rsidR="00BC2ED3" w:rsidRPr="008D7FC4" w:rsidRDefault="00BC2ED3" w:rsidP="007909E6">
            <w:pPr>
              <w:rPr>
                <w:rFonts w:ascii="Times New Roman" w:hAnsi="Times New Roman" w:cs="Times New Roman"/>
                <w:b/>
                <w:bCs w:val="0"/>
                <w:sz w:val="20"/>
                <w:szCs w:val="20"/>
              </w:rPr>
            </w:pPr>
          </w:p>
        </w:tc>
        <w:tc>
          <w:tcPr>
            <w:tcW w:w="993" w:type="dxa"/>
            <w:vMerge w:val="restart"/>
            <w:shd w:val="clear" w:color="auto" w:fill="F2F2F2" w:themeFill="background1" w:themeFillShade="F2"/>
          </w:tcPr>
          <w:p w14:paraId="43734DC3" w14:textId="477745D3" w:rsidR="00BC2ED3" w:rsidRPr="00C6314C" w:rsidRDefault="00BC2ED3" w:rsidP="00C6314C">
            <w:pPr>
              <w:rPr>
                <w:rFonts w:ascii="Times New Roman" w:hAnsi="Times New Roman" w:cs="Times New Roman"/>
                <w:b/>
                <w:bCs w:val="0"/>
                <w:sz w:val="20"/>
                <w:szCs w:val="20"/>
              </w:rPr>
            </w:pPr>
            <w:r w:rsidRPr="00C6314C">
              <w:rPr>
                <w:rFonts w:ascii="Times New Roman" w:hAnsi="Times New Roman" w:cs="Times New Roman"/>
                <w:b/>
                <w:sz w:val="20"/>
                <w:szCs w:val="20"/>
              </w:rPr>
              <w:t>N/A</w:t>
            </w:r>
            <w:r w:rsidR="00146E1F">
              <w:rPr>
                <w:rFonts w:ascii="Times New Roman" w:hAnsi="Times New Roman" w:cs="Times New Roman"/>
                <w:b/>
                <w:sz w:val="20"/>
                <w:szCs w:val="20"/>
              </w:rPr>
              <w:t xml:space="preserve"> </w:t>
            </w:r>
          </w:p>
          <w:p w14:paraId="046B2EB1" w14:textId="4BC6F918" w:rsidR="00BC2ED3" w:rsidRPr="009705CD" w:rsidRDefault="00BC2ED3" w:rsidP="00C6314C">
            <w:pPr>
              <w:rPr>
                <w:rFonts w:ascii="Times New Roman" w:hAnsi="Times New Roman" w:cs="Times New Roman"/>
                <w:sz w:val="20"/>
                <w:szCs w:val="20"/>
              </w:rPr>
            </w:pPr>
            <w:r w:rsidRPr="2A0E7B58">
              <w:rPr>
                <w:rFonts w:ascii="Times New Roman" w:hAnsi="Times New Roman" w:cs="Times New Roman"/>
                <w:sz w:val="20"/>
                <w:szCs w:val="20"/>
              </w:rPr>
              <w:t xml:space="preserve">(WHO did not </w:t>
            </w:r>
            <w:r w:rsidR="00D256F3">
              <w:rPr>
                <w:rFonts w:ascii="Times New Roman" w:hAnsi="Times New Roman" w:cs="Times New Roman"/>
                <w:sz w:val="20"/>
                <w:szCs w:val="20"/>
              </w:rPr>
              <w:t xml:space="preserve">select a </w:t>
            </w:r>
            <w:r w:rsidR="0023768A">
              <w:rPr>
                <w:rFonts w:ascii="Times New Roman" w:hAnsi="Times New Roman" w:cs="Times New Roman"/>
                <w:sz w:val="20"/>
                <w:szCs w:val="20"/>
              </w:rPr>
              <w:t>UF for derivation of a TRV</w:t>
            </w:r>
            <w:r w:rsidRPr="2A0E7B58">
              <w:rPr>
                <w:rFonts w:ascii="Times New Roman" w:hAnsi="Times New Roman" w:cs="Times New Roman"/>
                <w:sz w:val="20"/>
                <w:szCs w:val="20"/>
              </w:rPr>
              <w:t>)</w:t>
            </w:r>
          </w:p>
        </w:tc>
        <w:tc>
          <w:tcPr>
            <w:tcW w:w="1035" w:type="dxa"/>
            <w:vMerge w:val="restart"/>
            <w:shd w:val="clear" w:color="auto" w:fill="F2F2F2" w:themeFill="background1" w:themeFillShade="F2"/>
          </w:tcPr>
          <w:p w14:paraId="6C6C03A4" w14:textId="77777777" w:rsidR="00BC2ED3" w:rsidRPr="00C6314C" w:rsidRDefault="00BC2ED3" w:rsidP="00C6314C">
            <w:pPr>
              <w:rPr>
                <w:rFonts w:ascii="Times New Roman" w:hAnsi="Times New Roman" w:cs="Times New Roman"/>
                <w:b/>
                <w:bCs w:val="0"/>
                <w:sz w:val="20"/>
                <w:szCs w:val="20"/>
              </w:rPr>
            </w:pPr>
            <w:r w:rsidRPr="00C6314C">
              <w:rPr>
                <w:rFonts w:ascii="Times New Roman" w:hAnsi="Times New Roman" w:cs="Times New Roman"/>
                <w:b/>
                <w:sz w:val="20"/>
                <w:szCs w:val="20"/>
              </w:rPr>
              <w:t>N/A</w:t>
            </w:r>
          </w:p>
          <w:p w14:paraId="1EEAF40D" w14:textId="3E1408AD" w:rsidR="00BC2ED3" w:rsidRPr="009705CD" w:rsidRDefault="00BC2ED3" w:rsidP="00C6314C">
            <w:pPr>
              <w:rPr>
                <w:rFonts w:ascii="Times New Roman" w:hAnsi="Times New Roman" w:cs="Times New Roman"/>
                <w:sz w:val="20"/>
                <w:szCs w:val="20"/>
              </w:rPr>
            </w:pPr>
            <w:r>
              <w:rPr>
                <w:rFonts w:ascii="Times New Roman" w:hAnsi="Times New Roman" w:cs="Times New Roman"/>
                <w:sz w:val="20"/>
                <w:szCs w:val="20"/>
              </w:rPr>
              <w:t>(</w:t>
            </w:r>
            <w:r w:rsidR="00C6314C">
              <w:rPr>
                <w:rFonts w:ascii="Times New Roman" w:hAnsi="Times New Roman" w:cs="Times New Roman"/>
                <w:sz w:val="20"/>
                <w:szCs w:val="20"/>
              </w:rPr>
              <w:t xml:space="preserve">WHO </w:t>
            </w:r>
            <w:r>
              <w:rPr>
                <w:rFonts w:ascii="Times New Roman" w:hAnsi="Times New Roman" w:cs="Times New Roman"/>
                <w:sz w:val="20"/>
                <w:szCs w:val="20"/>
              </w:rPr>
              <w:t>did not derive a TRV)</w:t>
            </w:r>
          </w:p>
        </w:tc>
      </w:tr>
      <w:tr w:rsidR="00BC2ED3" w:rsidRPr="009705CD" w14:paraId="637E54F5" w14:textId="77777777" w:rsidTr="2A0E7B58">
        <w:tc>
          <w:tcPr>
            <w:tcW w:w="988" w:type="dxa"/>
          </w:tcPr>
          <w:p w14:paraId="67305D07" w14:textId="77777777" w:rsidR="00BC2ED3" w:rsidRPr="009705CD" w:rsidRDefault="00BC2ED3" w:rsidP="007909E6">
            <w:pPr>
              <w:rPr>
                <w:rFonts w:ascii="Times New Roman" w:hAnsi="Times New Roman" w:cs="Times New Roman"/>
                <w:sz w:val="20"/>
                <w:szCs w:val="20"/>
              </w:rPr>
            </w:pPr>
            <w:r>
              <w:rPr>
                <w:rFonts w:ascii="Times New Roman" w:hAnsi="Times New Roman" w:cs="Times New Roman"/>
                <w:sz w:val="20"/>
                <w:szCs w:val="20"/>
              </w:rPr>
              <w:t>blood</w:t>
            </w:r>
          </w:p>
        </w:tc>
        <w:tc>
          <w:tcPr>
            <w:tcW w:w="7512" w:type="dxa"/>
          </w:tcPr>
          <w:p w14:paraId="47214EB1" w14:textId="77777777" w:rsidR="004561A1" w:rsidRDefault="004561A1" w:rsidP="004561A1">
            <w:pPr>
              <w:rPr>
                <w:rFonts w:ascii="Times New Roman" w:hAnsi="Times New Roman" w:cs="Times New Roman"/>
                <w:b/>
                <w:bCs w:val="0"/>
                <w:sz w:val="20"/>
                <w:szCs w:val="20"/>
              </w:rPr>
            </w:pPr>
            <w:r>
              <w:rPr>
                <w:rFonts w:ascii="Times New Roman" w:hAnsi="Times New Roman" w:cs="Times New Roman"/>
                <w:b/>
                <w:bCs w:val="0"/>
                <w:sz w:val="20"/>
                <w:szCs w:val="20"/>
              </w:rPr>
              <w:t>WHO Derived PoD</w:t>
            </w:r>
          </w:p>
          <w:p w14:paraId="327C6D28" w14:textId="77777777" w:rsidR="00BC2ED3" w:rsidRDefault="00BC2ED3" w:rsidP="00612FA0">
            <w:pPr>
              <w:rPr>
                <w:rFonts w:ascii="Times New Roman" w:hAnsi="Times New Roman" w:cs="Times New Roman"/>
                <w:b/>
                <w:bCs w:val="0"/>
                <w:sz w:val="20"/>
                <w:szCs w:val="20"/>
              </w:rPr>
            </w:pPr>
            <w:r w:rsidRPr="008D7FC4">
              <w:rPr>
                <w:rFonts w:ascii="Times New Roman" w:hAnsi="Times New Roman" w:cs="Times New Roman"/>
                <w:b/>
                <w:sz w:val="20"/>
                <w:szCs w:val="20"/>
              </w:rPr>
              <w:t>200 µg/L THg</w:t>
            </w:r>
          </w:p>
          <w:p w14:paraId="456DCBA1" w14:textId="7C60695F" w:rsidR="00BC2ED3" w:rsidRPr="008D7FC4" w:rsidRDefault="00BC2ED3" w:rsidP="007909E6">
            <w:pPr>
              <w:rPr>
                <w:rFonts w:ascii="Times New Roman" w:hAnsi="Times New Roman" w:cs="Times New Roman"/>
                <w:b/>
                <w:bCs w:val="0"/>
                <w:sz w:val="20"/>
                <w:szCs w:val="20"/>
              </w:rPr>
            </w:pPr>
          </w:p>
        </w:tc>
        <w:tc>
          <w:tcPr>
            <w:tcW w:w="993" w:type="dxa"/>
            <w:vMerge/>
          </w:tcPr>
          <w:p w14:paraId="2029C385" w14:textId="77777777" w:rsidR="00BC2ED3" w:rsidRPr="009705CD" w:rsidRDefault="00BC2ED3" w:rsidP="007909E6">
            <w:pPr>
              <w:rPr>
                <w:rFonts w:ascii="Times New Roman" w:hAnsi="Times New Roman" w:cs="Times New Roman"/>
                <w:sz w:val="20"/>
                <w:szCs w:val="20"/>
              </w:rPr>
            </w:pPr>
          </w:p>
        </w:tc>
        <w:tc>
          <w:tcPr>
            <w:tcW w:w="1035" w:type="dxa"/>
            <w:vMerge/>
          </w:tcPr>
          <w:p w14:paraId="7D3E8B99" w14:textId="1C650A14" w:rsidR="00BC2ED3" w:rsidRPr="009705CD" w:rsidRDefault="00BC2ED3" w:rsidP="007909E6">
            <w:pPr>
              <w:rPr>
                <w:rFonts w:ascii="Times New Roman" w:hAnsi="Times New Roman" w:cs="Times New Roman"/>
                <w:sz w:val="20"/>
                <w:szCs w:val="20"/>
              </w:rPr>
            </w:pPr>
          </w:p>
        </w:tc>
      </w:tr>
      <w:tr w:rsidR="00BC2ED3" w:rsidRPr="009705CD" w14:paraId="564F07B5" w14:textId="77777777" w:rsidTr="2A0E7B58">
        <w:tc>
          <w:tcPr>
            <w:tcW w:w="988" w:type="dxa"/>
          </w:tcPr>
          <w:p w14:paraId="449297A2" w14:textId="77777777" w:rsidR="007119C7" w:rsidRDefault="00BC2ED3" w:rsidP="007909E6">
            <w:pPr>
              <w:rPr>
                <w:rFonts w:ascii="Times New Roman" w:hAnsi="Times New Roman" w:cs="Times New Roman"/>
                <w:sz w:val="20"/>
                <w:szCs w:val="20"/>
              </w:rPr>
            </w:pPr>
            <w:r>
              <w:rPr>
                <w:rFonts w:ascii="Times New Roman" w:hAnsi="Times New Roman" w:cs="Times New Roman"/>
                <w:sz w:val="20"/>
                <w:szCs w:val="20"/>
              </w:rPr>
              <w:t>oral</w:t>
            </w:r>
            <w:r w:rsidR="007119C7">
              <w:rPr>
                <w:rFonts w:ascii="Times New Roman" w:hAnsi="Times New Roman" w:cs="Times New Roman"/>
                <w:sz w:val="20"/>
                <w:szCs w:val="20"/>
              </w:rPr>
              <w:t xml:space="preserve"> </w:t>
            </w:r>
          </w:p>
          <w:p w14:paraId="008E15E5" w14:textId="0DC9D5A8" w:rsidR="00BC2ED3" w:rsidRPr="009705CD" w:rsidRDefault="007119C7" w:rsidP="007909E6">
            <w:pPr>
              <w:rPr>
                <w:rFonts w:ascii="Times New Roman" w:hAnsi="Times New Roman" w:cs="Times New Roman"/>
                <w:sz w:val="20"/>
                <w:szCs w:val="20"/>
              </w:rPr>
            </w:pPr>
            <w:r>
              <w:rPr>
                <w:rFonts w:ascii="Times New Roman" w:hAnsi="Times New Roman" w:cs="Times New Roman"/>
                <w:sz w:val="20"/>
                <w:szCs w:val="20"/>
              </w:rPr>
              <w:t xml:space="preserve">(per </w:t>
            </w:r>
            <w:r w:rsidR="004F47D5">
              <w:rPr>
                <w:rFonts w:ascii="Times New Roman" w:hAnsi="Times New Roman" w:cs="Times New Roman"/>
                <w:sz w:val="20"/>
                <w:szCs w:val="20"/>
              </w:rPr>
              <w:t xml:space="preserve">kg </w:t>
            </w:r>
            <w:r>
              <w:rPr>
                <w:rFonts w:ascii="Times New Roman" w:hAnsi="Times New Roman" w:cs="Times New Roman"/>
                <w:sz w:val="20"/>
                <w:szCs w:val="20"/>
              </w:rPr>
              <w:t>body weight per day)</w:t>
            </w:r>
          </w:p>
        </w:tc>
        <w:tc>
          <w:tcPr>
            <w:tcW w:w="7512" w:type="dxa"/>
          </w:tcPr>
          <w:p w14:paraId="1A66A1F8" w14:textId="77777777" w:rsidR="004561A1" w:rsidRDefault="004561A1" w:rsidP="004561A1">
            <w:pPr>
              <w:rPr>
                <w:rFonts w:ascii="Times New Roman" w:hAnsi="Times New Roman" w:cs="Times New Roman"/>
                <w:b/>
                <w:bCs w:val="0"/>
                <w:sz w:val="20"/>
                <w:szCs w:val="20"/>
              </w:rPr>
            </w:pPr>
            <w:r>
              <w:rPr>
                <w:rFonts w:ascii="Times New Roman" w:hAnsi="Times New Roman" w:cs="Times New Roman"/>
                <w:b/>
                <w:bCs w:val="0"/>
                <w:sz w:val="20"/>
                <w:szCs w:val="20"/>
              </w:rPr>
              <w:t>WHO Derived PoD</w:t>
            </w:r>
          </w:p>
          <w:p w14:paraId="65EAB254" w14:textId="0BA40A2B" w:rsidR="00BC2ED3" w:rsidRPr="008D7FC4" w:rsidRDefault="004561A1" w:rsidP="007909E6">
            <w:pPr>
              <w:rPr>
                <w:rFonts w:ascii="Times New Roman" w:hAnsi="Times New Roman" w:cs="Times New Roman"/>
                <w:b/>
                <w:bCs w:val="0"/>
                <w:sz w:val="20"/>
                <w:szCs w:val="20"/>
              </w:rPr>
            </w:pPr>
            <w:r>
              <w:rPr>
                <w:rFonts w:ascii="Times New Roman" w:hAnsi="Times New Roman" w:cs="Times New Roman"/>
                <w:b/>
                <w:bCs w:val="0"/>
                <w:sz w:val="20"/>
                <w:szCs w:val="20"/>
              </w:rPr>
              <w:t xml:space="preserve">range: </w:t>
            </w:r>
            <w:r w:rsidR="00BC2ED3" w:rsidRPr="008D7FC4">
              <w:rPr>
                <w:rFonts w:ascii="Times New Roman" w:hAnsi="Times New Roman" w:cs="Times New Roman"/>
                <w:b/>
                <w:sz w:val="20"/>
                <w:szCs w:val="20"/>
              </w:rPr>
              <w:t>3 - 7 µg/kg-bw/day MeHg</w:t>
            </w:r>
          </w:p>
          <w:p w14:paraId="3302485C" w14:textId="77777777" w:rsidR="00BC2ED3" w:rsidRDefault="00BC2ED3" w:rsidP="007909E6">
            <w:pPr>
              <w:rPr>
                <w:rFonts w:ascii="Times New Roman" w:hAnsi="Times New Roman" w:cs="Times New Roman"/>
                <w:sz w:val="20"/>
                <w:szCs w:val="20"/>
              </w:rPr>
            </w:pPr>
          </w:p>
          <w:p w14:paraId="22678B0C" w14:textId="6A64A801" w:rsidR="00BC2ED3" w:rsidRPr="001C4917" w:rsidRDefault="00BC2ED3" w:rsidP="00327BD5">
            <w:pPr>
              <w:rPr>
                <w:rFonts w:ascii="Times New Roman" w:hAnsi="Times New Roman" w:cs="Times New Roman"/>
                <w:sz w:val="16"/>
                <w:szCs w:val="16"/>
              </w:rPr>
            </w:pPr>
            <w:r w:rsidRPr="001C4917">
              <w:rPr>
                <w:rFonts w:ascii="Times New Roman" w:hAnsi="Times New Roman" w:cs="Times New Roman"/>
                <w:sz w:val="16"/>
                <w:szCs w:val="16"/>
              </w:rPr>
              <w:t xml:space="preserve">(i.e. estimated from the range of blood PoD 200 – 500 µg/L THg using regression equation from Table 3 of WHO </w:t>
            </w:r>
            <w:r w:rsidRPr="001C4917">
              <w:rPr>
                <w:sz w:val="16"/>
                <w:szCs w:val="16"/>
              </w:rPr>
              <w:fldChar w:fldCharType="begin" w:fldLock="1"/>
            </w:r>
            <w:r w:rsidRPr="001C4917">
              <w:rPr>
                <w:rFonts w:ascii="Times New Roman" w:hAnsi="Times New Roman" w:cs="Times New Roman"/>
                <w:sz w:val="16"/>
                <w:szCs w:val="16"/>
              </w:rPr>
              <w:instrText>ADDIN CSL_CITATION {"citationItems":[{"id":"ITEM-1","itemData":{"author":[{"dropping-particle":"","family":"WHO","given":"","non-dropping-particle":"","parse-names":false,"suffix":""}],"id":"ITEM-1","issued":{"date-parts":[["1976"]]},"title":"Environmental Health Criteria 1: Mercury. International Programme on Chemical Safety (IPCS).","type":"report"},"suppress-author":1,"uris":["http://www.mendeley.com/documents/?uuid=85e0c1a9-9214-4aa7-bbca-013028200ae0"]}],"mendeley":{"formattedCitation":"(1976)","plainTextFormattedCitation":"(1976)","previouslyFormattedCitation":"(1976)"},"properties":{"noteIndex":0},"schema":"https://github.com/citation-style-language/schema/raw/master/csl-citation.json"}</w:instrText>
            </w:r>
            <w:r w:rsidRPr="001C4917">
              <w:rPr>
                <w:sz w:val="16"/>
                <w:szCs w:val="16"/>
              </w:rPr>
              <w:fldChar w:fldCharType="separate"/>
            </w:r>
            <w:r w:rsidRPr="001C4917">
              <w:rPr>
                <w:rFonts w:ascii="Times New Roman" w:hAnsi="Times New Roman" w:cs="Times New Roman"/>
                <w:noProof/>
                <w:sz w:val="16"/>
                <w:szCs w:val="16"/>
              </w:rPr>
              <w:t>(1976)</w:t>
            </w:r>
            <w:r w:rsidRPr="001C4917">
              <w:rPr>
                <w:sz w:val="16"/>
                <w:szCs w:val="16"/>
              </w:rPr>
              <w:fldChar w:fldCharType="end"/>
            </w:r>
            <w:r w:rsidRPr="001C4917">
              <w:rPr>
                <w:rFonts w:ascii="Times New Roman" w:hAnsi="Times New Roman" w:cs="Times New Roman"/>
                <w:sz w:val="16"/>
                <w:szCs w:val="16"/>
              </w:rPr>
              <w:t>:</w:t>
            </w:r>
          </w:p>
          <w:p w14:paraId="50AA1377" w14:textId="1918DC79" w:rsidR="00363D99" w:rsidRPr="001C4917" w:rsidRDefault="00363D99" w:rsidP="008D3D3E">
            <w:pPr>
              <w:ind w:left="720"/>
              <w:rPr>
                <w:rFonts w:ascii="Times New Roman" w:hAnsi="Times New Roman" w:cs="Times New Roman"/>
                <w:sz w:val="16"/>
                <w:szCs w:val="16"/>
              </w:rPr>
            </w:pPr>
            <w:r w:rsidRPr="001C4917">
              <w:rPr>
                <w:rFonts w:ascii="Times New Roman" w:hAnsi="Times New Roman" w:cs="Times New Roman"/>
                <w:sz w:val="16"/>
                <w:szCs w:val="16"/>
              </w:rPr>
              <w:t>(blood conc. µg/L THg) = intake (MeHg µg</w:t>
            </w:r>
            <w:r w:rsidR="00AF05E7">
              <w:rPr>
                <w:rFonts w:ascii="Times New Roman" w:hAnsi="Times New Roman" w:cs="Times New Roman"/>
                <w:sz w:val="16"/>
                <w:szCs w:val="16"/>
              </w:rPr>
              <w:t xml:space="preserve"> per </w:t>
            </w:r>
            <w:r w:rsidRPr="001C4917">
              <w:rPr>
                <w:rFonts w:ascii="Times New Roman" w:hAnsi="Times New Roman" w:cs="Times New Roman"/>
                <w:sz w:val="16"/>
                <w:szCs w:val="16"/>
              </w:rPr>
              <w:t>70</w:t>
            </w:r>
            <w:r w:rsidR="00645A3C">
              <w:rPr>
                <w:rFonts w:ascii="Times New Roman" w:hAnsi="Times New Roman" w:cs="Times New Roman"/>
                <w:sz w:val="16"/>
                <w:szCs w:val="16"/>
              </w:rPr>
              <w:t xml:space="preserve"> </w:t>
            </w:r>
            <w:r w:rsidRPr="001C4917">
              <w:rPr>
                <w:rFonts w:ascii="Times New Roman" w:hAnsi="Times New Roman" w:cs="Times New Roman"/>
                <w:sz w:val="16"/>
                <w:szCs w:val="16"/>
              </w:rPr>
              <w:t xml:space="preserve">kg person/day)*(beta) </w:t>
            </w:r>
          </w:p>
          <w:p w14:paraId="1C57777E" w14:textId="2B95C61F" w:rsidR="00363D99" w:rsidRPr="001C4917" w:rsidRDefault="00363D99" w:rsidP="005707DF">
            <w:pPr>
              <w:ind w:left="318"/>
              <w:rPr>
                <w:rFonts w:ascii="Times New Roman" w:hAnsi="Times New Roman" w:cs="Times New Roman"/>
                <w:sz w:val="16"/>
                <w:szCs w:val="16"/>
              </w:rPr>
            </w:pPr>
            <w:r w:rsidRPr="001C4917">
              <w:rPr>
                <w:rFonts w:ascii="Times New Roman" w:hAnsi="Times New Roman" w:cs="Times New Roman"/>
                <w:sz w:val="16"/>
                <w:szCs w:val="16"/>
              </w:rPr>
              <w:t>re</w:t>
            </w:r>
            <w:r w:rsidR="00DB0093" w:rsidRPr="001C4917">
              <w:rPr>
                <w:rFonts w:ascii="Times New Roman" w:hAnsi="Times New Roman" w:cs="Times New Roman"/>
                <w:sz w:val="16"/>
                <w:szCs w:val="16"/>
              </w:rPr>
              <w:t>arranged to:</w:t>
            </w:r>
          </w:p>
          <w:p w14:paraId="5D339578" w14:textId="70AFB125" w:rsidR="00BC2ED3" w:rsidRPr="001C4917" w:rsidRDefault="00BC2ED3" w:rsidP="008D3D3E">
            <w:pPr>
              <w:ind w:left="720"/>
              <w:rPr>
                <w:rFonts w:ascii="Times New Roman" w:hAnsi="Times New Roman" w:cs="Times New Roman"/>
                <w:sz w:val="16"/>
                <w:szCs w:val="16"/>
              </w:rPr>
            </w:pPr>
            <w:r w:rsidRPr="001C4917">
              <w:rPr>
                <w:rFonts w:ascii="Times New Roman" w:hAnsi="Times New Roman" w:cs="Times New Roman"/>
                <w:sz w:val="16"/>
                <w:szCs w:val="16"/>
              </w:rPr>
              <w:t xml:space="preserve">intake </w:t>
            </w:r>
            <w:r w:rsidR="0028780A" w:rsidRPr="001C4917">
              <w:rPr>
                <w:rFonts w:ascii="Times New Roman" w:hAnsi="Times New Roman" w:cs="Times New Roman"/>
                <w:sz w:val="16"/>
                <w:szCs w:val="16"/>
              </w:rPr>
              <w:t>(</w:t>
            </w:r>
            <w:r w:rsidRPr="001C4917">
              <w:rPr>
                <w:rFonts w:ascii="Times New Roman" w:hAnsi="Times New Roman" w:cs="Times New Roman"/>
                <w:sz w:val="16"/>
                <w:szCs w:val="16"/>
              </w:rPr>
              <w:t>MeHg µg/70</w:t>
            </w:r>
            <w:r w:rsidR="00645A3C">
              <w:rPr>
                <w:rFonts w:ascii="Times New Roman" w:hAnsi="Times New Roman" w:cs="Times New Roman"/>
                <w:sz w:val="16"/>
                <w:szCs w:val="16"/>
              </w:rPr>
              <w:t xml:space="preserve"> </w:t>
            </w:r>
            <w:r w:rsidRPr="001C4917">
              <w:rPr>
                <w:rFonts w:ascii="Times New Roman" w:hAnsi="Times New Roman" w:cs="Times New Roman"/>
                <w:sz w:val="16"/>
                <w:szCs w:val="16"/>
              </w:rPr>
              <w:t xml:space="preserve">kg person/day) = (blood conc. µg/L THg) </w:t>
            </w:r>
            <w:r w:rsidRPr="001C4917">
              <w:rPr>
                <w:rFonts w:ascii="Symbol" w:eastAsia="Symbol" w:hAnsi="Symbol" w:cs="Symbol"/>
                <w:sz w:val="16"/>
                <w:szCs w:val="16"/>
              </w:rPr>
              <w:t>¸</w:t>
            </w:r>
            <w:r w:rsidRPr="001C4917">
              <w:rPr>
                <w:rFonts w:ascii="Times New Roman" w:hAnsi="Times New Roman" w:cs="Times New Roman"/>
                <w:sz w:val="16"/>
                <w:szCs w:val="16"/>
              </w:rPr>
              <w:t xml:space="preserve"> (beta) </w:t>
            </w:r>
          </w:p>
          <w:p w14:paraId="2373C770" w14:textId="4207330B" w:rsidR="00BC2ED3" w:rsidRPr="001C4917" w:rsidRDefault="00BC2ED3" w:rsidP="005707DF">
            <w:pPr>
              <w:ind w:left="318"/>
              <w:rPr>
                <w:rFonts w:ascii="Times New Roman" w:hAnsi="Times New Roman" w:cs="Times New Roman"/>
                <w:sz w:val="16"/>
                <w:szCs w:val="16"/>
              </w:rPr>
            </w:pPr>
            <w:r w:rsidRPr="001C4917">
              <w:rPr>
                <w:rFonts w:ascii="Times New Roman" w:hAnsi="Times New Roman" w:cs="Times New Roman"/>
                <w:sz w:val="16"/>
                <w:szCs w:val="16"/>
              </w:rPr>
              <w:t>where beta was 1.0</w:t>
            </w:r>
            <w:r w:rsidR="00DB0093" w:rsidRPr="001C4917">
              <w:rPr>
                <w:rFonts w:ascii="Times New Roman" w:hAnsi="Times New Roman" w:cs="Times New Roman"/>
                <w:sz w:val="16"/>
                <w:szCs w:val="16"/>
              </w:rPr>
              <w:t xml:space="preserve"> (</w:t>
            </w:r>
            <w:r w:rsidRPr="001C4917">
              <w:rPr>
                <w:rFonts w:ascii="Times New Roman" w:hAnsi="Times New Roman" w:cs="Times New Roman"/>
                <w:sz w:val="16"/>
                <w:szCs w:val="16"/>
              </w:rPr>
              <w:t xml:space="preserve">the most conservative </w:t>
            </w:r>
            <w:r w:rsidR="00DB0093" w:rsidRPr="001C4917">
              <w:rPr>
                <w:rFonts w:ascii="Times New Roman" w:hAnsi="Times New Roman" w:cs="Times New Roman"/>
                <w:sz w:val="16"/>
                <w:szCs w:val="16"/>
              </w:rPr>
              <w:t>beta ranging from</w:t>
            </w:r>
            <w:r w:rsidRPr="001C4917">
              <w:rPr>
                <w:rFonts w:ascii="Times New Roman" w:hAnsi="Times New Roman" w:cs="Times New Roman"/>
                <w:sz w:val="16"/>
                <w:szCs w:val="16"/>
              </w:rPr>
              <w:t xml:space="preserve"> 0.3 – 1.0</w:t>
            </w:r>
            <w:r w:rsidR="00DB0093" w:rsidRPr="001C4917">
              <w:rPr>
                <w:rFonts w:ascii="Times New Roman" w:hAnsi="Times New Roman" w:cs="Times New Roman"/>
                <w:sz w:val="16"/>
                <w:szCs w:val="16"/>
              </w:rPr>
              <w:t>)</w:t>
            </w:r>
            <w:r w:rsidR="003F4E3B" w:rsidRPr="001C4917">
              <w:rPr>
                <w:rFonts w:ascii="Times New Roman" w:hAnsi="Times New Roman" w:cs="Times New Roman"/>
                <w:sz w:val="16"/>
                <w:szCs w:val="16"/>
              </w:rPr>
              <w:t>, and t</w:t>
            </w:r>
            <w:r w:rsidRPr="001C4917">
              <w:rPr>
                <w:rFonts w:ascii="Times New Roman" w:hAnsi="Times New Roman" w:cs="Times New Roman"/>
                <w:sz w:val="16"/>
                <w:szCs w:val="16"/>
              </w:rPr>
              <w:t>he estimated intake is then multiplied by 70</w:t>
            </w:r>
            <w:r w:rsidR="00645A3C">
              <w:rPr>
                <w:rFonts w:ascii="Times New Roman" w:hAnsi="Times New Roman" w:cs="Times New Roman"/>
                <w:sz w:val="16"/>
                <w:szCs w:val="16"/>
              </w:rPr>
              <w:t xml:space="preserve"> </w:t>
            </w:r>
            <w:r w:rsidRPr="001C4917">
              <w:rPr>
                <w:rFonts w:ascii="Times New Roman" w:hAnsi="Times New Roman" w:cs="Times New Roman"/>
                <w:sz w:val="16"/>
                <w:szCs w:val="16"/>
              </w:rPr>
              <w:t xml:space="preserve">kg-bw to </w:t>
            </w:r>
            <w:r w:rsidR="003F4E3B" w:rsidRPr="001C4917">
              <w:rPr>
                <w:rFonts w:ascii="Times New Roman" w:hAnsi="Times New Roman" w:cs="Times New Roman"/>
                <w:sz w:val="16"/>
                <w:szCs w:val="16"/>
              </w:rPr>
              <w:t>express per body weight (</w:t>
            </w:r>
            <w:r w:rsidRPr="001C4917">
              <w:rPr>
                <w:rFonts w:ascii="Times New Roman" w:hAnsi="Times New Roman" w:cs="Times New Roman"/>
                <w:sz w:val="16"/>
                <w:szCs w:val="16"/>
              </w:rPr>
              <w:t>µg/kg-bw/day MeHg</w:t>
            </w:r>
            <w:r w:rsidR="003F4E3B" w:rsidRPr="001C4917">
              <w:rPr>
                <w:rFonts w:ascii="Times New Roman" w:hAnsi="Times New Roman" w:cs="Times New Roman"/>
                <w:sz w:val="16"/>
                <w:szCs w:val="16"/>
              </w:rPr>
              <w:t>)</w:t>
            </w:r>
            <w:r w:rsidRPr="001C4917">
              <w:rPr>
                <w:rFonts w:ascii="Times New Roman" w:hAnsi="Times New Roman" w:cs="Times New Roman"/>
                <w:sz w:val="16"/>
                <w:szCs w:val="16"/>
              </w:rPr>
              <w:t>:</w:t>
            </w:r>
          </w:p>
          <w:p w14:paraId="6ED50626" w14:textId="16F7174D" w:rsidR="00BC2ED3" w:rsidRPr="001C4917" w:rsidRDefault="00BC2ED3" w:rsidP="008D3D3E">
            <w:pPr>
              <w:ind w:left="720"/>
              <w:rPr>
                <w:rFonts w:ascii="Times New Roman" w:hAnsi="Times New Roman" w:cs="Times New Roman"/>
                <w:sz w:val="16"/>
                <w:szCs w:val="16"/>
              </w:rPr>
            </w:pPr>
            <w:r w:rsidRPr="001C4917">
              <w:rPr>
                <w:rFonts w:ascii="Times New Roman" w:hAnsi="Times New Roman" w:cs="Times New Roman"/>
                <w:sz w:val="16"/>
                <w:szCs w:val="16"/>
              </w:rPr>
              <w:t xml:space="preserve">intake =  (blood conc. µg/L THg) </w:t>
            </w:r>
            <w:r w:rsidRPr="001C4917">
              <w:rPr>
                <w:rFonts w:ascii="Symbol" w:eastAsia="Symbol" w:hAnsi="Symbol" w:cs="Symbol"/>
                <w:sz w:val="16"/>
                <w:szCs w:val="16"/>
              </w:rPr>
              <w:t>¸</w:t>
            </w:r>
            <w:r w:rsidRPr="001C4917">
              <w:rPr>
                <w:rFonts w:ascii="Times New Roman" w:hAnsi="Times New Roman" w:cs="Times New Roman"/>
                <w:sz w:val="16"/>
                <w:szCs w:val="16"/>
              </w:rPr>
              <w:t xml:space="preserve"> [(beta)*(70</w:t>
            </w:r>
            <w:r w:rsidR="00645A3C">
              <w:rPr>
                <w:rFonts w:ascii="Times New Roman" w:hAnsi="Times New Roman" w:cs="Times New Roman"/>
                <w:sz w:val="16"/>
                <w:szCs w:val="16"/>
              </w:rPr>
              <w:t xml:space="preserve"> </w:t>
            </w:r>
            <w:r w:rsidRPr="001C4917">
              <w:rPr>
                <w:rFonts w:ascii="Times New Roman" w:hAnsi="Times New Roman" w:cs="Times New Roman"/>
                <w:sz w:val="16"/>
                <w:szCs w:val="16"/>
              </w:rPr>
              <w:t>kg)]</w:t>
            </w:r>
          </w:p>
          <w:p w14:paraId="670F7248" w14:textId="0EB8D5B2" w:rsidR="00BC2ED3" w:rsidRPr="001C4917" w:rsidRDefault="00BC2ED3" w:rsidP="008D3D3E">
            <w:pPr>
              <w:ind w:left="720"/>
              <w:rPr>
                <w:rFonts w:ascii="Times New Roman" w:hAnsi="Times New Roman" w:cs="Times New Roman"/>
                <w:sz w:val="16"/>
                <w:szCs w:val="16"/>
              </w:rPr>
            </w:pPr>
            <w:r w:rsidRPr="001C4917">
              <w:rPr>
                <w:rFonts w:ascii="Times New Roman" w:hAnsi="Times New Roman" w:cs="Times New Roman"/>
                <w:sz w:val="16"/>
                <w:szCs w:val="16"/>
              </w:rPr>
              <w:t xml:space="preserve">intake = (200 to 500 µg/L THg) </w:t>
            </w:r>
            <w:r w:rsidRPr="001C4917">
              <w:rPr>
                <w:rFonts w:ascii="Symbol" w:eastAsia="Symbol" w:hAnsi="Symbol" w:cs="Symbol"/>
                <w:sz w:val="16"/>
                <w:szCs w:val="16"/>
              </w:rPr>
              <w:t>¸</w:t>
            </w:r>
            <w:r w:rsidRPr="001C4917">
              <w:rPr>
                <w:rFonts w:ascii="Times New Roman" w:hAnsi="Times New Roman" w:cs="Times New Roman"/>
                <w:sz w:val="16"/>
                <w:szCs w:val="16"/>
              </w:rPr>
              <w:t xml:space="preserve"> [(1.0)*(70</w:t>
            </w:r>
            <w:r w:rsidR="00645A3C">
              <w:rPr>
                <w:rFonts w:ascii="Times New Roman" w:hAnsi="Times New Roman" w:cs="Times New Roman"/>
                <w:sz w:val="16"/>
                <w:szCs w:val="16"/>
              </w:rPr>
              <w:t xml:space="preserve"> </w:t>
            </w:r>
            <w:r w:rsidRPr="001C4917">
              <w:rPr>
                <w:rFonts w:ascii="Times New Roman" w:hAnsi="Times New Roman" w:cs="Times New Roman"/>
                <w:sz w:val="16"/>
                <w:szCs w:val="16"/>
              </w:rPr>
              <w:t>kg)]</w:t>
            </w:r>
          </w:p>
          <w:p w14:paraId="282634AC" w14:textId="22AFD1C4" w:rsidR="00BC2ED3" w:rsidRPr="001C4917" w:rsidRDefault="00BC2ED3" w:rsidP="005707DF">
            <w:pPr>
              <w:ind w:left="318"/>
              <w:rPr>
                <w:rFonts w:ascii="Times New Roman" w:hAnsi="Times New Roman" w:cs="Times New Roman"/>
                <w:sz w:val="16"/>
                <w:szCs w:val="16"/>
              </w:rPr>
            </w:pPr>
            <w:r w:rsidRPr="001C4917">
              <w:rPr>
                <w:rFonts w:ascii="Times New Roman" w:hAnsi="Times New Roman" w:cs="Times New Roman"/>
                <w:sz w:val="16"/>
                <w:szCs w:val="16"/>
              </w:rPr>
              <w:t>rearranged to:</w:t>
            </w:r>
          </w:p>
          <w:p w14:paraId="785C503A" w14:textId="63EAC735" w:rsidR="00BC2ED3" w:rsidRPr="001C4917" w:rsidRDefault="00BC2ED3" w:rsidP="008D3D3E">
            <w:pPr>
              <w:ind w:left="720"/>
              <w:rPr>
                <w:rFonts w:ascii="Times New Roman" w:hAnsi="Times New Roman" w:cs="Times New Roman"/>
                <w:sz w:val="16"/>
                <w:szCs w:val="16"/>
                <w:vertAlign w:val="superscript"/>
              </w:rPr>
            </w:pPr>
            <w:r w:rsidRPr="001C4917">
              <w:rPr>
                <w:rFonts w:ascii="Times New Roman" w:hAnsi="Times New Roman" w:cs="Times New Roman"/>
                <w:sz w:val="16"/>
                <w:szCs w:val="16"/>
              </w:rPr>
              <w:t>intake = (200 to 500 µg/L THg) * (0.0143)</w:t>
            </w:r>
            <w:r w:rsidR="00146E1F">
              <w:rPr>
                <w:rFonts w:ascii="Times New Roman" w:hAnsi="Times New Roman" w:cs="Times New Roman"/>
                <w:sz w:val="16"/>
                <w:szCs w:val="16"/>
              </w:rPr>
              <w:t xml:space="preserve"> </w:t>
            </w:r>
            <w:r w:rsidRPr="001C4917">
              <w:rPr>
                <w:rFonts w:ascii="Times New Roman" w:hAnsi="Times New Roman" w:cs="Times New Roman"/>
                <w:sz w:val="16"/>
                <w:szCs w:val="16"/>
                <w:vertAlign w:val="superscript"/>
              </w:rPr>
              <w:t>a</w:t>
            </w:r>
          </w:p>
          <w:p w14:paraId="092818CA" w14:textId="1F2BC637" w:rsidR="00BC2ED3" w:rsidRPr="001C4917" w:rsidRDefault="00BC2ED3" w:rsidP="008D3D3E">
            <w:pPr>
              <w:ind w:left="720"/>
              <w:rPr>
                <w:rFonts w:ascii="Times New Roman" w:hAnsi="Times New Roman" w:cs="Times New Roman"/>
                <w:sz w:val="16"/>
                <w:szCs w:val="16"/>
              </w:rPr>
            </w:pPr>
            <w:r w:rsidRPr="001C4917">
              <w:rPr>
                <w:rFonts w:ascii="Times New Roman" w:hAnsi="Times New Roman" w:cs="Times New Roman"/>
                <w:sz w:val="16"/>
                <w:szCs w:val="16"/>
              </w:rPr>
              <w:t>intake = 2.9 to 7.1 µg/kg-bw/day MeHg</w:t>
            </w:r>
          </w:p>
          <w:p w14:paraId="5570D21F" w14:textId="2727AAC2" w:rsidR="00BC2ED3" w:rsidRPr="009705CD" w:rsidRDefault="00BC2ED3" w:rsidP="008D3D3E">
            <w:pPr>
              <w:ind w:left="720"/>
              <w:rPr>
                <w:rFonts w:ascii="Times New Roman" w:hAnsi="Times New Roman" w:cs="Times New Roman"/>
                <w:sz w:val="20"/>
                <w:szCs w:val="20"/>
              </w:rPr>
            </w:pPr>
            <w:r w:rsidRPr="001C4917">
              <w:rPr>
                <w:rFonts w:ascii="Times New Roman" w:hAnsi="Times New Roman" w:cs="Times New Roman"/>
                <w:sz w:val="16"/>
                <w:szCs w:val="16"/>
              </w:rPr>
              <w:t>intake = 3 – 7 µg/kg-bw/day MeHg (rounded)</w:t>
            </w:r>
          </w:p>
        </w:tc>
        <w:tc>
          <w:tcPr>
            <w:tcW w:w="993" w:type="dxa"/>
            <w:vMerge/>
          </w:tcPr>
          <w:p w14:paraId="6439CE7E" w14:textId="77777777" w:rsidR="00BC2ED3" w:rsidRPr="009705CD" w:rsidRDefault="00BC2ED3" w:rsidP="007909E6">
            <w:pPr>
              <w:rPr>
                <w:rFonts w:ascii="Times New Roman" w:hAnsi="Times New Roman" w:cs="Times New Roman"/>
                <w:sz w:val="20"/>
                <w:szCs w:val="20"/>
              </w:rPr>
            </w:pPr>
          </w:p>
        </w:tc>
        <w:tc>
          <w:tcPr>
            <w:tcW w:w="1035" w:type="dxa"/>
            <w:vMerge/>
          </w:tcPr>
          <w:p w14:paraId="40DF6C6A" w14:textId="6B4054AA" w:rsidR="00BC2ED3" w:rsidRPr="009705CD" w:rsidRDefault="00BC2ED3" w:rsidP="007909E6">
            <w:pPr>
              <w:rPr>
                <w:rFonts w:ascii="Times New Roman" w:hAnsi="Times New Roman" w:cs="Times New Roman"/>
                <w:sz w:val="20"/>
                <w:szCs w:val="20"/>
              </w:rPr>
            </w:pPr>
          </w:p>
        </w:tc>
      </w:tr>
    </w:tbl>
    <w:p w14:paraId="22227936" w14:textId="37D8DE48" w:rsidR="0041053E" w:rsidRPr="00305B30" w:rsidRDefault="00DE4792" w:rsidP="005E1AAB">
      <w:pPr>
        <w:rPr>
          <w:sz w:val="16"/>
          <w:szCs w:val="16"/>
        </w:rPr>
      </w:pPr>
      <w:r w:rsidRPr="00305B30">
        <w:rPr>
          <w:sz w:val="16"/>
          <w:szCs w:val="16"/>
          <w:vertAlign w:val="superscript"/>
        </w:rPr>
        <w:t>a</w:t>
      </w:r>
      <w:r w:rsidRPr="00305B30">
        <w:rPr>
          <w:sz w:val="16"/>
          <w:szCs w:val="16"/>
        </w:rPr>
        <w:t xml:space="preserve"> (blood ug/L THg) </w:t>
      </w:r>
      <w:r w:rsidRPr="00305B30">
        <w:rPr>
          <w:rFonts w:ascii="Symbol" w:eastAsia="Symbol" w:hAnsi="Symbol" w:cs="Symbol"/>
          <w:sz w:val="16"/>
          <w:szCs w:val="16"/>
        </w:rPr>
        <w:t>¸</w:t>
      </w:r>
      <w:r w:rsidRPr="00305B30">
        <w:rPr>
          <w:sz w:val="16"/>
          <w:szCs w:val="16"/>
        </w:rPr>
        <w:t xml:space="preserve"> [(1.0)*(70kg)] = </w:t>
      </w:r>
      <w:r w:rsidR="001329B2" w:rsidRPr="00305B30">
        <w:rPr>
          <w:sz w:val="16"/>
          <w:szCs w:val="16"/>
        </w:rPr>
        <w:t xml:space="preserve">(blood ug/L) * (1/70) = (blood ug/L) * (0.0143) where </w:t>
      </w:r>
      <w:r w:rsidR="00D51DFC" w:rsidRPr="00305B30">
        <w:rPr>
          <w:sz w:val="16"/>
          <w:szCs w:val="16"/>
        </w:rPr>
        <w:t xml:space="preserve">0.0143 corresponds to a conversion factor (CF) from blood to oral intake: </w:t>
      </w:r>
      <w:r w:rsidR="00DC37F6" w:rsidRPr="00305B30">
        <w:rPr>
          <w:sz w:val="16"/>
          <w:szCs w:val="16"/>
        </w:rPr>
        <w:t xml:space="preserve">intake (ug/kg-bw/day MeHg) = </w:t>
      </w:r>
      <w:r w:rsidR="0067532F" w:rsidRPr="00305B30">
        <w:rPr>
          <w:sz w:val="16"/>
          <w:szCs w:val="16"/>
        </w:rPr>
        <w:t xml:space="preserve">(blood ug/L THg) * CF </w:t>
      </w:r>
    </w:p>
    <w:p w14:paraId="4F592D07" w14:textId="77777777" w:rsidR="00C10259" w:rsidRDefault="00C10259" w:rsidP="005E1AAB"/>
    <w:p w14:paraId="5C73C983" w14:textId="77777777" w:rsidR="00C34DFA" w:rsidRDefault="00C34DFA" w:rsidP="005E1AAB"/>
    <w:p w14:paraId="21D38FDE" w14:textId="1E23E6F5" w:rsidR="00C10259" w:rsidRDefault="008E3958" w:rsidP="002C43E2">
      <w:pPr>
        <w:pStyle w:val="Heading1"/>
        <w:keepNext/>
        <w:keepLines/>
        <w:widowControl w:val="0"/>
      </w:pPr>
      <w:r>
        <w:t xml:space="preserve">Government of </w:t>
      </w:r>
      <w:r w:rsidR="00534EB9" w:rsidRPr="00534EB9">
        <w:t xml:space="preserve">Canada </w:t>
      </w:r>
      <w:r w:rsidR="005A395D">
        <w:t>(197</w:t>
      </w:r>
      <w:r w:rsidR="00CD028D">
        <w:t>1</w:t>
      </w:r>
      <w:r w:rsidR="005A395D">
        <w:t xml:space="preserve"> – 2010)</w:t>
      </w:r>
    </w:p>
    <w:p w14:paraId="16CEE8B9" w14:textId="77777777" w:rsidR="00C10259" w:rsidRDefault="00C10259" w:rsidP="002C43E2">
      <w:pPr>
        <w:keepNext/>
        <w:keepLines/>
        <w:widowControl w:val="0"/>
      </w:pPr>
    </w:p>
    <w:p w14:paraId="131B5AF6" w14:textId="5D372429" w:rsidR="002A3184" w:rsidRPr="003A6AA5" w:rsidRDefault="00F17E83" w:rsidP="002C43E2">
      <w:pPr>
        <w:keepNext/>
        <w:keepLines/>
        <w:widowControl w:val="0"/>
      </w:pPr>
      <w:r>
        <w:t>Since the early 1970’s v</w:t>
      </w:r>
      <w:r w:rsidR="00E0635E">
        <w:t xml:space="preserve">arious programs </w:t>
      </w:r>
      <w:r w:rsidR="002A6298">
        <w:t xml:space="preserve">of Health Canada (formerly the Department of </w:t>
      </w:r>
      <w:r w:rsidR="00763AE9">
        <w:t xml:space="preserve">National </w:t>
      </w:r>
      <w:r w:rsidR="002A6298">
        <w:t>Health and Welfare</w:t>
      </w:r>
      <w:r w:rsidR="00763AE9">
        <w:t xml:space="preserve">, </w:t>
      </w:r>
      <w:r w:rsidR="002A6298">
        <w:t>or simply Health</w:t>
      </w:r>
      <w:r w:rsidR="00763AE9">
        <w:t xml:space="preserve"> </w:t>
      </w:r>
      <w:r w:rsidR="00CD51C2">
        <w:t>and</w:t>
      </w:r>
      <w:r w:rsidR="00763AE9">
        <w:t xml:space="preserve"> Welfare Canada)</w:t>
      </w:r>
      <w:r w:rsidR="008E0B94">
        <w:t xml:space="preserve"> </w:t>
      </w:r>
      <w:r w:rsidR="007F397A">
        <w:t xml:space="preserve">and other </w:t>
      </w:r>
      <w:r w:rsidR="002377DF">
        <w:t xml:space="preserve">Departments including Indigenous Services Canada </w:t>
      </w:r>
      <w:r w:rsidR="005014B7">
        <w:t xml:space="preserve">have </w:t>
      </w:r>
      <w:r w:rsidR="008E0B94">
        <w:t>consider</w:t>
      </w:r>
      <w:r w:rsidR="005014B7">
        <w:t>ed</w:t>
      </w:r>
      <w:r w:rsidR="008E0B94">
        <w:t xml:space="preserve"> the potential </w:t>
      </w:r>
      <w:r w:rsidR="005014B7">
        <w:t xml:space="preserve">health effects of </w:t>
      </w:r>
      <w:r w:rsidR="0016613D">
        <w:t>oral</w:t>
      </w:r>
      <w:r w:rsidR="002377DF">
        <w:t xml:space="preserve"> </w:t>
      </w:r>
      <w:r w:rsidR="008E0B94">
        <w:t>MeHg exposure</w:t>
      </w:r>
      <w:r w:rsidR="000373EC">
        <w:t xml:space="preserve"> </w:t>
      </w:r>
      <w:r w:rsidR="009A735F">
        <w:t>from</w:t>
      </w:r>
      <w:r w:rsidR="000373EC">
        <w:t xml:space="preserve"> </w:t>
      </w:r>
      <w:r w:rsidR="0016613D">
        <w:t xml:space="preserve">food </w:t>
      </w:r>
      <w:r w:rsidR="00EC7B5D" w:rsidRPr="003A6AA5">
        <w:t>and drinking water</w:t>
      </w:r>
      <w:r w:rsidR="005014B7" w:rsidRPr="003A6AA5">
        <w:t xml:space="preserve">. </w:t>
      </w:r>
    </w:p>
    <w:p w14:paraId="1A3B24F0" w14:textId="77777777" w:rsidR="003F7F28" w:rsidRPr="003A6AA5" w:rsidRDefault="003F7F28" w:rsidP="002C43E2">
      <w:pPr>
        <w:keepNext/>
        <w:keepLines/>
        <w:widowControl w:val="0"/>
      </w:pPr>
    </w:p>
    <w:p w14:paraId="5A7227B9" w14:textId="657F553D" w:rsidR="00381939" w:rsidRPr="003A6AA5" w:rsidRDefault="00B06079" w:rsidP="00112670">
      <w:pPr>
        <w:pStyle w:val="Heading2"/>
      </w:pPr>
      <w:r w:rsidRPr="003A6AA5">
        <w:t xml:space="preserve">Health Canada’s Bureau of Chemical Safety (BCS) (1971 – 2010) - </w:t>
      </w:r>
      <w:r w:rsidR="00E451D5" w:rsidRPr="003A6AA5">
        <w:t>retail foods</w:t>
      </w:r>
    </w:p>
    <w:p w14:paraId="2E3A6417" w14:textId="77777777" w:rsidR="00381939" w:rsidRPr="003A6AA5" w:rsidRDefault="00381939" w:rsidP="002C43E2">
      <w:pPr>
        <w:keepNext/>
        <w:keepLines/>
        <w:widowControl w:val="0"/>
      </w:pPr>
    </w:p>
    <w:p w14:paraId="3869248C" w14:textId="59FF2486" w:rsidR="00E67DB0" w:rsidRPr="003A6AA5" w:rsidRDefault="00E67DB0" w:rsidP="00E67DB0">
      <w:pPr>
        <w:ind w:left="57" w:right="57"/>
      </w:pPr>
      <w:r w:rsidRPr="003A6AA5">
        <w:t xml:space="preserve">Since the early 1970’s various programs of Health Canada have considered the potential health effects of MeHg exposure from retail food </w:t>
      </w:r>
      <w:r w:rsidRPr="003A6AA5">
        <w:fldChar w:fldCharType="begin" w:fldLock="1"/>
      </w:r>
      <w:r w:rsidR="00013F51" w:rsidRPr="003A6AA5">
        <w:instrText>ADDIN CSL_CITATION {"citationItems":[{"id":"ITEM-1","itemData":{"abstract":"A.B. Morrison, Food and Drug Directorate, Department of National Health and Welfare, Ottawa.","author":[{"dropping-particle":"","family":"Health &amp; Welfare Canada","given":"","non-dropping-particle":"","parse-names":false,"suffix":""}],"container-title":"Proceedings of the Royal Society of Canada","editor":[{"dropping-particle":"","family":"Watkins","given":"JE","non-dropping-particle":"","parse-names":false,"suffix":""}],"id":"ITEM-1","issued":{"date-parts":[["1971"]]},"page":"157-164","title":"The Canadian approach to acceptable daily intakes of mercury in foods. (A.B. Morrison, Food &amp; Drug Directorate, Department of National Health and Welfare, Ottawa). Special Symposium on Mercury in Man's Environment. Feb. 15-16, 1971.","type":"paper-conference"},"uris":["http://www.mendeley.com/documents/?uuid=cca02339-2459-496e-a1ce-f6cf62e15b7e"]}],"mendeley":{"formattedCitation":"(Health &amp; Welfare Canada, 1971)","plainTextFormattedCitation":"(Health &amp; Welfare Canada, 1971)","previouslyFormattedCitation":"(Health &amp; Welfare Canada, 1971)"},"properties":{"noteIndex":0},"schema":"https://github.com/citation-style-language/schema/raw/master/csl-citation.json"}</w:instrText>
      </w:r>
      <w:r w:rsidRPr="003A6AA5">
        <w:fldChar w:fldCharType="separate"/>
      </w:r>
      <w:r w:rsidR="00995C1F" w:rsidRPr="003A6AA5">
        <w:rPr>
          <w:noProof/>
        </w:rPr>
        <w:t>(Health &amp; Welfare Canada, 1971)</w:t>
      </w:r>
      <w:r w:rsidRPr="003A6AA5">
        <w:fldChar w:fldCharType="end"/>
      </w:r>
      <w:r w:rsidRPr="003A6AA5">
        <w:t xml:space="preserve">, </w:t>
      </w:r>
      <w:r w:rsidR="00EE3640" w:rsidRPr="003A6AA5">
        <w:t xml:space="preserve">the </w:t>
      </w:r>
      <w:r w:rsidRPr="003A6AA5">
        <w:t xml:space="preserve">consumption of fish in Indigenous populations </w:t>
      </w:r>
      <w:r w:rsidRPr="003A6AA5">
        <w:fldChar w:fldCharType="begin" w:fldLock="1"/>
      </w:r>
      <w:r w:rsidRPr="003A6AA5">
        <w:instrText>ADDIN CSL_CITATION {"citationItems":[{"id":"ITEM-1","itemData":{"author":[{"dropping-particle":"","family":"Health &amp; Welfare Canada","given":"","non-dropping-particle":"","parse-names":false,"suffix":""}],"id":"ITEM-1","issued":{"date-parts":[["1979"]]},"publisher-place":"Ottawa, Canada","title":"Methylmercury in Canada: exposure of Indian and Inuit residents to methylmercury in the Canadian environment. A review of the Medical Services Branch, Department of National Health &amp; Welfare, Mercury Program Findings to December 31, 1978.","type":"report"},"uris":["http://www.mendeley.com/documents/?uuid=95b48140-44e9-4950-a8de-41e9bc331510"]}],"mendeley":{"formattedCitation":"(Health &amp; Welfare Canada, 1979)","plainTextFormattedCitation":"(Health &amp; Welfare Canada, 1979)","previouslyFormattedCitation":"(Health &amp; Welfare Canada, 1979)"},"properties":{"noteIndex":0},"schema":"https://github.com/citation-style-language/schema/raw/master/csl-citation.json"}</w:instrText>
      </w:r>
      <w:r w:rsidRPr="003A6AA5">
        <w:fldChar w:fldCharType="separate"/>
      </w:r>
      <w:r w:rsidRPr="003A6AA5">
        <w:rPr>
          <w:noProof/>
        </w:rPr>
        <w:t>(Health &amp; Welfare Canada, 1979)</w:t>
      </w:r>
      <w:r w:rsidRPr="003A6AA5">
        <w:fldChar w:fldCharType="end"/>
      </w:r>
      <w:r w:rsidRPr="003A6AA5">
        <w:t xml:space="preserve">, and drinking water </w:t>
      </w:r>
      <w:r w:rsidRPr="003A6AA5">
        <w:fldChar w:fldCharType="begin" w:fldLock="1"/>
      </w:r>
      <w:r w:rsidRPr="003A6AA5">
        <w:instrText>ADDIN CSL_CITATION {"citationItems":[{"id":"ITEM-1","itemData":{"author":[{"dropping-particle":"","family":"Health Canada","given":"","non-dropping-particle":"","parse-names":false,"suffix":""}],"id":"ITEM-1","issued":{"date-parts":[["1986"]]},"title":"Mercury. Guidelines for Canadian Drinking Water Quality: Guideline Technical Document - Mercury. April 1979 (Updated September 1986)","type":"report"},"uris":["http://www.mendeley.com/documents/?uuid=de1691c1-a363-4d27-8ae2-f05067e20da8"]}],"mendeley":{"formattedCitation":"(Health Canada, 1986)","plainTextFormattedCitation":"(Health Canada, 1986)","previouslyFormattedCitation":"(Health Canada, 1986)"},"properties":{"noteIndex":0},"schema":"https://github.com/citation-style-language/schema/raw/master/csl-citation.json"}</w:instrText>
      </w:r>
      <w:r w:rsidRPr="003A6AA5">
        <w:fldChar w:fldCharType="separate"/>
      </w:r>
      <w:r w:rsidRPr="003A6AA5">
        <w:rPr>
          <w:noProof/>
        </w:rPr>
        <w:t>(Health Canada, 1986)</w:t>
      </w:r>
      <w:r w:rsidRPr="003A6AA5">
        <w:fldChar w:fldCharType="end"/>
      </w:r>
      <w:r w:rsidRPr="003A6AA5">
        <w:t>. This section and Table A3 describe</w:t>
      </w:r>
      <w:r w:rsidR="005D059A" w:rsidRPr="003A6AA5">
        <w:t>s</w:t>
      </w:r>
      <w:r w:rsidRPr="003A6AA5">
        <w:t xml:space="preserve"> the historical basis of Health Canada’s BCS P</w:t>
      </w:r>
      <w:r w:rsidR="00946C9E" w:rsidRPr="003A6AA5">
        <w:t>o</w:t>
      </w:r>
      <w:r w:rsidRPr="003A6AA5">
        <w:t>Ds and TRVs for adult neurotoxicity used for risk assessment of MeHg exposure from retail food.</w:t>
      </w:r>
    </w:p>
    <w:p w14:paraId="34ABD67E" w14:textId="77777777" w:rsidR="00E67DB0" w:rsidRPr="003A6AA5" w:rsidRDefault="00E67DB0" w:rsidP="00E67DB0">
      <w:pPr>
        <w:ind w:left="57" w:right="57"/>
        <w:rPr>
          <w:bCs/>
        </w:rPr>
      </w:pPr>
    </w:p>
    <w:p w14:paraId="5CEF9A13" w14:textId="131AECAD" w:rsidR="0059274B" w:rsidRDefault="00E67DB0" w:rsidP="007F2203">
      <w:pPr>
        <w:ind w:left="57" w:right="57"/>
      </w:pPr>
      <w:r w:rsidRPr="003A6AA5">
        <w:t xml:space="preserve">As early as 1971, conference presentations by the Food Advisory Bureau of the Food and Drug Directorate of Health </w:t>
      </w:r>
      <w:r w:rsidR="00CD51C2" w:rsidRPr="003A6AA5">
        <w:t>and</w:t>
      </w:r>
      <w:r w:rsidRPr="003A6AA5">
        <w:t xml:space="preserve"> Welfare Canada (now Health Canada’s BCS), provided a review of the draft findings </w:t>
      </w:r>
      <w:r w:rsidR="5EA68973" w:rsidRPr="003A6AA5">
        <w:t xml:space="preserve">of </w:t>
      </w:r>
      <w:r w:rsidRPr="003A6AA5">
        <w:t xml:space="preserve">the SEG </w:t>
      </w:r>
      <w:r w:rsidRPr="003A6AA5">
        <w:fldChar w:fldCharType="begin" w:fldLock="1"/>
      </w:r>
      <w:r w:rsidRPr="003A6AA5">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Pr="003A6AA5">
        <w:fldChar w:fldCharType="separate"/>
      </w:r>
      <w:r w:rsidRPr="003A6AA5">
        <w:rPr>
          <w:noProof/>
        </w:rPr>
        <w:t>(1971)</w:t>
      </w:r>
      <w:r w:rsidRPr="003A6AA5">
        <w:fldChar w:fldCharType="end"/>
      </w:r>
      <w:r w:rsidR="00E82BE9" w:rsidRPr="003A6AA5">
        <w:t>,</w:t>
      </w:r>
      <w:r w:rsidRPr="003A6AA5">
        <w:t xml:space="preserve"> including a blood P</w:t>
      </w:r>
      <w:r w:rsidR="00946C9E" w:rsidRPr="003A6AA5">
        <w:t>o</w:t>
      </w:r>
      <w:r w:rsidRPr="003A6AA5">
        <w:t>D of 200 µg/L THg reported as the approximate lower level of neurologic</w:t>
      </w:r>
      <w:r w:rsidR="00A75BC8" w:rsidRPr="003A6AA5">
        <w:t>al</w:t>
      </w:r>
      <w:r w:rsidRPr="003A6AA5">
        <w:t xml:space="preserve"> effects in adult poisoning cases from Japan </w:t>
      </w:r>
      <w:r w:rsidRPr="003A6AA5">
        <w:fldChar w:fldCharType="begin" w:fldLock="1"/>
      </w:r>
      <w:r w:rsidR="00013F51" w:rsidRPr="003A6AA5">
        <w:instrText>ADDIN CSL_CITATION {"citationItems":[{"id":"ITEM-1","itemData":{"abstract":"A.B. Morrison, Food and Drug Directorate, Department of National Health and Welfare, Ottawa.","author":[{"dropping-particle":"","family":"Health &amp; Welfare Canada","given":"","non-dropping-particle":"","parse-names":false,"suffix":""}],"container-title":"Proceedings of the Royal Society of Canada","editor":[{"dropping-particle":"","family":"Watkins","given":"JE","non-dropping-particle":"","parse-names":false,"suffix":""}],"id":"ITEM-1","issued":{"date-parts":[["1971"]]},"page":"157-164","title":"The Canadian approach to acceptable daily intakes of mercury in foods. (A.B. Morrison, Food &amp; Drug Directorate, Department of National Health and Welfare, Ottawa). Special Symposium on Mercury in Man's Environment. Feb. 15-16, 1971.","type":"paper-conference"},"uris":["http://www.mendeley.com/documents/?uuid=cca02339-2459-496e-a1ce-f6cf62e15b7e"]}],"mendeley":{"formattedCitation":"(Health &amp; Welfare Canada, 1971)","plainTextFormattedCitation":"(Health &amp; Welfare Canada, 1971)","previouslyFormattedCitation":"(Health &amp; Welfare Canada, 1971)"},"properties":{"noteIndex":0},"schema":"https://github.com/citation-style-language/schema/raw/master/csl-citation.json"}</w:instrText>
      </w:r>
      <w:r w:rsidRPr="003A6AA5">
        <w:fldChar w:fldCharType="separate"/>
      </w:r>
      <w:r w:rsidR="00995C1F" w:rsidRPr="003A6AA5">
        <w:rPr>
          <w:noProof/>
        </w:rPr>
        <w:t>(Health &amp; Welfare Canada, 1971)</w:t>
      </w:r>
      <w:r w:rsidRPr="003A6AA5">
        <w:fldChar w:fldCharType="end"/>
      </w:r>
      <w:r w:rsidRPr="003A6AA5">
        <w:t>. While a TRV was not derived, th</w:t>
      </w:r>
      <w:r w:rsidR="00055B25" w:rsidRPr="003A6AA5">
        <w:t>e</w:t>
      </w:r>
      <w:r w:rsidRPr="003A6AA5">
        <w:t>s</w:t>
      </w:r>
      <w:r w:rsidR="00055B25" w:rsidRPr="003A6AA5">
        <w:t>e</w:t>
      </w:r>
      <w:r w:rsidRPr="003A6AA5">
        <w:t xml:space="preserve"> data w</w:t>
      </w:r>
      <w:r w:rsidR="00055B25" w:rsidRPr="003A6AA5">
        <w:t>ere</w:t>
      </w:r>
      <w:r w:rsidRPr="003A6AA5">
        <w:t xml:space="preserve"> used collectively to support continued application of the Canadian temporary “administrative tolerance” or guideline for mercury in retail fish of 0.5 ppm wet weight </w:t>
      </w:r>
      <w:r w:rsidRPr="003A6AA5">
        <w:fldChar w:fldCharType="begin" w:fldLock="1"/>
      </w:r>
      <w:r w:rsidR="00013F51" w:rsidRPr="003A6AA5">
        <w:instrText>ADDIN CSL_CITATION {"citationItems":[{"id":"ITEM-1","itemData":{"abstract":"A.B. Morrison, Food and Drug Directorate, Department of National Health and Welfare, Ottawa.","author":[{"dropping-particle":"","family":"Health &amp; Welfare Canada","given":"","non-dropping-particle":"","parse-names":false,"suffix":""}],"container-title":"Proceedings of the Royal Society of Canada","editor":[{"dropping-particle":"","family":"Watkins","given":"JE","non-dropping-particle":"","parse-names":false,"suffix":""}],"id":"ITEM-1","issued":{"date-parts":[["1971"]]},"page":"157-164","title":"The Canadian approach to acceptable daily intakes of mercury in foods. (A.B. Morrison, Food &amp; Drug Directorate, Department of National Health and Welfare, Ottawa). Special Symposium on Mercury in Man's Environment. Feb. 15-16, 1971.","type":"paper-conference"},"uris":["http://www.mendeley.com/documents/?uuid=cca02339-2459-496e-a1ce-f6cf62e15b7e"]}],"mendeley":{"formattedCitation":"(Health &amp; Welfare Canada, 1971)","plainTextFormattedCitation":"(Health &amp; Welfare Canada, 1971)","previouslyFormattedCitation":"(Health &amp; Welfare Canada, 1971)"},"properties":{"noteIndex":0},"schema":"https://github.com/citation-style-language/schema/raw/master/csl-citation.json"}</w:instrText>
      </w:r>
      <w:r w:rsidRPr="003A6AA5">
        <w:fldChar w:fldCharType="separate"/>
      </w:r>
      <w:r w:rsidR="00995C1F" w:rsidRPr="003A6AA5">
        <w:rPr>
          <w:noProof/>
        </w:rPr>
        <w:t>(Health &amp; Welfare Canada, 1971)</w:t>
      </w:r>
      <w:r w:rsidRPr="003A6AA5">
        <w:fldChar w:fldCharType="end"/>
      </w:r>
      <w:r w:rsidRPr="003A6AA5">
        <w:t>. In 1972, JECFA’s hazard opinion on MeHg recommended a daily P</w:t>
      </w:r>
      <w:r w:rsidR="00946C9E" w:rsidRPr="003A6AA5">
        <w:t>o</w:t>
      </w:r>
      <w:r w:rsidRPr="003A6AA5">
        <w:t xml:space="preserve">D of 300 µg/day MeHg and derived rounded weekly pTWI’s of 200 µg/week MeHg or 3.3 µg/kg bw/week MeHg for a 60 kg adult </w:t>
      </w:r>
      <w:r w:rsidRPr="003A6AA5">
        <w:fldChar w:fldCharType="begin" w:fldLock="1"/>
      </w:r>
      <w:r w:rsidRPr="003A6AA5">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Pr="003A6AA5">
        <w:fldChar w:fldCharType="separate"/>
      </w:r>
      <w:r w:rsidRPr="003A6AA5">
        <w:rPr>
          <w:noProof/>
        </w:rPr>
        <w:t>(FAO/WHO, 1972)</w:t>
      </w:r>
      <w:r w:rsidRPr="003A6AA5">
        <w:fldChar w:fldCharType="end"/>
      </w:r>
      <w:r w:rsidR="00041B8D" w:rsidRPr="003A6AA5">
        <w:t xml:space="preserve"> and </w:t>
      </w:r>
      <w:r w:rsidR="00462702" w:rsidRPr="003A6AA5">
        <w:t xml:space="preserve">later that year </w:t>
      </w:r>
      <w:r w:rsidR="00833B40" w:rsidRPr="003A6AA5">
        <w:t xml:space="preserve">Health and Welfare Canada started </w:t>
      </w:r>
      <w:r w:rsidR="003F509A" w:rsidRPr="003A6AA5">
        <w:t xml:space="preserve">applying </w:t>
      </w:r>
      <w:r w:rsidR="00041B8D" w:rsidRPr="003A6AA5">
        <w:t>th</w:t>
      </w:r>
      <w:r w:rsidR="00462702" w:rsidRPr="003A6AA5">
        <w:t xml:space="preserve">e JECFA </w:t>
      </w:r>
      <w:r w:rsidR="00041B8D" w:rsidRPr="003A6AA5">
        <w:t xml:space="preserve">opinion </w:t>
      </w:r>
      <w:r w:rsidR="003F509A" w:rsidRPr="003A6AA5">
        <w:t xml:space="preserve">for assessing risks </w:t>
      </w:r>
      <w:r w:rsidRPr="003A6AA5">
        <w:t xml:space="preserve">from MeHg exposure in retail fish </w:t>
      </w:r>
      <w:r w:rsidRPr="003A6AA5">
        <w:fldChar w:fldCharType="begin" w:fldLock="1"/>
      </w:r>
      <w:r w:rsidRPr="003A6AA5">
        <w:instrText>ADDIN CSL_CITATION {"citationItems":[{"id":"ITEM-1","itemData":{"author":[{"dropping-particle":"","family":"Health &amp; Welfare Canada","given":"","non-dropping-particle":"","parse-names":false,"suffix":""}],"id":"ITEM-1","issued":{"date-parts":[["1972"]]},"title":"Mercury in Fish. Letter from the Food Advisory Bureau, Health Protection Branch, Department of National Health &amp; Welfare to the Wellington-Dufferin-Guelph Health Unit, Guelph, Ontario . Dec. 1, 1972. (unpublished)","type":"report"},"uris":["http://www.mendeley.com/documents/?uuid=ce4fd219-c91a-4ef0-9498-feb57b7eecb1"]}],"mendeley":{"formattedCitation":"(Health &amp; Welfare Canada, 1972)","plainTextFormattedCitation":"(Health &amp; Welfare Canada, 1972)","previouslyFormattedCitation":"(Health &amp; Welfare Canada, 1972)"},"properties":{"noteIndex":0},"schema":"https://github.com/citation-style-language/schema/raw/master/csl-citation.json"}</w:instrText>
      </w:r>
      <w:r w:rsidRPr="003A6AA5">
        <w:fldChar w:fldCharType="separate"/>
      </w:r>
      <w:r w:rsidRPr="003A6AA5">
        <w:rPr>
          <w:noProof/>
        </w:rPr>
        <w:t>(Health &amp; Welfare Canada, 1972)</w:t>
      </w:r>
      <w:r w:rsidRPr="003A6AA5">
        <w:fldChar w:fldCharType="end"/>
      </w:r>
      <w:r w:rsidRPr="003A6AA5">
        <w:t>. Health Canada’s BCS has continued to employ the JECFA TRV</w:t>
      </w:r>
      <w:r w:rsidR="00E07BC7" w:rsidRPr="003A6AA5">
        <w:t>,</w:t>
      </w:r>
      <w:r w:rsidRPr="003A6AA5">
        <w:t xml:space="preserve"> but </w:t>
      </w:r>
      <w:r w:rsidR="00ED2398" w:rsidRPr="003A6AA5">
        <w:t xml:space="preserve">it </w:t>
      </w:r>
      <w:r w:rsidRPr="003A6AA5">
        <w:t xml:space="preserve">was expressed </w:t>
      </w:r>
      <w:r w:rsidR="00E07BC7" w:rsidRPr="003A6AA5">
        <w:t xml:space="preserve">in later assessments </w:t>
      </w:r>
      <w:r w:rsidRPr="003A6AA5">
        <w:t>as an oral TDI of 0.47 µg/kg bw/day MeHg for a 60</w:t>
      </w:r>
      <w:r w:rsidR="00E07BC7" w:rsidRPr="003A6AA5">
        <w:t xml:space="preserve"> </w:t>
      </w:r>
      <w:r w:rsidRPr="003A6AA5">
        <w:t>kg adult (</w:t>
      </w:r>
      <w:r w:rsidR="009A6700" w:rsidRPr="003A6AA5">
        <w:t>Table S1.4 below)</w:t>
      </w:r>
      <w:r w:rsidRPr="003A6AA5">
        <w:t xml:space="preserve"> </w:t>
      </w:r>
      <w:r w:rsidRPr="003A6AA5">
        <w:fldChar w:fldCharType="begin" w:fldLock="1"/>
      </w:r>
      <w:r w:rsidR="005E60F4" w:rsidRPr="003A6AA5">
        <w:instrText>ADDIN CSL_CITATION {"citationItems":[{"id":"ITEM-1","itemData":{"author":[{"dropping-particle":"","family":"Feeley","given":"MM","non-dropping-particle":"","parse-names":false,"suffix":""},{"dropping-particle":"","family":"Lo","given":"M-T","non-dropping-particle":"","parse-names":false,"suffix":""}],"container-title":"Conference Proceedings. Mercury in Eastern Canada and the Northeast States. New Brunswick, September 21-23, 1998. Ecological Monitoring and Assessment Network (EMAN), Environment Canada-Atlantic Region, Health Canada and New Brunswick Dept. of the Env't.","editor":[{"dropping-particle":"","family":"Pilgrim","given":"W","non-dropping-particle":"","parse-names":false,"suffix":""},{"dropping-particle":"","family":"Burgess","given":"N","non-dropping-particle":"","parse-names":false,"suffix":""},{"dropping-particle":"","family":"Giguere","given":"M-F","non-dropping-particle":"","parse-names":false,"suffix":""}],"id":"ITEM-1","issued":{"date-parts":[["1998"]]},"page":"32","title":"Risk Assessment for Mercury in Health Canada - Development of the Provisional Tolerable Daily Intake (pTDI) Value","type":"paper-conference"},"uris":["http://www.mendeley.com/documents/?uuid=36df9ea2-eec5-4f40-b5e2-2c0f66a32b15"]},{"id":"ITEM-2","itemData":{"author":[{"dropping-particle":"","family":"Health Canada","given":"","non-dropping-particle":"","parse-names":false,"suffix":""}],"id":"ITEM-2","issued":{"date-parts":[["2007"]]},"number-of-pages":"76","title":"Human Health Risk Assessment of Mercury in Fish and Health Benefits of Fish Consumption. (Bureau of Chemical Safety, Food Directorate, Health Products and Food Branch)","type":"report"},"uris":["http://www.mendeley.com/documents/?uuid=166e86a5-647a-4b9c-b6a7-5ba3b350708d"]},{"id":"ITEM-3","itemData":{"DOI":"10.1007/bf03405557","ISSN":"00084263","PMID":"20364534","abstract":"Exposure to methylmercury (MeHg) from fish and marine mammal consumption continues to present a public health concern. To date, developmental neurotoxicity is the most sensitive health outcome, forming the basis for health-risk assessments and the derivation of biomonitoring guidance values. This article summarizes existing Health Canada MeHg blood guidance values for general population and expands them to include a harmonized provisional interim blood guidance value of 8 μg/L based on the existing provisional Tolerable Daily Intake for children, pregnant women and women of childbearing age. Associated public health actions, according to age, sex, and level of exposure are recommended. © 2010 Canadian Public Health Association.","author":[{"dropping-particle":"","family":"Legrand","given":"Melissa","non-dropping-particle":"","parse-names":false,"suffix":""},{"dropping-particle":"","family":"Feeley","given":"Mark","non-dropping-particle":"","parse-names":false,"suffix":""},{"dropping-particle":"","family":"Tikhonov","given":"Constantine","non-dropping-particle":"","parse-names":false,"suffix":""},{"dropping-particle":"","family":"Schoen","given":"Deborah","non-dropping-particle":"","parse-names":false,"suffix":""},{"dropping-particle":"","family":"Li-Muller","given":"Angela","non-dropping-particle":"","parse-names":false,"suffix":""}],"container-title":"Canadian Journal of Public Health","id":"ITEM-3","issue":"1","issued":{"date-parts":[["2010"]]},"page":"28-31","title":"Methylmercury blood guidance values for Canada","type":"article-journal","volume":"101"},"uris":["http://www.mendeley.com/documents/?uuid=1e91e621-8f56-4267-b116-93f6661aa561"]}],"mendeley":{"formattedCitation":"(Feeley &amp; Lo, 1998; Health Canada, 2007; Legrand et al., 2010)","plainTextFormattedCitation":"(Feeley &amp; Lo, 1998; Health Canada, 2007; Legrand et al., 2010)","previouslyFormattedCitation":"(Feeley &amp; Lo, 1998; Health Canada, 2007; Legrand et al., 2010)"},"properties":{"noteIndex":0},"schema":"https://github.com/citation-style-language/schema/raw/master/csl-citation.json"}</w:instrText>
      </w:r>
      <w:r w:rsidRPr="003A6AA5">
        <w:fldChar w:fldCharType="separate"/>
      </w:r>
      <w:r w:rsidR="00514792" w:rsidRPr="003A6AA5">
        <w:rPr>
          <w:noProof/>
        </w:rPr>
        <w:t>(Feeley &amp; Lo, 1998; Health Canada, 2007; Legrand et al., 2010)</w:t>
      </w:r>
      <w:r w:rsidRPr="003A6AA5">
        <w:fldChar w:fldCharType="end"/>
      </w:r>
      <w:r w:rsidRPr="003A6AA5">
        <w:t xml:space="preserve">. </w:t>
      </w:r>
      <w:r w:rsidR="006343B5" w:rsidRPr="003A6AA5">
        <w:t>T</w:t>
      </w:r>
      <w:r w:rsidRPr="003A6AA5">
        <w:t xml:space="preserve">he reported JECFA weekly pTWIs of 200 µg/week or 3.3 µg/kg bw/week MeHg were </w:t>
      </w:r>
      <w:r w:rsidR="009A6700" w:rsidRPr="003A6AA5">
        <w:t>likely</w:t>
      </w:r>
      <w:r w:rsidRPr="003A6AA5">
        <w:t xml:space="preserve"> rounded down from </w:t>
      </w:r>
      <w:r w:rsidR="00E07BC7" w:rsidRPr="003A6AA5">
        <w:t xml:space="preserve">the </w:t>
      </w:r>
      <w:r w:rsidRPr="003A6AA5">
        <w:t xml:space="preserve">more precise pTWIs of 210 µg/week and 3.5 µg/kg bw/week MeHg </w:t>
      </w:r>
      <w:r w:rsidR="00665228" w:rsidRPr="003A6AA5">
        <w:t>and t</w:t>
      </w:r>
      <w:r w:rsidRPr="003A6AA5">
        <w:t xml:space="preserve">herefore, an </w:t>
      </w:r>
      <w:r w:rsidR="00946C9E" w:rsidRPr="003A6AA5">
        <w:t xml:space="preserve">alternative </w:t>
      </w:r>
      <w:r w:rsidRPr="003A6AA5">
        <w:t>oral T</w:t>
      </w:r>
      <w:r w:rsidR="00946C9E" w:rsidRPr="003A6AA5">
        <w:t>RV</w:t>
      </w:r>
      <w:r w:rsidRPr="003A6AA5">
        <w:t xml:space="preserve"> of 0.5 µg/kg bw/day MeHg can be derived </w:t>
      </w:r>
      <w:r w:rsidR="00E05B93" w:rsidRPr="003A6AA5">
        <w:t>using</w:t>
      </w:r>
      <w:r w:rsidRPr="003A6AA5">
        <w:t xml:space="preserve"> JECFA’s unrounded P</w:t>
      </w:r>
      <w:r w:rsidR="00946C9E" w:rsidRPr="003A6AA5">
        <w:t>o</w:t>
      </w:r>
      <w:r w:rsidRPr="003A6AA5">
        <w:t xml:space="preserve">Ds or TWIs </w:t>
      </w:r>
      <w:r w:rsidR="008A7CC5" w:rsidRPr="003A6AA5">
        <w:t xml:space="preserve">(see footnote </w:t>
      </w:r>
      <w:r w:rsidR="0052416E" w:rsidRPr="003A6AA5">
        <w:t>b</w:t>
      </w:r>
      <w:r w:rsidR="001317F5" w:rsidRPr="003A6AA5">
        <w:t xml:space="preserve"> </w:t>
      </w:r>
      <w:r w:rsidR="008A7CC5" w:rsidRPr="003A6AA5">
        <w:t>in Table S1.4 below</w:t>
      </w:r>
      <w:r w:rsidR="001317F5" w:rsidRPr="003A6AA5">
        <w:t>)</w:t>
      </w:r>
      <w:r w:rsidR="002514D8" w:rsidRPr="003A6AA5">
        <w:t>.</w:t>
      </w:r>
      <w:r w:rsidR="002514D8" w:rsidRPr="00BD5015">
        <w:t xml:space="preserve"> </w:t>
      </w:r>
    </w:p>
    <w:p w14:paraId="2CD222A7" w14:textId="77777777" w:rsidR="0059274B" w:rsidRDefault="0059274B" w:rsidP="002C43E2">
      <w:pPr>
        <w:keepNext/>
        <w:keepLines/>
        <w:widowControl w:val="0"/>
      </w:pPr>
    </w:p>
    <w:p w14:paraId="5AAD3D40" w14:textId="597DDBB1" w:rsidR="00457C3D" w:rsidRPr="002F7639" w:rsidRDefault="00457C3D" w:rsidP="00202930">
      <w:pPr>
        <w:keepNext/>
        <w:keepLines/>
        <w:widowControl w:val="0"/>
        <w:rPr>
          <w:b/>
          <w:bCs/>
        </w:rPr>
      </w:pPr>
      <w:r w:rsidRPr="002F7639">
        <w:rPr>
          <w:b/>
        </w:rPr>
        <w:t>Table S1.</w:t>
      </w:r>
      <w:r>
        <w:rPr>
          <w:b/>
        </w:rPr>
        <w:t xml:space="preserve">4 PoDs and TRVs </w:t>
      </w:r>
      <w:r w:rsidR="00A93FC9">
        <w:rPr>
          <w:b/>
        </w:rPr>
        <w:t xml:space="preserve">for </w:t>
      </w:r>
      <w:r>
        <w:rPr>
          <w:b/>
        </w:rPr>
        <w:t>adult</w:t>
      </w:r>
      <w:r w:rsidR="00A93FC9">
        <w:rPr>
          <w:b/>
        </w:rPr>
        <w:t xml:space="preserve"> neurotoxicity</w:t>
      </w:r>
      <w:r>
        <w:rPr>
          <w:b/>
        </w:rPr>
        <w:t xml:space="preserve"> </w:t>
      </w:r>
      <w:r w:rsidR="00AC6B9D">
        <w:rPr>
          <w:b/>
        </w:rPr>
        <w:t xml:space="preserve">of MeHg </w:t>
      </w:r>
      <w:r w:rsidR="006151B0">
        <w:rPr>
          <w:b/>
        </w:rPr>
        <w:t xml:space="preserve">used by </w:t>
      </w:r>
      <w:r>
        <w:rPr>
          <w:b/>
        </w:rPr>
        <w:t>Health Canada</w:t>
      </w:r>
      <w:r w:rsidR="006151B0">
        <w:rPr>
          <w:b/>
        </w:rPr>
        <w:t xml:space="preserve">’s BCS for risk assessment </w:t>
      </w:r>
      <w:r w:rsidR="003D279E">
        <w:rPr>
          <w:b/>
        </w:rPr>
        <w:t>of</w:t>
      </w:r>
      <w:r w:rsidR="006151B0">
        <w:rPr>
          <w:b/>
        </w:rPr>
        <w:t xml:space="preserve"> </w:t>
      </w:r>
      <w:r w:rsidR="000676C3">
        <w:rPr>
          <w:b/>
        </w:rPr>
        <w:t xml:space="preserve">MeHg in </w:t>
      </w:r>
      <w:r w:rsidR="006151B0">
        <w:rPr>
          <w:b/>
        </w:rPr>
        <w:t>retail food</w:t>
      </w:r>
    </w:p>
    <w:tbl>
      <w:tblPr>
        <w:tblStyle w:val="TableGrid"/>
        <w:tblW w:w="0" w:type="auto"/>
        <w:tblLook w:val="04A0" w:firstRow="1" w:lastRow="0" w:firstColumn="1" w:lastColumn="0" w:noHBand="0" w:noVBand="1"/>
      </w:tblPr>
      <w:tblGrid>
        <w:gridCol w:w="1129"/>
        <w:gridCol w:w="3969"/>
        <w:gridCol w:w="1560"/>
        <w:gridCol w:w="3870"/>
      </w:tblGrid>
      <w:tr w:rsidR="000F52F9" w:rsidRPr="003A6AA5" w14:paraId="32FDD985" w14:textId="77777777" w:rsidTr="00F31134">
        <w:tc>
          <w:tcPr>
            <w:tcW w:w="1129" w:type="dxa"/>
            <w:shd w:val="clear" w:color="auto" w:fill="D9D9D9" w:themeFill="background1" w:themeFillShade="D9"/>
          </w:tcPr>
          <w:p w14:paraId="603007CD" w14:textId="77777777" w:rsidR="000F52F9" w:rsidRPr="003A6AA5" w:rsidRDefault="000F52F9"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Exposure Metric</w:t>
            </w:r>
          </w:p>
        </w:tc>
        <w:tc>
          <w:tcPr>
            <w:tcW w:w="3969" w:type="dxa"/>
            <w:shd w:val="clear" w:color="auto" w:fill="D9D9D9" w:themeFill="background1" w:themeFillShade="D9"/>
          </w:tcPr>
          <w:p w14:paraId="2DA82182" w14:textId="094393F8" w:rsidR="000F52F9" w:rsidRPr="003A6AA5" w:rsidRDefault="000F52F9"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P</w:t>
            </w:r>
            <w:r w:rsidR="00DC49A1" w:rsidRPr="003A6AA5">
              <w:rPr>
                <w:rFonts w:ascii="Times New Roman" w:hAnsi="Times New Roman" w:cs="Times New Roman"/>
                <w:sz w:val="16"/>
                <w:szCs w:val="16"/>
              </w:rPr>
              <w:t>o</w:t>
            </w:r>
            <w:r w:rsidRPr="003A6AA5">
              <w:rPr>
                <w:rFonts w:ascii="Times New Roman" w:hAnsi="Times New Roman" w:cs="Times New Roman"/>
                <w:sz w:val="16"/>
                <w:szCs w:val="16"/>
              </w:rPr>
              <w:t>D</w:t>
            </w:r>
          </w:p>
        </w:tc>
        <w:tc>
          <w:tcPr>
            <w:tcW w:w="1560" w:type="dxa"/>
            <w:shd w:val="clear" w:color="auto" w:fill="D9D9D9" w:themeFill="background1" w:themeFillShade="D9"/>
          </w:tcPr>
          <w:p w14:paraId="261A507E" w14:textId="77777777" w:rsidR="000F52F9" w:rsidRPr="003A6AA5" w:rsidRDefault="000F52F9"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UF</w:t>
            </w:r>
          </w:p>
        </w:tc>
        <w:tc>
          <w:tcPr>
            <w:tcW w:w="3870" w:type="dxa"/>
            <w:shd w:val="clear" w:color="auto" w:fill="D9D9D9" w:themeFill="background1" w:themeFillShade="D9"/>
          </w:tcPr>
          <w:p w14:paraId="5A8ECA90" w14:textId="305AFEE7" w:rsidR="000F52F9" w:rsidRPr="003A6AA5" w:rsidRDefault="000F52F9"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TRV</w:t>
            </w:r>
          </w:p>
        </w:tc>
      </w:tr>
      <w:tr w:rsidR="000F52F9" w:rsidRPr="003A6AA5" w14:paraId="74E852A5" w14:textId="77777777" w:rsidTr="00F31134">
        <w:tc>
          <w:tcPr>
            <w:tcW w:w="1129" w:type="dxa"/>
          </w:tcPr>
          <w:p w14:paraId="4F8E89AC" w14:textId="77777777" w:rsidR="000F52F9" w:rsidRPr="003A6AA5" w:rsidRDefault="000F52F9"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hair</w:t>
            </w:r>
          </w:p>
        </w:tc>
        <w:tc>
          <w:tcPr>
            <w:tcW w:w="3969" w:type="dxa"/>
          </w:tcPr>
          <w:p w14:paraId="59FC411E" w14:textId="5295743A" w:rsidR="00877FFE" w:rsidRPr="003A6AA5" w:rsidRDefault="00877FFE" w:rsidP="00202930">
            <w:pPr>
              <w:keepNext/>
              <w:keepLines/>
              <w:widowControl w:val="0"/>
              <w:ind w:left="57" w:right="57"/>
              <w:rPr>
                <w:rFonts w:ascii="Times New Roman" w:hAnsi="Times New Roman" w:cs="Times New Roman"/>
                <w:b/>
                <w:color w:val="0000FF"/>
                <w:sz w:val="20"/>
                <w:szCs w:val="20"/>
              </w:rPr>
            </w:pPr>
            <w:r w:rsidRPr="003A6AA5">
              <w:rPr>
                <w:rFonts w:ascii="Times New Roman" w:hAnsi="Times New Roman" w:cs="Times New Roman"/>
                <w:b/>
                <w:color w:val="0000FF"/>
                <w:sz w:val="20"/>
                <w:szCs w:val="20"/>
              </w:rPr>
              <w:t xml:space="preserve">Author Inferred PoD </w:t>
            </w:r>
          </w:p>
          <w:p w14:paraId="2A447AD4" w14:textId="77777777" w:rsidR="000F52F9" w:rsidRPr="003A6AA5" w:rsidRDefault="000F52F9" w:rsidP="00202930">
            <w:pPr>
              <w:keepNext/>
              <w:keepLines/>
              <w:widowControl w:val="0"/>
              <w:ind w:left="57" w:right="57"/>
              <w:rPr>
                <w:rFonts w:ascii="Times New Roman" w:hAnsi="Times New Roman" w:cs="Times New Roman"/>
                <w:b/>
                <w:sz w:val="20"/>
                <w:szCs w:val="20"/>
              </w:rPr>
            </w:pPr>
            <w:r w:rsidRPr="003A6AA5">
              <w:rPr>
                <w:rFonts w:ascii="Times New Roman" w:hAnsi="Times New Roman" w:cs="Times New Roman"/>
                <w:b/>
                <w:sz w:val="20"/>
                <w:szCs w:val="20"/>
              </w:rPr>
              <w:t xml:space="preserve">50 µg/g THg </w:t>
            </w:r>
          </w:p>
          <w:p w14:paraId="2028EDB6" w14:textId="3FD47FC3" w:rsidR="000F52F9" w:rsidRPr="003A6AA5" w:rsidRDefault="00EC6D77"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This hair P</w:t>
            </w:r>
            <w:r w:rsidR="00BF0B94" w:rsidRPr="003A6AA5">
              <w:rPr>
                <w:rFonts w:ascii="Times New Roman" w:hAnsi="Times New Roman" w:cs="Times New Roman"/>
                <w:sz w:val="16"/>
                <w:szCs w:val="16"/>
              </w:rPr>
              <w:t>o</w:t>
            </w:r>
            <w:r w:rsidR="000F52F9" w:rsidRPr="003A6AA5">
              <w:rPr>
                <w:rFonts w:ascii="Times New Roman" w:hAnsi="Times New Roman" w:cs="Times New Roman"/>
                <w:sz w:val="16"/>
                <w:szCs w:val="16"/>
              </w:rPr>
              <w:t xml:space="preserve">D was selected by the SEG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(1971)</w:t>
            </w:r>
            <w:r w:rsidR="000F52F9" w:rsidRPr="003A6AA5">
              <w:rPr>
                <w:sz w:val="16"/>
                <w:szCs w:val="16"/>
              </w:rPr>
              <w:fldChar w:fldCharType="end"/>
            </w:r>
            <w:r w:rsidR="000F52F9" w:rsidRPr="003A6AA5">
              <w:rPr>
                <w:rFonts w:ascii="Times New Roman" w:hAnsi="Times New Roman" w:cs="Times New Roman"/>
                <w:sz w:val="16"/>
                <w:szCs w:val="16"/>
              </w:rPr>
              <w:t xml:space="preserve"> and JECFA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suppress-author":1,"uris":["http://www.mendeley.com/documents/?uuid=e1036a63-44c8-43dd-bdf0-70cbc176eb58"]}],"mendeley":{"formattedCitation":"(1972)","plainTextFormattedCitation":"(1972)","previouslyFormattedCitation":"(1972)"},"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(1972)</w:t>
            </w:r>
            <w:r w:rsidR="000F52F9" w:rsidRPr="003A6AA5">
              <w:rPr>
                <w:sz w:val="16"/>
                <w:szCs w:val="16"/>
              </w:rPr>
              <w:fldChar w:fldCharType="end"/>
            </w:r>
            <w:r w:rsidR="000F52F9" w:rsidRPr="003A6AA5">
              <w:rPr>
                <w:rFonts w:ascii="Times New Roman" w:hAnsi="Times New Roman" w:cs="Times New Roman"/>
                <w:sz w:val="16"/>
                <w:szCs w:val="16"/>
              </w:rPr>
              <w:t xml:space="preserve">. Since the JECFA opinion was adopted in 1972 by Health Canada’s former Food Advisory Bureau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{"citationItems":[{"id":"ITEM-1","itemData":{"author":[{"dropping-particle":"","family":"Health &amp; Welfare Canada","given":"","non-dropping-particle":"","parse-names":false,"suffix":""}],"id":"ITEM-1","issued":{"date-parts":[["1972"]]},"title":"Mercury in Fish. Letter from the Food Advisory Bureau, Health Protection Branch, Department of National Health &amp; Welfare to the Wellington-Dufferin-Guelph Health Unit, Guelph, Ontario . Dec. 1, 1972. (unpublished)","type":"report"},"uris":["http://www.mendeley.com/documents/?uuid=ce4fd219-c91a-4ef0-9498-feb57b7eecb1"]}],"mendeley":{"formattedCitation":"(Health &amp; Welfare Canada, 1972)","plainTextFormattedCitation":"(Health &amp; Welfare Canada, 1972)","previouslyFormattedCitation":"(Health &amp; Welfare Canada, 1972)"},"properties":{"noteIndex":0},"schema":"https://github.com/citation-style-language/schema/raw/master/csl-citation.json"}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(Health &amp; Welfare Canada, 1972)</w:t>
            </w:r>
            <w:r w:rsidR="000F52F9" w:rsidRPr="003A6AA5">
              <w:rPr>
                <w:sz w:val="16"/>
                <w:szCs w:val="16"/>
              </w:rPr>
              <w:fldChar w:fldCharType="end"/>
            </w:r>
            <w:r w:rsidR="000F52F9" w:rsidRPr="003A6AA5">
              <w:rPr>
                <w:rFonts w:ascii="Times New Roman" w:hAnsi="Times New Roman" w:cs="Times New Roman"/>
                <w:sz w:val="16"/>
                <w:szCs w:val="16"/>
              </w:rPr>
              <w:t xml:space="preserve">, it is inferred that the hair </w:t>
            </w:r>
            <w:r w:rsidR="004500A1" w:rsidRPr="003A6AA5">
              <w:rPr>
                <w:rFonts w:ascii="Times New Roman" w:hAnsi="Times New Roman" w:cs="Times New Roman"/>
                <w:sz w:val="16"/>
                <w:szCs w:val="16"/>
              </w:rPr>
              <w:t>PoD</w:t>
            </w:r>
            <w:r w:rsidR="000F52F9" w:rsidRPr="003A6AA5">
              <w:rPr>
                <w:rFonts w:ascii="Times New Roman" w:hAnsi="Times New Roman" w:cs="Times New Roman"/>
                <w:sz w:val="16"/>
                <w:szCs w:val="16"/>
              </w:rPr>
              <w:t xml:space="preserve"> of 50 µg/g THg was also adopted and has continued to be used by Health Canada’s BCS. Coincidentally the same hair </w:t>
            </w:r>
            <w:r w:rsidR="004500A1" w:rsidRPr="003A6AA5">
              <w:rPr>
                <w:rFonts w:ascii="Times New Roman" w:hAnsi="Times New Roman" w:cs="Times New Roman"/>
                <w:sz w:val="16"/>
                <w:szCs w:val="16"/>
              </w:rPr>
              <w:t>PoD</w:t>
            </w:r>
            <w:r w:rsidR="000F52F9" w:rsidRPr="003A6AA5">
              <w:rPr>
                <w:rFonts w:ascii="Times New Roman" w:hAnsi="Times New Roman" w:cs="Times New Roman"/>
                <w:sz w:val="16"/>
                <w:szCs w:val="16"/>
              </w:rPr>
              <w:t xml:space="preserve"> can be converted from the blood P</w:t>
            </w:r>
            <w:r w:rsidR="00BF0B94" w:rsidRPr="003A6AA5">
              <w:rPr>
                <w:rFonts w:ascii="Times New Roman" w:hAnsi="Times New Roman" w:cs="Times New Roman"/>
                <w:sz w:val="16"/>
                <w:szCs w:val="16"/>
              </w:rPr>
              <w:t>o</w:t>
            </w:r>
            <w:r w:rsidR="000F52F9" w:rsidRPr="003A6AA5">
              <w:rPr>
                <w:rFonts w:ascii="Times New Roman" w:hAnsi="Times New Roman" w:cs="Times New Roman"/>
                <w:sz w:val="16"/>
                <w:szCs w:val="16"/>
              </w:rPr>
              <w:t xml:space="preserve">D of 200 µg/L THg (below) using the hair:blood ratio of 0.250:1 as recommended for all populations in Legrand et al.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{"citationItems":[{"id":"ITEM-1","itemData":{"DOI":"10.1007/bf03405557","ISSN":"00084263","PMID":"20364534","abstract":"Exposure to methylmercury (MeHg) from fish and marine mammal consumption continues to present a public health concern. To date, developmental neurotoxicity is the most sensitive health outcome, forming the basis for health-risk assessments and the derivation of biomonitoring guidance values. This article summarizes existing Health Canada MeHg blood guidance values for general population and expands them to include a harmonized provisional interim blood guidance value of 8 μg/L based on the existing provisional Tolerable Daily Intake for children, pregnant women and women of childbearing age. Associated public health actions, according to age, sex, and level of exposure are recommended. © 2010 Canadian Public Health Association.","author":[{"dropping-particle":"","family":"Legrand","given":"Melissa","non-dropping-particle":"","parse-names":false,"suffix":""},{"dropping-particle":"","family":"Feeley","given":"Mark","non-dropping-particle":"","parse-names":false,"suffix":""},{"dropping-particle":"","family":"Tikhonov","given":"Constantine","non-dropping-particle":"","parse-names":false,"suffix":""},{"dropping-particle":"","family":"Schoen","given":"Deborah","non-dropping-particle":"","parse-names":false,"suffix":""},{"dropping-particle":"","family":"Li-Muller","given":"Angela","non-dropping-particle":"","parse-names":false,"suffix":""}],"container-title":"Canadian Journal of Public Health","id":"ITEM-1","issue":"1","issued":{"date-parts":[["2010"]]},"page":"28-31","title":"Methylmercury blood guidance values for Canada","type":"article-journal","volume":"101"},"suppress-author":1,"uris":["http://www.mendeley.com/documents/?uuid=1e91e621-8f56-4267-b116-93f6661aa561"]}],"mendeley":{"formattedCitation":"(2010)","plainTextFormattedCitation":"(2010)","previouslyFormattedCitation":"(2010)"},"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(2010)</w:t>
            </w:r>
            <w:r w:rsidR="000F52F9" w:rsidRPr="003A6AA5">
              <w:rPr>
                <w:sz w:val="16"/>
                <w:szCs w:val="16"/>
              </w:rPr>
              <w:fldChar w:fldCharType="end"/>
            </w:r>
            <w:r w:rsidR="000F52F9" w:rsidRPr="003A6AA5">
              <w:rPr>
                <w:rFonts w:ascii="Times New Roman" w:hAnsi="Times New Roman" w:cs="Times New Roman"/>
                <w:sz w:val="16"/>
                <w:szCs w:val="16"/>
              </w:rPr>
              <w:t>.</w:t>
            </w:r>
            <w:r w:rsidRPr="003A6AA5">
              <w:rPr>
                <w:rFonts w:ascii="Times New Roman" w:hAnsi="Times New Roman" w:cs="Times New Roman"/>
                <w:sz w:val="16"/>
                <w:szCs w:val="16"/>
              </w:rPr>
              <w:t>)</w:t>
            </w:r>
          </w:p>
          <w:p w14:paraId="5D3418A9" w14:textId="77777777" w:rsidR="000F52F9" w:rsidRPr="003A6AA5" w:rsidRDefault="000F52F9" w:rsidP="00202930">
            <w:pPr>
              <w:keepNext/>
              <w:keepLines/>
              <w:widowControl w:val="0"/>
              <w:ind w:left="57" w:right="57"/>
              <w:rPr>
                <w:rFonts w:ascii="Times New Roman" w:hAnsi="Times New Roman" w:cs="Times New Roman"/>
                <w:sz w:val="16"/>
                <w:szCs w:val="16"/>
              </w:rPr>
            </w:pPr>
          </w:p>
        </w:tc>
        <w:tc>
          <w:tcPr>
            <w:tcW w:w="1560" w:type="dxa"/>
            <w:vMerge w:val="restart"/>
          </w:tcPr>
          <w:p w14:paraId="32A2F86B" w14:textId="77777777" w:rsidR="000F52F9" w:rsidRPr="003A6AA5" w:rsidRDefault="000F52F9" w:rsidP="00202930">
            <w:pPr>
              <w:keepNext/>
              <w:keepLines/>
              <w:widowControl w:val="0"/>
              <w:ind w:left="57" w:right="57"/>
              <w:rPr>
                <w:rFonts w:ascii="Times New Roman" w:hAnsi="Times New Roman" w:cs="Times New Roman"/>
                <w:b/>
                <w:bCs w:val="0"/>
                <w:sz w:val="16"/>
                <w:szCs w:val="16"/>
              </w:rPr>
            </w:pPr>
            <w:r w:rsidRPr="003A6AA5">
              <w:rPr>
                <w:rFonts w:ascii="Times New Roman" w:hAnsi="Times New Roman" w:cs="Times New Roman"/>
                <w:b/>
                <w:sz w:val="16"/>
                <w:szCs w:val="16"/>
              </w:rPr>
              <w:t>10</w:t>
            </w:r>
          </w:p>
          <w:p w14:paraId="056A0212" w14:textId="77777777" w:rsidR="002F412C" w:rsidRPr="003A6AA5" w:rsidRDefault="002F412C" w:rsidP="00202930">
            <w:pPr>
              <w:keepNext/>
              <w:keepLines/>
              <w:widowControl w:val="0"/>
              <w:ind w:left="57" w:right="57"/>
              <w:rPr>
                <w:rFonts w:ascii="Times New Roman" w:hAnsi="Times New Roman" w:cs="Times New Roman"/>
                <w:sz w:val="16"/>
                <w:szCs w:val="16"/>
              </w:rPr>
            </w:pPr>
          </w:p>
          <w:p w14:paraId="3120DF5D" w14:textId="343236B8" w:rsidR="000F52F9" w:rsidRPr="003A6AA5" w:rsidRDefault="000F52F9"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 xml:space="preserve">The “safety factor” of 10 recommended by the SEG </w:t>
            </w:r>
            <w:r w:rsidRPr="003A6AA5">
              <w:rPr>
                <w:sz w:val="16"/>
                <w:szCs w:val="16"/>
              </w:rPr>
              <w:fldChar w:fldCharType="begin" w:fldLock="1"/>
            </w:r>
            <w:r w:rsidRPr="003A6AA5">
              <w:rPr>
                <w:rFonts w:ascii="Times New Roman" w:hAnsi="Times New Roman" w:cs="Times New Roman"/>
                <w:sz w:val="16"/>
                <w:szCs w:val="16"/>
              </w:rP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Pr="003A6AA5">
              <w:rPr>
                <w:sz w:val="16"/>
                <w:szCs w:val="16"/>
              </w:rPr>
              <w:fldChar w:fldCharType="separate"/>
            </w:r>
            <w:r w:rsidRPr="003A6AA5">
              <w:rPr>
                <w:rFonts w:ascii="Times New Roman" w:hAnsi="Times New Roman" w:cs="Times New Roman"/>
                <w:noProof/>
                <w:sz w:val="16"/>
                <w:szCs w:val="16"/>
              </w:rPr>
              <w:t>(1971)</w:t>
            </w:r>
            <w:r w:rsidRPr="003A6AA5">
              <w:rPr>
                <w:sz w:val="16"/>
                <w:szCs w:val="16"/>
              </w:rPr>
              <w:fldChar w:fldCharType="end"/>
            </w:r>
            <w:r w:rsidRPr="003A6AA5">
              <w:rPr>
                <w:rFonts w:ascii="Times New Roman" w:hAnsi="Times New Roman" w:cs="Times New Roman"/>
                <w:sz w:val="16"/>
                <w:szCs w:val="16"/>
              </w:rPr>
              <w:t xml:space="preserve"> was used by JECFA in derivation of their pTWI </w:t>
            </w:r>
            <w:r w:rsidRPr="003A6AA5">
              <w:rPr>
                <w:sz w:val="16"/>
                <w:szCs w:val="16"/>
              </w:rPr>
              <w:fldChar w:fldCharType="begin" w:fldLock="1"/>
            </w:r>
            <w:r w:rsidRPr="003A6AA5">
              <w:rPr>
                <w:rFonts w:ascii="Times New Roman" w:hAnsi="Times New Roman" w:cs="Times New Roman"/>
                <w:sz w:val="16"/>
                <w:szCs w:val="16"/>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which","type":"report"},"uris":["http://www.mendeley.com/documents/?uuid=e1036a63-44c8-43dd-bdf0-70cbc176eb58"]}],"mendeley":{"formattedCitation":"(FAO/WHO, 1972)","plainTextFormattedCitation":"(FAO/WHO, 1972)","previouslyFormattedCitation":"(FAO/WHO, 1972)"},"properties":{"noteIndex":0},"schema":"https://github.com/citation-style-language/schema/raw/master/csl-citation.json"}</w:instrText>
            </w:r>
            <w:r w:rsidRPr="003A6AA5">
              <w:rPr>
                <w:sz w:val="16"/>
                <w:szCs w:val="16"/>
              </w:rPr>
              <w:fldChar w:fldCharType="separate"/>
            </w:r>
            <w:r w:rsidRPr="003A6AA5">
              <w:rPr>
                <w:rFonts w:ascii="Times New Roman" w:hAnsi="Times New Roman" w:cs="Times New Roman"/>
                <w:noProof/>
                <w:sz w:val="16"/>
                <w:szCs w:val="16"/>
              </w:rPr>
              <w:t>(FAO/WHO, 1972)</w:t>
            </w:r>
            <w:r w:rsidRPr="003A6AA5">
              <w:rPr>
                <w:sz w:val="16"/>
                <w:szCs w:val="16"/>
              </w:rPr>
              <w:fldChar w:fldCharType="end"/>
            </w:r>
            <w:r w:rsidRPr="003A6AA5">
              <w:rPr>
                <w:rFonts w:ascii="Times New Roman" w:hAnsi="Times New Roman" w:cs="Times New Roman"/>
                <w:sz w:val="16"/>
                <w:szCs w:val="16"/>
              </w:rPr>
              <w:t xml:space="preserve">. Since the JECFA opinion was adopted in 1972 by Health Canada’s former Food Advisory Bureau </w:t>
            </w:r>
            <w:r w:rsidRPr="003A6AA5">
              <w:rPr>
                <w:sz w:val="16"/>
                <w:szCs w:val="16"/>
              </w:rPr>
              <w:fldChar w:fldCharType="begin" w:fldLock="1"/>
            </w:r>
            <w:r w:rsidRPr="003A6AA5">
              <w:rPr>
                <w:rFonts w:ascii="Times New Roman" w:hAnsi="Times New Roman" w:cs="Times New Roman"/>
                <w:sz w:val="16"/>
                <w:szCs w:val="16"/>
              </w:rPr>
              <w:instrText>ADDIN CSL_CITATION {"citationItems":[{"id":"ITEM-1","itemData":{"author":[{"dropping-particle":"","family":"Health &amp; Welfare Canada","given":"","non-dropping-particle":"","parse-names":false,"suffix":""}],"id":"ITEM-1","issued":{"date-parts":[["1972"]]},"title":"Mercury in Fish. Letter from the Food Advisory Bureau, Health Protection Branch, Department of National Health &amp; Welfare to the Wellington-Dufferin-Guelph Health Unit, Guelph, Ontario . Dec. 1, 1972. (unpublished)","type":"report"},"uris":["http://www.mendeley.com/documents/?uuid=ce4fd219-c91a-4ef0-9498-feb57b7eecb1"]}],"mendeley":{"formattedCitation":"(Health &amp; Welfare Canada, 1972)","plainTextFormattedCitation":"(Health &amp; Welfare Canada, 1972)","previouslyFormattedCitation":"(Health &amp; Welfare Canada, 1972)"},"properties":{"noteIndex":0},"schema":"https://github.com/citation-style-language/schema/raw/master/csl-citation.json"}</w:instrText>
            </w:r>
            <w:r w:rsidRPr="003A6AA5">
              <w:rPr>
                <w:sz w:val="16"/>
                <w:szCs w:val="16"/>
              </w:rPr>
              <w:fldChar w:fldCharType="separate"/>
            </w:r>
            <w:r w:rsidRPr="003A6AA5">
              <w:rPr>
                <w:rFonts w:ascii="Times New Roman" w:hAnsi="Times New Roman" w:cs="Times New Roman"/>
                <w:noProof/>
                <w:sz w:val="16"/>
                <w:szCs w:val="16"/>
              </w:rPr>
              <w:t>(Health &amp; Welfare Canada, 1972)</w:t>
            </w:r>
            <w:r w:rsidRPr="003A6AA5">
              <w:rPr>
                <w:sz w:val="16"/>
                <w:szCs w:val="16"/>
              </w:rPr>
              <w:fldChar w:fldCharType="end"/>
            </w:r>
            <w:r w:rsidRPr="003A6AA5">
              <w:rPr>
                <w:rFonts w:ascii="Times New Roman" w:hAnsi="Times New Roman" w:cs="Times New Roman"/>
                <w:sz w:val="16"/>
                <w:szCs w:val="16"/>
              </w:rPr>
              <w:t xml:space="preserve">, </w:t>
            </w:r>
            <w:r w:rsidR="00CD4881" w:rsidRPr="003A6AA5">
              <w:rPr>
                <w:rFonts w:ascii="Times New Roman" w:hAnsi="Times New Roman" w:cs="Times New Roman"/>
                <w:sz w:val="16"/>
                <w:szCs w:val="16"/>
              </w:rPr>
              <w:t>and UF10</w:t>
            </w:r>
            <w:r w:rsidR="00D159F5" w:rsidRPr="003A6AA5">
              <w:rPr>
                <w:rFonts w:ascii="Times New Roman" w:hAnsi="Times New Roman" w:cs="Times New Roman"/>
                <w:sz w:val="16"/>
                <w:szCs w:val="16"/>
              </w:rPr>
              <w:t xml:space="preserve"> </w:t>
            </w:r>
            <w:r w:rsidR="00CD4881" w:rsidRPr="003A6AA5">
              <w:rPr>
                <w:rFonts w:ascii="Times New Roman" w:hAnsi="Times New Roman" w:cs="Times New Roman"/>
                <w:sz w:val="16"/>
                <w:szCs w:val="16"/>
              </w:rPr>
              <w:t xml:space="preserve">was reported in Feeley &amp; Lo </w:t>
            </w:r>
            <w:r w:rsidR="00CD4881" w:rsidRPr="003A6AA5">
              <w:rPr>
                <w:sz w:val="16"/>
                <w:szCs w:val="16"/>
              </w:rPr>
              <w:fldChar w:fldCharType="begin" w:fldLock="1"/>
            </w:r>
            <w:r w:rsidR="00CD4881" w:rsidRPr="003A6AA5">
              <w:rPr>
                <w:rFonts w:ascii="Times New Roman" w:hAnsi="Times New Roman" w:cs="Times New Roman"/>
                <w:sz w:val="16"/>
                <w:szCs w:val="16"/>
              </w:rPr>
              <w:instrText>ADDIN CSL_CITATION {"citationItems":[{"id":"ITEM-1","itemData":{"author":[{"dropping-particle":"","family":"Feeley","given":"MM","non-dropping-particle":"","parse-names":false,"suffix":""},{"dropping-particle":"","family":"Lo","given":"M-T","non-dropping-particle":"","parse-names":false,"suffix":""}],"container-title":"Conference Proceedings. Mercury in Eastern Canada and the Northeast States. New Brunswick, September 21-23, 1998. Ecological Monitoring and Assessment Network (EMAN), Environment Canada-Atlantic Region, Health Canada and New Brunswick Dept. of the Env't.","editor":[{"dropping-particle":"","family":"Pilgrim","given":"W","non-dropping-particle":"","parse-names":false,"suffix":""},{"dropping-particle":"","family":"Burgess","given":"N","non-dropping-particle":"","parse-names":false,"suffix":""},{"dropping-particle":"","family":"Giguere","given":"M-F","non-dropping-particle":"","parse-names":false,"suffix":""}],"id":"ITEM-1","issued":{"date-parts":[["1998"]]},"page":"32","title":"Risk Assessment for Mercury in Health Canada - Development of the Provisional Tolerable Daily Intake (pTDI) Value","type":"paper-conference"},"suppress-author":1,"uris":["http://www.mendeley.com/documents/?uuid=36df9ea2-eec5-4f40-b5e2-2c0f66a32b15"]}],"mendeley":{"formattedCitation":"(1998)","plainTextFormattedCitation":"(1998)","previouslyFormattedCitation":"(1998)"},"properties":{"noteIndex":0},"schema":"https://github.com/citation-style-language/schema/raw/master/csl-citation.json"}</w:instrText>
            </w:r>
            <w:r w:rsidR="00CD4881" w:rsidRPr="003A6AA5">
              <w:rPr>
                <w:sz w:val="16"/>
                <w:szCs w:val="16"/>
              </w:rPr>
              <w:fldChar w:fldCharType="separate"/>
            </w:r>
            <w:r w:rsidR="00CD4881" w:rsidRPr="003A6AA5">
              <w:rPr>
                <w:rFonts w:ascii="Times New Roman" w:hAnsi="Times New Roman" w:cs="Times New Roman"/>
                <w:noProof/>
                <w:sz w:val="16"/>
                <w:szCs w:val="16"/>
              </w:rPr>
              <w:t>(1998)</w:t>
            </w:r>
            <w:r w:rsidR="00CD4881" w:rsidRPr="003A6AA5">
              <w:rPr>
                <w:sz w:val="16"/>
                <w:szCs w:val="16"/>
              </w:rPr>
              <w:fldChar w:fldCharType="end"/>
            </w:r>
            <w:r w:rsidR="00D159F5" w:rsidRPr="003A6AA5">
              <w:rPr>
                <w:sz w:val="16"/>
                <w:szCs w:val="16"/>
              </w:rPr>
              <w:t>,</w:t>
            </w:r>
            <w:r w:rsidRPr="003A6AA5">
              <w:rPr>
                <w:rFonts w:ascii="Times New Roman" w:hAnsi="Times New Roman" w:cs="Times New Roman"/>
                <w:sz w:val="16"/>
                <w:szCs w:val="16"/>
              </w:rPr>
              <w:t xml:space="preserve"> it is inferred that the UF10 was also adopted by Health Canada’s BCS. </w:t>
            </w:r>
          </w:p>
        </w:tc>
        <w:tc>
          <w:tcPr>
            <w:tcW w:w="3870" w:type="dxa"/>
          </w:tcPr>
          <w:p w14:paraId="5525B8FE" w14:textId="4629B186" w:rsidR="000F52F9" w:rsidRPr="003A6AA5" w:rsidRDefault="00877FFE" w:rsidP="00202930">
            <w:pPr>
              <w:keepNext/>
              <w:keepLines/>
              <w:widowControl w:val="0"/>
              <w:ind w:left="57" w:right="57"/>
              <w:rPr>
                <w:rFonts w:ascii="Times New Roman" w:hAnsi="Times New Roman" w:cs="Times New Roman"/>
                <w:b/>
                <w:color w:val="0000FF"/>
                <w:sz w:val="20"/>
                <w:szCs w:val="20"/>
              </w:rPr>
            </w:pPr>
            <w:r w:rsidRPr="003A6AA5">
              <w:rPr>
                <w:rFonts w:ascii="Times New Roman" w:hAnsi="Times New Roman" w:cs="Times New Roman"/>
                <w:b/>
                <w:color w:val="0000FF"/>
                <w:sz w:val="20"/>
                <w:szCs w:val="20"/>
              </w:rPr>
              <w:t>Author Inferred TRV</w:t>
            </w:r>
          </w:p>
          <w:p w14:paraId="07E3F726" w14:textId="488C3826" w:rsidR="000F52F9" w:rsidRPr="003A6AA5" w:rsidRDefault="000F52F9" w:rsidP="00202930">
            <w:pPr>
              <w:keepNext/>
              <w:keepLines/>
              <w:widowControl w:val="0"/>
              <w:ind w:left="57" w:right="57"/>
              <w:rPr>
                <w:rFonts w:ascii="Times New Roman" w:hAnsi="Times New Roman" w:cs="Times New Roman"/>
                <w:sz w:val="20"/>
                <w:szCs w:val="20"/>
                <w:vertAlign w:val="superscript"/>
              </w:rPr>
            </w:pPr>
            <w:r w:rsidRPr="003A6AA5">
              <w:rPr>
                <w:rFonts w:ascii="Times New Roman" w:hAnsi="Times New Roman" w:cs="Times New Roman"/>
                <w:b/>
                <w:sz w:val="20"/>
                <w:szCs w:val="20"/>
              </w:rPr>
              <w:t xml:space="preserve">5 µg/g THg </w:t>
            </w:r>
            <w:r w:rsidRPr="003A6AA5">
              <w:rPr>
                <w:rFonts w:ascii="Times New Roman" w:hAnsi="Times New Roman" w:cs="Times New Roman"/>
                <w:sz w:val="20"/>
                <w:szCs w:val="20"/>
                <w:vertAlign w:val="superscript"/>
              </w:rPr>
              <w:t>a</w:t>
            </w:r>
          </w:p>
          <w:p w14:paraId="4F8D259A" w14:textId="7796B2D0" w:rsidR="000F52F9" w:rsidRPr="003A6AA5" w:rsidRDefault="00EC6D77" w:rsidP="00202930">
            <w:pPr>
              <w:keepNext/>
              <w:keepLines/>
              <w:widowControl w:val="0"/>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 xml:space="preserve">Not explicitly derived by Health Canada/s BCS but can be calculated directly from the hair </w:t>
            </w:r>
            <w:r w:rsidR="004500A1" w:rsidRPr="003A6AA5">
              <w:rPr>
                <w:rFonts w:ascii="Times New Roman" w:hAnsi="Times New Roman" w:cs="Times New Roman"/>
                <w:sz w:val="16"/>
                <w:szCs w:val="16"/>
              </w:rPr>
              <w:t>PoD</w:t>
            </w:r>
            <w:r w:rsidR="000F52F9" w:rsidRPr="003A6AA5">
              <w:rPr>
                <w:rFonts w:ascii="Times New Roman" w:hAnsi="Times New Roman" w:cs="Times New Roman"/>
                <w:sz w:val="16"/>
                <w:szCs w:val="16"/>
              </w:rPr>
              <w:t xml:space="preserve"> of 50 µg/g THg </w:t>
            </w:r>
            <w:r w:rsidR="000F52F9" w:rsidRPr="003A6AA5">
              <w:rPr>
                <w:rFonts w:ascii="Times New Roman" w:eastAsia="Symbol" w:hAnsi="Times New Roman" w:cs="Times New Roman"/>
                <w:sz w:val="16"/>
                <w:szCs w:val="16"/>
              </w:rPr>
              <w:t>¸</w:t>
            </w:r>
            <w:r w:rsidR="000F52F9" w:rsidRPr="003A6AA5">
              <w:rPr>
                <w:rFonts w:ascii="Times New Roman" w:hAnsi="Times New Roman" w:cs="Times New Roman"/>
                <w:sz w:val="16"/>
                <w:szCs w:val="16"/>
              </w:rPr>
              <w:t xml:space="preserve"> UF10 = hair TRV of 5 µg/g THg; alternatively the same hair TRV can be derived from the blood </w:t>
            </w:r>
            <w:r w:rsidR="00E738B7" w:rsidRPr="003A6AA5">
              <w:rPr>
                <w:rFonts w:ascii="Times New Roman" w:hAnsi="Times New Roman" w:cs="Times New Roman"/>
                <w:sz w:val="16"/>
                <w:szCs w:val="16"/>
              </w:rPr>
              <w:t>“guidance value”</w:t>
            </w:r>
            <w:r w:rsidR="000F52F9" w:rsidRPr="003A6AA5">
              <w:rPr>
                <w:rFonts w:ascii="Times New Roman" w:hAnsi="Times New Roman" w:cs="Times New Roman"/>
                <w:sz w:val="16"/>
                <w:szCs w:val="16"/>
              </w:rPr>
              <w:t xml:space="preserve"> of 20 µg/L THg</w:t>
            </w:r>
            <w:r w:rsidR="00920917" w:rsidRPr="003A6AA5">
              <w:rPr>
                <w:rFonts w:ascii="Times New Roman" w:hAnsi="Times New Roman" w:cs="Times New Roman"/>
                <w:sz w:val="16"/>
                <w:szCs w:val="16"/>
              </w:rPr>
              <w:t xml:space="preserve"> below</w:t>
            </w:r>
            <w:r w:rsidR="000F52F9" w:rsidRPr="003A6AA5">
              <w:rPr>
                <w:rFonts w:ascii="Times New Roman" w:hAnsi="Times New Roman" w:cs="Times New Roman"/>
                <w:sz w:val="16"/>
                <w:szCs w:val="16"/>
              </w:rPr>
              <w:t xml:space="preserve"> using a hair:blood ratio of 0.250:1.</w:t>
            </w:r>
            <w:r w:rsidRPr="003A6AA5">
              <w:rPr>
                <w:rFonts w:ascii="Times New Roman" w:hAnsi="Times New Roman" w:cs="Times New Roman"/>
                <w:sz w:val="16"/>
                <w:szCs w:val="16"/>
              </w:rPr>
              <w:t>)</w:t>
            </w:r>
          </w:p>
        </w:tc>
      </w:tr>
      <w:tr w:rsidR="000F52F9" w:rsidRPr="003A6AA5" w14:paraId="643F8DBC" w14:textId="77777777" w:rsidTr="00F31134">
        <w:tc>
          <w:tcPr>
            <w:tcW w:w="1129" w:type="dxa"/>
          </w:tcPr>
          <w:p w14:paraId="0FB76BA5" w14:textId="77777777" w:rsidR="000F52F9" w:rsidRPr="003A6AA5" w:rsidRDefault="000F52F9"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blood</w:t>
            </w:r>
          </w:p>
        </w:tc>
        <w:tc>
          <w:tcPr>
            <w:tcW w:w="3969" w:type="dxa"/>
          </w:tcPr>
          <w:p w14:paraId="512F6C0F" w14:textId="77777777" w:rsidR="00092FEA" w:rsidRPr="003A6AA5" w:rsidRDefault="00092FEA" w:rsidP="00092FEA">
            <w:pPr>
              <w:ind w:left="57" w:right="57"/>
              <w:rPr>
                <w:rFonts w:ascii="Times New Roman" w:hAnsi="Times New Roman" w:cs="Times New Roman"/>
                <w:b/>
                <w:bCs w:val="0"/>
                <w:sz w:val="20"/>
                <w:szCs w:val="20"/>
              </w:rPr>
            </w:pPr>
            <w:r w:rsidRPr="003A6AA5">
              <w:rPr>
                <w:rFonts w:ascii="Times New Roman" w:hAnsi="Times New Roman" w:cs="Times New Roman"/>
                <w:b/>
                <w:bCs w:val="0"/>
                <w:sz w:val="20"/>
                <w:szCs w:val="20"/>
              </w:rPr>
              <w:t>BCS Derived TRV</w:t>
            </w:r>
          </w:p>
          <w:p w14:paraId="0AA95B68" w14:textId="79FD9ADE" w:rsidR="000F52F9" w:rsidRPr="003A6AA5" w:rsidRDefault="000F52F9" w:rsidP="00F31134">
            <w:pPr>
              <w:ind w:left="57" w:right="57"/>
              <w:rPr>
                <w:rFonts w:ascii="Times New Roman" w:hAnsi="Times New Roman" w:cs="Times New Roman"/>
                <w:b/>
                <w:sz w:val="20"/>
                <w:szCs w:val="20"/>
              </w:rPr>
            </w:pPr>
            <w:r w:rsidRPr="003A6AA5">
              <w:rPr>
                <w:rFonts w:ascii="Times New Roman" w:hAnsi="Times New Roman" w:cs="Times New Roman"/>
                <w:b/>
                <w:sz w:val="20"/>
                <w:szCs w:val="20"/>
              </w:rPr>
              <w:t>200 µg/L THg</w:t>
            </w:r>
          </w:p>
          <w:p w14:paraId="1E245CAE" w14:textId="6B6DDF88" w:rsidR="000F52F9" w:rsidRPr="003A6AA5" w:rsidRDefault="000904EA"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This blood P</w:t>
            </w:r>
            <w:r w:rsidR="00BF0B94" w:rsidRPr="003A6AA5">
              <w:rPr>
                <w:rFonts w:ascii="Times New Roman" w:hAnsi="Times New Roman" w:cs="Times New Roman"/>
                <w:sz w:val="16"/>
                <w:szCs w:val="16"/>
              </w:rPr>
              <w:t>o</w:t>
            </w:r>
            <w:r w:rsidR="000F52F9" w:rsidRPr="003A6AA5">
              <w:rPr>
                <w:rFonts w:ascii="Times New Roman" w:hAnsi="Times New Roman" w:cs="Times New Roman"/>
                <w:sz w:val="16"/>
                <w:szCs w:val="16"/>
              </w:rPr>
              <w:t xml:space="preserve">D was selected by the SEG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(1971)</w:t>
            </w:r>
            <w:r w:rsidR="000F52F9" w:rsidRPr="003A6AA5">
              <w:rPr>
                <w:sz w:val="16"/>
                <w:szCs w:val="16"/>
              </w:rPr>
              <w:fldChar w:fldCharType="end"/>
            </w:r>
            <w:r w:rsidR="000F52F9" w:rsidRPr="003A6AA5">
              <w:rPr>
                <w:rFonts w:ascii="Times New Roman" w:hAnsi="Times New Roman" w:cs="Times New Roman"/>
                <w:sz w:val="16"/>
                <w:szCs w:val="16"/>
              </w:rPr>
              <w:t xml:space="preserve"> and JECFA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suppress-author":1,"uris":["http://www.mendeley.com/documents/?uuid=e1036a63-44c8-43dd-bdf0-70cbc176eb58"]}],"mendeley":{"formattedCitation":"(1972)","plainTextFormattedCitation":"(1972)","previouslyFormattedCitation":"(1972)"},"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(1972)</w:t>
            </w:r>
            <w:r w:rsidR="000F52F9" w:rsidRPr="003A6AA5">
              <w:rPr>
                <w:sz w:val="16"/>
                <w:szCs w:val="16"/>
              </w:rPr>
              <w:fldChar w:fldCharType="end"/>
            </w:r>
            <w:r w:rsidR="000F52F9" w:rsidRPr="003A6AA5">
              <w:rPr>
                <w:rFonts w:ascii="Times New Roman" w:hAnsi="Times New Roman" w:cs="Times New Roman"/>
                <w:sz w:val="16"/>
                <w:szCs w:val="16"/>
              </w:rPr>
              <w:t xml:space="preserve">. Since the JECFA opinion was adopted in 1972 by Health Canada’s former Food Advisory Bureau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{"citationItems":[{"id":"ITEM-1","itemData":{"author":[{"dropping-particle":"","family":"Health &amp; Welfare Canada","given":"","non-dropping-particle":"","parse-names":false,"suffix":""}],"id":"ITEM-1","issued":{"date-parts":[["1972"]]},"title":"Mercury in Fish. Letter from the Food Advisory Bureau, Health Protection Branch, Department of National Health &amp; Welfare to the Wellington-Dufferin-Guelph Health Unit, Guelph, Ontario . Dec. 1, 1972. (unpublished)","type":"report"},"uris":["http://www.mendeley.com/documents/?uuid=ce4fd219-c91a-4ef0-9498-feb57b7eecb1"]}],"mendeley":{"formattedCitation":"(Health &amp; Welfare Canada, 1972)","plainTextFormattedCitation":"(Health &amp; Welfare Canada, 1972)","previouslyFormattedCitation":"(Health &amp; Welfare Canada, 1972)"},"properties":{"noteIndex":0},"schema":"https://github.com/citation-style-language/schema/raw/master/csl-citation.json"}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(Health &amp; Welfare Canada, 1972)</w:t>
            </w:r>
            <w:r w:rsidR="000F52F9" w:rsidRPr="003A6AA5">
              <w:rPr>
                <w:sz w:val="16"/>
                <w:szCs w:val="16"/>
              </w:rPr>
              <w:fldChar w:fldCharType="end"/>
            </w:r>
            <w:r w:rsidR="000F52F9" w:rsidRPr="003A6AA5">
              <w:rPr>
                <w:rFonts w:ascii="Times New Roman" w:hAnsi="Times New Roman" w:cs="Times New Roman"/>
                <w:sz w:val="16"/>
                <w:szCs w:val="16"/>
              </w:rPr>
              <w:t xml:space="preserve">, </w:t>
            </w:r>
            <w:r w:rsidR="006153AB" w:rsidRPr="003A6AA5">
              <w:rPr>
                <w:rFonts w:ascii="Times New Roman" w:hAnsi="Times New Roman" w:cs="Times New Roman"/>
                <w:sz w:val="16"/>
                <w:szCs w:val="16"/>
              </w:rPr>
              <w:t xml:space="preserve">and </w:t>
            </w:r>
            <w:r w:rsidR="00C45A03" w:rsidRPr="003A6AA5">
              <w:rPr>
                <w:rFonts w:ascii="Times New Roman" w:hAnsi="Times New Roman" w:cs="Times New Roman"/>
                <w:sz w:val="16"/>
                <w:szCs w:val="16"/>
              </w:rPr>
              <w:t xml:space="preserve">was </w:t>
            </w:r>
            <w:r w:rsidR="006153AB" w:rsidRPr="003A6AA5">
              <w:rPr>
                <w:rFonts w:ascii="Times New Roman" w:hAnsi="Times New Roman" w:cs="Times New Roman"/>
                <w:sz w:val="16"/>
                <w:szCs w:val="16"/>
              </w:rPr>
              <w:t xml:space="preserve">reported </w:t>
            </w:r>
            <w:r w:rsidR="001E54CA" w:rsidRPr="003A6AA5">
              <w:rPr>
                <w:rFonts w:ascii="Times New Roman" w:hAnsi="Times New Roman" w:cs="Times New Roman"/>
                <w:sz w:val="16"/>
                <w:szCs w:val="16"/>
              </w:rPr>
              <w:t>i</w:t>
            </w:r>
            <w:r w:rsidR="000F52F9" w:rsidRPr="003A6AA5">
              <w:rPr>
                <w:rFonts w:ascii="Times New Roman" w:hAnsi="Times New Roman" w:cs="Times New Roman"/>
                <w:sz w:val="16"/>
                <w:szCs w:val="16"/>
              </w:rPr>
              <w:t xml:space="preserve">n Feeley &amp; Lo </w:t>
            </w:r>
            <w:r w:rsidR="000F52F9" w:rsidRPr="003A6AA5">
              <w:rPr>
                <w:sz w:val="16"/>
                <w:szCs w:val="16"/>
              </w:rPr>
              <w:fldChar w:fldCharType="begin" w:fldLock="1"/>
            </w:r>
            <w:r w:rsidR="005E60F4" w:rsidRPr="003A6AA5">
              <w:rPr>
                <w:rFonts w:ascii="Times New Roman" w:hAnsi="Times New Roman" w:cs="Times New Roman"/>
                <w:sz w:val="16"/>
                <w:szCs w:val="16"/>
              </w:rPr>
              <w:instrText>ADDIN CSL_CITATION {"citationItems":[{"id":"ITEM-1","itemData":{"author":[{"dropping-particle":"","family":"Feeley","given":"MM","non-dropping-particle":"","parse-names":false,"suffix":""},{"dropping-particle":"","family":"Lo","given":"M-T","non-dropping-particle":"","parse-names":false,"suffix":""}],"container-title":"Conference Proceedings. Mercury in Eastern Canada and the Northeast States. New Brunswick, September 21-23, 1998. Ecological Monitoring and Assessment Network (EMAN), Environment Canada-Atlantic Region, Health Canada and New Brunswick Dept. of the Env't.","editor":[{"dropping-particle":"","family":"Pilgrim","given":"W","non-dropping-particle":"","parse-names":false,"suffix":""},{"dropping-particle":"","family":"Burgess","given":"N","non-dropping-particle":"","parse-names":false,"suffix":""},{"dropping-particle":"","family":"Giguere","given":"M-F","non-dropping-particle":"","parse-names":false,"suffix":""}],"id":"ITEM-1","issued":{"date-parts":[["1998"]]},"page":"32","title":"Risk Assessment for Mercury in Health Canada - Development of the Provisional Tolerable Daily Intake (pTDI) Value","type":"paper-conference"},"suppress-author":1,"uris":["http://www.mendeley.com/documents/?uuid=36df9ea2-eec5-4f40-b5e2-2c0f66a32b15"]}],"mendeley":{"formattedCitation":"(1998)","plainTextFormattedCitation":"(1998)","previouslyFormattedCitation":"(1998)"},"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(1998)</w:t>
            </w:r>
            <w:r w:rsidR="000F52F9" w:rsidRPr="003A6AA5">
              <w:rPr>
                <w:sz w:val="16"/>
                <w:szCs w:val="16"/>
              </w:rPr>
              <w:fldChar w:fldCharType="end"/>
            </w:r>
            <w:r w:rsidR="000F52F9" w:rsidRPr="003A6AA5">
              <w:rPr>
                <w:rFonts w:ascii="Times New Roman" w:hAnsi="Times New Roman" w:cs="Times New Roman"/>
                <w:sz w:val="16"/>
                <w:szCs w:val="16"/>
              </w:rPr>
              <w:t xml:space="preserve"> </w:t>
            </w:r>
            <w:r w:rsidR="001E54CA" w:rsidRPr="003A6AA5">
              <w:rPr>
                <w:rFonts w:ascii="Times New Roman" w:hAnsi="Times New Roman" w:cs="Times New Roman"/>
                <w:sz w:val="16"/>
                <w:szCs w:val="16"/>
              </w:rPr>
              <w:t xml:space="preserve">as a LOAEL </w:t>
            </w:r>
            <w:r w:rsidR="004D6052" w:rsidRPr="003A6AA5">
              <w:rPr>
                <w:rFonts w:ascii="Times New Roman" w:hAnsi="Times New Roman" w:cs="Times New Roman"/>
                <w:sz w:val="16"/>
                <w:szCs w:val="16"/>
              </w:rPr>
              <w:t xml:space="preserve">for derivation of </w:t>
            </w:r>
            <w:r w:rsidR="00521772" w:rsidRPr="003A6AA5">
              <w:rPr>
                <w:rFonts w:ascii="Times New Roman" w:hAnsi="Times New Roman" w:cs="Times New Roman"/>
                <w:sz w:val="16"/>
                <w:szCs w:val="16"/>
              </w:rPr>
              <w:t xml:space="preserve">the </w:t>
            </w:r>
            <w:r w:rsidR="00F16091" w:rsidRPr="003A6AA5">
              <w:rPr>
                <w:rFonts w:ascii="Times New Roman" w:hAnsi="Times New Roman" w:cs="Times New Roman"/>
                <w:sz w:val="16"/>
                <w:szCs w:val="16"/>
              </w:rPr>
              <w:t>pTDI</w:t>
            </w:r>
            <w:r w:rsidR="00E043D0" w:rsidRPr="003A6AA5">
              <w:rPr>
                <w:rFonts w:ascii="Times New Roman" w:hAnsi="Times New Roman" w:cs="Times New Roman"/>
                <w:sz w:val="16"/>
                <w:szCs w:val="16"/>
              </w:rPr>
              <w:t>)</w:t>
            </w:r>
          </w:p>
          <w:p w14:paraId="74044604" w14:textId="77777777" w:rsidR="000F52F9" w:rsidRPr="003A6AA5" w:rsidRDefault="000F52F9" w:rsidP="00F31134">
            <w:pPr>
              <w:ind w:left="57" w:right="57"/>
              <w:rPr>
                <w:rFonts w:ascii="Times New Roman" w:hAnsi="Times New Roman" w:cs="Times New Roman"/>
                <w:sz w:val="16"/>
                <w:szCs w:val="16"/>
              </w:rPr>
            </w:pPr>
          </w:p>
        </w:tc>
        <w:tc>
          <w:tcPr>
            <w:tcW w:w="1560" w:type="dxa"/>
            <w:vMerge/>
          </w:tcPr>
          <w:p w14:paraId="62FEFA3E" w14:textId="77777777" w:rsidR="000F52F9" w:rsidRPr="003A6AA5" w:rsidRDefault="000F52F9" w:rsidP="00F31134">
            <w:pPr>
              <w:ind w:left="57" w:right="57"/>
              <w:rPr>
                <w:rFonts w:ascii="Times New Roman" w:hAnsi="Times New Roman" w:cs="Times New Roman"/>
                <w:sz w:val="16"/>
                <w:szCs w:val="16"/>
              </w:rPr>
            </w:pPr>
          </w:p>
        </w:tc>
        <w:tc>
          <w:tcPr>
            <w:tcW w:w="3870" w:type="dxa"/>
          </w:tcPr>
          <w:p w14:paraId="3CAD8087" w14:textId="77777777" w:rsidR="009E5C98" w:rsidRPr="003A6AA5" w:rsidRDefault="009E5C98" w:rsidP="009E5C98">
            <w:pPr>
              <w:ind w:left="57" w:right="57"/>
              <w:rPr>
                <w:rFonts w:ascii="Times New Roman" w:hAnsi="Times New Roman" w:cs="Times New Roman"/>
                <w:b/>
                <w:color w:val="0000FF"/>
                <w:sz w:val="20"/>
                <w:szCs w:val="20"/>
              </w:rPr>
            </w:pPr>
            <w:r w:rsidRPr="003A6AA5">
              <w:rPr>
                <w:rFonts w:ascii="Times New Roman" w:hAnsi="Times New Roman" w:cs="Times New Roman"/>
                <w:b/>
                <w:color w:val="0000FF"/>
                <w:sz w:val="20"/>
                <w:szCs w:val="20"/>
              </w:rPr>
              <w:t>Author Inferred TRV</w:t>
            </w:r>
          </w:p>
          <w:p w14:paraId="6AD300DA" w14:textId="00AA5DF4" w:rsidR="000F52F9" w:rsidRPr="003A6AA5" w:rsidRDefault="000F52F9" w:rsidP="00F31134">
            <w:pPr>
              <w:ind w:left="57" w:right="57"/>
              <w:rPr>
                <w:rFonts w:ascii="Times New Roman" w:hAnsi="Times New Roman" w:cs="Times New Roman"/>
                <w:b/>
                <w:sz w:val="20"/>
                <w:szCs w:val="20"/>
              </w:rPr>
            </w:pPr>
            <w:r w:rsidRPr="003A6AA5">
              <w:rPr>
                <w:rFonts w:ascii="Times New Roman" w:hAnsi="Times New Roman" w:cs="Times New Roman"/>
                <w:b/>
                <w:sz w:val="20"/>
                <w:szCs w:val="20"/>
              </w:rPr>
              <w:t xml:space="preserve">20 µg/L THg </w:t>
            </w:r>
          </w:p>
          <w:p w14:paraId="3BD48D5A" w14:textId="181DE2CD" w:rsidR="000F52F9" w:rsidRPr="003A6AA5" w:rsidRDefault="00EC6D77"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 xml:space="preserve">Reported as a </w:t>
            </w:r>
            <w:r w:rsidR="004A1A21" w:rsidRPr="003A6AA5">
              <w:rPr>
                <w:rFonts w:ascii="Times New Roman" w:hAnsi="Times New Roman" w:cs="Times New Roman"/>
                <w:sz w:val="16"/>
                <w:szCs w:val="16"/>
              </w:rPr>
              <w:t>blood “guidance value”</w:t>
            </w:r>
            <w:r w:rsidR="00D23A80" w:rsidRPr="003A6AA5">
              <w:rPr>
                <w:rFonts w:ascii="Times New Roman" w:hAnsi="Times New Roman" w:cs="Times New Roman"/>
                <w:sz w:val="16"/>
                <w:szCs w:val="16"/>
              </w:rPr>
              <w:t xml:space="preserve"> </w:t>
            </w:r>
            <w:r w:rsidR="000F52F9" w:rsidRPr="003A6AA5">
              <w:rPr>
                <w:rFonts w:ascii="Times New Roman" w:hAnsi="Times New Roman" w:cs="Times New Roman"/>
                <w:sz w:val="16"/>
                <w:szCs w:val="16"/>
              </w:rPr>
              <w:t xml:space="preserve">in Legrand et al.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{"citationItems":[{"id":"ITEM-1","itemData":{"DOI":"10.1007/bf03405557","ISSN":"00084263","PMID":"20364534","abstract":"Exposure to methylmercury (MeHg) from fish and marine mammal consumption continues to present a public health concern. To date, developmental neurotoxicity is the most sensitive health outcome, forming the basis for health-risk assessments and the derivation of biomonitoring guidance values. This article summarizes existing Health Canada MeHg blood guidance values for general population and expands them to include a harmonized provisional interim blood guidance value of 8 μg/L based on the existing provisional Tolerable Daily Intake for children, pregnant women and women of childbearing age. Associated public health actions, according to age, sex, and level of exposure are recommended. © 2010 Canadian Public Health Association.","author":[{"dropping-particle":"","family":"Legrand","given":"Melissa","non-dropping-particle":"","parse-names":false,"suffix":""},{"dropping-particle":"","family":"Feeley","given":"Mark","non-dropping-particle":"","parse-names":false,"suffix":""},{"dropping-particle":"","family":"Tikhonov","given":"Constantine","non-dropping-particle":"","parse-names":false,"suffix":""},{"dropping-particle":"","family":"Schoen","given":"Deborah","non-dropping-particle":"","parse-names":false,"suffix":""},{"dropping-particle":"","family":"Li-Muller","given":"Angela","non-dropping-particle":"","parse-names":false,"suffix":""}],"container-title":"Canadian Journal of Public Health","id":"ITEM-1","issue":"1","issued":{"date-parts":[["2010"]]},"page":"28-31","title":"Methylmercury blood guidance values for Canada","type":"article-journal","volume":"101"},"suppress-author":1,"uris":["http://www.mendeley.com/documents/?uuid=1e91e621-8f56-4267-b116-93f6661aa561"]}],"mendeley":{"formattedCitation":"(2010)","plainTextFormattedCitation":"(2010)","previouslyFormattedCitation":"(2010)"},"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(2010)</w:t>
            </w:r>
            <w:r w:rsidR="000F52F9" w:rsidRPr="003A6AA5">
              <w:rPr>
                <w:sz w:val="16"/>
                <w:szCs w:val="16"/>
              </w:rPr>
              <w:fldChar w:fldCharType="end"/>
            </w:r>
            <w:r w:rsidR="000F52F9" w:rsidRPr="003A6AA5">
              <w:rPr>
                <w:rFonts w:ascii="Times New Roman" w:hAnsi="Times New Roman" w:cs="Times New Roman"/>
                <w:sz w:val="16"/>
                <w:szCs w:val="16"/>
              </w:rPr>
              <w:t>.</w:t>
            </w:r>
            <w:r w:rsidRPr="003A6AA5">
              <w:rPr>
                <w:rFonts w:ascii="Times New Roman" w:hAnsi="Times New Roman" w:cs="Times New Roman"/>
                <w:sz w:val="16"/>
                <w:szCs w:val="16"/>
              </w:rPr>
              <w:t>)</w:t>
            </w:r>
          </w:p>
        </w:tc>
      </w:tr>
      <w:tr w:rsidR="000F52F9" w:rsidRPr="003A6AA5" w14:paraId="52C9A784" w14:textId="77777777" w:rsidTr="00F31134">
        <w:tc>
          <w:tcPr>
            <w:tcW w:w="1129" w:type="dxa"/>
          </w:tcPr>
          <w:p w14:paraId="752D4F8B" w14:textId="77777777" w:rsidR="000F52F9" w:rsidRPr="003A6AA5" w:rsidRDefault="000F52F9"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oral</w:t>
            </w:r>
          </w:p>
          <w:p w14:paraId="66517710" w14:textId="77777777" w:rsidR="000F52F9" w:rsidRPr="003A6AA5" w:rsidRDefault="000F52F9"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(per person per day)</w:t>
            </w:r>
          </w:p>
        </w:tc>
        <w:tc>
          <w:tcPr>
            <w:tcW w:w="3969" w:type="dxa"/>
          </w:tcPr>
          <w:p w14:paraId="5CDEFEC8" w14:textId="53B1601E" w:rsidR="0043426D" w:rsidRPr="003A6AA5" w:rsidRDefault="0092112B" w:rsidP="0043426D">
            <w:pPr>
              <w:ind w:right="57"/>
              <w:rPr>
                <w:rFonts w:ascii="Times New Roman" w:hAnsi="Times New Roman" w:cs="Times New Roman"/>
                <w:b/>
                <w:bCs w:val="0"/>
                <w:color w:val="0000FF"/>
                <w:sz w:val="20"/>
                <w:szCs w:val="20"/>
              </w:rPr>
            </w:pPr>
            <w:r w:rsidRPr="003A6AA5">
              <w:rPr>
                <w:rFonts w:ascii="Times New Roman" w:hAnsi="Times New Roman" w:cs="Times New Roman"/>
                <w:b/>
                <w:bCs w:val="0"/>
                <w:color w:val="0000FF"/>
                <w:sz w:val="20"/>
                <w:szCs w:val="20"/>
              </w:rPr>
              <w:t xml:space="preserve"> </w:t>
            </w:r>
            <w:r w:rsidR="0043426D" w:rsidRPr="003A6AA5">
              <w:rPr>
                <w:rFonts w:ascii="Times New Roman" w:hAnsi="Times New Roman" w:cs="Times New Roman"/>
                <w:b/>
                <w:bCs w:val="0"/>
                <w:color w:val="0000FF"/>
                <w:sz w:val="20"/>
                <w:szCs w:val="20"/>
              </w:rPr>
              <w:t>Author Inferred TRV</w:t>
            </w:r>
          </w:p>
          <w:p w14:paraId="5E518C7C" w14:textId="05D0A605" w:rsidR="000F52F9" w:rsidRPr="003A6AA5" w:rsidRDefault="000F52F9" w:rsidP="00F31134">
            <w:pPr>
              <w:ind w:left="57" w:right="57"/>
              <w:rPr>
                <w:rFonts w:ascii="Times New Roman" w:hAnsi="Times New Roman" w:cs="Times New Roman"/>
                <w:b/>
                <w:sz w:val="20"/>
                <w:szCs w:val="20"/>
              </w:rPr>
            </w:pPr>
            <w:r w:rsidRPr="003A6AA5">
              <w:rPr>
                <w:rFonts w:ascii="Times New Roman" w:hAnsi="Times New Roman" w:cs="Times New Roman"/>
                <w:b/>
                <w:sz w:val="20"/>
                <w:szCs w:val="20"/>
              </w:rPr>
              <w:t>300</w:t>
            </w:r>
            <w:r w:rsidRPr="003A6AA5">
              <w:rPr>
                <w:rFonts w:ascii="Times New Roman" w:hAnsi="Times New Roman" w:cs="Times New Roman"/>
                <w:sz w:val="20"/>
                <w:szCs w:val="20"/>
              </w:rPr>
              <w:t xml:space="preserve"> </w:t>
            </w:r>
            <w:r w:rsidRPr="003A6AA5">
              <w:rPr>
                <w:rFonts w:ascii="Times New Roman" w:hAnsi="Times New Roman" w:cs="Times New Roman"/>
                <w:b/>
                <w:sz w:val="20"/>
                <w:szCs w:val="20"/>
              </w:rPr>
              <w:t>µg/day MeHg</w:t>
            </w:r>
          </w:p>
          <w:p w14:paraId="79874B8F" w14:textId="20AE04C9" w:rsidR="000F52F9" w:rsidRPr="003A6AA5" w:rsidRDefault="0092112B"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This oral P</w:t>
            </w:r>
            <w:r w:rsidR="00BF0B94" w:rsidRPr="003A6AA5">
              <w:rPr>
                <w:rFonts w:ascii="Times New Roman" w:hAnsi="Times New Roman" w:cs="Times New Roman"/>
                <w:sz w:val="16"/>
                <w:szCs w:val="16"/>
              </w:rPr>
              <w:t>o</w:t>
            </w:r>
            <w:r w:rsidR="000F52F9" w:rsidRPr="003A6AA5">
              <w:rPr>
                <w:rFonts w:ascii="Times New Roman" w:hAnsi="Times New Roman" w:cs="Times New Roman"/>
                <w:sz w:val="16"/>
                <w:szCs w:val="16"/>
              </w:rPr>
              <w:t xml:space="preserve">D was selected by the SEG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(1971)</w:t>
            </w:r>
            <w:r w:rsidR="000F52F9" w:rsidRPr="003A6AA5">
              <w:rPr>
                <w:sz w:val="16"/>
                <w:szCs w:val="16"/>
              </w:rPr>
              <w:fldChar w:fldCharType="end"/>
            </w:r>
            <w:r w:rsidR="000F52F9" w:rsidRPr="003A6AA5">
              <w:rPr>
                <w:rFonts w:ascii="Times New Roman" w:hAnsi="Times New Roman" w:cs="Times New Roman"/>
                <w:sz w:val="16"/>
                <w:szCs w:val="16"/>
              </w:rPr>
              <w:t xml:space="preserve"> and JECFA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suppress-author":1,"uris":["http://www.mendeley.com/documents/?uuid=e1036a63-44c8-43dd-bdf0-70cbc176eb58"]}],"mendeley":{"formattedCitation":"(1972)","plainTextFormattedCitation":"(1972)","previouslyFormattedCitation":"(1972)"},"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(1972)</w:t>
            </w:r>
            <w:r w:rsidR="000F52F9" w:rsidRPr="003A6AA5">
              <w:rPr>
                <w:sz w:val="16"/>
                <w:szCs w:val="16"/>
              </w:rPr>
              <w:fldChar w:fldCharType="end"/>
            </w:r>
            <w:r w:rsidR="000F52F9" w:rsidRPr="003A6AA5">
              <w:rPr>
                <w:rFonts w:ascii="Times New Roman" w:hAnsi="Times New Roman" w:cs="Times New Roman"/>
                <w:sz w:val="16"/>
                <w:szCs w:val="16"/>
              </w:rPr>
              <w:t xml:space="preserve">. Since the JECFA opinion was adopted in 1972 by Health Canada’s former Food Advisory Bureau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{"citationItems":[{"id":"ITEM-1","itemData":{"author":[{"dropping-particle":"","family":"Health &amp; Welfare Canada","given":"","non-dropping-particle":"","parse-names":false,"suffix":""}],"id":"ITEM-1","issued":{"date-parts":[["1972"]]},"title":"Mercury in Fish. Letter from the Food Advisory Bureau, Health Protection Branch, Department of National Health &amp; Welfare to the Wellington-Dufferin-Guelph Health Unit, Guelph, Ontario . Dec. 1, 1972. (unpublished)","type":"report"},"uris":["http://www.mendeley.com/documents/?uuid=ce4fd219-c91a-4ef0-9498-feb57b7eecb1"]}],"mendeley":{"formattedCitation":"(Health &amp; Welfare Canada, 1972)","plainTextFormattedCitation":"(Health &amp; Welfare Canada, 1972)","previouslyFormattedCitation":"(Health &amp; Welfare Canada, 1972)"},"properties":{"noteIndex":0},"schema":"https://github.com/citation-style-language/schema/raw/master/csl-citation.json"}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(Health &amp; Welfare Canada, 1972)</w:t>
            </w:r>
            <w:r w:rsidR="000F52F9" w:rsidRPr="003A6AA5">
              <w:rPr>
                <w:sz w:val="16"/>
                <w:szCs w:val="16"/>
              </w:rPr>
              <w:fldChar w:fldCharType="end"/>
            </w:r>
            <w:r w:rsidR="000F52F9" w:rsidRPr="003A6AA5">
              <w:rPr>
                <w:rFonts w:ascii="Times New Roman" w:hAnsi="Times New Roman" w:cs="Times New Roman"/>
                <w:sz w:val="16"/>
                <w:szCs w:val="16"/>
              </w:rPr>
              <w:t xml:space="preserve">, it is inferred that the oral </w:t>
            </w:r>
            <w:r w:rsidR="004500A1" w:rsidRPr="003A6AA5">
              <w:rPr>
                <w:rFonts w:ascii="Times New Roman" w:hAnsi="Times New Roman" w:cs="Times New Roman"/>
                <w:sz w:val="16"/>
                <w:szCs w:val="16"/>
              </w:rPr>
              <w:t>PoD</w:t>
            </w:r>
            <w:r w:rsidR="000F52F9" w:rsidRPr="003A6AA5">
              <w:rPr>
                <w:rFonts w:ascii="Times New Roman" w:hAnsi="Times New Roman" w:cs="Times New Roman"/>
                <w:sz w:val="16"/>
                <w:szCs w:val="16"/>
              </w:rPr>
              <w:t xml:space="preserve"> of 300 µg/day MeHg was also adopted and has continued to be used by Health Canada’s BCS</w:t>
            </w:r>
            <w:r w:rsidR="00663532" w:rsidRPr="003A6AA5">
              <w:rPr>
                <w:rFonts w:ascii="Times New Roman" w:hAnsi="Times New Roman" w:cs="Times New Roman"/>
                <w:sz w:val="16"/>
                <w:szCs w:val="16"/>
              </w:rPr>
              <w:t>)</w:t>
            </w:r>
            <w:r w:rsidR="009A3365" w:rsidRPr="003A6AA5">
              <w:rPr>
                <w:rFonts w:ascii="Times New Roman" w:hAnsi="Times New Roman" w:cs="Times New Roman"/>
                <w:sz w:val="16"/>
                <w:szCs w:val="16"/>
              </w:rPr>
              <w:t xml:space="preserve"> </w:t>
            </w:r>
          </w:p>
          <w:p w14:paraId="566A96F9" w14:textId="77777777" w:rsidR="000F52F9" w:rsidRPr="003A6AA5" w:rsidRDefault="000F52F9" w:rsidP="00F31134">
            <w:pPr>
              <w:ind w:left="57" w:right="57"/>
              <w:rPr>
                <w:rFonts w:ascii="Times New Roman" w:hAnsi="Times New Roman" w:cs="Times New Roman"/>
                <w:sz w:val="16"/>
                <w:szCs w:val="16"/>
              </w:rPr>
            </w:pPr>
          </w:p>
        </w:tc>
        <w:tc>
          <w:tcPr>
            <w:tcW w:w="1560" w:type="dxa"/>
            <w:vMerge/>
          </w:tcPr>
          <w:p w14:paraId="522EA932" w14:textId="77777777" w:rsidR="000F52F9" w:rsidRPr="003A6AA5" w:rsidRDefault="000F52F9" w:rsidP="00F31134">
            <w:pPr>
              <w:ind w:left="57" w:right="57"/>
              <w:rPr>
                <w:rFonts w:ascii="Times New Roman" w:hAnsi="Times New Roman" w:cs="Times New Roman"/>
                <w:sz w:val="16"/>
                <w:szCs w:val="16"/>
              </w:rPr>
            </w:pPr>
          </w:p>
        </w:tc>
        <w:tc>
          <w:tcPr>
            <w:tcW w:w="3870" w:type="dxa"/>
          </w:tcPr>
          <w:p w14:paraId="3EE58F4F" w14:textId="77777777" w:rsidR="00253F74" w:rsidRPr="003A6AA5" w:rsidRDefault="00253F74" w:rsidP="00253F74">
            <w:pPr>
              <w:ind w:left="57" w:right="57"/>
              <w:rPr>
                <w:rFonts w:ascii="Times New Roman" w:hAnsi="Times New Roman" w:cs="Times New Roman"/>
                <w:b/>
                <w:sz w:val="20"/>
                <w:szCs w:val="20"/>
              </w:rPr>
            </w:pPr>
            <w:r w:rsidRPr="003A6AA5">
              <w:rPr>
                <w:rFonts w:ascii="Times New Roman" w:hAnsi="Times New Roman" w:cs="Times New Roman"/>
                <w:b/>
                <w:sz w:val="20"/>
                <w:szCs w:val="20"/>
              </w:rPr>
              <w:t>BCS Derived TRV</w:t>
            </w:r>
          </w:p>
          <w:p w14:paraId="631DBBBA" w14:textId="12D4A5E0" w:rsidR="000F52F9" w:rsidRPr="003A6AA5" w:rsidRDefault="000F52F9" w:rsidP="00F31134">
            <w:pPr>
              <w:ind w:left="57" w:right="57"/>
              <w:rPr>
                <w:rFonts w:ascii="Times New Roman" w:hAnsi="Times New Roman" w:cs="Times New Roman"/>
                <w:b/>
                <w:sz w:val="20"/>
                <w:szCs w:val="20"/>
              </w:rPr>
            </w:pPr>
            <w:r w:rsidRPr="003A6AA5">
              <w:rPr>
                <w:rFonts w:ascii="Times New Roman" w:hAnsi="Times New Roman" w:cs="Times New Roman"/>
                <w:b/>
                <w:sz w:val="20"/>
                <w:szCs w:val="20"/>
              </w:rPr>
              <w:t>30 µg/day MeHg</w:t>
            </w:r>
          </w:p>
          <w:p w14:paraId="06B7C33D" w14:textId="1243F611" w:rsidR="000F52F9" w:rsidRPr="003A6AA5" w:rsidRDefault="00EC6D77"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 xml:space="preserve">Reported as a </w:t>
            </w:r>
            <w:r w:rsidR="00E453E4" w:rsidRPr="003A6AA5">
              <w:rPr>
                <w:rFonts w:ascii="Times New Roman" w:hAnsi="Times New Roman" w:cs="Times New Roman"/>
                <w:sz w:val="16"/>
                <w:szCs w:val="16"/>
              </w:rPr>
              <w:t>per person pTDI</w:t>
            </w:r>
            <w:r w:rsidR="000F52F9" w:rsidRPr="003A6AA5">
              <w:rPr>
                <w:rFonts w:ascii="Times New Roman" w:hAnsi="Times New Roman" w:cs="Times New Roman"/>
                <w:sz w:val="16"/>
                <w:szCs w:val="16"/>
              </w:rPr>
              <w:t xml:space="preserve"> in Feeley &amp; Lo </w:t>
            </w:r>
            <w:r w:rsidR="000F52F9" w:rsidRPr="003A6AA5">
              <w:rPr>
                <w:sz w:val="16"/>
                <w:szCs w:val="16"/>
              </w:rPr>
              <w:fldChar w:fldCharType="begin" w:fldLock="1"/>
            </w:r>
            <w:r w:rsidR="005E60F4" w:rsidRPr="003A6AA5">
              <w:rPr>
                <w:rFonts w:ascii="Times New Roman" w:hAnsi="Times New Roman" w:cs="Times New Roman"/>
                <w:sz w:val="16"/>
                <w:szCs w:val="16"/>
              </w:rPr>
              <w:instrText>ADDIN CSL_CITATION {"citationItems":[{"id":"ITEM-1","itemData":{"author":[{"dropping-particle":"","family":"Feeley","given":"MM","non-dropping-particle":"","parse-names":false,"suffix":""},{"dropping-particle":"","family":"Lo","given":"M-T","non-dropping-particle":"","parse-names":false,"suffix":""}],"container-title":"Conference Proceedings. Mercury in Eastern Canada and the Northeast States. New Brunswick, September 21-23, 1998. Ecological Monitoring and Assessment Network (EMAN), Environment Canada-Atlantic Region, Health Canada and New Brunswick Dept. of the Env't.","editor":[{"dropping-particle":"","family":"Pilgrim","given":"W","non-dropping-particle":"","parse-names":false,"suffix":""},{"dropping-particle":"","family":"Burgess","given":"N","non-dropping-particle":"","parse-names":false,"suffix":""},{"dropping-particle":"","family":"Giguere","given":"M-F","non-dropping-particle":"","parse-names":false,"suffix":""}],"id":"ITEM-1","issued":{"date-parts":[["1998"]]},"page":"32","title":"Risk Assessment for Mercury in Health Canada - Development of the Provisional Tolerable Daily Intake (pTDI) Value","type":"paper-conference"},"suppress-author":1,"uris":["http://www.mendeley.com/documents/?uuid=36df9ea2-eec5-4f40-b5e2-2c0f66a32b15"]}],"mendeley":{"formattedCitation":"(1998)","plainTextFormattedCitation":"(1998)","previouslyFormattedCitation":"(1998)"},"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(1998)</w:t>
            </w:r>
            <w:r w:rsidR="000F52F9" w:rsidRPr="003A6AA5">
              <w:rPr>
                <w:sz w:val="16"/>
                <w:szCs w:val="16"/>
              </w:rPr>
              <w:fldChar w:fldCharType="end"/>
            </w:r>
            <w:r w:rsidR="002C2565" w:rsidRPr="003A6AA5">
              <w:rPr>
                <w:sz w:val="16"/>
                <w:szCs w:val="16"/>
              </w:rPr>
              <w:t xml:space="preserve">, </w:t>
            </w:r>
            <w:r w:rsidR="002C2565" w:rsidRPr="003A6AA5">
              <w:rPr>
                <w:rFonts w:ascii="Times New Roman" w:hAnsi="Times New Roman" w:cs="Times New Roman"/>
                <w:sz w:val="16"/>
                <w:szCs w:val="16"/>
              </w:rPr>
              <w:t xml:space="preserve">i.e. assumed that this oral PoD was used for derivation of the BCS TRV of 30 µg/day MeHg reported in Feeley &amp; Lo </w:t>
            </w:r>
            <w:r w:rsidR="002C2565" w:rsidRPr="003A6AA5">
              <w:rPr>
                <w:sz w:val="16"/>
                <w:szCs w:val="16"/>
              </w:rPr>
              <w:fldChar w:fldCharType="begin" w:fldLock="1"/>
            </w:r>
            <w:r w:rsidR="006A1854" w:rsidRPr="003A6AA5">
              <w:rPr>
                <w:rFonts w:ascii="Times New Roman" w:hAnsi="Times New Roman" w:cs="Times New Roman"/>
                <w:sz w:val="16"/>
                <w:szCs w:val="16"/>
              </w:rPr>
              <w:instrText>ADDIN CSL_CITATION {"citationItems":[{"id":"ITEM-1","itemData":{"author":[{"dropping-particle":"","family":"Feeley","given":"MM","non-dropping-particle":"","parse-names":false,"suffix":""},{"dropping-particle":"","family":"Lo","given":"M-T","non-dropping-particle":"","parse-names":false,"suffix":""}],"container-title":"Conference Proceedings. Mercury in Eastern Canada and the Northeast States. New Brunswick, September 21-23, 1998. Ecological Monitoring and Assessment Network (EMAN), Environment Canada-Atlantic Region, Health Canada and New Brunswick Dept. of the Env't.","editor":[{"dropping-particle":"","family":"Pilgrim","given":"W","non-dropping-particle":"","parse-names":false,"suffix":""},{"dropping-particle":"","family":"Burgess","given":"N","non-dropping-particle":"","parse-names":false,"suffix":""},{"dropping-particle":"","family":"Giguere","given":"M-F","non-dropping-particle":"","parse-names":false,"suffix":""}],"id":"ITEM-1","issued":{"date-parts":[["1998"]]},"page":"32","title":"Risk Assessment for Mercury in Health Canada - Development of the Provisional Tolerable Daily Intake (pTDI) Value","type":"paper-conference"},"suppress-author":1,"uris":["http://www.mendeley.com/documents/?uuid=36df9ea2-eec5-4f40-b5e2-2c0f66a32b15"]}],"mendeley":{"formattedCitation":"(1998)","plainTextFormattedCitation":"(1998)","previouslyFormattedCitation":"(1998)"},"properties":{"noteIndex":0},"schema":"https://github.com/citation-style-language/schema/raw/master/csl-citation.json"}</w:instrText>
            </w:r>
            <w:r w:rsidR="002C2565" w:rsidRPr="003A6AA5">
              <w:rPr>
                <w:sz w:val="16"/>
                <w:szCs w:val="16"/>
              </w:rPr>
              <w:fldChar w:fldCharType="separate"/>
            </w:r>
            <w:r w:rsidR="002C2565" w:rsidRPr="003A6AA5">
              <w:rPr>
                <w:rFonts w:ascii="Times New Roman" w:hAnsi="Times New Roman" w:cs="Times New Roman"/>
                <w:noProof/>
                <w:sz w:val="16"/>
                <w:szCs w:val="16"/>
              </w:rPr>
              <w:t>(1998)</w:t>
            </w:r>
            <w:r w:rsidR="002C2565" w:rsidRPr="003A6AA5">
              <w:rPr>
                <w:sz w:val="16"/>
                <w:szCs w:val="16"/>
              </w:rPr>
              <w:fldChar w:fldCharType="end"/>
            </w:r>
            <w:r w:rsidR="002C2565" w:rsidRPr="003A6AA5">
              <w:rPr>
                <w:rFonts w:ascii="Times New Roman" w:hAnsi="Times New Roman" w:cs="Times New Roman"/>
                <w:sz w:val="16"/>
                <w:szCs w:val="16"/>
              </w:rPr>
              <w:t xml:space="preserve">: PoD of 300 µg/day MeHg </w:t>
            </w:r>
            <w:r w:rsidR="002C2565" w:rsidRPr="003A6AA5">
              <w:rPr>
                <w:rFonts w:ascii="Symbol" w:eastAsia="Symbol" w:hAnsi="Symbol" w:cs="Symbol"/>
                <w:sz w:val="16"/>
                <w:szCs w:val="16"/>
              </w:rPr>
              <w:t xml:space="preserve">¸ </w:t>
            </w:r>
            <w:r w:rsidR="002C2565" w:rsidRPr="003A6AA5">
              <w:rPr>
                <w:rFonts w:ascii="Times New Roman" w:eastAsia="Symbol" w:hAnsi="Times New Roman" w:cs="Times New Roman"/>
                <w:sz w:val="16"/>
                <w:szCs w:val="16"/>
              </w:rPr>
              <w:t>UF10</w:t>
            </w:r>
            <w:r w:rsidR="002C2565" w:rsidRPr="003A6AA5">
              <w:rPr>
                <w:rFonts w:ascii="Times New Roman" w:hAnsi="Times New Roman" w:cs="Times New Roman"/>
                <w:sz w:val="16"/>
                <w:szCs w:val="16"/>
              </w:rPr>
              <w:t>)</w:t>
            </w:r>
          </w:p>
        </w:tc>
      </w:tr>
      <w:tr w:rsidR="000F52F9" w:rsidRPr="00187523" w14:paraId="5F7EF03E" w14:textId="77777777" w:rsidTr="00F31134">
        <w:tc>
          <w:tcPr>
            <w:tcW w:w="1129" w:type="dxa"/>
          </w:tcPr>
          <w:p w14:paraId="1D2C612D" w14:textId="77777777" w:rsidR="000F52F9" w:rsidRPr="003A6AA5" w:rsidRDefault="000F52F9"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oral</w:t>
            </w:r>
          </w:p>
          <w:p w14:paraId="4A98B63E" w14:textId="79178140" w:rsidR="000F52F9" w:rsidRPr="003A6AA5" w:rsidRDefault="000F52F9"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 xml:space="preserve">(per </w:t>
            </w:r>
            <w:r w:rsidR="004F47D5" w:rsidRPr="003A6AA5">
              <w:rPr>
                <w:rFonts w:ascii="Times New Roman" w:hAnsi="Times New Roman" w:cs="Times New Roman"/>
                <w:sz w:val="16"/>
                <w:szCs w:val="16"/>
              </w:rPr>
              <w:t xml:space="preserve">kg </w:t>
            </w:r>
            <w:r w:rsidRPr="003A6AA5">
              <w:rPr>
                <w:rFonts w:ascii="Times New Roman" w:hAnsi="Times New Roman" w:cs="Times New Roman"/>
                <w:sz w:val="16"/>
                <w:szCs w:val="16"/>
              </w:rPr>
              <w:t>body weight per day)</w:t>
            </w:r>
          </w:p>
        </w:tc>
        <w:tc>
          <w:tcPr>
            <w:tcW w:w="3969" w:type="dxa"/>
          </w:tcPr>
          <w:p w14:paraId="52D69AD7" w14:textId="6354319D" w:rsidR="0092112B" w:rsidRPr="003A6AA5" w:rsidRDefault="0092112B" w:rsidP="00612FA0">
            <w:pPr>
              <w:ind w:left="57" w:right="57"/>
              <w:rPr>
                <w:rFonts w:ascii="Times New Roman" w:hAnsi="Times New Roman" w:cs="Times New Roman"/>
                <w:b/>
                <w:bCs w:val="0"/>
                <w:sz w:val="16"/>
                <w:szCs w:val="16"/>
              </w:rPr>
            </w:pPr>
            <w:r w:rsidRPr="003A6AA5">
              <w:rPr>
                <w:rFonts w:ascii="Times New Roman" w:hAnsi="Times New Roman" w:cs="Times New Roman"/>
                <w:b/>
                <w:bCs w:val="0"/>
                <w:color w:val="0000FF"/>
                <w:sz w:val="20"/>
                <w:szCs w:val="20"/>
              </w:rPr>
              <w:t>Author Inferred TRV</w:t>
            </w:r>
          </w:p>
          <w:p w14:paraId="5F943985" w14:textId="139BE8A7" w:rsidR="000F52F9" w:rsidRPr="003A6AA5" w:rsidRDefault="000F52F9" w:rsidP="00F31134">
            <w:pPr>
              <w:ind w:left="57" w:right="57"/>
              <w:rPr>
                <w:rFonts w:ascii="Times New Roman" w:hAnsi="Times New Roman" w:cs="Times New Roman"/>
                <w:b/>
                <w:sz w:val="16"/>
                <w:szCs w:val="16"/>
              </w:rPr>
            </w:pPr>
            <w:r w:rsidRPr="003A6AA5">
              <w:rPr>
                <w:rFonts w:ascii="Times New Roman" w:hAnsi="Times New Roman" w:cs="Times New Roman"/>
                <w:b/>
                <w:sz w:val="16"/>
                <w:szCs w:val="16"/>
              </w:rPr>
              <w:t>5.0 µg/kg bw/day MeHg</w:t>
            </w:r>
          </w:p>
          <w:p w14:paraId="546F8AB7" w14:textId="06F9E88F" w:rsidR="000F52F9" w:rsidRPr="003A6AA5" w:rsidRDefault="0092112B"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Not explicitly derived by</w:t>
            </w:r>
            <w:r w:rsidR="00BF0B94" w:rsidRPr="003A6AA5">
              <w:rPr>
                <w:rFonts w:ascii="Times New Roman" w:hAnsi="Times New Roman" w:cs="Times New Roman"/>
                <w:sz w:val="16"/>
                <w:szCs w:val="16"/>
              </w:rPr>
              <w:t xml:space="preserve"> either </w:t>
            </w:r>
            <w:r w:rsidR="000F52F9" w:rsidRPr="003A6AA5">
              <w:rPr>
                <w:rFonts w:ascii="Times New Roman" w:hAnsi="Times New Roman" w:cs="Times New Roman"/>
                <w:sz w:val="16"/>
                <w:szCs w:val="16"/>
              </w:rPr>
              <w:t xml:space="preserve">SEG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(1971)</w:t>
            </w:r>
            <w:r w:rsidR="000F52F9" w:rsidRPr="003A6AA5">
              <w:rPr>
                <w:sz w:val="16"/>
                <w:szCs w:val="16"/>
              </w:rPr>
              <w:fldChar w:fldCharType="end"/>
            </w:r>
            <w:r w:rsidR="000F52F9" w:rsidRPr="003A6AA5">
              <w:rPr>
                <w:rFonts w:ascii="Times New Roman" w:hAnsi="Times New Roman" w:cs="Times New Roman"/>
                <w:sz w:val="16"/>
                <w:szCs w:val="16"/>
              </w:rPr>
              <w:t xml:space="preserve"> </w:t>
            </w:r>
            <w:r w:rsidR="00BF0B94" w:rsidRPr="003A6AA5">
              <w:rPr>
                <w:rFonts w:ascii="Times New Roman" w:hAnsi="Times New Roman" w:cs="Times New Roman"/>
                <w:sz w:val="16"/>
                <w:szCs w:val="16"/>
              </w:rPr>
              <w:t>or</w:t>
            </w:r>
            <w:r w:rsidR="000F52F9" w:rsidRPr="003A6AA5">
              <w:rPr>
                <w:rFonts w:ascii="Times New Roman" w:hAnsi="Times New Roman" w:cs="Times New Roman"/>
                <w:sz w:val="16"/>
                <w:szCs w:val="16"/>
              </w:rPr>
              <w:t xml:space="preserve"> JECFA </w:t>
            </w:r>
            <w:r w:rsidR="000F52F9" w:rsidRPr="003A6AA5">
              <w:rPr>
                <w:sz w:val="16"/>
                <w:szCs w:val="16"/>
              </w:rPr>
              <w:fldChar w:fldCharType="begin" w:fldLock="1"/>
            </w:r>
            <w:r w:rsidR="000F52F9" w:rsidRPr="003A6AA5">
              <w:rPr>
                <w:rFonts w:ascii="Times New Roman" w:hAnsi="Times New Roman" w:cs="Times New Roman"/>
                <w:sz w:val="16"/>
                <w:szCs w:val="16"/>
              </w:rP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suppress-author":1,"uris":["http://www.mendeley.com/documents/?uuid=e1036a63-44c8-43dd-bdf0-70cbc176eb58"]}],"mendeley":{"formattedCitation":"(1972)","plainTextFormattedCitation":"(1972)","previouslyFormattedCitation":"(1972)"},"properties":{"noteIndex":0},"schema":"https://github.com/citation-style-language/schema/raw/master/csl-citation.json"}</w:instrText>
            </w:r>
            <w:r w:rsidR="000F52F9" w:rsidRPr="003A6AA5">
              <w:rPr>
                <w:sz w:val="16"/>
                <w:szCs w:val="16"/>
              </w:rPr>
              <w:fldChar w:fldCharType="separate"/>
            </w:r>
            <w:r w:rsidR="000F52F9" w:rsidRPr="003A6AA5">
              <w:rPr>
                <w:rFonts w:ascii="Times New Roman" w:hAnsi="Times New Roman" w:cs="Times New Roman"/>
                <w:noProof/>
                <w:sz w:val="16"/>
                <w:szCs w:val="16"/>
              </w:rPr>
              <w:t>(1972)</w:t>
            </w:r>
            <w:r w:rsidR="000F52F9" w:rsidRPr="003A6AA5">
              <w:rPr>
                <w:sz w:val="16"/>
                <w:szCs w:val="16"/>
              </w:rPr>
              <w:fldChar w:fldCharType="end"/>
            </w:r>
            <w:r w:rsidR="000F52F9" w:rsidRPr="003A6AA5">
              <w:rPr>
                <w:rFonts w:ascii="Times New Roman" w:hAnsi="Times New Roman" w:cs="Times New Roman"/>
                <w:sz w:val="16"/>
                <w:szCs w:val="16"/>
              </w:rPr>
              <w:t xml:space="preserve"> but can be calculated from the JECFA daily per person P</w:t>
            </w:r>
            <w:r w:rsidR="00BF0B94" w:rsidRPr="003A6AA5">
              <w:rPr>
                <w:rFonts w:ascii="Times New Roman" w:hAnsi="Times New Roman" w:cs="Times New Roman"/>
                <w:sz w:val="16"/>
                <w:szCs w:val="16"/>
              </w:rPr>
              <w:t>o</w:t>
            </w:r>
            <w:r w:rsidR="000F52F9" w:rsidRPr="003A6AA5">
              <w:rPr>
                <w:rFonts w:ascii="Times New Roman" w:hAnsi="Times New Roman" w:cs="Times New Roman"/>
                <w:sz w:val="16"/>
                <w:szCs w:val="16"/>
              </w:rPr>
              <w:t xml:space="preserve">D assuming a 60kg adult: </w:t>
            </w:r>
          </w:p>
          <w:p w14:paraId="562981CB" w14:textId="692BDA75" w:rsidR="000F52F9" w:rsidRPr="003A6AA5" w:rsidRDefault="000F52F9"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 xml:space="preserve">[300 µg/day MeHg] </w:t>
            </w:r>
            <w:r w:rsidR="001D6BD5" w:rsidRPr="003A6AA5">
              <w:rPr>
                <w:sz w:val="16"/>
                <w:szCs w:val="16"/>
              </w:rPr>
              <w:t>÷</w:t>
            </w:r>
            <w:r w:rsidRPr="003A6AA5">
              <w:rPr>
                <w:rFonts w:ascii="Times New Roman" w:hAnsi="Times New Roman" w:cs="Times New Roman"/>
                <w:sz w:val="16"/>
                <w:szCs w:val="16"/>
              </w:rPr>
              <w:t xml:space="preserve"> 60kg </w:t>
            </w:r>
          </w:p>
          <w:p w14:paraId="1165377E" w14:textId="1C58B7CC" w:rsidR="000F52F9" w:rsidRPr="003A6AA5" w:rsidRDefault="000F52F9"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 5.0 µg/kg bw/day MeHg</w:t>
            </w:r>
            <w:r w:rsidR="00737D8F" w:rsidRPr="003A6AA5">
              <w:rPr>
                <w:rFonts w:ascii="Times New Roman" w:hAnsi="Times New Roman" w:cs="Times New Roman"/>
                <w:sz w:val="16"/>
                <w:szCs w:val="16"/>
              </w:rPr>
              <w:t>)</w:t>
            </w:r>
          </w:p>
        </w:tc>
        <w:tc>
          <w:tcPr>
            <w:tcW w:w="1560" w:type="dxa"/>
            <w:vMerge/>
          </w:tcPr>
          <w:p w14:paraId="730EA214" w14:textId="77777777" w:rsidR="000F52F9" w:rsidRPr="003A6AA5" w:rsidRDefault="000F52F9" w:rsidP="00F31134">
            <w:pPr>
              <w:ind w:left="57" w:right="57"/>
              <w:rPr>
                <w:rFonts w:ascii="Times New Roman" w:hAnsi="Times New Roman" w:cs="Times New Roman"/>
                <w:sz w:val="16"/>
                <w:szCs w:val="16"/>
              </w:rPr>
            </w:pPr>
          </w:p>
        </w:tc>
        <w:tc>
          <w:tcPr>
            <w:tcW w:w="3870" w:type="dxa"/>
          </w:tcPr>
          <w:p w14:paraId="797933E6" w14:textId="77777777" w:rsidR="00C47F2F" w:rsidRPr="003A6AA5" w:rsidRDefault="00C47F2F" w:rsidP="00612FA0">
            <w:pPr>
              <w:ind w:left="57" w:right="57"/>
              <w:rPr>
                <w:rFonts w:ascii="Times New Roman" w:hAnsi="Times New Roman" w:cs="Times New Roman"/>
                <w:b/>
                <w:sz w:val="20"/>
                <w:szCs w:val="20"/>
              </w:rPr>
            </w:pPr>
            <w:r w:rsidRPr="003A6AA5">
              <w:rPr>
                <w:rFonts w:ascii="Times New Roman" w:hAnsi="Times New Roman" w:cs="Times New Roman"/>
                <w:b/>
                <w:sz w:val="20"/>
                <w:szCs w:val="20"/>
              </w:rPr>
              <w:t>BCS Derived TRV</w:t>
            </w:r>
          </w:p>
          <w:p w14:paraId="136CDA25" w14:textId="77777777" w:rsidR="000F52F9" w:rsidRPr="003A6AA5" w:rsidRDefault="000F52F9" w:rsidP="00F31134">
            <w:pPr>
              <w:ind w:left="57" w:right="57"/>
              <w:rPr>
                <w:rFonts w:ascii="Times New Roman" w:hAnsi="Times New Roman" w:cs="Times New Roman"/>
                <w:b/>
                <w:sz w:val="20"/>
                <w:szCs w:val="20"/>
                <w:vertAlign w:val="superscript"/>
              </w:rPr>
            </w:pPr>
            <w:r w:rsidRPr="003A6AA5">
              <w:rPr>
                <w:rFonts w:ascii="Times New Roman" w:hAnsi="Times New Roman" w:cs="Times New Roman"/>
                <w:b/>
                <w:sz w:val="20"/>
                <w:szCs w:val="20"/>
              </w:rPr>
              <w:t>0.47 µg/kg bw/day MeHg</w:t>
            </w:r>
          </w:p>
          <w:p w14:paraId="51F9811A" w14:textId="71D45660" w:rsidR="000F52F9" w:rsidRPr="003A6AA5" w:rsidRDefault="002B676C" w:rsidP="00F31134">
            <w:pPr>
              <w:ind w:left="57" w:right="57"/>
              <w:rPr>
                <w:rFonts w:ascii="Times New Roman" w:hAnsi="Times New Roman" w:cs="Times New Roman"/>
                <w:sz w:val="16"/>
                <w:szCs w:val="16"/>
              </w:rPr>
            </w:pPr>
            <w:r w:rsidRPr="003A6AA5">
              <w:rPr>
                <w:rFonts w:ascii="Times New Roman" w:hAnsi="Times New Roman" w:cs="Times New Roman"/>
                <w:sz w:val="16"/>
                <w:szCs w:val="16"/>
              </w:rPr>
              <w:t>(</w:t>
            </w:r>
            <w:r w:rsidR="000F52F9" w:rsidRPr="003A6AA5">
              <w:rPr>
                <w:rFonts w:ascii="Times New Roman" w:hAnsi="Times New Roman" w:cs="Times New Roman"/>
                <w:sz w:val="16"/>
                <w:szCs w:val="16"/>
              </w:rPr>
              <w:t xml:space="preserve">Reported as a pTDI by Health Canada’s BCS </w:t>
            </w:r>
            <w:r w:rsidR="000F52F9" w:rsidRPr="003A6AA5">
              <w:rPr>
                <w:sz w:val="16"/>
                <w:szCs w:val="16"/>
              </w:rPr>
              <w:fldChar w:fldCharType="begin" w:fldLock="1"/>
            </w:r>
            <w:r w:rsidR="00CB5BA7" w:rsidRPr="003A6AA5">
              <w:rPr>
                <w:rFonts w:ascii="Times New Roman" w:hAnsi="Times New Roman" w:cs="Times New Roman"/>
                <w:sz w:val="16"/>
                <w:szCs w:val="16"/>
              </w:rPr>
              <w:instrText>ADDIN CSL_CITATION {"citationItems":[{"id":"ITEM-1","itemData":{"author":[{"dropping-particle":"","family":"Health Canada","given":"","non-dropping-particle":"","parse-names":false,"suffix":""}],"id":"ITEM-1","issued":{"date-parts":[["2007"]]},"number-of-pages":"76","title":"Human Health Risk Assessment of Mercury in Fish and Health Benefits of Fish Consumption. (Bureau of Chemical Safety, Food Directorate, Health Products and Food Branch)","type":"report"},"uris":["http://www.mendeley.com/documents/?uuid=166e86a5-647a-4b9c-b6a7-5ba3b350708d"]},{"id":"ITEM-2","itemData":{"DOI":"10.1007/bf03405557","ISSN":"00084263","PMID":"20364534","abstract":"Exposure to methylmercury (MeHg) from fish and marine mammal consumption continues to present a public health concern. To date, developmental neurotoxicity is the most sensitive health outcome, forming the basis for health-risk assessments and the derivation of biomonitoring guidance values. This article summarizes existing Health Canada MeHg blood guidance values for general population and expands them to include a harmonized provisional interim blood guidance value of 8 μg/L based on the existing provisional Tolerable Daily Intake for children, pregnant women and women of childbearing age. Associated public health actions, according to age, sex, and level of exposure are recommended. © 2010 Canadian Public Health Association.","author":[{"dropping-particle":"","family":"Legrand","given":"Melissa","non-dropping-particle":"","parse-names":false,"suffix":""},{"dropping-particle":"","family":"Feeley","given":"Mark","non-dropping-particle":"","parse-names":false,"suffix":""},{"dropping-particle":"","family":"Tikhonov","given":"Constantine","non-dropping-particle":"","parse-names":false,"suffix":""},{"dropping-particle":"","family":"Schoen","given":"Deborah","non-dropping-particle":"","parse-names":false,"suffix":""},{"dropping-particle":"","family":"Li-Muller","given":"Angela","non-dropping-particle":"","parse-names":false,"suffix":""}],"container-title":"Canadian Journal of Public Health","id":"ITEM-2","issue":"1","issued":{"date-parts":[["2010"]]},"page":"28-31","title":"Methylmercury blood guidance values for Canada","type":"article-journal","volume":"101"},"uris":["http://www.mendeley.com/documents/?uuid=1e91e621-8f56-4267-b116-93f6661aa561"]},{"id":"ITEM-3","itemData":{"author":[{"dropping-particle":"","family":"Health Canada","given":"","non-dropping-particle":"","parse-names":false,"suffix":""}],"id":"ITEM-3","issued":{"date-parts":[["1997"]]},"number-of-pages":"1-3","title":"pTDI of methylmercury (MeHg) for pregnant women and infants - rationale. Bureau of Chemical Safety. (unpublished)","type":"report"},"uris":["http://www.mendeley.com/documents/?uuid=4825c872-1d65-40b7-a151-7cc727c5820b"]}],"mendeley":{"formattedCitation":"(Health Canada, 1997, 2007; Legrand et al., 2010)","plainTextFormattedCitation":"(Health Canada, 1997, 2007; Legrand et al., 2010)","previouslyFormattedCitation":"(Health Canada, 1997, 2007; Legrand et al., 2010)"},"properties":{"noteIndex":0},"schema":"https://github.com/citation-style-language/schema/raw/master/csl-citation.json"}</w:instrText>
            </w:r>
            <w:r w:rsidR="000F52F9" w:rsidRPr="003A6AA5">
              <w:rPr>
                <w:sz w:val="16"/>
                <w:szCs w:val="16"/>
              </w:rPr>
              <w:fldChar w:fldCharType="separate"/>
            </w:r>
            <w:r w:rsidR="005E60F4" w:rsidRPr="003A6AA5">
              <w:rPr>
                <w:rFonts w:ascii="Times New Roman" w:hAnsi="Times New Roman" w:cs="Times New Roman"/>
                <w:noProof/>
                <w:sz w:val="16"/>
                <w:szCs w:val="16"/>
              </w:rPr>
              <w:t>(Health Canada, 1997, 2007; Legrand et al., 2010)</w:t>
            </w:r>
            <w:r w:rsidR="000F52F9" w:rsidRPr="003A6AA5">
              <w:rPr>
                <w:sz w:val="16"/>
                <w:szCs w:val="16"/>
              </w:rPr>
              <w:fldChar w:fldCharType="end"/>
            </w:r>
            <w:r w:rsidR="000F52F9" w:rsidRPr="003A6AA5">
              <w:rPr>
                <w:rFonts w:ascii="Times New Roman" w:hAnsi="Times New Roman" w:cs="Times New Roman"/>
                <w:sz w:val="16"/>
                <w:szCs w:val="16"/>
              </w:rPr>
              <w:t xml:space="preserve"> calculated from JECFA’s rounded pTWI of 3.3 µg/kg bw/week </w:t>
            </w:r>
            <w:r w:rsidR="000F52F9" w:rsidRPr="003A6AA5">
              <w:rPr>
                <w:rFonts w:ascii="Grotesque" w:hAnsi="Grotesque" w:cs="Times New Roman"/>
                <w:sz w:val="16"/>
                <w:szCs w:val="16"/>
              </w:rPr>
              <w:t>÷</w:t>
            </w:r>
            <w:r w:rsidR="000F52F9" w:rsidRPr="003A6AA5">
              <w:rPr>
                <w:rFonts w:ascii="Times New Roman" w:hAnsi="Times New Roman" w:cs="Times New Roman"/>
                <w:sz w:val="16"/>
                <w:szCs w:val="16"/>
              </w:rPr>
              <w:t xml:space="preserve"> 7days/week = 0.47 µg/kg bw/day </w:t>
            </w:r>
            <w:r w:rsidR="000F52F9" w:rsidRPr="003A6AA5">
              <w:rPr>
                <w:rFonts w:ascii="Times New Roman" w:hAnsi="Times New Roman" w:cs="Times New Roman"/>
                <w:sz w:val="16"/>
                <w:szCs w:val="16"/>
                <w:vertAlign w:val="superscript"/>
              </w:rPr>
              <w:t>b</w:t>
            </w:r>
            <w:r w:rsidR="000F52F9" w:rsidRPr="003A6AA5">
              <w:rPr>
                <w:rFonts w:ascii="Times New Roman" w:hAnsi="Times New Roman" w:cs="Times New Roman"/>
                <w:sz w:val="16"/>
                <w:szCs w:val="16"/>
              </w:rPr>
              <w:t xml:space="preserve"> </w:t>
            </w:r>
            <w:r w:rsidRPr="003A6AA5">
              <w:rPr>
                <w:rFonts w:ascii="Times New Roman" w:hAnsi="Times New Roman" w:cs="Times New Roman"/>
                <w:sz w:val="16"/>
                <w:szCs w:val="16"/>
              </w:rPr>
              <w:t>)</w:t>
            </w:r>
          </w:p>
          <w:p w14:paraId="6BDA9D1B" w14:textId="6B060D21" w:rsidR="000F52F9" w:rsidRPr="003A6AA5" w:rsidRDefault="000F52F9" w:rsidP="00F31134">
            <w:pPr>
              <w:ind w:left="57" w:right="57"/>
              <w:rPr>
                <w:rFonts w:ascii="Times New Roman" w:hAnsi="Times New Roman" w:cs="Times New Roman"/>
                <w:sz w:val="16"/>
                <w:szCs w:val="16"/>
              </w:rPr>
            </w:pPr>
          </w:p>
          <w:p w14:paraId="0A3AF864" w14:textId="77777777" w:rsidR="00C07E42" w:rsidRPr="003A6AA5" w:rsidRDefault="00C07E42" w:rsidP="00612FA0">
            <w:pPr>
              <w:ind w:left="57" w:right="57"/>
              <w:rPr>
                <w:rFonts w:ascii="Times New Roman" w:hAnsi="Times New Roman" w:cs="Times New Roman"/>
                <w:b/>
                <w:bCs w:val="0"/>
                <w:color w:val="0000FF"/>
                <w:sz w:val="16"/>
                <w:szCs w:val="16"/>
              </w:rPr>
            </w:pPr>
          </w:p>
          <w:p w14:paraId="2A5899A4" w14:textId="77777777" w:rsidR="00062846" w:rsidRPr="003A6AA5" w:rsidRDefault="00062846" w:rsidP="00062846">
            <w:pPr>
              <w:ind w:right="57"/>
              <w:rPr>
                <w:rFonts w:ascii="Times New Roman" w:hAnsi="Times New Roman" w:cs="Times New Roman"/>
                <w:b/>
                <w:color w:val="0000FF"/>
                <w:sz w:val="20"/>
                <w:szCs w:val="20"/>
              </w:rPr>
            </w:pPr>
            <w:r w:rsidRPr="003A6AA5">
              <w:rPr>
                <w:rFonts w:ascii="Times New Roman" w:hAnsi="Times New Roman" w:cs="Times New Roman"/>
                <w:b/>
                <w:color w:val="0000FF"/>
                <w:sz w:val="20"/>
                <w:szCs w:val="20"/>
              </w:rPr>
              <w:t>Author Inferred TRV</w:t>
            </w:r>
          </w:p>
          <w:p w14:paraId="3CCA0CC5" w14:textId="3153EF8C" w:rsidR="000F52F9" w:rsidRPr="003A6AA5" w:rsidRDefault="000F52F9" w:rsidP="00F31134">
            <w:pPr>
              <w:ind w:left="57" w:right="57"/>
              <w:rPr>
                <w:rFonts w:ascii="Times New Roman" w:hAnsi="Times New Roman" w:cs="Times New Roman"/>
                <w:color w:val="000000" w:themeColor="text1"/>
                <w:sz w:val="20"/>
                <w:szCs w:val="20"/>
              </w:rPr>
            </w:pPr>
            <w:r w:rsidRPr="003A6AA5">
              <w:rPr>
                <w:rFonts w:ascii="Times New Roman" w:hAnsi="Times New Roman" w:cs="Times New Roman"/>
                <w:b/>
                <w:color w:val="000000" w:themeColor="text1"/>
                <w:sz w:val="20"/>
                <w:szCs w:val="20"/>
              </w:rPr>
              <w:t>0.5</w:t>
            </w:r>
            <w:r w:rsidRPr="003A6AA5">
              <w:rPr>
                <w:rFonts w:ascii="Times New Roman" w:hAnsi="Times New Roman" w:cs="Times New Roman"/>
                <w:color w:val="000000" w:themeColor="text1"/>
                <w:sz w:val="20"/>
                <w:szCs w:val="20"/>
              </w:rPr>
              <w:t xml:space="preserve"> </w:t>
            </w:r>
            <w:r w:rsidRPr="003A6AA5">
              <w:rPr>
                <w:rFonts w:ascii="Times New Roman" w:hAnsi="Times New Roman" w:cs="Times New Roman"/>
                <w:b/>
                <w:color w:val="000000" w:themeColor="text1"/>
                <w:sz w:val="20"/>
                <w:szCs w:val="20"/>
              </w:rPr>
              <w:t>µg/kg bw/day MeHg</w:t>
            </w:r>
          </w:p>
          <w:p w14:paraId="2E58B410" w14:textId="3F4E0486" w:rsidR="000F52F9" w:rsidRPr="00187523" w:rsidRDefault="00EC6D77" w:rsidP="00F31134">
            <w:pPr>
              <w:ind w:left="57" w:right="57"/>
              <w:rPr>
                <w:rFonts w:ascii="Times New Roman" w:hAnsi="Times New Roman" w:cs="Times New Roman"/>
                <w:bCs w:val="0"/>
                <w:sz w:val="16"/>
                <w:szCs w:val="16"/>
              </w:rPr>
            </w:pPr>
            <w:r w:rsidRPr="003A6AA5">
              <w:rPr>
                <w:rFonts w:ascii="Times New Roman" w:hAnsi="Times New Roman" w:cs="Times New Roman"/>
                <w:bCs w:val="0"/>
                <w:sz w:val="16"/>
                <w:szCs w:val="16"/>
              </w:rPr>
              <w:t>(</w:t>
            </w:r>
            <w:r w:rsidR="00097794" w:rsidRPr="003A6AA5">
              <w:rPr>
                <w:rFonts w:ascii="Times New Roman" w:hAnsi="Times New Roman" w:cs="Times New Roman"/>
                <w:bCs w:val="0"/>
                <w:sz w:val="16"/>
                <w:szCs w:val="16"/>
              </w:rPr>
              <w:t xml:space="preserve">To align with </w:t>
            </w:r>
            <w:r w:rsidR="00184A59" w:rsidRPr="003A6AA5">
              <w:rPr>
                <w:rFonts w:ascii="Times New Roman" w:hAnsi="Times New Roman" w:cs="Times New Roman"/>
                <w:bCs w:val="0"/>
                <w:sz w:val="16"/>
                <w:szCs w:val="16"/>
              </w:rPr>
              <w:t xml:space="preserve">similar notation in </w:t>
            </w:r>
            <w:r w:rsidR="00D17073" w:rsidRPr="003A6AA5">
              <w:rPr>
                <w:rFonts w:ascii="Times New Roman" w:hAnsi="Times New Roman" w:cs="Times New Roman"/>
                <w:bCs w:val="0"/>
                <w:sz w:val="16"/>
                <w:szCs w:val="16"/>
              </w:rPr>
              <w:t xml:space="preserve">the JECFA </w:t>
            </w:r>
            <w:r w:rsidR="0032309F" w:rsidRPr="003A6AA5">
              <w:rPr>
                <w:rFonts w:ascii="Times New Roman" w:hAnsi="Times New Roman" w:cs="Times New Roman"/>
                <w:bCs w:val="0"/>
                <w:sz w:val="16"/>
                <w:szCs w:val="16"/>
              </w:rPr>
              <w:t xml:space="preserve">Table S1.2, </w:t>
            </w:r>
            <w:r w:rsidR="00532526" w:rsidRPr="003A6AA5">
              <w:rPr>
                <w:rFonts w:ascii="Times New Roman" w:hAnsi="Times New Roman" w:cs="Times New Roman"/>
                <w:bCs w:val="0"/>
                <w:sz w:val="16"/>
                <w:szCs w:val="16"/>
              </w:rPr>
              <w:t>a</w:t>
            </w:r>
            <w:r w:rsidR="000F52F9" w:rsidRPr="003A6AA5">
              <w:rPr>
                <w:rFonts w:ascii="Times New Roman" w:hAnsi="Times New Roman" w:cs="Times New Roman"/>
                <w:bCs w:val="0"/>
                <w:sz w:val="16"/>
                <w:szCs w:val="16"/>
              </w:rPr>
              <w:t>n</w:t>
            </w:r>
            <w:r w:rsidR="000F52F9" w:rsidRPr="003A6AA5">
              <w:rPr>
                <w:rFonts w:ascii="Times New Roman" w:hAnsi="Times New Roman" w:cs="Times New Roman"/>
                <w:sz w:val="16"/>
                <w:szCs w:val="16"/>
              </w:rPr>
              <w:t xml:space="preserve"> alternative daily per body weight TRV can also be derived directly from JECFA’s daily per person P</w:t>
            </w:r>
            <w:r w:rsidR="00BF0B94" w:rsidRPr="003A6AA5">
              <w:rPr>
                <w:rFonts w:ascii="Times New Roman" w:hAnsi="Times New Roman" w:cs="Times New Roman"/>
                <w:sz w:val="16"/>
                <w:szCs w:val="16"/>
              </w:rPr>
              <w:t>o</w:t>
            </w:r>
            <w:r w:rsidR="000F52F9" w:rsidRPr="003A6AA5">
              <w:rPr>
                <w:rFonts w:ascii="Times New Roman" w:hAnsi="Times New Roman" w:cs="Times New Roman"/>
                <w:sz w:val="16"/>
                <w:szCs w:val="16"/>
              </w:rPr>
              <w:t xml:space="preserve">D and unrounded TWIs </w:t>
            </w:r>
            <w:r w:rsidR="000F52F9" w:rsidRPr="003A6AA5">
              <w:rPr>
                <w:rFonts w:ascii="Times New Roman" w:hAnsi="Times New Roman" w:cs="Times New Roman"/>
                <w:sz w:val="16"/>
                <w:szCs w:val="16"/>
                <w:vertAlign w:val="superscript"/>
              </w:rPr>
              <w:t>c</w:t>
            </w:r>
            <w:r w:rsidR="000F52F9" w:rsidRPr="003A6AA5">
              <w:rPr>
                <w:rFonts w:ascii="Times New Roman" w:hAnsi="Times New Roman" w:cs="Times New Roman"/>
                <w:sz w:val="16"/>
                <w:szCs w:val="16"/>
              </w:rPr>
              <w:t xml:space="preserve"> </w:t>
            </w:r>
            <w:r w:rsidR="0043196A" w:rsidRPr="003A6AA5">
              <w:rPr>
                <w:rFonts w:ascii="Times New Roman" w:hAnsi="Times New Roman" w:cs="Times New Roman"/>
                <w:bCs w:val="0"/>
                <w:sz w:val="16"/>
                <w:szCs w:val="16"/>
              </w:rPr>
              <w:t>.</w:t>
            </w:r>
            <w:r w:rsidR="00747921" w:rsidRPr="003A6AA5">
              <w:rPr>
                <w:rFonts w:ascii="Times New Roman" w:hAnsi="Times New Roman" w:cs="Times New Roman"/>
                <w:bCs w:val="0"/>
                <w:sz w:val="16"/>
                <w:szCs w:val="16"/>
              </w:rPr>
              <w:t>)</w:t>
            </w:r>
            <w:r w:rsidR="00B14612">
              <w:rPr>
                <w:rFonts w:ascii="Times New Roman" w:hAnsi="Times New Roman" w:cs="Times New Roman"/>
                <w:bCs w:val="0"/>
                <w:sz w:val="16"/>
                <w:szCs w:val="16"/>
              </w:rPr>
              <w:t xml:space="preserve"> </w:t>
            </w:r>
          </w:p>
          <w:p w14:paraId="1C00A321" w14:textId="77777777" w:rsidR="000F52F9" w:rsidRPr="00187523" w:rsidRDefault="000F52F9" w:rsidP="00F31134">
            <w:pPr>
              <w:ind w:left="57" w:right="57"/>
              <w:rPr>
                <w:rFonts w:ascii="Times New Roman" w:hAnsi="Times New Roman" w:cs="Times New Roman"/>
                <w:sz w:val="16"/>
                <w:szCs w:val="16"/>
              </w:rPr>
            </w:pPr>
            <w:r w:rsidRPr="00187523">
              <w:rPr>
                <w:rFonts w:ascii="Times New Roman" w:hAnsi="Times New Roman" w:cs="Times New Roman"/>
                <w:sz w:val="16"/>
                <w:szCs w:val="16"/>
              </w:rPr>
              <w:t xml:space="preserve"> </w:t>
            </w:r>
          </w:p>
        </w:tc>
      </w:tr>
    </w:tbl>
    <w:p w14:paraId="5F73EA09" w14:textId="4B96F381" w:rsidR="0000423D" w:rsidRPr="003A6AA5" w:rsidRDefault="0000423D" w:rsidP="0000423D">
      <w:pPr>
        <w:ind w:left="57" w:right="57"/>
        <w:rPr>
          <w:bCs/>
          <w:sz w:val="16"/>
          <w:szCs w:val="16"/>
        </w:rPr>
      </w:pPr>
      <w:r w:rsidRPr="003A6AA5">
        <w:rPr>
          <w:sz w:val="16"/>
          <w:szCs w:val="16"/>
          <w:vertAlign w:val="superscript"/>
        </w:rPr>
        <w:t xml:space="preserve">a </w:t>
      </w:r>
      <w:r w:rsidRPr="003A6AA5">
        <w:rPr>
          <w:sz w:val="16"/>
          <w:szCs w:val="16"/>
        </w:rPr>
        <w:t xml:space="preserve">A hair TRV of 6 µg/g THg rather than 5 µg/g has historically been used by the Medical Services Branch of Health Canada (Health &amp; Welfare Canada, 1979) and later </w:t>
      </w:r>
      <w:r w:rsidR="00C30833" w:rsidRPr="003A6AA5">
        <w:rPr>
          <w:sz w:val="16"/>
          <w:szCs w:val="16"/>
        </w:rPr>
        <w:t>Indigenous Services Canada</w:t>
      </w:r>
      <w:r w:rsidR="00C30833" w:rsidRPr="003A6AA5" w:rsidDel="00C30833">
        <w:rPr>
          <w:sz w:val="16"/>
          <w:szCs w:val="16"/>
        </w:rPr>
        <w:t xml:space="preserve"> </w:t>
      </w:r>
      <w:r w:rsidRPr="003A6AA5">
        <w:rPr>
          <w:sz w:val="16"/>
          <w:szCs w:val="16"/>
        </w:rPr>
        <w:t xml:space="preserve">(Tikhonov et al., 2021). The reason for this difference is that the Medical Services Branch initially only derived a blood TRV of 20 µg/L THg and used a hair:blood conversion of 0.300:1 to derive the hair TRV of 6 µg/g THg. </w:t>
      </w:r>
    </w:p>
    <w:p w14:paraId="7CE64FB4" w14:textId="60ADCE7E" w:rsidR="0000423D" w:rsidRPr="003A6AA5" w:rsidRDefault="0000423D" w:rsidP="0000423D">
      <w:pPr>
        <w:ind w:left="57" w:right="57"/>
        <w:rPr>
          <w:sz w:val="16"/>
          <w:szCs w:val="16"/>
        </w:rPr>
      </w:pPr>
      <w:r w:rsidRPr="003A6AA5">
        <w:rPr>
          <w:sz w:val="16"/>
          <w:szCs w:val="16"/>
          <w:vertAlign w:val="superscript"/>
        </w:rPr>
        <w:t xml:space="preserve">b </w:t>
      </w:r>
      <w:r w:rsidRPr="003A6AA5">
        <w:rPr>
          <w:sz w:val="16"/>
          <w:szCs w:val="16"/>
        </w:rPr>
        <w:t xml:space="preserve">The reported pTDI of 0.47 µg/kg bw/day was calculated from the JECFA’s rounded TWI of 3.3 µg/kg bw/week, when </w:t>
      </w:r>
      <w:r w:rsidRPr="003A6AA5">
        <w:rPr>
          <w:rFonts w:ascii="Grotesque" w:hAnsi="Grotesque"/>
          <w:sz w:val="16"/>
          <w:szCs w:val="16"/>
        </w:rPr>
        <w:t>÷</w:t>
      </w:r>
      <w:r w:rsidRPr="003A6AA5">
        <w:rPr>
          <w:sz w:val="16"/>
          <w:szCs w:val="16"/>
        </w:rPr>
        <w:t xml:space="preserve"> 7days/week gives the reported pTDI of 0.47 µg/kg bw/day. However, unrounded JECFA TWIs can be calculated directly from JECFA’s oral </w:t>
      </w:r>
      <w:r w:rsidR="004500A1" w:rsidRPr="003A6AA5">
        <w:rPr>
          <w:sz w:val="16"/>
          <w:szCs w:val="16"/>
        </w:rPr>
        <w:t>PoD</w:t>
      </w:r>
      <w:r w:rsidRPr="003A6AA5">
        <w:rPr>
          <w:sz w:val="16"/>
          <w:szCs w:val="16"/>
        </w:rPr>
        <w:t xml:space="preserve"> of 300 µg/day MeHg as follows: JECFA daily </w:t>
      </w:r>
      <w:r w:rsidR="004500A1" w:rsidRPr="003A6AA5">
        <w:rPr>
          <w:sz w:val="16"/>
          <w:szCs w:val="16"/>
        </w:rPr>
        <w:t>PoD</w:t>
      </w:r>
      <w:r w:rsidRPr="003A6AA5">
        <w:rPr>
          <w:sz w:val="16"/>
          <w:szCs w:val="16"/>
        </w:rPr>
        <w:t xml:space="preserve"> of 300 µg/day ÷ UF10 = oral daily TDI of 30 µg/day, and unrounded weekly TWIs can be calculated as: daily TDI of 30 µg/day * 7 days/week = unrounded weekly TWIs of 210 µg/week or 3.5 µg/kg bw/week for a 60 kg adult</w:t>
      </w:r>
    </w:p>
    <w:p w14:paraId="2A8CB6EF" w14:textId="7147292A" w:rsidR="0000423D" w:rsidRPr="00187523" w:rsidRDefault="0000423D" w:rsidP="0000423D">
      <w:pPr>
        <w:ind w:left="57" w:right="57"/>
        <w:rPr>
          <w:sz w:val="16"/>
          <w:szCs w:val="16"/>
        </w:rPr>
      </w:pPr>
      <w:r w:rsidRPr="003A6AA5">
        <w:rPr>
          <w:sz w:val="16"/>
          <w:szCs w:val="16"/>
          <w:vertAlign w:val="superscript"/>
        </w:rPr>
        <w:t>c</w:t>
      </w:r>
      <w:r w:rsidRPr="003A6AA5">
        <w:rPr>
          <w:sz w:val="16"/>
          <w:szCs w:val="16"/>
        </w:rPr>
        <w:t xml:space="preserve"> An alternative oral TDI of 0.5 µg/kg bw/day MeHg</w:t>
      </w:r>
      <w:r w:rsidR="008A345A" w:rsidRPr="003A6AA5">
        <w:rPr>
          <w:sz w:val="16"/>
          <w:szCs w:val="16"/>
        </w:rPr>
        <w:t xml:space="preserve"> </w:t>
      </w:r>
      <w:r w:rsidRPr="003A6AA5">
        <w:rPr>
          <w:sz w:val="16"/>
          <w:szCs w:val="16"/>
        </w:rPr>
        <w:t xml:space="preserve">can be derived more directly from JECFAs unrounded daily </w:t>
      </w:r>
      <w:r w:rsidR="004500A1" w:rsidRPr="003A6AA5">
        <w:rPr>
          <w:sz w:val="16"/>
          <w:szCs w:val="16"/>
        </w:rPr>
        <w:t>PoD</w:t>
      </w:r>
      <w:r w:rsidRPr="003A6AA5">
        <w:rPr>
          <w:sz w:val="16"/>
          <w:szCs w:val="16"/>
        </w:rPr>
        <w:t xml:space="preserve"> (i.e. daily </w:t>
      </w:r>
      <w:r w:rsidR="004500A1" w:rsidRPr="003A6AA5">
        <w:rPr>
          <w:sz w:val="16"/>
          <w:szCs w:val="16"/>
        </w:rPr>
        <w:t>PoD</w:t>
      </w:r>
      <w:r w:rsidRPr="003A6AA5">
        <w:rPr>
          <w:sz w:val="16"/>
          <w:szCs w:val="16"/>
        </w:rPr>
        <w:t xml:space="preserve"> of 300 µg/day MeHg ÷ UF10 </w:t>
      </w:r>
      <w:r w:rsidR="00E453E4" w:rsidRPr="003A6AA5">
        <w:rPr>
          <w:sz w:val="16"/>
          <w:szCs w:val="16"/>
        </w:rPr>
        <w:t>÷</w:t>
      </w:r>
      <w:r w:rsidRPr="003A6AA5">
        <w:rPr>
          <w:sz w:val="16"/>
          <w:szCs w:val="16"/>
        </w:rPr>
        <w:t xml:space="preserve"> 60kg = TDI of 0.5 µg/kg bw/day MeHg) or unrounded weekly TWI i.e. unrounded weekly TWI of 210 µg/week MeHg ÷ 7 days/week </w:t>
      </w:r>
      <w:r w:rsidR="00E453E4" w:rsidRPr="003A6AA5">
        <w:rPr>
          <w:sz w:val="16"/>
          <w:szCs w:val="16"/>
        </w:rPr>
        <w:t>÷</w:t>
      </w:r>
      <w:r w:rsidRPr="003A6AA5">
        <w:rPr>
          <w:sz w:val="16"/>
          <w:szCs w:val="16"/>
        </w:rPr>
        <w:t xml:space="preserve"> 60kg = TDI of 0.5 µg/kg bw/day MeHg. See Table </w:t>
      </w:r>
      <w:r w:rsidR="00112693" w:rsidRPr="003A6AA5">
        <w:rPr>
          <w:sz w:val="16"/>
          <w:szCs w:val="16"/>
        </w:rPr>
        <w:t>S1.2</w:t>
      </w:r>
      <w:r w:rsidRPr="003A6AA5">
        <w:rPr>
          <w:sz w:val="16"/>
          <w:szCs w:val="16"/>
        </w:rPr>
        <w:t xml:space="preserve"> for additional explanation of JECFA’s </w:t>
      </w:r>
      <w:r w:rsidR="004500A1" w:rsidRPr="003A6AA5">
        <w:rPr>
          <w:sz w:val="16"/>
          <w:szCs w:val="16"/>
        </w:rPr>
        <w:t>PoD</w:t>
      </w:r>
      <w:r w:rsidRPr="003A6AA5">
        <w:rPr>
          <w:sz w:val="16"/>
          <w:szCs w:val="16"/>
        </w:rPr>
        <w:t>s and TRVs.</w:t>
      </w:r>
      <w:r w:rsidRPr="00187523">
        <w:rPr>
          <w:sz w:val="16"/>
          <w:szCs w:val="16"/>
        </w:rPr>
        <w:t xml:space="preserve"> </w:t>
      </w:r>
    </w:p>
    <w:p w14:paraId="780A6EEF" w14:textId="77777777" w:rsidR="00457C3D" w:rsidRDefault="00457C3D" w:rsidP="002C43E2">
      <w:pPr>
        <w:keepNext/>
        <w:keepLines/>
        <w:widowControl w:val="0"/>
      </w:pPr>
    </w:p>
    <w:p w14:paraId="48569A0C" w14:textId="4C7E1FDA" w:rsidR="00311243" w:rsidRDefault="00311243">
      <w:r>
        <w:br w:type="page"/>
      </w:r>
    </w:p>
    <w:p w14:paraId="6B9C769A" w14:textId="100FE90A" w:rsidR="00112670" w:rsidRPr="00311243" w:rsidRDefault="00761CFC" w:rsidP="00112670">
      <w:pPr>
        <w:pStyle w:val="Heading2"/>
      </w:pPr>
      <w:r w:rsidRPr="00311243">
        <w:lastRenderedPageBreak/>
        <w:t>Indigenous Services Canada</w:t>
      </w:r>
      <w:r w:rsidR="007B3538" w:rsidRPr="00311243">
        <w:t xml:space="preserve"> - </w:t>
      </w:r>
      <w:r w:rsidR="00A7608E" w:rsidRPr="00311243">
        <w:t xml:space="preserve">Exposure </w:t>
      </w:r>
      <w:r w:rsidR="00753A18" w:rsidRPr="00311243">
        <w:t xml:space="preserve">to MeHg </w:t>
      </w:r>
      <w:r w:rsidR="00F67EF1" w:rsidRPr="00311243">
        <w:t xml:space="preserve">through </w:t>
      </w:r>
      <w:r w:rsidR="00753A18" w:rsidRPr="00311243">
        <w:t>country foods</w:t>
      </w:r>
      <w:r w:rsidR="009B3256" w:rsidRPr="00311243">
        <w:rPr>
          <w:rStyle w:val="FootnoteReference"/>
        </w:rPr>
        <w:footnoteReference w:id="7"/>
      </w:r>
    </w:p>
    <w:p w14:paraId="4578F2EF" w14:textId="77777777" w:rsidR="00112670" w:rsidRPr="00311243" w:rsidRDefault="00112670" w:rsidP="002C43E2">
      <w:pPr>
        <w:keepNext/>
        <w:keepLines/>
        <w:widowControl w:val="0"/>
      </w:pPr>
    </w:p>
    <w:p w14:paraId="51710DA1" w14:textId="2439EB60" w:rsidR="00A033E0" w:rsidRPr="00311243" w:rsidRDefault="244A84C3">
      <w:r w:rsidRPr="00311243">
        <w:t xml:space="preserve">In 1979, </w:t>
      </w:r>
      <w:r w:rsidR="00D752B5" w:rsidRPr="00311243">
        <w:t xml:space="preserve">a report by </w:t>
      </w:r>
      <w:r w:rsidR="424514B3" w:rsidRPr="00311243">
        <w:t>t</w:t>
      </w:r>
      <w:r w:rsidR="00534EB9" w:rsidRPr="00311243">
        <w:t>he Medical Services Branch of Health and Welfare</w:t>
      </w:r>
      <w:r w:rsidR="00DC5F44" w:rsidRPr="00311243">
        <w:t xml:space="preserve"> Canada</w:t>
      </w:r>
      <w:r w:rsidR="00CD3003" w:rsidRPr="00311243">
        <w:t xml:space="preserve"> (now </w:t>
      </w:r>
      <w:r w:rsidR="007651BD" w:rsidRPr="00311243">
        <w:t xml:space="preserve">Health and Social Sector of the </w:t>
      </w:r>
      <w:r w:rsidR="00CD3003" w:rsidRPr="00311243">
        <w:t>I</w:t>
      </w:r>
      <w:r w:rsidR="00B039F5" w:rsidRPr="00311243">
        <w:t>ndigenous Services Canada</w:t>
      </w:r>
      <w:r w:rsidR="00CD3003" w:rsidRPr="00311243">
        <w:t>)</w:t>
      </w:r>
      <w:r w:rsidR="0011726D" w:rsidRPr="00311243">
        <w:rPr>
          <w:rStyle w:val="FootnoteReference"/>
        </w:rPr>
        <w:footnoteReference w:id="8"/>
      </w:r>
      <w:r w:rsidR="1F50AD68" w:rsidRPr="00311243">
        <w:rPr>
          <w:rStyle w:val="FootnoteReference"/>
        </w:rPr>
        <w:t xml:space="preserve"> </w:t>
      </w:r>
      <w:r w:rsidR="00D752B5" w:rsidRPr="00311243">
        <w:t>synthesized</w:t>
      </w:r>
      <w:r w:rsidR="00A76E85" w:rsidRPr="00311243">
        <w:t xml:space="preserve"> the</w:t>
      </w:r>
      <w:r w:rsidR="00534EB9" w:rsidRPr="00311243">
        <w:t xml:space="preserve"> findings from the </w:t>
      </w:r>
      <w:r w:rsidR="00440040" w:rsidRPr="00311243">
        <w:t>SEG</w:t>
      </w:r>
      <w:r w:rsidR="00534EB9" w:rsidRPr="00311243">
        <w:t xml:space="preserve"> </w:t>
      </w:r>
      <w:r w:rsidR="00443B26" w:rsidRPr="00311243">
        <w:fldChar w:fldCharType="begin" w:fldLock="1"/>
      </w:r>
      <w:r w:rsidR="004028B4" w:rsidRPr="00311243">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00443B26" w:rsidRPr="00311243">
        <w:fldChar w:fldCharType="separate"/>
      </w:r>
      <w:r w:rsidR="00443B26" w:rsidRPr="00311243">
        <w:rPr>
          <w:noProof/>
        </w:rPr>
        <w:t>(1971)</w:t>
      </w:r>
      <w:r w:rsidR="00443B26" w:rsidRPr="00311243">
        <w:fldChar w:fldCharType="end"/>
      </w:r>
      <w:r w:rsidR="00443B26" w:rsidRPr="00311243">
        <w:t xml:space="preserve">, </w:t>
      </w:r>
      <w:r w:rsidR="00534EB9" w:rsidRPr="00311243">
        <w:t xml:space="preserve">JECFA </w:t>
      </w:r>
      <w:r w:rsidR="00443B26" w:rsidRPr="00311243">
        <w:fldChar w:fldCharType="begin" w:fldLock="1"/>
      </w:r>
      <w:r w:rsidR="0025489B" w:rsidRPr="00311243">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suppress-author":1,"uris":["http://www.mendeley.com/documents/?uuid=e1036a63-44c8-43dd-bdf0-70cbc176eb58"]}],"mendeley":{"formattedCitation":"(1972)","plainTextFormattedCitation":"(1972)","previouslyFormattedCitation":"(1972)"},"properties":{"noteIndex":0},"schema":"https://github.com/citation-style-language/schema/raw/master/csl-citation.json"}</w:instrText>
      </w:r>
      <w:r w:rsidR="00443B26" w:rsidRPr="00311243">
        <w:fldChar w:fldCharType="separate"/>
      </w:r>
      <w:r w:rsidR="00443B26" w:rsidRPr="00311243">
        <w:rPr>
          <w:noProof/>
        </w:rPr>
        <w:t>(1972)</w:t>
      </w:r>
      <w:r w:rsidR="00443B26" w:rsidRPr="00311243">
        <w:fldChar w:fldCharType="end"/>
      </w:r>
      <w:r w:rsidR="0025489B" w:rsidRPr="00311243">
        <w:t xml:space="preserve">, </w:t>
      </w:r>
      <w:r w:rsidR="00534EB9" w:rsidRPr="00311243">
        <w:t xml:space="preserve">and </w:t>
      </w:r>
      <w:r w:rsidR="00A033E0" w:rsidRPr="00311243">
        <w:t>WHO (1976).  Based on adverse effects in adults from the Japanese and Iraq poisonings incidents, they selected a PoD in blood of 200 µg/L THg  (Health &amp; Welfare Canada, 1979). After applying the safety factor of 10 as recommended by the SEG (1971), the Medical Services Branch derived a blood “guideline” of 20 µg/L THg.  levels below this guideline as representing the “normal acceptable range” (Health &amp; Welfare Canada, 1979; Legrand et al., 2010). However, for the purposes of public health risk management and risk communication, blood THg concentrations above 100 μg/L were classified as “at risk” (Health &amp; Welfare Canada, 1979; Legrand et al., 2010). Using a hair</w:t>
      </w:r>
      <w:r w:rsidR="00A033E0" w:rsidRPr="00311243">
        <w:rPr>
          <w:vertAlign w:val="subscript"/>
        </w:rPr>
        <w:t>ppb</w:t>
      </w:r>
      <w:r w:rsidR="00A033E0" w:rsidRPr="00311243">
        <w:t>:blood</w:t>
      </w:r>
      <w:r w:rsidR="00A033E0" w:rsidRPr="00311243">
        <w:rPr>
          <w:vertAlign w:val="subscript"/>
        </w:rPr>
        <w:t xml:space="preserve">ppb </w:t>
      </w:r>
      <w:r w:rsidR="00A033E0" w:rsidRPr="00311243">
        <w:t>ratio of 300:1 (i.e. hair</w:t>
      </w:r>
      <w:r w:rsidR="00A033E0" w:rsidRPr="00311243">
        <w:rPr>
          <w:vertAlign w:val="subscript"/>
        </w:rPr>
        <w:t>ppm</w:t>
      </w:r>
      <w:r w:rsidR="00A033E0" w:rsidRPr="00311243">
        <w:t>:blood</w:t>
      </w:r>
      <w:r w:rsidR="00A033E0" w:rsidRPr="00311243">
        <w:rPr>
          <w:vertAlign w:val="subscript"/>
        </w:rPr>
        <w:t xml:space="preserve">ppb </w:t>
      </w:r>
      <w:r w:rsidR="00A033E0" w:rsidRPr="00311243">
        <w:t>ratio of 0.300:1), the blood PoD of 200 µg/L , “at risk” blood level of 100 µg/L</w:t>
      </w:r>
      <w:r w:rsidR="008A1A82" w:rsidRPr="00311243">
        <w:t>,</w:t>
      </w:r>
      <w:r w:rsidR="00A033E0" w:rsidRPr="00311243">
        <w:t xml:space="preserve"> and blood TRV of 20 µg/L THg correspond to an equivalent hair PoD of 60 µg/g, hair “at risk” level of 30 µg/g</w:t>
      </w:r>
      <w:r w:rsidR="008A1A82" w:rsidRPr="00311243">
        <w:t>,</w:t>
      </w:r>
      <w:r w:rsidR="00A033E0" w:rsidRPr="00311243">
        <w:t xml:space="preserve"> and hair TRV of 6 µg/g THg, respectively (Health &amp; Welfare Canada, 1979; Health Canada, 1999). A later publication recommended using a more commonly applied hair</w:t>
      </w:r>
      <w:r w:rsidR="00A033E0" w:rsidRPr="00311243">
        <w:rPr>
          <w:vertAlign w:val="subscript"/>
        </w:rPr>
        <w:t>ppb</w:t>
      </w:r>
      <w:r w:rsidR="00A033E0" w:rsidRPr="00311243">
        <w:t>:blood</w:t>
      </w:r>
      <w:r w:rsidR="00A033E0" w:rsidRPr="00311243">
        <w:rPr>
          <w:vertAlign w:val="subscript"/>
        </w:rPr>
        <w:t xml:space="preserve">ppb </w:t>
      </w:r>
      <w:r w:rsidR="00A033E0" w:rsidRPr="00311243">
        <w:t>ratio of 250:1 (i.e. hair</w:t>
      </w:r>
      <w:r w:rsidR="00A033E0" w:rsidRPr="00311243">
        <w:rPr>
          <w:vertAlign w:val="subscript"/>
        </w:rPr>
        <w:t>ppm</w:t>
      </w:r>
      <w:r w:rsidR="00A033E0" w:rsidRPr="00311243">
        <w:t>:blood</w:t>
      </w:r>
      <w:r w:rsidR="00A033E0" w:rsidRPr="00311243">
        <w:rPr>
          <w:vertAlign w:val="subscript"/>
        </w:rPr>
        <w:t xml:space="preserve">ppb </w:t>
      </w:r>
      <w:r w:rsidR="00A033E0" w:rsidRPr="00311243">
        <w:t>ratio of 0.250:1), which yields corresponding  hair THg values of 50 µg/g (PoD), 25 µg/g (“at risk”) and  5 µg/g (TRV) (Legrand et al., 2010). Notably,  the hair PoD of 50 µg/g THg was also originally selected by the SEG (1971), JECFA (FAO/WHO, 1972), WHO (1976), and later Health Canada (1999), based directly on measured hair THg levels in adult poisoning cases in Japan. Coincidentally, this value also results from converting the blood PoD of 200 µg/L THg using a hair</w:t>
      </w:r>
      <w:r w:rsidR="00A033E0" w:rsidRPr="00311243">
        <w:rPr>
          <w:vertAlign w:val="subscript"/>
        </w:rPr>
        <w:t>ppb</w:t>
      </w:r>
      <w:r w:rsidR="00A033E0" w:rsidRPr="00311243">
        <w:t>:blood</w:t>
      </w:r>
      <w:r w:rsidR="00A033E0" w:rsidRPr="00311243">
        <w:rPr>
          <w:vertAlign w:val="subscript"/>
        </w:rPr>
        <w:t xml:space="preserve">ppb </w:t>
      </w:r>
      <w:r w:rsidR="00A033E0" w:rsidRPr="00311243">
        <w:t>ratio of 250:1 (i.e. hair</w:t>
      </w:r>
      <w:r w:rsidR="00A033E0" w:rsidRPr="00311243">
        <w:rPr>
          <w:vertAlign w:val="subscript"/>
        </w:rPr>
        <w:t>ppm</w:t>
      </w:r>
      <w:r w:rsidR="00A033E0" w:rsidRPr="00311243">
        <w:t>:blood</w:t>
      </w:r>
      <w:r w:rsidR="00A033E0" w:rsidRPr="00311243">
        <w:rPr>
          <w:vertAlign w:val="subscript"/>
        </w:rPr>
        <w:t xml:space="preserve">ppb </w:t>
      </w:r>
      <w:r w:rsidR="00A033E0" w:rsidRPr="00311243">
        <w:t>ratio of 0.250:1). Regardless, both the 300:1 and 250:1 ratios are considered reasonable point estimates and yield similar population-level conversions between hair and blood THg (Singh et al. 2023). For historical consistency, Indigenous Services Canada continues to employ the hair</w:t>
      </w:r>
      <w:r w:rsidR="00A033E0" w:rsidRPr="00311243">
        <w:rPr>
          <w:vertAlign w:val="subscript"/>
        </w:rPr>
        <w:t>ppb</w:t>
      </w:r>
      <w:r w:rsidR="00A033E0" w:rsidRPr="00311243">
        <w:t>:blood</w:t>
      </w:r>
      <w:r w:rsidR="00A033E0" w:rsidRPr="00311243">
        <w:rPr>
          <w:vertAlign w:val="subscript"/>
        </w:rPr>
        <w:t xml:space="preserve">ppb </w:t>
      </w:r>
      <w:r w:rsidR="00A033E0" w:rsidRPr="00311243">
        <w:t>ratio of 300:1 and the associated hair “at risk” level and hair TRV of 30 and 6 µg/g THg, respectively, for public health management of MeHg exposure in Indigenous people (excluding children and women of childbearing age) in Canada through country food consumption (Tikhonov et al., 2021). As discussed in Section 2.5 of the main paper, a more conservative lower blood guideline level of 8 μg/L is applied to children and women of childbearing age to protect against potential neurodevelopmental effects of dietary MeHg in country foods (Legrand et al. 2010; Tikhonov et al., 2021).</w:t>
      </w:r>
    </w:p>
    <w:p w14:paraId="5FBCC0A1" w14:textId="7924B2A6" w:rsidR="00E110F2" w:rsidRPr="00311243" w:rsidRDefault="00E110F2" w:rsidP="00A20B91">
      <w:pPr>
        <w:widowControl w:val="0"/>
      </w:pPr>
    </w:p>
    <w:p w14:paraId="196E4065" w14:textId="77777777" w:rsidR="00E110F2" w:rsidRPr="003A6AA5" w:rsidRDefault="00E110F2" w:rsidP="002C43E2">
      <w:pPr>
        <w:keepNext/>
        <w:keepLines/>
        <w:widowControl w:val="0"/>
      </w:pPr>
    </w:p>
    <w:p w14:paraId="39606426" w14:textId="4715D53F" w:rsidR="00536015" w:rsidRPr="003A6AA5" w:rsidRDefault="008B08CA" w:rsidP="00536015">
      <w:pPr>
        <w:pStyle w:val="Heading2"/>
      </w:pPr>
      <w:r w:rsidRPr="003A6AA5">
        <w:t xml:space="preserve">Other </w:t>
      </w:r>
      <w:r w:rsidR="00666C1D" w:rsidRPr="003A6AA5">
        <w:t xml:space="preserve">Health Canada </w:t>
      </w:r>
      <w:r w:rsidRPr="003A6AA5">
        <w:t>programs –</w:t>
      </w:r>
      <w:r w:rsidR="004526CC" w:rsidRPr="003A6AA5">
        <w:t xml:space="preserve"> </w:t>
      </w:r>
      <w:r w:rsidRPr="003A6AA5">
        <w:t>drinking water</w:t>
      </w:r>
    </w:p>
    <w:p w14:paraId="150F1058" w14:textId="77777777" w:rsidR="00536015" w:rsidRPr="003A6AA5" w:rsidRDefault="00536015" w:rsidP="002C43E2">
      <w:pPr>
        <w:keepNext/>
        <w:keepLines/>
        <w:widowControl w:val="0"/>
      </w:pPr>
    </w:p>
    <w:p w14:paraId="0C2E6722" w14:textId="5DACA98E" w:rsidR="009968E1" w:rsidRDefault="006D33E7" w:rsidP="002C43E2">
      <w:pPr>
        <w:keepNext/>
        <w:keepLines/>
        <w:widowControl w:val="0"/>
      </w:pPr>
      <w:r w:rsidRPr="003A6AA5">
        <w:t>Health Canada review</w:t>
      </w:r>
      <w:r w:rsidR="00FC7F11" w:rsidRPr="003A6AA5">
        <w:t>ed</w:t>
      </w:r>
      <w:r w:rsidRPr="003A6AA5">
        <w:t xml:space="preserve"> </w:t>
      </w:r>
      <w:r w:rsidR="006A6C96" w:rsidRPr="003A6AA5">
        <w:t xml:space="preserve">the available epidemiological and toxicity data </w:t>
      </w:r>
      <w:r w:rsidR="00470F04" w:rsidRPr="003A6AA5">
        <w:t>on mercury</w:t>
      </w:r>
      <w:r w:rsidR="006A6C96" w:rsidRPr="003A6AA5">
        <w:t xml:space="preserve"> in order to </w:t>
      </w:r>
      <w:r w:rsidRPr="003A6AA5">
        <w:t>set</w:t>
      </w:r>
      <w:r w:rsidR="006A6C96" w:rsidRPr="003A6AA5">
        <w:t xml:space="preserve"> </w:t>
      </w:r>
      <w:r w:rsidRPr="003A6AA5">
        <w:t>a drinking water guideline</w:t>
      </w:r>
      <w:r w:rsidR="006A6C96" w:rsidRPr="003A6AA5">
        <w:t xml:space="preserve"> </w:t>
      </w:r>
      <w:r w:rsidR="006A6C96" w:rsidRPr="003A6AA5">
        <w:fldChar w:fldCharType="begin" w:fldLock="1"/>
      </w:r>
      <w:r w:rsidR="00446A0B" w:rsidRPr="003A6AA5">
        <w:instrText>ADDIN CSL_CITATION {"citationItems":[{"id":"ITEM-1","itemData":{"author":[{"dropping-particle":"","family":"Health Canada","given":"","non-dropping-particle":"","parse-names":false,"suffix":""}],"id":"ITEM-1","issued":{"date-parts":[["1986"]]},"title":"Mercury. Guidelines for Canadian Drinking Water Quality: Guideline Technical Document - Mercury. April 1979 (Updated September 1986)","type":"report"},"uris":["http://www.mendeley.com/documents/?uuid=de1691c1-a363-4d27-8ae2-f05067e20da8"]}],"mendeley":{"formattedCitation":"(Health Canada, 1986)","plainTextFormattedCitation":"(Health Canada, 1986)","previouslyFormattedCitation":"(Health Canada, 1986)"},"properties":{"noteIndex":0},"schema":"https://github.com/citation-style-language/schema/raw/master/csl-citation.json"}</w:instrText>
      </w:r>
      <w:r w:rsidR="006A6C96" w:rsidRPr="003A6AA5">
        <w:fldChar w:fldCharType="separate"/>
      </w:r>
      <w:r w:rsidR="006A6C96" w:rsidRPr="003A6AA5">
        <w:rPr>
          <w:noProof/>
        </w:rPr>
        <w:t>(Health Canada, 1986)</w:t>
      </w:r>
      <w:r w:rsidR="006A6C96" w:rsidRPr="003A6AA5">
        <w:fldChar w:fldCharType="end"/>
      </w:r>
      <w:r w:rsidR="006A6C96" w:rsidRPr="003A6AA5">
        <w:t>. In this review</w:t>
      </w:r>
      <w:r w:rsidR="00D457CD" w:rsidRPr="003A6AA5">
        <w:t xml:space="preserve">, </w:t>
      </w:r>
      <w:r w:rsidR="00470F04" w:rsidRPr="003A6AA5">
        <w:t>data from</w:t>
      </w:r>
      <w:r w:rsidR="00D457CD" w:rsidRPr="003A6AA5">
        <w:t xml:space="preserve"> adult </w:t>
      </w:r>
      <w:r w:rsidR="00470F04" w:rsidRPr="003A6AA5">
        <w:t xml:space="preserve">MeHg </w:t>
      </w:r>
      <w:r w:rsidR="00D457CD" w:rsidRPr="003A6AA5">
        <w:t xml:space="preserve">poisoning cases </w:t>
      </w:r>
      <w:r w:rsidR="006030B2" w:rsidRPr="003A6AA5">
        <w:t xml:space="preserve">were used </w:t>
      </w:r>
      <w:r w:rsidR="00C9717B" w:rsidRPr="003A6AA5">
        <w:t>to</w:t>
      </w:r>
      <w:r w:rsidR="00F06F23" w:rsidRPr="003A6AA5">
        <w:t xml:space="preserve"> selected</w:t>
      </w:r>
      <w:r w:rsidR="006030B2" w:rsidRPr="003A6AA5">
        <w:t xml:space="preserve"> PoDs in blood (200 µg/L THg), hair (50 µg/g THg), and oral intake (300 µg/day MeHg)</w:t>
      </w:r>
      <w:r w:rsidR="001E237B" w:rsidRPr="003A6AA5">
        <w:t>. These PoDs were</w:t>
      </w:r>
      <w:r w:rsidR="00B52840" w:rsidRPr="003A6AA5">
        <w:t xml:space="preserve"> based on a contract re</w:t>
      </w:r>
      <w:r w:rsidR="00F06F23" w:rsidRPr="003A6AA5">
        <w:t>port</w:t>
      </w:r>
      <w:r w:rsidR="00B52840" w:rsidRPr="003A6AA5">
        <w:t xml:space="preserve"> for the WHO </w:t>
      </w:r>
      <w:r w:rsidR="00446A0B" w:rsidRPr="003A6AA5">
        <w:fldChar w:fldCharType="begin" w:fldLock="1"/>
      </w:r>
      <w:r w:rsidR="00D75685" w:rsidRPr="003A6AA5">
        <w:instrText>ADDIN CSL_CITATION {"citationItems":[{"id":"ITEM-1","itemData":{"author":[{"dropping-particle":"","family":"Piotrowski","given":"JK","non-dropping-particle":"","parse-names":false,"suffix":""},{"dropping-particle":"","family":"Inskip","given":"MJ","non-dropping-particle":"","parse-names":false,"suffix":""}],"id":"ITEM-1","issued":{"date-parts":[["1981"]]},"title":"Health Effects of Methylmercury, MARC Report No. 24, Monitoring and Assessment Research Centre (MARC), Chelsea College, University of London.","type":"report"},"uris":["http://www.mendeley.com/documents/?uuid=741ed695-918b-45f0-8054-b6235af39016"]}],"mendeley":{"formattedCitation":"(Piotrowski &amp; Inskip, 1981)","plainTextFormattedCitation":"(Piotrowski &amp; Inskip, 1981)","previouslyFormattedCitation":"(Piotrowski &amp; Inskip, 1981)"},"properties":{"noteIndex":0},"schema":"https://github.com/citation-style-language/schema/raw/master/csl-citation.json"}</w:instrText>
      </w:r>
      <w:r w:rsidR="00446A0B" w:rsidRPr="003A6AA5">
        <w:fldChar w:fldCharType="separate"/>
      </w:r>
      <w:r w:rsidR="00446A0B" w:rsidRPr="003A6AA5">
        <w:rPr>
          <w:noProof/>
        </w:rPr>
        <w:t>(Piotrowski &amp; Inskip, 1981)</w:t>
      </w:r>
      <w:r w:rsidR="00446A0B" w:rsidRPr="003A6AA5">
        <w:fldChar w:fldCharType="end"/>
      </w:r>
      <w:r w:rsidR="00C30193" w:rsidRPr="003A6AA5">
        <w:t>,</w:t>
      </w:r>
      <w:r w:rsidR="00407B89" w:rsidRPr="003A6AA5">
        <w:t xml:space="preserve"> which was </w:t>
      </w:r>
      <w:r w:rsidR="00850BD2" w:rsidRPr="003A6AA5">
        <w:t xml:space="preserve">an </w:t>
      </w:r>
      <w:r w:rsidR="00407B89" w:rsidRPr="003A6AA5">
        <w:t>updat</w:t>
      </w:r>
      <w:r w:rsidR="00C9717B" w:rsidRPr="003A6AA5">
        <w:t>e</w:t>
      </w:r>
      <w:r w:rsidR="00407B89" w:rsidRPr="003A6AA5">
        <w:t xml:space="preserve"> </w:t>
      </w:r>
      <w:r w:rsidR="00850BD2" w:rsidRPr="003A6AA5">
        <w:t xml:space="preserve">to </w:t>
      </w:r>
      <w:r w:rsidR="00407B89" w:rsidRPr="003A6AA5">
        <w:t xml:space="preserve">the previous findings from the </w:t>
      </w:r>
      <w:r w:rsidR="00372008" w:rsidRPr="003A6AA5">
        <w:t>SEG</w:t>
      </w:r>
      <w:r w:rsidR="00407B89" w:rsidRPr="003A6AA5">
        <w:t xml:space="preserve"> </w:t>
      </w:r>
      <w:r w:rsidR="00407B89" w:rsidRPr="003A6AA5">
        <w:fldChar w:fldCharType="begin" w:fldLock="1"/>
      </w:r>
      <w:r w:rsidR="004028B4" w:rsidRPr="003A6AA5">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rsidR="00407B89" w:rsidRPr="003A6AA5">
        <w:fldChar w:fldCharType="separate"/>
      </w:r>
      <w:r w:rsidR="00407B89" w:rsidRPr="003A6AA5">
        <w:rPr>
          <w:noProof/>
        </w:rPr>
        <w:t>(1971)</w:t>
      </w:r>
      <w:r w:rsidR="00407B89" w:rsidRPr="003A6AA5">
        <w:fldChar w:fldCharType="end"/>
      </w:r>
      <w:r w:rsidR="00407B89" w:rsidRPr="003A6AA5">
        <w:t xml:space="preserve">, JECFA </w:t>
      </w:r>
      <w:r w:rsidR="00407B89" w:rsidRPr="003A6AA5">
        <w:fldChar w:fldCharType="begin" w:fldLock="1"/>
      </w:r>
      <w:r w:rsidR="00407B89" w:rsidRPr="003A6AA5">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suppress-author":1,"uris":["http://www.mendeley.com/documents/?uuid=e1036a63-44c8-43dd-bdf0-70cbc176eb58"]}],"mendeley":{"formattedCitation":"(1972)","plainTextFormattedCitation":"(1972)","previouslyFormattedCitation":"(1972)"},"properties":{"noteIndex":0},"schema":"https://github.com/citation-style-language/schema/raw/master/csl-citation.json"}</w:instrText>
      </w:r>
      <w:r w:rsidR="00407B89" w:rsidRPr="003A6AA5">
        <w:fldChar w:fldCharType="separate"/>
      </w:r>
      <w:r w:rsidR="00407B89" w:rsidRPr="003A6AA5">
        <w:rPr>
          <w:noProof/>
        </w:rPr>
        <w:t>(1972)</w:t>
      </w:r>
      <w:r w:rsidR="00407B89" w:rsidRPr="003A6AA5">
        <w:fldChar w:fldCharType="end"/>
      </w:r>
      <w:r w:rsidR="00407B89" w:rsidRPr="003A6AA5">
        <w:t xml:space="preserve">, </w:t>
      </w:r>
      <w:r w:rsidR="00F634FE" w:rsidRPr="003A6AA5">
        <w:t xml:space="preserve">and </w:t>
      </w:r>
      <w:r w:rsidR="00407B89" w:rsidRPr="003A6AA5">
        <w:t xml:space="preserve">WHO </w:t>
      </w:r>
      <w:r w:rsidR="00407B89" w:rsidRPr="003A6AA5">
        <w:fldChar w:fldCharType="begin" w:fldLock="1"/>
      </w:r>
      <w:r w:rsidR="00407B89" w:rsidRPr="003A6AA5">
        <w:instrText>ADDIN CSL_CITATION {"citationItems":[{"id":"ITEM-1","itemData":{"author":[{"dropping-particle":"","family":"WHO","given":"","non-dropping-particle":"","parse-names":false,"suffix":""}],"id":"ITEM-1","issued":{"date-parts":[["1976"]]},"title":"Environmental Health Criteria 1: Mercury. International Programme on Chemical Safety (IPCS).","type":"report"},"suppress-author":1,"uris":["http://www.mendeley.com/documents/?uuid=85e0c1a9-9214-4aa7-bbca-013028200ae0"]}],"mendeley":{"formattedCitation":"(1976)","plainTextFormattedCitation":"(1976)","previouslyFormattedCitation":"(1976)"},"properties":{"noteIndex":0},"schema":"https://github.com/citation-style-language/schema/raw/master/csl-citation.json"}</w:instrText>
      </w:r>
      <w:r w:rsidR="00407B89" w:rsidRPr="003A6AA5">
        <w:fldChar w:fldCharType="separate"/>
      </w:r>
      <w:r w:rsidR="00407B89" w:rsidRPr="003A6AA5">
        <w:rPr>
          <w:noProof/>
        </w:rPr>
        <w:t>(1976)</w:t>
      </w:r>
      <w:r w:rsidR="00407B89" w:rsidRPr="003A6AA5">
        <w:fldChar w:fldCharType="end"/>
      </w:r>
      <w:r w:rsidR="00446A0B" w:rsidRPr="003A6AA5">
        <w:t>.</w:t>
      </w:r>
    </w:p>
    <w:p w14:paraId="7D7E872C" w14:textId="77777777" w:rsidR="00EB4AFC" w:rsidRDefault="00EB4AFC"/>
    <w:p w14:paraId="20BC5CAC" w14:textId="77777777" w:rsidR="009578D6" w:rsidRPr="00534EB9" w:rsidRDefault="009578D6" w:rsidP="00C10259"/>
    <w:p w14:paraId="76A7539F" w14:textId="6362613C" w:rsidR="00C10259" w:rsidRDefault="00534EB9" w:rsidP="0041219F">
      <w:pPr>
        <w:pStyle w:val="Heading1"/>
      </w:pPr>
      <w:r w:rsidRPr="00534EB9">
        <w:t>US EPA</w:t>
      </w:r>
      <w:r w:rsidR="005A395D">
        <w:t xml:space="preserve"> (198</w:t>
      </w:r>
      <w:r w:rsidR="0096508F">
        <w:t>5</w:t>
      </w:r>
      <w:r w:rsidR="005A395D">
        <w:t>)</w:t>
      </w:r>
    </w:p>
    <w:p w14:paraId="573CB1FC" w14:textId="77777777" w:rsidR="00C10259" w:rsidRDefault="00C10259" w:rsidP="00C10259">
      <w:pPr>
        <w:rPr>
          <w:b/>
        </w:rPr>
      </w:pPr>
    </w:p>
    <w:p w14:paraId="2637D2B3" w14:textId="3B517E18" w:rsidR="00392F33" w:rsidRDefault="00E318F1" w:rsidP="00C10259">
      <w:r>
        <w:t xml:space="preserve">The </w:t>
      </w:r>
      <w:r w:rsidR="00EF3A17">
        <w:t xml:space="preserve">United States Environmental Protection Agency’s (US EPA) oral reference dose (RfD) </w:t>
      </w:r>
      <w:r w:rsidR="00735E9B">
        <w:t xml:space="preserve">for adult neurotoxicity </w:t>
      </w:r>
      <w:r w:rsidR="00983C2B">
        <w:t xml:space="preserve">of MeHg </w:t>
      </w:r>
      <w:r w:rsidR="00CF255F">
        <w:t>was established at</w:t>
      </w:r>
      <w:r w:rsidR="00EF3A17">
        <w:t xml:space="preserve"> </w:t>
      </w:r>
      <w:r w:rsidR="00B02B7C">
        <w:t xml:space="preserve">a consensus meeting of the </w:t>
      </w:r>
      <w:r w:rsidR="0068792D">
        <w:t>Integrated Risk Information System (IRIS)</w:t>
      </w:r>
      <w:r w:rsidR="00B02B7C">
        <w:t xml:space="preserve"> Work Group on December 2, 1985</w:t>
      </w:r>
      <w:r w:rsidR="00BA0488">
        <w:t xml:space="preserve"> </w:t>
      </w:r>
      <w:r w:rsidR="00A1111B">
        <w:t xml:space="preserve">and </w:t>
      </w:r>
      <w:r w:rsidR="00CF255F">
        <w:t>wa</w:t>
      </w:r>
      <w:r w:rsidR="00A1111B">
        <w:t xml:space="preserve">s briefly summarized in </w:t>
      </w:r>
      <w:r w:rsidR="00BA0488">
        <w:t xml:space="preserve">a 1987 </w:t>
      </w:r>
      <w:r w:rsidR="0068792D">
        <w:t>IRIS</w:t>
      </w:r>
      <w:r w:rsidR="001E7168">
        <w:t xml:space="preserve"> Chemical File</w:t>
      </w:r>
      <w:r w:rsidR="00347A8F">
        <w:t xml:space="preserve"> </w:t>
      </w:r>
      <w:r w:rsidR="00BA0488">
        <w:fldChar w:fldCharType="begin" w:fldLock="1"/>
      </w:r>
      <w:r w:rsidR="00BA0488">
        <w:instrText>ADDIN CSL_CITATION {"citationItems":[{"id":"ITEM-1","itemData":{"author":[{"dropping-particle":"","family":"US EPA","given":"","non-dropping-particle":"","parse-names":false,"suffix":""}],"id":"ITEM-1","issued":{"date-parts":[["1987"]]},"number-of-pages":"pdf pages 339-342","title":"Methyl Mercury (CAS No. 22967-92-6). Revised 11/16/1986. Integrated Risk Infomration System Chemical Files Volume II. EPA/600/8-86/032b. March 1987.","type":"report"},"uris":["http://www.mendeley.com/documents/?uuid=ed180d23-555e-4dad-8d3c-43ab258f2bc5"]}],"mendeley":{"formattedCitation":"(US EPA, 1987)","plainTextFormattedCitation":"(US EPA, 1987)","previouslyFormattedCitation":"(US EPA, 1987)"},"properties":{"noteIndex":0},"schema":"https://github.com/citation-style-language/schema/raw/master/csl-citation.json"}</w:instrText>
      </w:r>
      <w:r w:rsidR="00BA0488">
        <w:fldChar w:fldCharType="separate"/>
      </w:r>
      <w:r w:rsidR="00DB63FC" w:rsidRPr="6C1CF29D">
        <w:rPr>
          <w:noProof/>
        </w:rPr>
        <w:t>(US EPA, 1987)</w:t>
      </w:r>
      <w:r w:rsidR="00BA0488">
        <w:fldChar w:fldCharType="end"/>
      </w:r>
      <w:r w:rsidR="00A1111B">
        <w:t xml:space="preserve"> and in </w:t>
      </w:r>
      <w:r w:rsidR="004D0D90">
        <w:t xml:space="preserve">Section 4.1.1.1 of the US EPA </w:t>
      </w:r>
      <w:r w:rsidR="00024B38" w:rsidRPr="00024B38">
        <w:t>Water Quality Criterion for the Protection of Human Health</w:t>
      </w:r>
      <w:r w:rsidR="00101B10">
        <w:t xml:space="preserve"> </w:t>
      </w:r>
      <w:r w:rsidR="00101B10">
        <w:fldChar w:fldCharType="begin" w:fldLock="1"/>
      </w:r>
      <w:r w:rsidR="004B0FC2">
        <w:instrText>ADDIN CSL_CITATION {"citationItems":[{"id":"ITEM-1","itemData":{"DOI":"https://www.epa.gov/sites/default/files/2020-01/documents/methylmercury-criterion-2001.pdf","author":[{"dropping-particle":"","family":"US EPA","given":"","non-dropping-particle":"","parse-names":false,"suffix":""}],"id":"ITEM-1","issued":{"date-parts":[["2001"]]},"title":"Water Quality Criterion for the Protection of Human Health: Methylmercury. Final. (January 2001, EPA 823-R-01-001). Office of Science and Technology Office of Water U.S. Environmental Protection Agency Washington, DC 20460","type":"report"},"uris":["http://www.mendeley.com/documents/?uuid=d03e295d-97f8-466b-be4f-699bad6111c4"]}],"mendeley":{"formattedCitation":"(US EPA, 2001b)","plainTextFormattedCitation":"(US EPA, 2001b)","previouslyFormattedCitation":"(US EPA, 2001b)"},"properties":{"noteIndex":0},"schema":"https://github.com/citation-style-language/schema/raw/master/csl-citation.json"}</w:instrText>
      </w:r>
      <w:r w:rsidR="00101B10">
        <w:fldChar w:fldCharType="separate"/>
      </w:r>
      <w:r w:rsidR="00101B10" w:rsidRPr="00101B10">
        <w:rPr>
          <w:noProof/>
        </w:rPr>
        <w:t>(US EPA, 2001b)</w:t>
      </w:r>
      <w:r w:rsidR="00101B10">
        <w:fldChar w:fldCharType="end"/>
      </w:r>
      <w:r w:rsidR="00024B38">
        <w:t xml:space="preserve">. </w:t>
      </w:r>
      <w:r w:rsidR="00392F33">
        <w:t xml:space="preserve">The principal supporting study was the 1976 evaluation by the WHO IPCS </w:t>
      </w:r>
      <w:r w:rsidR="00BA0488">
        <w:fldChar w:fldCharType="begin" w:fldLock="1"/>
      </w:r>
      <w:r w:rsidR="009D6E43">
        <w:instrText>ADDIN CSL_CITATION {"citationItems":[{"id":"ITEM-1","itemData":{"author":[{"dropping-particle":"","family":"WHO","given":"","non-dropping-particle":"","parse-names":false,"suffix":""}],"id":"ITEM-1","issued":{"date-parts":[["1976"]]},"title":"Environmental Health Criteria 1: Mercury. International Programme on Chemical Safety (IPCS).","type":"report"},"suppress-author":1,"uris":["http://www.mendeley.com/documents/?uuid=85e0c1a9-9214-4aa7-bbca-013028200ae0"]}],"mendeley":{"formattedCitation":"(1976)","plainTextFormattedCitation":"(1976)","previouslyFormattedCitation":"(1976)"},"properties":{"noteIndex":0},"schema":"https://github.com/citation-style-language/schema/raw/master/csl-citation.json"}</w:instrText>
      </w:r>
      <w:r w:rsidR="00BA0488">
        <w:fldChar w:fldCharType="separate"/>
      </w:r>
      <w:r w:rsidR="00533500" w:rsidRPr="00533500">
        <w:rPr>
          <w:noProof/>
        </w:rPr>
        <w:t>(1976)</w:t>
      </w:r>
      <w:r w:rsidR="00BA0488">
        <w:fldChar w:fldCharType="end"/>
      </w:r>
      <w:r w:rsidR="00911961">
        <w:t xml:space="preserve"> that </w:t>
      </w:r>
      <w:r w:rsidR="008252DD">
        <w:t xml:space="preserve">reported </w:t>
      </w:r>
      <w:r w:rsidR="00911961">
        <w:t>the “</w:t>
      </w:r>
      <w:r w:rsidR="002E0D42">
        <w:t>earliest effects in man</w:t>
      </w:r>
      <w:r w:rsidR="00503D13">
        <w:t>”</w:t>
      </w:r>
      <w:r w:rsidR="002E0D42">
        <w:t xml:space="preserve"> </w:t>
      </w:r>
      <w:r w:rsidR="007D5B0A">
        <w:t>we</w:t>
      </w:r>
      <w:r w:rsidR="002E0D42">
        <w:t xml:space="preserve">re at blood concentrations between 200 </w:t>
      </w:r>
      <w:r w:rsidR="00503D13">
        <w:t>– 500 µg/L</w:t>
      </w:r>
      <w:r w:rsidR="00DB63FC">
        <w:t xml:space="preserve"> (reported as “ng Hg/ml</w:t>
      </w:r>
      <w:r w:rsidR="1E4F267B">
        <w:t>”</w:t>
      </w:r>
      <w:r w:rsidR="00DB63FC">
        <w:t>) and represented “both pre- and postnatal exposures”</w:t>
      </w:r>
      <w:r w:rsidR="00EB12CA">
        <w:t xml:space="preserve"> and </w:t>
      </w:r>
      <w:r w:rsidR="00230B80">
        <w:t>we</w:t>
      </w:r>
      <w:r w:rsidR="00EB12CA">
        <w:t xml:space="preserve">re </w:t>
      </w:r>
      <w:r w:rsidR="00230B80">
        <w:t>“</w:t>
      </w:r>
      <w:r w:rsidR="00EB12CA">
        <w:t>equivalent to intakes in the range of 3</w:t>
      </w:r>
      <w:r w:rsidR="00A31634">
        <w:t>-</w:t>
      </w:r>
      <w:r w:rsidR="00EB12CA">
        <w:t xml:space="preserve">7 </w:t>
      </w:r>
      <w:r w:rsidR="00347A8F">
        <w:t>µg/kg</w:t>
      </w:r>
      <w:r w:rsidR="5258D062">
        <w:t>-bw</w:t>
      </w:r>
      <w:r w:rsidR="00347A8F">
        <w:t>/day”</w:t>
      </w:r>
      <w:r w:rsidR="237B82DF">
        <w:t>.</w:t>
      </w:r>
      <w:r w:rsidR="003E43AD">
        <w:t xml:space="preserve"> </w:t>
      </w:r>
      <w:r w:rsidR="0BF45B3E">
        <w:t>T</w:t>
      </w:r>
      <w:r w:rsidR="003E43AD">
        <w:t xml:space="preserve">he LOAEL </w:t>
      </w:r>
      <w:r w:rsidR="0037590E">
        <w:t xml:space="preserve">was “associated with CNS effects </w:t>
      </w:r>
      <w:r w:rsidR="009B28B3">
        <w:t>such as ataxia, paresthesia, etc.”</w:t>
      </w:r>
      <w:r w:rsidR="00347A8F">
        <w:t xml:space="preserve"> </w:t>
      </w:r>
      <w:r w:rsidR="00BA0488">
        <w:fldChar w:fldCharType="begin" w:fldLock="1"/>
      </w:r>
      <w:r w:rsidR="00BA0488">
        <w:instrText>ADDIN CSL_CITATION {"citationItems":[{"id":"ITEM-1","itemData":{"author":[{"dropping-particle":"","family":"US EPA","given":"","non-dropping-particle":"","parse-names":false,"suffix":""}],"id":"ITEM-1","issued":{"date-parts":[["1987"]]},"number-of-pages":"pdf pages 339-342","title":"Methyl Mercury (CAS No. 22967-92-6). Revised 11/16/1986. Integrated Risk Infomration System Chemical Files Volume II. EPA/600/8-86/032b. March 1987.","type":"report"},"uris":["http://www.mendeley.com/documents/?uuid=ed180d23-555e-4dad-8d3c-43ab258f2bc5"]}],"mendeley":{"formattedCitation":"(US EPA, 1987)","plainTextFormattedCitation":"(US EPA, 1987)","previouslyFormattedCitation":"(US EPA, 1987)"},"properties":{"noteIndex":0},"schema":"https://github.com/citation-style-language/schema/raw/master/csl-citation.json"}</w:instrText>
      </w:r>
      <w:r w:rsidR="00BA0488">
        <w:fldChar w:fldCharType="separate"/>
      </w:r>
      <w:r w:rsidR="00347A8F" w:rsidRPr="6C1CF29D">
        <w:rPr>
          <w:noProof/>
        </w:rPr>
        <w:t>(US EPA, 1987)</w:t>
      </w:r>
      <w:r w:rsidR="00BA0488">
        <w:fldChar w:fldCharType="end"/>
      </w:r>
      <w:r w:rsidR="00347A8F">
        <w:t>.</w:t>
      </w:r>
      <w:r w:rsidR="009B28B3">
        <w:t xml:space="preserve"> </w:t>
      </w:r>
      <w:r w:rsidR="00D2598F">
        <w:t xml:space="preserve">The US EPA selected </w:t>
      </w:r>
      <w:r w:rsidR="00F958A2">
        <w:t xml:space="preserve">as PoDs </w:t>
      </w:r>
      <w:r w:rsidR="00D2598F">
        <w:t>t</w:t>
      </w:r>
      <w:r w:rsidR="008D6DE6">
        <w:t>he lower end of the</w:t>
      </w:r>
      <w:r w:rsidR="00D2598F">
        <w:t>se</w:t>
      </w:r>
      <w:r w:rsidR="008D6DE6">
        <w:t xml:space="preserve"> blood and </w:t>
      </w:r>
      <w:r w:rsidR="006139F7">
        <w:t xml:space="preserve">oral </w:t>
      </w:r>
      <w:r w:rsidR="008D6DE6">
        <w:t xml:space="preserve">intake levels </w:t>
      </w:r>
      <w:r w:rsidR="00F958A2">
        <w:t>corresponding to 200 µg/L</w:t>
      </w:r>
      <w:r w:rsidR="00E66B95">
        <w:t xml:space="preserve"> THg</w:t>
      </w:r>
      <w:r w:rsidR="00F958A2">
        <w:t xml:space="preserve"> and 3 µg/kg-bw/day </w:t>
      </w:r>
      <w:r w:rsidR="00E66B95">
        <w:t xml:space="preserve">MeHg </w:t>
      </w:r>
      <w:r w:rsidR="00F958A2">
        <w:t xml:space="preserve">respectively. </w:t>
      </w:r>
      <w:r w:rsidR="009B28B3">
        <w:t xml:space="preserve">The US EPA applied a UF of 10 to account for </w:t>
      </w:r>
      <w:r w:rsidR="00A31191">
        <w:t xml:space="preserve">the </w:t>
      </w:r>
      <w:r w:rsidR="0014157D">
        <w:t>us</w:t>
      </w:r>
      <w:r w:rsidR="00A31191">
        <w:t>e of</w:t>
      </w:r>
      <w:r w:rsidR="0014157D">
        <w:t xml:space="preserve"> a </w:t>
      </w:r>
      <w:r w:rsidR="4F714B7C">
        <w:t>lowest observed adverse effect level (</w:t>
      </w:r>
      <w:r w:rsidR="0014157D">
        <w:t>LOAEL</w:t>
      </w:r>
      <w:r w:rsidR="0AD61CCE">
        <w:t>)</w:t>
      </w:r>
      <w:r w:rsidR="0014157D">
        <w:t xml:space="preserve"> vs</w:t>
      </w:r>
      <w:r w:rsidR="58FD813B">
        <w:t>.</w:t>
      </w:r>
      <w:r w:rsidR="0014157D">
        <w:t xml:space="preserve"> </w:t>
      </w:r>
      <w:r w:rsidR="1BA157F8">
        <w:t>no-observed adverse effect level</w:t>
      </w:r>
      <w:r w:rsidR="0014157D">
        <w:t xml:space="preserve"> </w:t>
      </w:r>
      <w:r w:rsidR="30ED9FA6">
        <w:t>(</w:t>
      </w:r>
      <w:r w:rsidR="0014157D">
        <w:t>NOAEL</w:t>
      </w:r>
      <w:r w:rsidR="0A9243D2">
        <w:t>)</w:t>
      </w:r>
      <w:r w:rsidR="00EE10B6">
        <w:t>,</w:t>
      </w:r>
      <w:r w:rsidR="0014157D">
        <w:t xml:space="preserve"> but</w:t>
      </w:r>
      <w:r w:rsidR="000A0A5E">
        <w:t xml:space="preserve"> considered that</w:t>
      </w:r>
      <w:r w:rsidR="0014157D">
        <w:t xml:space="preserve"> </w:t>
      </w:r>
      <w:r w:rsidR="00214A65">
        <w:t xml:space="preserve">an </w:t>
      </w:r>
      <w:r w:rsidR="0014157D">
        <w:t xml:space="preserve">additional UF was </w:t>
      </w:r>
      <w:r w:rsidR="00214A65">
        <w:t>un</w:t>
      </w:r>
      <w:r w:rsidR="0014157D">
        <w:t>necessary “since the effects are seen in sensitive individuals”</w:t>
      </w:r>
      <w:r w:rsidR="008D6DE6">
        <w:t xml:space="preserve">. </w:t>
      </w:r>
      <w:r w:rsidR="00EE10B6">
        <w:t>A</w:t>
      </w:r>
      <w:r w:rsidR="000A0A5E">
        <w:t xml:space="preserve">n oral RfD of 0.3 µg/kg-bw/day </w:t>
      </w:r>
      <w:r w:rsidR="0078659A">
        <w:t xml:space="preserve">MeHg </w:t>
      </w:r>
      <w:r w:rsidR="000A0A5E">
        <w:t>was derived and constituted the agency</w:t>
      </w:r>
      <w:r w:rsidR="00CE68C8">
        <w:t>’s</w:t>
      </w:r>
      <w:r w:rsidR="000A0A5E">
        <w:t xml:space="preserve"> TRV for </w:t>
      </w:r>
      <w:r w:rsidR="00826FAF">
        <w:t>adult neurologic</w:t>
      </w:r>
      <w:r w:rsidR="00EE10B6">
        <w:t>al</w:t>
      </w:r>
      <w:r w:rsidR="00826FAF">
        <w:t xml:space="preserve"> effects of </w:t>
      </w:r>
      <w:r w:rsidR="000A0A5E">
        <w:t xml:space="preserve">MeHg </w:t>
      </w:r>
      <w:r w:rsidR="00690AC6">
        <w:t>until</w:t>
      </w:r>
      <w:r w:rsidR="007A11A0">
        <w:t xml:space="preserve"> subsequent opinions</w:t>
      </w:r>
      <w:r w:rsidR="00CE4822">
        <w:t>, which</w:t>
      </w:r>
      <w:r w:rsidR="00EE10B6">
        <w:t xml:space="preserve"> </w:t>
      </w:r>
      <w:r w:rsidR="000A0A5E">
        <w:t>focussed on neurodevelopmental effects in children exposed prenatally</w:t>
      </w:r>
      <w:r w:rsidR="00217C11">
        <w:t xml:space="preserve"> </w:t>
      </w:r>
      <w:r w:rsidR="005F4616">
        <w:fldChar w:fldCharType="begin" w:fldLock="1"/>
      </w:r>
      <w:r w:rsidR="004B0FC2">
        <w:instrText>ADDIN CSL_CITATION {"citationItems":[{"id":"ITEM-1","itemData":{"ISBN":"1566706637","abstract":"Methylmercury (MeHg); CASRN 22967-92-6 Human health assessment information on a chemical substance is included in the IRIS database only after a comprehensive review of toxicity data, as outlined in the IRIS assessment development process. Sections I (Health Hazard Assessments for Noncarcinogenic Effects) and II (Carcinogenicity Assessment for Lifetime Exposure) present the conclusions that were reached during the assessment development process. Supporting information and explanations of the methods used to derive the values given in IRIS are provided in the guidance documents located on the IRIS website. STATUS OF DATA FOR Methylmercury File First On-Line 01/31/1987 Category (section) Assessment Available? Last Revised Oral RfD (I.A.) yes 07/27/2001 Inhalation RfC (I.B.) not evaluated Carcinogenicity Assessment (II.) yes 05/01/1995 I. Chronic Health Hazard Assessments for Noncarcinogenic Effects I.A. Reference Dose for Chronic Oral Exposure (RfD) Substance Name — Methylmercury (MeHg) CASRN — 22967-92-6 Last Revised — 07/27/2001 The oral Reference Dose (RfD) is based on the assumption that thresholds exist for certain toxic effects such as cellular necrosis. It is expressed in units of mg/kg-day. In general, the RfD is an estimate (with uncertainty spanning perhaps an order of magnitude) of a daily exposure to the human population (including sensitive subgroups) that is likely to be without an appreciable risk of deleterious effects during a lifetime. Please refer to the Background Document for an elaboration of these concepts. RfDs can also be derived for the noncarcinogenic health effects of substances that are also carcinogens. Therefore, it is","author":[{"dropping-particle":"","family":"US EPA","given":"","non-dropping-particle":"","parse-names":false,"suffix":""}],"container-title":"Integrated Risk Information System (IRIS) Chemical Assessment Summary National Center for Environmental Assessment","id":"ITEM-1","issued":{"date-parts":[["2001"]]},"number-of-pages":"1-19","title":"Methylmercury (MeHg) (CASRN 22967-92-6). I. Chronic Health Hazard Assessments for Noncarcinogenic Effects. I.A. Reference Dose for Chronic Oral Exposure (RfD). Last Revised 07/27/2001. Integrated Risk Information System (IRIS). Chemical Assessment Summary","type":"report"},"uris":["http://www.mendeley.com/documents/?uuid=66a905aa-13a1-4d3a-abdf-11a0678adcf5"]},{"id":"ITEM-2","itemData":{"DOI":"https://www.epa.gov/sites/default/files/2020-01/documents/methylmercury-criterion-2001.pdf","author":[{"dropping-particle":"","family":"US EPA","given":"","non-dropping-particle":"","parse-names":false,"suffix":""}],"id":"ITEM-2","issued":{"date-parts":[["2001"]]},"title":"Water Quality Criterion for the Protection of Human Health: Methylmercury. Final. (January 2001, EPA 823-R-01-001). Office of Science and Technology Office of Water U.S. Environmental Protection Agency Washington, DC 20460","type":"report"},"uris":["http://www.mendeley.com/documents/?uuid=d03e295d-97f8-466b-be4f-699bad6111c4"]},{"id":"ITEM-3","itemData":{"author":[{"dropping-particle":"","family":"US EPA","given":"","non-dropping-particle":"","parse-names":false,"suffix":""}],"container-title":"Mercury Study Report to Congress","id":"ITEM-3","issued":{"date-parts":[["1997"]]},"title":"Volume V: Health Effects of Mercury and Mercury Compounds. Mercury Study Report to Congress. December 1997 (EPA-452/R-97-003) Office of Air Quality Planning and Standards, Office of Research and Development, U.S. Environmental Protection Agency","type":"report"},"uris":["http://www.mendeley.com/documents/?uuid=b6cab3ff-18c6-41b0-ad3d-7cabbf65dda2"]}],"mendeley":{"formattedCitation":"(US EPA, 1997, 2001a, 2001b)","plainTextFormattedCitation":"(US EPA, 1997, 2001a, 2001b)","previouslyFormattedCitation":"(US EPA, 1997, 2001a, 2001b)"},"properties":{"noteIndex":0},"schema":"https://github.com/citation-style-language/schema/raw/master/csl-citation.json"}</w:instrText>
      </w:r>
      <w:r w:rsidR="005F4616">
        <w:fldChar w:fldCharType="separate"/>
      </w:r>
      <w:r w:rsidR="00101B10" w:rsidRPr="00101B10">
        <w:rPr>
          <w:noProof/>
        </w:rPr>
        <w:t>(US EPA, 1997, 2001a, 2001b)</w:t>
      </w:r>
      <w:r w:rsidR="005F4616">
        <w:fldChar w:fldCharType="end"/>
      </w:r>
      <w:r w:rsidR="005F4616">
        <w:t>.</w:t>
      </w:r>
    </w:p>
    <w:p w14:paraId="2C6CC1D4" w14:textId="77777777" w:rsidR="00C10259" w:rsidRPr="00534EB9" w:rsidRDefault="00C10259" w:rsidP="00C10259"/>
    <w:p w14:paraId="06CAE459" w14:textId="6C304625" w:rsidR="00C10259" w:rsidRDefault="00534EB9" w:rsidP="009578D6">
      <w:pPr>
        <w:pStyle w:val="Heading1"/>
        <w:keepNext/>
        <w:keepLines/>
        <w:widowControl w:val="0"/>
      </w:pPr>
      <w:r w:rsidRPr="00534EB9">
        <w:lastRenderedPageBreak/>
        <w:t>US FDA</w:t>
      </w:r>
      <w:r w:rsidR="005A395D">
        <w:t xml:space="preserve"> (1986)</w:t>
      </w:r>
    </w:p>
    <w:p w14:paraId="52B510E5" w14:textId="77777777" w:rsidR="00C10259" w:rsidRDefault="00C10259" w:rsidP="009578D6">
      <w:pPr>
        <w:keepNext/>
        <w:keepLines/>
        <w:widowControl w:val="0"/>
        <w:rPr>
          <w:b/>
        </w:rPr>
      </w:pPr>
    </w:p>
    <w:p w14:paraId="06047261" w14:textId="509B036D" w:rsidR="00C10259" w:rsidRDefault="00527279" w:rsidP="009578D6">
      <w:pPr>
        <w:keepNext/>
        <w:keepLines/>
        <w:widowControl w:val="0"/>
      </w:pPr>
      <w:r>
        <w:t>In 1986</w:t>
      </w:r>
      <w:r w:rsidR="00D63E04">
        <w:t xml:space="preserve">, a review </w:t>
      </w:r>
      <w:r w:rsidR="00FA4797">
        <w:t xml:space="preserve">by </w:t>
      </w:r>
      <w:r w:rsidR="00D63E04">
        <w:t xml:space="preserve">the </w:t>
      </w:r>
      <w:r w:rsidR="00ED48B3">
        <w:t xml:space="preserve">US Food &amp; Drug Administration (US FDA) </w:t>
      </w:r>
      <w:r w:rsidR="00D63E04">
        <w:t xml:space="preserve">determined that </w:t>
      </w:r>
      <w:r w:rsidR="006A0FCE">
        <w:t>the</w:t>
      </w:r>
      <w:r w:rsidR="004F2A30">
        <w:t xml:space="preserve"> “threshold value at which symptoms of toxicity associated with </w:t>
      </w:r>
      <w:r w:rsidR="00C5691B">
        <w:t>MeHg</w:t>
      </w:r>
      <w:r w:rsidR="004F2A30">
        <w:t xml:space="preserve"> are first noticeable” </w:t>
      </w:r>
      <w:r w:rsidR="0F0FC2F4">
        <w:t>was</w:t>
      </w:r>
      <w:r w:rsidR="004F2A30">
        <w:t xml:space="preserve"> 200 µg/L </w:t>
      </w:r>
      <w:r w:rsidR="00655158">
        <w:t xml:space="preserve">THg </w:t>
      </w:r>
      <w:r w:rsidR="004F2A30">
        <w:t>in blood</w:t>
      </w:r>
      <w:r w:rsidR="001818E1">
        <w:t xml:space="preserve"> and </w:t>
      </w:r>
      <w:r w:rsidR="004F2A30">
        <w:t xml:space="preserve">50 µg/g </w:t>
      </w:r>
      <w:r w:rsidR="00655158">
        <w:t xml:space="preserve">THg </w:t>
      </w:r>
      <w:r w:rsidR="004F2A30">
        <w:t>in hair</w:t>
      </w:r>
      <w:r w:rsidR="001818E1">
        <w:t xml:space="preserve"> </w:t>
      </w:r>
      <w:r>
        <w:fldChar w:fldCharType="begin" w:fldLock="1"/>
      </w:r>
      <w:r>
        <w:instrText>ADDIN CSL_CITATION {"citationItems":[{"id":"ITEM-1","itemData":{"DOI":"10.1289/ehp.8668203","ISSN":"0091-6765 (Print)","PMID":"3536475","abstract":"The dangers associated with the consumption of large amounts of methylmercury in fish are well recognized, and there is some evidence to suggest that methylmercury may be the cause of subtle neurological impairments when ingested at even low to moderate levels, particularly the prenatal and early childhood periods. This concern has prompted a continuing assessment of the risk of methylmercury toxicity among fish consumers in the United States as well as other countries. The toxicokinetics of methylmercury in humans are reviewed and used to estimate body burdens associated with toxic effects. To determine seafood consumption patterns among the continental U.S. population the Food and Drug Administration (FDA) has analyzed data from a diary study commissioned by the Tuna Research Foundation. Mercury residue levels in domestic fish sampled by the FDA were used to determine the level of exposure to methylmercury. Until evidence is presented that substantially lowers the known body burden of methylmercury which causes toxicity, calculations indicate that the current 1.0 ppm regulatory level provides adequate protection for the average fish consumer, for young children, and for a significant number of consumers exceeding the acceptable daily intake. However, additional studies are being carried out in a continuing process to ensure that safe levels of prenatal exposure to mercury residues in fish are maintained.","author":[{"dropping-particle":"","family":"Tollefson","given":"L","non-dropping-particle":"","parse-names":false,"suffix":""},{"dropping-particle":"","family":"Cordle","given":"F","non-dropping-particle":"","parse-names":false,"suffix":""}],"container-title":"Environmental health perspectives","id":"ITEM-1","issued":{"date-parts":[["1986","9"]]},"language":"eng","page":"203-208","title":"Methylmercury in fish: a review of residue levels, fish consumption and regulatory action in the United States.","type":"article-journal","volume":"68"},"uris":["http://www.mendeley.com/documents/?uuid=9fbd851b-5c9f-4c16-9311-f7014c9db166"]}],"mendeley":{"formattedCitation":"(Tollefson &amp; Cordle, 1986)","plainTextFormattedCitation":"(Tollefson &amp; Cordle, 1986)","previouslyFormattedCitation":"(Tollefson &amp; Cordle, 1986)"},"properties":{"noteIndex":0},"schema":"https://github.com/citation-style-language/schema/raw/master/csl-citation.json"}</w:instrText>
      </w:r>
      <w:r>
        <w:fldChar w:fldCharType="separate"/>
      </w:r>
      <w:r w:rsidR="001818E1" w:rsidRPr="2A0E7B58">
        <w:rPr>
          <w:noProof/>
        </w:rPr>
        <w:t>(Tollefson &amp; Cordle, 1986)</w:t>
      </w:r>
      <w:r>
        <w:fldChar w:fldCharType="end"/>
      </w:r>
      <w:r w:rsidR="001818E1">
        <w:t xml:space="preserve">. This conclusion was based principally on </w:t>
      </w:r>
      <w:r w:rsidR="003A21F8">
        <w:t xml:space="preserve">data from the Japanese poisoning cases in adults as analyzed by the </w:t>
      </w:r>
      <w:r w:rsidR="00372008">
        <w:t>SEG</w:t>
      </w:r>
      <w:r w:rsidR="0091139D">
        <w:t xml:space="preserve"> </w:t>
      </w:r>
      <w:r>
        <w:fldChar w:fldCharType="begin" w:fldLock="1"/>
      </w:r>
      <w:r>
        <w:instrText>ADDIN CSL_CITATION {"citationItems":[{"id":"ITEM-1","itemData":{"author":[{"dropping-particle":"","family":"SEG","given":"","non-dropping-particle":"","parse-names":false,"suffix":""}],"container-title":"Nordisk Hygienisk Tidskrift","id":"ITEM-1","issued":{"date-parts":[["1971"]]},"number-of-pages":"19-364","title":"Methyl mercury in fish : a toxicologic-epidemiologic evaluation of risks : report from an expert group","type":"report","volume":"Supplement"},"suppress-author":1,"uris":["http://www.mendeley.com/documents/?uuid=52dd9d4c-b2cd-4d1d-9d4b-5b9a780fdd35"]}],"mendeley":{"formattedCitation":"(1971)","plainTextFormattedCitation":"(1971)","previouslyFormattedCitation":"(1971)"},"properties":{"noteIndex":0},"schema":"https://github.com/citation-style-language/schema/raw/master/csl-citation.json"}</w:instrText>
      </w:r>
      <w:r>
        <w:fldChar w:fldCharType="separate"/>
      </w:r>
      <w:r w:rsidR="0091139D" w:rsidRPr="2A0E7B58">
        <w:rPr>
          <w:noProof/>
        </w:rPr>
        <w:t>(1971)</w:t>
      </w:r>
      <w:r>
        <w:fldChar w:fldCharType="end"/>
      </w:r>
      <w:r w:rsidR="0091139D">
        <w:t xml:space="preserve"> and JECFA </w:t>
      </w:r>
      <w:r>
        <w:fldChar w:fldCharType="begin" w:fldLock="1"/>
      </w:r>
      <w:r>
        <w:instrText>ADDIN CSL_CITATION {"citationItems":[{"id":"ITEM-1","itemData":{"author":[{"dropping-particle":"","family":"FAO/WHO","given":"","non-dropping-particle":"","parse-names":false,"suffix":""}],"id":"ITEM-1","issued":{"date-parts":[["1972"]]},"title":"Mercury. Evaluation of mercury, lead, cadmium and the food additives amaranth, diethylpyrocarbonate, and octyl gallate. (FAS 4) WHO Food Additives Series, No. 4, 1972, nos 249-256. 16th Meeting of the Joint FAO/WHO Expert Committee on Food Additives which","type":"report"},"suppress-author":1,"uris":["http://www.mendeley.com/documents/?uuid=e1036a63-44c8-43dd-bdf0-70cbc176eb58"]}],"mendeley":{"formattedCitation":"(1972)","plainTextFormattedCitation":"(1972)","previouslyFormattedCitation":"(1972)"},"properties":{"noteIndex":0},"schema":"https://github.com/citation-style-language/schema/raw/master/csl-citation.json"}</w:instrText>
      </w:r>
      <w:r>
        <w:fldChar w:fldCharType="separate"/>
      </w:r>
      <w:r w:rsidR="0091139D" w:rsidRPr="2A0E7B58">
        <w:rPr>
          <w:noProof/>
        </w:rPr>
        <w:t>(1972)</w:t>
      </w:r>
      <w:r>
        <w:fldChar w:fldCharType="end"/>
      </w:r>
      <w:r w:rsidR="00966725">
        <w:t>,</w:t>
      </w:r>
      <w:r w:rsidR="0091139D">
        <w:t xml:space="preserve"> </w:t>
      </w:r>
      <w:r w:rsidR="003A21F8">
        <w:t xml:space="preserve">which stated that </w:t>
      </w:r>
      <w:r w:rsidR="542E2E64">
        <w:t xml:space="preserve">the </w:t>
      </w:r>
      <w:r w:rsidR="003A21F8">
        <w:t xml:space="preserve">“lowest blood level for the appearance of signs and symptoms of methylmercury poisoning was 200 ppb (0.2 ppm)” (i.e. 200 µg/L blood THg). Using a dose-response relationship for fish consumers in Sweden </w:t>
      </w:r>
      <w:r>
        <w:fldChar w:fldCharType="begin" w:fldLock="1"/>
      </w:r>
      <w:r>
        <w:instrText>ADDIN CSL_CITATION {"citationItems":[{"id":"ITEM-1","itemData":{"DOI":"https://doi.org/10.1016/0300-483X(74)90038-9","ISSN":"0300-483X","abstract":"Levels of total mercury in blood cells ranging 8–390 ng/g (in one case 1100) were found in 162 Swedes who consumed fish containing 0.3–7 mg Hg/kg. Levels above 100 ng/g were seen only in subjects 40–80 years of age, levels above 200 ng/g only in persons who consumed fish containing about 1 mg Hg/kg or more. 20 subjects eating fish containing about 0.04 mg Hg/kg ranged 8–45 ng/g blood cells, and 22 subjects eating commercially available fish 3–57 ng/g. Long-term exposure to 4 μg Hg as methylmercury/kg body weight/day - as estimated from fish intake records - corresponded to a blood cell mercury level of about 300 ng/g. After the end of exposure, biologic half-time of mercury in blood cells ranged 58–87 days in 4 subjects, while the corresponding figure was 164 days in one individual. A screening for signs and symptoms of methylmercury poisoning in 86 of the exposed subjects revealed no clearcut case of poisoning. Some subjects of symptoms in a high-mercury (82–1100 ng/g blood cells) group as compared to a low-mercury (12–75 ng/g) group.","author":[{"dropping-particle":"","family":"Skerfving","given":"Staffan","non-dropping-particle":"","parse-names":false,"suffix":""}],"container-title":"Toxicology","id":"ITEM-1","issue":"1","issued":{"date-parts":[["1974"]]},"page":"3-23","title":"Methylmercury exposure, mercury levels in blood and hair, and health status in Swedes consuming contaminated fish","type":"article-journal","volume":"2"},"uris":["http://www.mendeley.com/documents/?uuid=0b6513bd-99ff-4ddc-997e-ac7c5ef7718a"]}],"mendeley":{"formattedCitation":"(Skerfving, 1974)","plainTextFormattedCitation":"(Skerfving, 1974)","previouslyFormattedCitation":"(Skerfving, 1974)"},"properties":{"noteIndex":0},"schema":"https://github.com/citation-style-language/schema/raw/master/csl-citation.json"}</w:instrText>
      </w:r>
      <w:r>
        <w:fldChar w:fldCharType="separate"/>
      </w:r>
      <w:r w:rsidR="003A21F8" w:rsidRPr="2A0E7B58">
        <w:rPr>
          <w:noProof/>
        </w:rPr>
        <w:t>(Skerfving, 1974)</w:t>
      </w:r>
      <w:r>
        <w:fldChar w:fldCharType="end"/>
      </w:r>
      <w:r w:rsidR="003A21F8">
        <w:t xml:space="preserve">, </w:t>
      </w:r>
      <w:r w:rsidR="00582F31">
        <w:t>a</w:t>
      </w:r>
      <w:r w:rsidR="003A21F8">
        <w:t xml:space="preserve"> steady state </w:t>
      </w:r>
      <w:r w:rsidR="00582F31">
        <w:t xml:space="preserve">blood </w:t>
      </w:r>
      <w:r w:rsidR="003A21F8">
        <w:t xml:space="preserve">concentration of 200 µg/L </w:t>
      </w:r>
      <w:r w:rsidR="00995FF5">
        <w:t xml:space="preserve">THg </w:t>
      </w:r>
      <w:r w:rsidR="003A21F8">
        <w:t>was converted to a daily intake of 300 µg/day</w:t>
      </w:r>
      <w:r w:rsidR="006467A6">
        <w:t xml:space="preserve"> MeHg</w:t>
      </w:r>
      <w:r w:rsidR="00DF3AEE">
        <w:t xml:space="preserve">, equivalent to a daily intake of </w:t>
      </w:r>
      <w:r w:rsidR="006B538F">
        <w:t>4</w:t>
      </w:r>
      <w:r w:rsidR="00DF3AEE">
        <w:t>.28 µg/kg-bw/day</w:t>
      </w:r>
      <w:r w:rsidR="006467A6">
        <w:t xml:space="preserve"> MeHg</w:t>
      </w:r>
      <w:r w:rsidR="00DF3AEE">
        <w:t xml:space="preserve"> for a 70</w:t>
      </w:r>
      <w:r w:rsidR="59E043E4">
        <w:t xml:space="preserve"> </w:t>
      </w:r>
      <w:r w:rsidR="00DF3AEE">
        <w:t>kg adult</w:t>
      </w:r>
      <w:r w:rsidR="003A21F8">
        <w:t xml:space="preserve"> </w:t>
      </w:r>
      <w:r>
        <w:fldChar w:fldCharType="begin" w:fldLock="1"/>
      </w:r>
      <w:r>
        <w:instrText>ADDIN CSL_CITATION {"citationItems":[{"id":"ITEM-1","itemData":{"DOI":"10.1289/ehp.8668203","ISSN":"0091-6765 (Print)","PMID":"3536475","abstract":"The dangers associated with the consumption of large amounts of methylmercury in fish are well recognized, and there is some evidence to suggest that methylmercury may be the cause of subtle neurological impairments when ingested at even low to moderate levels, particularly the prenatal and early childhood periods. This concern has prompted a continuing assessment of the risk of methylmercury toxicity among fish consumers in the United States as well as other countries. The toxicokinetics of methylmercury in humans are reviewed and used to estimate body burdens associated with toxic effects. To determine seafood consumption patterns among the continental U.S. population the Food and Drug Administration (FDA) has analyzed data from a diary study commissioned by the Tuna Research Foundation. Mercury residue levels in domestic fish sampled by the FDA were used to determine the level of exposure to methylmercury. Until evidence is presented that substantially lowers the known body burden of methylmercury which causes toxicity, calculations indicate that the current 1.0 ppm regulatory level provides adequate protection for the average fish consumer, for young children, and for a significant number of consumers exceeding the acceptable daily intake. However, additional studies are being carried out in a continuing process to ensure that safe levels of prenatal exposure to mercury residues in fish are maintained.","author":[{"dropping-particle":"","family":"Tollefson","given":"L","non-dropping-particle":"","parse-names":false,"suffix":""},{"dropping-particle":"","family":"Cordle","given":"F","non-dropping-particle":"","parse-names":false,"suffix":""}],"container-title":"Environmental health perspectives","id":"ITEM-1","issued":{"date-parts":[["1986","9"]]},"language":"eng","page":"203-208","title":"Methylmercury in fish: a review of residue levels, fish consumption and regulatory action in the United States.","type":"article-journal","volume":"68"},"uris":["http://www.mendeley.com/documents/?uuid=9fbd851b-5c9f-4c16-9311-f7014c9db166"]}],"mendeley":{"formattedCitation":"(Tollefson &amp; Cordle, 1986)","plainTextFormattedCitation":"(Tollefson &amp; Cordle, 1986)","previouslyFormattedCitation":"(Tollefson &amp; Cordle, 1986)"},"properties":{"noteIndex":0},"schema":"https://github.com/citation-style-language/schema/raw/master/csl-citation.json"}</w:instrText>
      </w:r>
      <w:r>
        <w:fldChar w:fldCharType="separate"/>
      </w:r>
      <w:r w:rsidR="003A21F8" w:rsidRPr="2A0E7B58">
        <w:rPr>
          <w:noProof/>
        </w:rPr>
        <w:t>(Tollefson &amp; Cordle, 1986)</w:t>
      </w:r>
      <w:r>
        <w:fldChar w:fldCharType="end"/>
      </w:r>
      <w:r w:rsidR="003A21F8">
        <w:t>.</w:t>
      </w:r>
      <w:r w:rsidR="00582F31">
        <w:t xml:space="preserve"> </w:t>
      </w:r>
      <w:r w:rsidR="00534EB9">
        <w:t>Considering the uncertainties in the dataset</w:t>
      </w:r>
      <w:r w:rsidR="54F8267E">
        <w:t>,</w:t>
      </w:r>
      <w:r w:rsidR="00534EB9">
        <w:t xml:space="preserve"> including </w:t>
      </w:r>
      <w:r w:rsidR="2D46F4E1">
        <w:t>mercury-</w:t>
      </w:r>
      <w:r w:rsidR="00534EB9">
        <w:t xml:space="preserve">selenium </w:t>
      </w:r>
      <w:r w:rsidR="72464A78">
        <w:t xml:space="preserve">interactions </w:t>
      </w:r>
      <w:r w:rsidR="00534EB9">
        <w:t xml:space="preserve">and </w:t>
      </w:r>
      <w:r w:rsidR="00E54157">
        <w:t xml:space="preserve">the </w:t>
      </w:r>
      <w:r w:rsidR="00534EB9">
        <w:t xml:space="preserve">sensitivity of the developing fetus, the US FDA applied a safety factor of 10 to arrive at a “maximum tolerable level” </w:t>
      </w:r>
      <w:r w:rsidR="00CE22DF">
        <w:t xml:space="preserve">or </w:t>
      </w:r>
      <w:r w:rsidR="3E9436CC">
        <w:t>acceptable daily intake (</w:t>
      </w:r>
      <w:r w:rsidR="00CE22DF">
        <w:t>ADI</w:t>
      </w:r>
      <w:r w:rsidR="2D54918F">
        <w:t>)</w:t>
      </w:r>
      <w:r w:rsidR="00CE22DF">
        <w:t xml:space="preserve"> </w:t>
      </w:r>
      <w:r w:rsidR="00534EB9">
        <w:t>of 30 µg/day MeHg</w:t>
      </w:r>
      <w:r w:rsidR="015DC735">
        <w:t>, which is</w:t>
      </w:r>
      <w:r w:rsidR="00534EB9">
        <w:t xml:space="preserve"> </w:t>
      </w:r>
      <w:r w:rsidR="009A7D7D">
        <w:t xml:space="preserve">equivalent to </w:t>
      </w:r>
      <w:r w:rsidR="00534EB9">
        <w:t>0.</w:t>
      </w:r>
      <w:r w:rsidR="00E44682">
        <w:t>4</w:t>
      </w:r>
      <w:r w:rsidR="00534EB9">
        <w:t>3 µg/kg-bw/day</w:t>
      </w:r>
      <w:r w:rsidR="006467A6">
        <w:t xml:space="preserve"> MeHg</w:t>
      </w:r>
      <w:r w:rsidR="009A7D7D">
        <w:t xml:space="preserve"> for a 70</w:t>
      </w:r>
      <w:r w:rsidR="373AC458">
        <w:t xml:space="preserve"> </w:t>
      </w:r>
      <w:r w:rsidR="009A7D7D">
        <w:t xml:space="preserve">kg adult. </w:t>
      </w:r>
      <w:r w:rsidR="006B045E">
        <w:t>The blood and hair concentrations</w:t>
      </w:r>
      <w:r w:rsidR="00534EB9">
        <w:t xml:space="preserve"> corresponding to</w:t>
      </w:r>
      <w:r w:rsidR="006B045E">
        <w:t xml:space="preserve"> the ADI could be expressed as </w:t>
      </w:r>
      <w:r w:rsidR="00534EB9">
        <w:t xml:space="preserve">20 µg/L </w:t>
      </w:r>
      <w:r w:rsidR="00003916">
        <w:t xml:space="preserve">THg </w:t>
      </w:r>
      <w:r w:rsidR="00CE22DF">
        <w:t>in blood</w:t>
      </w:r>
      <w:r w:rsidR="00534EB9">
        <w:t xml:space="preserve"> and 5 µg/g </w:t>
      </w:r>
      <w:r w:rsidR="00003916">
        <w:t>T</w:t>
      </w:r>
      <w:r w:rsidR="00A328A9">
        <w:t xml:space="preserve">Hg </w:t>
      </w:r>
      <w:r w:rsidR="00534EB9">
        <w:t xml:space="preserve">in hair </w:t>
      </w:r>
      <w:r w:rsidR="00D50817">
        <w:t xml:space="preserve">respectively </w:t>
      </w:r>
      <w:r>
        <w:fldChar w:fldCharType="begin" w:fldLock="1"/>
      </w:r>
      <w:r>
        <w:instrText>ADDIN CSL_CITATION {"citationItems":[{"id":"ITEM-1","itemData":{"DOI":"10.1289/ehp.8668203","ISSN":"0091-6765 (Print)","PMID":"3536475","abstract":"The dangers associated with the consumption of large amounts of methylmercury in fish are well recognized, and there is some evidence to suggest that methylmercury may be the cause of subtle neurological impairments when ingested at even low to moderate levels, particularly the prenatal and early childhood periods. This concern has prompted a continuing assessment of the risk of methylmercury toxicity among fish consumers in the United States as well as other countries. The toxicokinetics of methylmercury in humans are reviewed and used to estimate body burdens associated with toxic effects. To determine seafood consumption patterns among the continental U.S. population the Food and Drug Administration (FDA) has analyzed data from a diary study commissioned by the Tuna Research Foundation. Mercury residue levels in domestic fish sampled by the FDA were used to determine the level of exposure to methylmercury. Until evidence is presented that substantially lowers the known body burden of methylmercury which causes toxicity, calculations indicate that the current 1.0 ppm regulatory level provides adequate protection for the average fish consumer, for young children, and for a significant number of consumers exceeding the acceptable daily intake. However, additional studies are being carried out in a continuing process to ensure that safe levels of prenatal exposure to mercury residues in fish are maintained.","author":[{"dropping-particle":"","family":"Tollefson","given":"L","non-dropping-particle":"","parse-names":false,"suffix":""},{"dropping-particle":"","family":"Cordle","given":"F","non-dropping-particle":"","parse-names":false,"suffix":""}],"container-title":"Environmental health perspectives","id":"ITEM-1","issued":{"date-parts":[["1986","9"]]},"language":"eng","page":"203-208","title":"Methylmercury in fish: a review of residue levels, fish consumption and regulatory action in the United States.","type":"article-journal","volume":"68"},"uris":["http://www.mendeley.com/documents/?uuid=9fbd851b-5c9f-4c16-9311-f7014c9db166"]}],"mendeley":{"formattedCitation":"(Tollefson &amp; Cordle, 1986)","plainTextFormattedCitation":"(Tollefson &amp; Cordle, 1986)","previouslyFormattedCitation":"(Tollefson &amp; Cordle, 1986)"},"properties":{"noteIndex":0},"schema":"https://github.com/citation-style-language/schema/raw/master/csl-citation.json"}</w:instrText>
      </w:r>
      <w:r>
        <w:fldChar w:fldCharType="separate"/>
      </w:r>
      <w:r w:rsidR="009C7931" w:rsidRPr="2A0E7B58">
        <w:rPr>
          <w:noProof/>
        </w:rPr>
        <w:t>(Tollefson &amp; Cordle, 1986)</w:t>
      </w:r>
      <w:r>
        <w:fldChar w:fldCharType="end"/>
      </w:r>
      <w:r w:rsidR="00534EB9">
        <w:t xml:space="preserve">. </w:t>
      </w:r>
      <w:r w:rsidR="00512C3F">
        <w:t>The</w:t>
      </w:r>
      <w:r w:rsidR="000F0B3B">
        <w:t xml:space="preserve"> </w:t>
      </w:r>
      <w:r w:rsidR="00534EB9">
        <w:t xml:space="preserve">ADI and blood/hair guideline levels </w:t>
      </w:r>
      <w:r w:rsidR="00512C3F">
        <w:t xml:space="preserve">derived by the US FDA </w:t>
      </w:r>
      <w:r w:rsidR="00534EB9">
        <w:t>were based on adverse neurological effects in adults</w:t>
      </w:r>
      <w:r w:rsidR="3B337CBB">
        <w:t xml:space="preserve"> who were exposed to very high levels of mercury from contamination incidents</w:t>
      </w:r>
      <w:r w:rsidR="5EC8FBEA">
        <w:t>.</w:t>
      </w:r>
      <w:r w:rsidR="00534EB9">
        <w:t xml:space="preserve"> </w:t>
      </w:r>
      <w:r w:rsidR="512A5379">
        <w:t>H</w:t>
      </w:r>
      <w:r w:rsidR="00512C3F">
        <w:t>owever</w:t>
      </w:r>
      <w:r w:rsidR="00C62D26">
        <w:t>,</w:t>
      </w:r>
      <w:r w:rsidR="00512C3F">
        <w:t xml:space="preserve"> </w:t>
      </w:r>
      <w:r w:rsidR="00C62D26">
        <w:t xml:space="preserve">the application of </w:t>
      </w:r>
      <w:r w:rsidR="00534EB9">
        <w:t>a larger safety factor of 10 was considered to account for potential sensitivity of the fetus and therefore</w:t>
      </w:r>
      <w:r w:rsidR="00C62D26">
        <w:t>,</w:t>
      </w:r>
      <w:r w:rsidR="00534EB9">
        <w:t xml:space="preserve"> </w:t>
      </w:r>
      <w:r w:rsidR="00CE22DF">
        <w:t xml:space="preserve">the ADI was </w:t>
      </w:r>
      <w:r w:rsidR="00512C3F">
        <w:t xml:space="preserve">considered </w:t>
      </w:r>
      <w:r w:rsidR="00341F11">
        <w:t xml:space="preserve">to be </w:t>
      </w:r>
      <w:r w:rsidR="00512C3F">
        <w:t>protective of both the</w:t>
      </w:r>
      <w:r w:rsidR="00534EB9">
        <w:t xml:space="preserve"> general population </w:t>
      </w:r>
      <w:r w:rsidR="007E2AE2">
        <w:t>and</w:t>
      </w:r>
      <w:r w:rsidR="00534EB9">
        <w:t xml:space="preserve"> women of childbearing age (WCBA)</w:t>
      </w:r>
      <w:r w:rsidR="00120A5D">
        <w:t xml:space="preserve"> </w:t>
      </w:r>
      <w:r>
        <w:fldChar w:fldCharType="begin" w:fldLock="1"/>
      </w:r>
      <w:r>
        <w:instrText>ADDIN CSL_CITATION {"citationItems":[{"id":"ITEM-1","itemData":{"DOI":"10.1289/ehp.8668203","ISSN":"0091-6765 (Print)","PMID":"3536475","abstract":"The dangers associated with the consumption of large amounts of methylmercury in fish are well recognized, and there is some evidence to suggest that methylmercury may be the cause of subtle neurological impairments when ingested at even low to moderate levels, particularly the prenatal and early childhood periods. This concern has prompted a continuing assessment of the risk of methylmercury toxicity among fish consumers in the United States as well as other countries. The toxicokinetics of methylmercury in humans are reviewed and used to estimate body burdens associated with toxic effects. To determine seafood consumption patterns among the continental U.S. population the Food and Drug Administration (FDA) has analyzed data from a diary study commissioned by the Tuna Research Foundation. Mercury residue levels in domestic fish sampled by the FDA were used to determine the level of exposure to methylmercury. Until evidence is presented that substantially lowers the known body burden of methylmercury which causes toxicity, calculations indicate that the current 1.0 ppm regulatory level provides adequate protection for the average fish consumer, for young children, and for a significant number of consumers exceeding the acceptable daily intake. However, additional studies are being carried out in a continuing process to ensure that safe levels of prenatal exposure to mercury residues in fish are maintained.","author":[{"dropping-particle":"","family":"Tollefson","given":"L","non-dropping-particle":"","parse-names":false,"suffix":""},{"dropping-particle":"","family":"Cordle","given":"F","non-dropping-particle":"","parse-names":false,"suffix":""}],"container-title":"Environmental health perspectives","id":"ITEM-1","issued":{"date-parts":[["1986","9"]]},"language":"eng","page":"203-208","title":"Methylmercury in fish: a review of residue levels, fish consumption and regulatory action in the United States.","type":"article-journal","volume":"68"},"uris":["http://www.mendeley.com/documents/?uuid=9fbd851b-5c9f-4c16-9311-f7014c9db166"]}],"mendeley":{"formattedCitation":"(Tollefson &amp; Cordle, 1986)","plainTextFormattedCitation":"(Tollefson &amp; Cordle, 1986)","previouslyFormattedCitation":"(Tollefson &amp; Cordle, 1986)"},"properties":{"noteIndex":0},"schema":"https://github.com/citation-style-language/schema/raw/master/csl-citation.json"}</w:instrText>
      </w:r>
      <w:r>
        <w:fldChar w:fldCharType="separate"/>
      </w:r>
      <w:r w:rsidR="00120A5D" w:rsidRPr="2A0E7B58">
        <w:rPr>
          <w:noProof/>
        </w:rPr>
        <w:t>(Tollefson &amp; Cordle, 1986)</w:t>
      </w:r>
      <w:r>
        <w:fldChar w:fldCharType="end"/>
      </w:r>
      <w:r w:rsidR="00120A5D">
        <w:t>.</w:t>
      </w:r>
      <w:r w:rsidR="009D50A8">
        <w:t xml:space="preserve"> </w:t>
      </w:r>
      <w:r w:rsidR="007B0B94">
        <w:t>T</w:t>
      </w:r>
      <w:r w:rsidR="009D50A8">
        <w:t xml:space="preserve">he US FDA </w:t>
      </w:r>
      <w:r w:rsidR="00221B81">
        <w:t xml:space="preserve">has subsequently </w:t>
      </w:r>
      <w:r w:rsidR="00AF3BE2">
        <w:t xml:space="preserve">updated its hazard characterization for prenatal MeHg exposure </w:t>
      </w:r>
      <w:r w:rsidR="00305AA0">
        <w:t xml:space="preserve">and </w:t>
      </w:r>
      <w:r w:rsidR="000A3147">
        <w:t>has since employed a different risk assessment approach to protect</w:t>
      </w:r>
      <w:r w:rsidR="008A1977">
        <w:t xml:space="preserve"> against potential neurodevelopmental effects </w:t>
      </w:r>
      <w:r>
        <w:fldChar w:fldCharType="begin" w:fldLock="1"/>
      </w:r>
      <w:r>
        <w:instrText>ADDIN CSL_CITATION {"citationItems":[{"id":"ITEM-1","itemData":{"author":[{"dropping-particle":"","family":"US FDA","given":"","non-dropping-particle":"","parse-names":false,"suffix":""}],"id":"ITEM-1","issued":{"date-parts":[["2014"]]},"title":"Quantitative Assessment of the Net Effects on Fetal Neurodevelopment from Eating Commercial Fish (As Measured by IQ and also by Early Age Verbal Development in Children).","type":"report"},"uris":["http://www.mendeley.com/documents/?uuid=f107a030-c284-476a-aeab-06536091a020"]}],"mendeley":{"formattedCitation":"(US FDA, 2014)","plainTextFormattedCitation":"(US FDA, 2014)","previouslyFormattedCitation":"(US FDA, 2014)"},"properties":{"noteIndex":0},"schema":"https://github.com/citation-style-language/schema/raw/master/csl-citation.json"}</w:instrText>
      </w:r>
      <w:r>
        <w:fldChar w:fldCharType="separate"/>
      </w:r>
      <w:r w:rsidR="00C15DAA" w:rsidRPr="2A0E7B58">
        <w:rPr>
          <w:noProof/>
        </w:rPr>
        <w:t>(US FDA, 2014)</w:t>
      </w:r>
      <w:r>
        <w:fldChar w:fldCharType="end"/>
      </w:r>
      <w:r w:rsidR="00C15DAA">
        <w:t>.</w:t>
      </w:r>
    </w:p>
    <w:p w14:paraId="6F18C065" w14:textId="6D52D0D9" w:rsidR="00AA0DB2" w:rsidRDefault="00AA0DB2" w:rsidP="00534EB9"/>
    <w:p w14:paraId="16272CEC" w14:textId="77777777" w:rsidR="00D017CC" w:rsidRDefault="00D017CC" w:rsidP="00D017CC"/>
    <w:p w14:paraId="5EC80AB0" w14:textId="3C7073E8" w:rsidR="00D017CC" w:rsidRDefault="00D017CC" w:rsidP="00D017CC">
      <w:pPr>
        <w:pStyle w:val="Heading1"/>
      </w:pPr>
      <w:r>
        <w:t>References</w:t>
      </w:r>
    </w:p>
    <w:p w14:paraId="26C19888" w14:textId="77777777" w:rsidR="00E15B67" w:rsidRDefault="00E15B67" w:rsidP="00B226F2">
      <w:pPr>
        <w:widowControl w:val="0"/>
        <w:autoSpaceDE w:val="0"/>
        <w:autoSpaceDN w:val="0"/>
        <w:adjustRightInd w:val="0"/>
        <w:ind w:left="480" w:hanging="480"/>
      </w:pPr>
    </w:p>
    <w:p w14:paraId="494F590E" w14:textId="70D521F1" w:rsidR="006A1854" w:rsidRPr="006A1854" w:rsidRDefault="00F27E20" w:rsidP="006A1854">
      <w:pPr>
        <w:widowControl w:val="0"/>
        <w:autoSpaceDE w:val="0"/>
        <w:autoSpaceDN w:val="0"/>
        <w:adjustRightInd w:val="0"/>
        <w:ind w:left="480" w:hanging="480"/>
        <w:rPr>
          <w:noProof/>
          <w:kern w:val="0"/>
        </w:rPr>
      </w:pPr>
      <w:r>
        <w:fldChar w:fldCharType="begin" w:fldLock="1"/>
      </w:r>
      <w:r>
        <w:instrText xml:space="preserve">ADDIN Mendeley Bibliography CSL_BIBLIOGRAPHY </w:instrText>
      </w:r>
      <w:r>
        <w:fldChar w:fldCharType="separate"/>
      </w:r>
      <w:r w:rsidR="006A1854" w:rsidRPr="006A1854">
        <w:rPr>
          <w:noProof/>
          <w:kern w:val="0"/>
        </w:rPr>
        <w:t xml:space="preserve">Al-Mufti, A. W., Copplestone, J. F., Kazantzis, G., Mahmoud, R. M., &amp; Majid, M. A. (1976). Epidemiology of organomercury poisoning in Iraq. I. Incidence in a defined area and relationship to the eating of contaminated bread. </w:t>
      </w:r>
      <w:r w:rsidR="006A1854" w:rsidRPr="006A1854">
        <w:rPr>
          <w:i/>
          <w:iCs/>
          <w:noProof/>
          <w:kern w:val="0"/>
        </w:rPr>
        <w:t>Bulletin of the World Health Organization</w:t>
      </w:r>
      <w:r w:rsidR="006A1854" w:rsidRPr="006A1854">
        <w:rPr>
          <w:noProof/>
          <w:kern w:val="0"/>
        </w:rPr>
        <w:t xml:space="preserve">, </w:t>
      </w:r>
      <w:r w:rsidR="006A1854" w:rsidRPr="006A1854">
        <w:rPr>
          <w:i/>
          <w:iCs/>
          <w:noProof/>
          <w:kern w:val="0"/>
        </w:rPr>
        <w:t>53 Suppl</w:t>
      </w:r>
      <w:r w:rsidR="006A1854" w:rsidRPr="006A1854">
        <w:rPr>
          <w:noProof/>
          <w:kern w:val="0"/>
        </w:rPr>
        <w:t>(Suppl), 23–36. https://pmc.ncbi.nlm.nih.gov/articles/PMC2366407/</w:t>
      </w:r>
    </w:p>
    <w:p w14:paraId="04184070"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Al-Shahristani, H., Shihab, K., &amp; Al-Haddad, I. K. (1976). Mercury in hair as an indicator of total body burden. </w:t>
      </w:r>
      <w:r w:rsidRPr="006A1854">
        <w:rPr>
          <w:i/>
          <w:iCs/>
          <w:noProof/>
          <w:kern w:val="0"/>
        </w:rPr>
        <w:t>Bulletin of the World Health Organization</w:t>
      </w:r>
      <w:r w:rsidRPr="006A1854">
        <w:rPr>
          <w:noProof/>
          <w:kern w:val="0"/>
        </w:rPr>
        <w:t xml:space="preserve">, </w:t>
      </w:r>
      <w:r w:rsidRPr="006A1854">
        <w:rPr>
          <w:i/>
          <w:iCs/>
          <w:noProof/>
          <w:kern w:val="0"/>
        </w:rPr>
        <w:t>53 Suppl</w:t>
      </w:r>
      <w:r w:rsidRPr="006A1854">
        <w:rPr>
          <w:noProof/>
          <w:kern w:val="0"/>
        </w:rPr>
        <w:t>(Suppl), 105–112. https://pmc.ncbi.nlm.nih.gov/articles/PMC2366395/</w:t>
      </w:r>
    </w:p>
    <w:p w14:paraId="316CADB4"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Bakir, F., Damluji, S. F., Amin-Zaki, L., Murtadha, M., Khalidi, A., al-Rawi, N. Y., Tikriti, S., Dahahir, H. I., Clarkson, T. W., Smith, J. C., &amp; Doherty, R. A. (1973). Methylmercury poisoning in Iraq. </w:t>
      </w:r>
      <w:r w:rsidRPr="006A1854">
        <w:rPr>
          <w:i/>
          <w:iCs/>
          <w:noProof/>
          <w:kern w:val="0"/>
        </w:rPr>
        <w:t>Science (New York, N.Y.)</w:t>
      </w:r>
      <w:r w:rsidRPr="006A1854">
        <w:rPr>
          <w:noProof/>
          <w:kern w:val="0"/>
        </w:rPr>
        <w:t xml:space="preserve">, </w:t>
      </w:r>
      <w:r w:rsidRPr="006A1854">
        <w:rPr>
          <w:i/>
          <w:iCs/>
          <w:noProof/>
          <w:kern w:val="0"/>
        </w:rPr>
        <w:t>181</w:t>
      </w:r>
      <w:r w:rsidRPr="006A1854">
        <w:rPr>
          <w:noProof/>
          <w:kern w:val="0"/>
        </w:rPr>
        <w:t>(4096), 230–241. https://doi.org/10.1126/science.181.4096.230</w:t>
      </w:r>
    </w:p>
    <w:p w14:paraId="3150A1E4"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Berlin, M., Ramel, C., &amp; Swensson, A. (1969). </w:t>
      </w:r>
      <w:r w:rsidRPr="006A1854">
        <w:rPr>
          <w:i/>
          <w:iCs/>
          <w:noProof/>
          <w:kern w:val="0"/>
        </w:rPr>
        <w:t>Poisoning by the consumption of fish containing a methyl mercury compound. A report from a study trip to Japan in 1968. (Swedish) - cited in Swedish Expert Group, 1971.</w:t>
      </w:r>
    </w:p>
    <w:p w14:paraId="7D5F76F3"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Birke, G., Johnels, A., Plantin, L., Sjostrand, B., &amp; Westermark, T. (1967). Mercury poisoning through eating fish? </w:t>
      </w:r>
      <w:r w:rsidRPr="006A1854">
        <w:rPr>
          <w:i/>
          <w:iCs/>
          <w:noProof/>
          <w:kern w:val="0"/>
        </w:rPr>
        <w:t>Lakartidningen</w:t>
      </w:r>
      <w:r w:rsidRPr="006A1854">
        <w:rPr>
          <w:noProof/>
          <w:kern w:val="0"/>
        </w:rPr>
        <w:t xml:space="preserve">, </w:t>
      </w:r>
      <w:r w:rsidRPr="006A1854">
        <w:rPr>
          <w:i/>
          <w:iCs/>
          <w:noProof/>
          <w:kern w:val="0"/>
        </w:rPr>
        <w:t>64</w:t>
      </w:r>
      <w:r w:rsidRPr="006A1854">
        <w:rPr>
          <w:noProof/>
          <w:kern w:val="0"/>
        </w:rPr>
        <w:t>, 3628–3637.</w:t>
      </w:r>
    </w:p>
    <w:p w14:paraId="52634149"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FAO/WHO. (1972). </w:t>
      </w:r>
      <w:r w:rsidRPr="006A1854">
        <w:rPr>
          <w:i/>
          <w:iCs/>
          <w:noProof/>
          <w:kern w:val="0"/>
        </w:rPr>
        <w:t>Mercury. Evaluation of mercury, lead, cadmium and the food additives amaranth, diethylpyrocarbonate, and octyl gallate. (FAS 4) WHO Food Additives Series, No. 4, 1972, nos 249-256. 16th Meeting of the Joint FAO/WHO Expert Committee on Food Additives which</w:t>
      </w:r>
      <w:r w:rsidRPr="006A1854">
        <w:rPr>
          <w:noProof/>
          <w:kern w:val="0"/>
        </w:rPr>
        <w:t>. https://inchem.org/documents/jecfa/jecmono/v004je02.htm</w:t>
      </w:r>
    </w:p>
    <w:p w14:paraId="44CC74D8"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FAO/WHO. (1989). </w:t>
      </w:r>
      <w:r w:rsidRPr="006A1854">
        <w:rPr>
          <w:i/>
          <w:iCs/>
          <w:noProof/>
          <w:kern w:val="0"/>
        </w:rPr>
        <w:t>Methylmercury. Toxicological evaluation of certain food additives and contaminants. (FAS 24) WHO Food Additives Series, No. 24. Cambridge University Press, 1989, nos 651-664 (Thirty-third report of the Joint FAO/WHO Expert Committee on Food Additives).</w:t>
      </w:r>
      <w:r w:rsidRPr="006A1854">
        <w:rPr>
          <w:noProof/>
          <w:kern w:val="0"/>
        </w:rPr>
        <w:t xml:space="preserve"> https://inchem.org/documents/jecfa/jecmono/v024je12.htm</w:t>
      </w:r>
    </w:p>
    <w:p w14:paraId="72AB6ED0"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FAO/WHO. (2007). </w:t>
      </w:r>
      <w:r w:rsidRPr="006A1854">
        <w:rPr>
          <w:i/>
          <w:iCs/>
          <w:noProof/>
          <w:kern w:val="0"/>
        </w:rPr>
        <w:t>Methylmercury (addendum): Safety evaluation of certain food additives and contaminants. (FAS 58) WHO Food Additive Series 58. Prepared by the Sixty-seventh meeting of the Joint FAO/WHO Expert Committee on Food Additives (JECFA)</w:t>
      </w:r>
      <w:r w:rsidRPr="006A1854">
        <w:rPr>
          <w:noProof/>
          <w:kern w:val="0"/>
        </w:rPr>
        <w:t>. https://apps.who.int/iris/bitstream/handle/10665/43645/9789241660587_eng.pdf;sequence=1</w:t>
      </w:r>
    </w:p>
    <w:p w14:paraId="35C7146E"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Feeley, M., &amp; Lo, M.-T. (1998). Risk Assessment for Mercury in Health Canada - Development of the Provisional Tolerable Daily Intake (pTDI) Value. In W. Pilgrim, N. Burgess, &amp; M.-F. Giguere (Eds.), </w:t>
      </w:r>
      <w:r w:rsidRPr="006A1854">
        <w:rPr>
          <w:i/>
          <w:iCs/>
          <w:noProof/>
          <w:kern w:val="0"/>
        </w:rPr>
        <w:t>Conference Proceedings. Mercury in Eastern Canada and the Northeast States. New Brunswick, September 21-23, 1998. Ecological Monitoring and Assessment Network (EMAN), Environment Canada-Atlantic Region, Health Canada and New Brunswick Dept. of the Env’t.</w:t>
      </w:r>
      <w:r w:rsidRPr="006A1854">
        <w:rPr>
          <w:noProof/>
          <w:kern w:val="0"/>
        </w:rPr>
        <w:t xml:space="preserve"> (p. 32). https://hawcproject.org/media/study-attachment/Feeley__Lo_1998_-_Health_Canada_pTDI_for_MeHg.pdf</w:t>
      </w:r>
    </w:p>
    <w:p w14:paraId="316784F9"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&amp; Welfare Canada. (1971). The Canadian approach to acceptable daily intakes of mercury in foods. (A.B. Morrison, Food &amp; Drug Directorate, Department of National Health and Welfare, Ottawa). Special Symposium on Mercury in Man’s Environment. Feb. 15-16, 1971. In J. Watkins (Ed.), </w:t>
      </w:r>
      <w:r w:rsidRPr="006A1854">
        <w:rPr>
          <w:i/>
          <w:iCs/>
          <w:noProof/>
          <w:kern w:val="0"/>
        </w:rPr>
        <w:t>Proceedings of the Royal Society of Canada</w:t>
      </w:r>
      <w:r w:rsidRPr="006A1854">
        <w:rPr>
          <w:noProof/>
          <w:kern w:val="0"/>
        </w:rPr>
        <w:t xml:space="preserve"> (pp. 157–164). https://search.worldcat.org/title/15773759?oclcNum=15773759</w:t>
      </w:r>
    </w:p>
    <w:p w14:paraId="6B650318"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&amp; Welfare Canada. (1972). </w:t>
      </w:r>
      <w:r w:rsidRPr="006A1854">
        <w:rPr>
          <w:i/>
          <w:iCs/>
          <w:noProof/>
          <w:kern w:val="0"/>
        </w:rPr>
        <w:t>Mercury in Fish. Letter from the Food Advisory Bureau, Health Protection Branch, Department of National Health &amp; Welfare to the Wellington-Dufferin-Guelph Health Unit, Guelph, Ontario . Dec. 1, 1972. (unpublished)</w:t>
      </w:r>
      <w:r w:rsidRPr="006A1854">
        <w:rPr>
          <w:noProof/>
          <w:kern w:val="0"/>
        </w:rPr>
        <w:t>.</w:t>
      </w:r>
    </w:p>
    <w:p w14:paraId="1D34AA3B"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&amp; Welfare Canada. (1979). </w:t>
      </w:r>
      <w:r w:rsidRPr="006A1854">
        <w:rPr>
          <w:i/>
          <w:iCs/>
          <w:noProof/>
          <w:kern w:val="0"/>
        </w:rPr>
        <w:t>Methylmercury in Canada: exposure of Indian and Inuit residents to methylmercury in the Canadian environment. A review of the Medical Services Branch, Department of National Health &amp; Welfare, Mercury Program Findings to December 31, 1978.</w:t>
      </w:r>
    </w:p>
    <w:p w14:paraId="08734C50"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Canada. (1986). </w:t>
      </w:r>
      <w:r w:rsidRPr="006A1854">
        <w:rPr>
          <w:i/>
          <w:iCs/>
          <w:noProof/>
          <w:kern w:val="0"/>
        </w:rPr>
        <w:t xml:space="preserve">Mercury. Guidelines for Canadian Drinking Water Quality: Guideline Technical Document - Mercury. </w:t>
      </w:r>
      <w:r w:rsidRPr="006A1854">
        <w:rPr>
          <w:i/>
          <w:iCs/>
          <w:noProof/>
          <w:kern w:val="0"/>
        </w:rPr>
        <w:lastRenderedPageBreak/>
        <w:t>April 1979 (Updated September 1986)</w:t>
      </w:r>
      <w:r w:rsidRPr="006A1854">
        <w:rPr>
          <w:noProof/>
          <w:kern w:val="0"/>
        </w:rPr>
        <w:t>. https://www.canada.ca/en/health-canada/services/publications/healthy-living/guidelines-canadian-drinking-water-quality-guideline-technical-document-mercury.html#a12</w:t>
      </w:r>
    </w:p>
    <w:p w14:paraId="4A43595A"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Canada. (1997). </w:t>
      </w:r>
      <w:r w:rsidRPr="006A1854">
        <w:rPr>
          <w:i/>
          <w:iCs/>
          <w:noProof/>
          <w:kern w:val="0"/>
        </w:rPr>
        <w:t>pTDI of methylmercury (MeHg) for pregnant women and infants - rationale. Bureau of Chemical Safety. (unpublished)</w:t>
      </w:r>
      <w:r w:rsidRPr="006A1854">
        <w:rPr>
          <w:noProof/>
          <w:kern w:val="0"/>
        </w:rPr>
        <w:t>.</w:t>
      </w:r>
    </w:p>
    <w:p w14:paraId="14C7A5B1"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Canada. (1999). </w:t>
      </w:r>
      <w:r w:rsidRPr="006A1854">
        <w:rPr>
          <w:i/>
          <w:iCs/>
          <w:noProof/>
          <w:kern w:val="0"/>
        </w:rPr>
        <w:t>Methylmercury in Canada: exposure of Indian and Inuit residents to methylmercury. Volume. 3. A review of the Medical Services Branch, Health Canada Program Findings to December 31, 1996.</w:t>
      </w:r>
    </w:p>
    <w:p w14:paraId="4A2C4287"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Canada. (2007). </w:t>
      </w:r>
      <w:r w:rsidRPr="006A1854">
        <w:rPr>
          <w:i/>
          <w:iCs/>
          <w:noProof/>
          <w:kern w:val="0"/>
        </w:rPr>
        <w:t>Human Health Risk Assessment of Mercury in Fish and Health Benefits of Fish Consumption. (Bureau of Chemical Safety, Food Directorate, Health Products and Food Branch)</w:t>
      </w:r>
      <w:r w:rsidRPr="006A1854">
        <w:rPr>
          <w:noProof/>
          <w:kern w:val="0"/>
        </w:rPr>
        <w:t>. https://www.canada.ca/content/dam/hc-sc/migration/hc-sc/fn-an/alt_formats/hpfb-dgpsa/pdf/nutrition/merc_fish_poisson-eng.pdf</w:t>
      </w:r>
    </w:p>
    <w:p w14:paraId="1F011CF9"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Health Canada. (2023). </w:t>
      </w:r>
      <w:r w:rsidRPr="006A1854">
        <w:rPr>
          <w:i/>
          <w:iCs/>
          <w:noProof/>
          <w:kern w:val="0"/>
        </w:rPr>
        <w:t>Guidance for Evaluating Human Health Effects in Impact Assessment: Country Foods.</w:t>
      </w:r>
      <w:r w:rsidRPr="006A1854">
        <w:rPr>
          <w:noProof/>
          <w:kern w:val="0"/>
        </w:rPr>
        <w:t xml:space="preserve"> https://publications.gc.ca/collections/collection_2024/sc-hc/H129-54-5-2023-eng.pdf</w:t>
      </w:r>
    </w:p>
    <w:p w14:paraId="08C12D77"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Kojima, K., &amp; Araki, T. (1972). </w:t>
      </w:r>
      <w:r w:rsidRPr="006A1854">
        <w:rPr>
          <w:i/>
          <w:iCs/>
          <w:noProof/>
          <w:kern w:val="0"/>
        </w:rPr>
        <w:t>Paper submitted to WHO (unpublished, cited in FAO-WHO 1972)</w:t>
      </w:r>
      <w:r w:rsidRPr="006A1854">
        <w:rPr>
          <w:noProof/>
          <w:kern w:val="0"/>
        </w:rPr>
        <w:t>.</w:t>
      </w:r>
    </w:p>
    <w:p w14:paraId="75F9D9C3"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Legrand, M., Feeley, M., Tikhonov, C., Schoen, D., &amp; Li-Muller, A. (2010). Methylmercury blood guidance values for Canada. </w:t>
      </w:r>
      <w:r w:rsidRPr="006A1854">
        <w:rPr>
          <w:i/>
          <w:iCs/>
          <w:noProof/>
          <w:kern w:val="0"/>
        </w:rPr>
        <w:t>Canadian Journal of Public Health</w:t>
      </w:r>
      <w:r w:rsidRPr="006A1854">
        <w:rPr>
          <w:noProof/>
          <w:kern w:val="0"/>
        </w:rPr>
        <w:t xml:space="preserve">, </w:t>
      </w:r>
      <w:r w:rsidRPr="006A1854">
        <w:rPr>
          <w:i/>
          <w:iCs/>
          <w:noProof/>
          <w:kern w:val="0"/>
        </w:rPr>
        <w:t>101</w:t>
      </w:r>
      <w:r w:rsidRPr="006A1854">
        <w:rPr>
          <w:noProof/>
          <w:kern w:val="0"/>
        </w:rPr>
        <w:t>(1), 28–31. https://doi.org/10.1007/bf03405557</w:t>
      </w:r>
    </w:p>
    <w:p w14:paraId="0D23FC23"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Piotrowski, J., &amp; Inskip, M. (1981). </w:t>
      </w:r>
      <w:r w:rsidRPr="006A1854">
        <w:rPr>
          <w:i/>
          <w:iCs/>
          <w:noProof/>
          <w:kern w:val="0"/>
        </w:rPr>
        <w:t>Health Effects of Methylmercury, MARC Report No. 24, Monitoring and Assessment Research Centre (MARC), Chelsea College, University of London.</w:t>
      </w:r>
      <w:r w:rsidRPr="006A1854">
        <w:rPr>
          <w:noProof/>
          <w:kern w:val="0"/>
        </w:rPr>
        <w:t xml:space="preserve"> https://stg-wedocs.unep.org/bitstream/handle/20.500.11822/28017/MARC_RprtNo24.pdf?sequence=1&amp;isAllowed=y</w:t>
      </w:r>
    </w:p>
    <w:p w14:paraId="388C8C94"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SEG. (1971). Methyl mercury in fish : a toxicologic-epidemiologic evaluation of risks : report from an expert group. In </w:t>
      </w:r>
      <w:r w:rsidRPr="006A1854">
        <w:rPr>
          <w:i/>
          <w:iCs/>
          <w:noProof/>
          <w:kern w:val="0"/>
        </w:rPr>
        <w:t>Nordisk Hygienisk Tidskrift: Vol. Supplement</w:t>
      </w:r>
      <w:r w:rsidRPr="006A1854">
        <w:rPr>
          <w:noProof/>
          <w:kern w:val="0"/>
        </w:rPr>
        <w:t>. https://hawcproject.org/media/study-attachment/Swedish_Expert_Group_1971.pdf</w:t>
      </w:r>
    </w:p>
    <w:p w14:paraId="02F9D6A5"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Skerfving, S. (1974). Methylmercury exposure, mercury levels in blood and hair, and health status in Swedes consuming contaminated fish. </w:t>
      </w:r>
      <w:r w:rsidRPr="006A1854">
        <w:rPr>
          <w:i/>
          <w:iCs/>
          <w:noProof/>
          <w:kern w:val="0"/>
        </w:rPr>
        <w:t>Toxicology</w:t>
      </w:r>
      <w:r w:rsidRPr="006A1854">
        <w:rPr>
          <w:noProof/>
          <w:kern w:val="0"/>
        </w:rPr>
        <w:t xml:space="preserve">, </w:t>
      </w:r>
      <w:r w:rsidRPr="006A1854">
        <w:rPr>
          <w:i/>
          <w:iCs/>
          <w:noProof/>
          <w:kern w:val="0"/>
        </w:rPr>
        <w:t>2</w:t>
      </w:r>
      <w:r w:rsidRPr="006A1854">
        <w:rPr>
          <w:noProof/>
          <w:kern w:val="0"/>
        </w:rPr>
        <w:t>(1), 3–23. https://doi.org/https://doi.org/10.1016/0300-483X(74)90038-9</w:t>
      </w:r>
    </w:p>
    <w:p w14:paraId="45AC395B"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Tikhonov, C., Schwartz, H., Marushka, L., Chan, H. M., Batal, M., Sadik, T., Ing, A., &amp; Fediuk, K. (2021). Regionally representative hair mercury levels in Canadian First Nations adults living on reserves. </w:t>
      </w:r>
      <w:r w:rsidRPr="006A1854">
        <w:rPr>
          <w:i/>
          <w:iCs/>
          <w:noProof/>
          <w:kern w:val="0"/>
        </w:rPr>
        <w:t>Canadian Journal of Public Health</w:t>
      </w:r>
      <w:r w:rsidRPr="006A1854">
        <w:rPr>
          <w:noProof/>
          <w:kern w:val="0"/>
        </w:rPr>
        <w:t xml:space="preserve">, </w:t>
      </w:r>
      <w:r w:rsidRPr="006A1854">
        <w:rPr>
          <w:i/>
          <w:iCs/>
          <w:noProof/>
          <w:kern w:val="0"/>
        </w:rPr>
        <w:t>112</w:t>
      </w:r>
      <w:r w:rsidRPr="006A1854">
        <w:rPr>
          <w:noProof/>
          <w:kern w:val="0"/>
        </w:rPr>
        <w:t>(1), 97–112. https://doi.org/10.17269/s41997-021-00508-5</w:t>
      </w:r>
    </w:p>
    <w:p w14:paraId="7B21217D"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Tollefson, L., &amp; Cordle, F. (1986). Methylmercury in fish: a review of residue levels, fish consumption and regulatory action in the United States. </w:t>
      </w:r>
      <w:r w:rsidRPr="006A1854">
        <w:rPr>
          <w:i/>
          <w:iCs/>
          <w:noProof/>
          <w:kern w:val="0"/>
        </w:rPr>
        <w:t>Environmental Health Perspectives</w:t>
      </w:r>
      <w:r w:rsidRPr="006A1854">
        <w:rPr>
          <w:noProof/>
          <w:kern w:val="0"/>
        </w:rPr>
        <w:t xml:space="preserve">, </w:t>
      </w:r>
      <w:r w:rsidRPr="006A1854">
        <w:rPr>
          <w:i/>
          <w:iCs/>
          <w:noProof/>
          <w:kern w:val="0"/>
        </w:rPr>
        <w:t>68</w:t>
      </w:r>
      <w:r w:rsidRPr="006A1854">
        <w:rPr>
          <w:noProof/>
          <w:kern w:val="0"/>
        </w:rPr>
        <w:t>, 203–208. https://doi.org/10.1289/ehp.8668203</w:t>
      </w:r>
    </w:p>
    <w:p w14:paraId="410EA98D"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Tsubaki, T. (1972). </w:t>
      </w:r>
      <w:r w:rsidRPr="006A1854">
        <w:rPr>
          <w:i/>
          <w:iCs/>
          <w:noProof/>
          <w:kern w:val="0"/>
        </w:rPr>
        <w:t>Paper submitted to WHO (unpublished, cited in FAO-WHO 1972)</w:t>
      </w:r>
      <w:r w:rsidRPr="006A1854">
        <w:rPr>
          <w:noProof/>
          <w:kern w:val="0"/>
        </w:rPr>
        <w:t>.</w:t>
      </w:r>
    </w:p>
    <w:p w14:paraId="6A8B6AD9"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US EPA. (1971). </w:t>
      </w:r>
      <w:r w:rsidRPr="006A1854">
        <w:rPr>
          <w:i/>
          <w:iCs/>
          <w:noProof/>
          <w:kern w:val="0"/>
        </w:rPr>
        <w:t>Mercury in the Environment: A Toxicological and Epidemiological Appraisal. (US EPA Contract No. CPA 70-30, prepared by Friberg L. and Vostal J. (editors) of the Karolinska Institute)</w:t>
      </w:r>
      <w:r w:rsidRPr="006A1854">
        <w:rPr>
          <w:noProof/>
          <w:kern w:val="0"/>
        </w:rPr>
        <w:t>. https://nepis.epa.gov/Exe/ZyPDF.cgi/9101G15H.PDF?Dockey=9101G15H.PDF</w:t>
      </w:r>
    </w:p>
    <w:p w14:paraId="018F04DE"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US EPA. (1987). </w:t>
      </w:r>
      <w:r w:rsidRPr="006A1854">
        <w:rPr>
          <w:i/>
          <w:iCs/>
          <w:noProof/>
          <w:kern w:val="0"/>
        </w:rPr>
        <w:t>Methyl Mercury (CAS No. 22967-92-6). Revised 11/16/1986. Integrated Risk Infomration System Chemical Files Volume II. EPA/600/8-86/032b. March 1987.</w:t>
      </w:r>
      <w:r w:rsidRPr="006A1854">
        <w:rPr>
          <w:noProof/>
          <w:kern w:val="0"/>
        </w:rPr>
        <w:t xml:space="preserve"> https://nepis.epa.gov/Exe/ZyPDF.cgi/2000G6KS.PDF?Dockey=2000G6KS.PDF</w:t>
      </w:r>
    </w:p>
    <w:p w14:paraId="66BA59B1"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US EPA. (1997). Volume V: Health Effects of Mercury and Mercury Compounds. Mercury Study Report to Congress. December 1997 (EPA-452/R-97-003) Office of Air Quality Planning and Standards, Office of Research and Development, U.S. Environmental Protection Agency. In </w:t>
      </w:r>
      <w:r w:rsidRPr="006A1854">
        <w:rPr>
          <w:i/>
          <w:iCs/>
          <w:noProof/>
          <w:kern w:val="0"/>
        </w:rPr>
        <w:t>Mercury Study Report to Congress</w:t>
      </w:r>
      <w:r w:rsidRPr="006A1854">
        <w:rPr>
          <w:noProof/>
          <w:kern w:val="0"/>
        </w:rPr>
        <w:t>. https://www.epa.gov/mercury/mercury-study-report-congress</w:t>
      </w:r>
    </w:p>
    <w:p w14:paraId="160FB91D"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US EPA. (2001a). Methylmercury (MeHg) (CASRN 22967-92-6). I. Chronic Health Hazard Assessments for Noncarcinogenic Effects. I.A. Reference Dose for Chronic Oral Exposure (RfD). Last Revised 07/27/2001. Integrated Risk Information System (IRIS). Chemical Assessment Summary. In </w:t>
      </w:r>
      <w:r w:rsidRPr="006A1854">
        <w:rPr>
          <w:i/>
          <w:iCs/>
          <w:noProof/>
          <w:kern w:val="0"/>
        </w:rPr>
        <w:t>Integrated Risk Information System (IRIS) Chemical Assessment Summary National Center for Environmental Assessment</w:t>
      </w:r>
      <w:r w:rsidRPr="006A1854">
        <w:rPr>
          <w:noProof/>
          <w:kern w:val="0"/>
        </w:rPr>
        <w:t>. https://iris.epa.gov/static/pdfs/0073_summary.pdf</w:t>
      </w:r>
    </w:p>
    <w:p w14:paraId="743D5C5B"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US EPA. (2001b). </w:t>
      </w:r>
      <w:r w:rsidRPr="006A1854">
        <w:rPr>
          <w:i/>
          <w:iCs/>
          <w:noProof/>
          <w:kern w:val="0"/>
        </w:rPr>
        <w:t>Water Quality Criterion for the Protection of Human Health: Methylmercury. Final. (January 2001, EPA 823-R-01-001). Office of Science and Technology Office of Water U.S. Environmental Protection Agency Washington, DC 20460</w:t>
      </w:r>
      <w:r w:rsidRPr="006A1854">
        <w:rPr>
          <w:noProof/>
          <w:kern w:val="0"/>
        </w:rPr>
        <w:t>. https://doi.org/https://www.epa.gov/sites/default/files/2020-01/documents/methylmercury-criterion-2001.pdf</w:t>
      </w:r>
    </w:p>
    <w:p w14:paraId="710D128E"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US FDA. (2014). </w:t>
      </w:r>
      <w:r w:rsidRPr="006A1854">
        <w:rPr>
          <w:i/>
          <w:iCs/>
          <w:noProof/>
          <w:kern w:val="0"/>
        </w:rPr>
        <w:t>Quantitative Assessment of the Net Effects on Fetal Neurodevelopment from Eating Commercial Fish (As Measured by IQ and also by Early Age Verbal Development in Children).</w:t>
      </w:r>
      <w:r w:rsidRPr="006A1854">
        <w:rPr>
          <w:noProof/>
          <w:kern w:val="0"/>
        </w:rPr>
        <w:t xml:space="preserve"> https://www.fda.gov/food/metals-and-your-food/quantitative-assessment-net-effects-fetal-neurodevelopment-eating-commercial-fish-measured-iq-and</w:t>
      </w:r>
    </w:p>
    <w:p w14:paraId="1D8DC966" w14:textId="77777777" w:rsidR="006A1854" w:rsidRPr="006A1854" w:rsidRDefault="006A1854" w:rsidP="006A1854">
      <w:pPr>
        <w:widowControl w:val="0"/>
        <w:autoSpaceDE w:val="0"/>
        <w:autoSpaceDN w:val="0"/>
        <w:adjustRightInd w:val="0"/>
        <w:ind w:left="480" w:hanging="480"/>
        <w:rPr>
          <w:noProof/>
          <w:kern w:val="0"/>
        </w:rPr>
      </w:pPr>
      <w:r w:rsidRPr="006A1854">
        <w:rPr>
          <w:noProof/>
          <w:kern w:val="0"/>
        </w:rPr>
        <w:t xml:space="preserve">WHO. (1976). </w:t>
      </w:r>
      <w:r w:rsidRPr="006A1854">
        <w:rPr>
          <w:i/>
          <w:iCs/>
          <w:noProof/>
          <w:kern w:val="0"/>
        </w:rPr>
        <w:t>Environmental Health Criteria 1: Mercury. International Programme on Chemical Safety (IPCS).</w:t>
      </w:r>
      <w:r w:rsidRPr="006A1854">
        <w:rPr>
          <w:noProof/>
          <w:kern w:val="0"/>
        </w:rPr>
        <w:t xml:space="preserve"> https://inchem.org/documents/ehc/ehc/ehc001.htm</w:t>
      </w:r>
    </w:p>
    <w:p w14:paraId="6374129D" w14:textId="77777777" w:rsidR="006A1854" w:rsidRPr="006A1854" w:rsidRDefault="006A1854" w:rsidP="006A1854">
      <w:pPr>
        <w:widowControl w:val="0"/>
        <w:autoSpaceDE w:val="0"/>
        <w:autoSpaceDN w:val="0"/>
        <w:adjustRightInd w:val="0"/>
        <w:ind w:left="480" w:hanging="480"/>
        <w:rPr>
          <w:noProof/>
        </w:rPr>
      </w:pPr>
      <w:r w:rsidRPr="006A1854">
        <w:rPr>
          <w:noProof/>
          <w:kern w:val="0"/>
        </w:rPr>
        <w:t xml:space="preserve">WHO. (1990). </w:t>
      </w:r>
      <w:r w:rsidRPr="006A1854">
        <w:rPr>
          <w:i/>
          <w:iCs/>
          <w:noProof/>
          <w:kern w:val="0"/>
        </w:rPr>
        <w:t>Environmental Health Criteria 101: Methylmercury. International Programme on Chemical Safety (IPCS).</w:t>
      </w:r>
      <w:r w:rsidRPr="006A1854">
        <w:rPr>
          <w:noProof/>
          <w:kern w:val="0"/>
        </w:rPr>
        <w:t xml:space="preserve"> https://inchem.org/documents/ehc/ehc/ehc101.htm</w:t>
      </w:r>
    </w:p>
    <w:p w14:paraId="7DC8A215" w14:textId="5DA5B550" w:rsidR="00B272D7" w:rsidRPr="00B272D7" w:rsidRDefault="00F27E20" w:rsidP="00870068">
      <w:r>
        <w:fldChar w:fldCharType="end"/>
      </w:r>
    </w:p>
    <w:sectPr w:rsidR="00B272D7" w:rsidRPr="00B272D7" w:rsidSect="009D24D6">
      <w:headerReference w:type="even" r:id="rId8"/>
      <w:headerReference w:type="default" r:id="rId9"/>
      <w:footerReference w:type="default" r:id="rId10"/>
      <w:headerReference w:type="first" r:id="rId11"/>
      <w:pgSz w:w="12240" w:h="15840"/>
      <w:pgMar w:top="567" w:right="851"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E97E4" w14:textId="77777777" w:rsidR="00443E54" w:rsidRDefault="00443E54" w:rsidP="00CA5837">
      <w:r>
        <w:separator/>
      </w:r>
    </w:p>
  </w:endnote>
  <w:endnote w:type="continuationSeparator" w:id="0">
    <w:p w14:paraId="73E777D6" w14:textId="77777777" w:rsidR="00443E54" w:rsidRDefault="00443E54" w:rsidP="00CA5837">
      <w:r>
        <w:continuationSeparator/>
      </w:r>
    </w:p>
  </w:endnote>
  <w:endnote w:type="continuationNotice" w:id="1">
    <w:p w14:paraId="58404B24" w14:textId="77777777" w:rsidR="00443E54" w:rsidRDefault="00443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rotesqu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79289"/>
      <w:docPartObj>
        <w:docPartGallery w:val="Page Numbers (Bottom of Page)"/>
        <w:docPartUnique/>
      </w:docPartObj>
    </w:sdtPr>
    <w:sdtEndPr>
      <w:rPr>
        <w:noProof/>
      </w:rPr>
    </w:sdtEndPr>
    <w:sdtContent>
      <w:p w14:paraId="6A98A0BA" w14:textId="3766C54F" w:rsidR="00CA5837" w:rsidRDefault="00CA58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B73A9F" w14:textId="77777777" w:rsidR="00CA5837" w:rsidRDefault="00CA5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74F5D" w14:textId="77777777" w:rsidR="00443E54" w:rsidRDefault="00443E54" w:rsidP="00CA5837">
      <w:r>
        <w:separator/>
      </w:r>
    </w:p>
  </w:footnote>
  <w:footnote w:type="continuationSeparator" w:id="0">
    <w:p w14:paraId="3FD6F5EA" w14:textId="77777777" w:rsidR="00443E54" w:rsidRDefault="00443E54" w:rsidP="00CA5837">
      <w:r>
        <w:continuationSeparator/>
      </w:r>
    </w:p>
  </w:footnote>
  <w:footnote w:type="continuationNotice" w:id="1">
    <w:p w14:paraId="3512CB51" w14:textId="77777777" w:rsidR="00443E54" w:rsidRDefault="00443E54"/>
  </w:footnote>
  <w:footnote w:id="2">
    <w:p w14:paraId="3C042FD4" w14:textId="02A5844E" w:rsidR="00EC54EF" w:rsidRPr="00E77FAE" w:rsidRDefault="00EC54EF">
      <w:pPr>
        <w:pStyle w:val="FootnoteText"/>
        <w:rPr>
          <w:sz w:val="16"/>
          <w:szCs w:val="16"/>
        </w:rPr>
      </w:pPr>
      <w:r w:rsidRPr="008E3958">
        <w:rPr>
          <w:rStyle w:val="FootnoteReference"/>
        </w:rPr>
        <w:footnoteRef/>
      </w:r>
      <w:r w:rsidRPr="00E77FAE">
        <w:rPr>
          <w:sz w:val="16"/>
          <w:szCs w:val="16"/>
        </w:rPr>
        <w:t xml:space="preserve"> </w:t>
      </w:r>
      <w:r w:rsidR="00106FE6" w:rsidRPr="00E77FAE">
        <w:rPr>
          <w:sz w:val="16"/>
          <w:szCs w:val="16"/>
        </w:rPr>
        <w:t>The 3 Niigata cases (</w:t>
      </w:r>
      <w:r w:rsidR="00DE4148">
        <w:rPr>
          <w:sz w:val="16"/>
          <w:szCs w:val="16"/>
        </w:rPr>
        <w:t>#</w:t>
      </w:r>
      <w:r w:rsidR="00106FE6" w:rsidRPr="00E77FAE">
        <w:rPr>
          <w:sz w:val="16"/>
          <w:szCs w:val="16"/>
        </w:rPr>
        <w:t xml:space="preserve">17, </w:t>
      </w:r>
      <w:r w:rsidR="00DE4148">
        <w:rPr>
          <w:sz w:val="16"/>
          <w:szCs w:val="16"/>
        </w:rPr>
        <w:t>#</w:t>
      </w:r>
      <w:r w:rsidR="00106FE6" w:rsidRPr="00E77FAE">
        <w:rPr>
          <w:sz w:val="16"/>
          <w:szCs w:val="16"/>
        </w:rPr>
        <w:t xml:space="preserve">18, </w:t>
      </w:r>
      <w:r w:rsidR="00DE4148">
        <w:rPr>
          <w:sz w:val="16"/>
          <w:szCs w:val="16"/>
        </w:rPr>
        <w:t>#</w:t>
      </w:r>
      <w:r w:rsidR="00106FE6" w:rsidRPr="00E77FAE">
        <w:rPr>
          <w:sz w:val="16"/>
          <w:szCs w:val="16"/>
        </w:rPr>
        <w:t xml:space="preserve">19) with the lowest extrapolated day 0 blood concentrations (from 200 – 400 µg/L THg) </w:t>
      </w:r>
      <w:r w:rsidR="001D27DC" w:rsidRPr="00E77FAE">
        <w:rPr>
          <w:sz w:val="16"/>
          <w:szCs w:val="16"/>
        </w:rPr>
        <w:t xml:space="preserve">would have </w:t>
      </w:r>
      <w:r w:rsidR="00FB41FE" w:rsidRPr="00E77FAE">
        <w:rPr>
          <w:sz w:val="16"/>
          <w:szCs w:val="16"/>
        </w:rPr>
        <w:t xml:space="preserve">had </w:t>
      </w:r>
      <w:r w:rsidR="001D27DC" w:rsidRPr="00E77FAE">
        <w:rPr>
          <w:sz w:val="16"/>
          <w:szCs w:val="16"/>
        </w:rPr>
        <w:t xml:space="preserve">estimated hair levels of </w:t>
      </w:r>
      <w:r w:rsidR="00552001" w:rsidRPr="00E77FAE">
        <w:rPr>
          <w:sz w:val="16"/>
          <w:szCs w:val="16"/>
        </w:rPr>
        <w:t>50 – 100 µg/g THg based on a hair:blood ratio of 0.250:1</w:t>
      </w:r>
      <w:r w:rsidR="00384626" w:rsidRPr="00E77FAE">
        <w:rPr>
          <w:sz w:val="16"/>
          <w:szCs w:val="16"/>
        </w:rPr>
        <w:t>. H</w:t>
      </w:r>
      <w:r w:rsidR="00552001" w:rsidRPr="00E77FAE">
        <w:rPr>
          <w:sz w:val="16"/>
          <w:szCs w:val="16"/>
        </w:rPr>
        <w:t>owever</w:t>
      </w:r>
      <w:r w:rsidR="00FB41FE" w:rsidRPr="00E77FAE">
        <w:rPr>
          <w:sz w:val="16"/>
          <w:szCs w:val="16"/>
        </w:rPr>
        <w:t>,</w:t>
      </w:r>
      <w:r w:rsidR="00552001" w:rsidRPr="00E77FAE">
        <w:rPr>
          <w:sz w:val="16"/>
          <w:szCs w:val="16"/>
        </w:rPr>
        <w:t xml:space="preserve"> these 3 cases </w:t>
      </w:r>
      <w:r w:rsidR="00FB41FE" w:rsidRPr="00E77FAE">
        <w:rPr>
          <w:sz w:val="16"/>
          <w:szCs w:val="16"/>
        </w:rPr>
        <w:t xml:space="preserve">were reported to have </w:t>
      </w:r>
      <w:r w:rsidR="00384626" w:rsidRPr="00E77FAE">
        <w:rPr>
          <w:sz w:val="16"/>
          <w:szCs w:val="16"/>
        </w:rPr>
        <w:t xml:space="preserve">much higher measured hair levels of </w:t>
      </w:r>
      <w:r w:rsidR="002E4CC6" w:rsidRPr="00E77FAE">
        <w:rPr>
          <w:sz w:val="16"/>
          <w:szCs w:val="16"/>
        </w:rPr>
        <w:t xml:space="preserve">210 - 280 µg/g THg </w:t>
      </w:r>
      <w:r w:rsidR="00D367F2" w:rsidRPr="00E77FAE">
        <w:rPr>
          <w:sz w:val="16"/>
          <w:szCs w:val="16"/>
        </w:rPr>
        <w:t>at</w:t>
      </w:r>
      <w:r w:rsidR="002E4CC6" w:rsidRPr="00E77FAE">
        <w:rPr>
          <w:sz w:val="16"/>
          <w:szCs w:val="16"/>
        </w:rPr>
        <w:t xml:space="preserve"> 0-43 days after symptom onset (Table 9.7</w:t>
      </w:r>
      <w:r w:rsidR="00AA7F15" w:rsidRPr="00E77FAE">
        <w:rPr>
          <w:sz w:val="16"/>
          <w:szCs w:val="16"/>
        </w:rPr>
        <w:t xml:space="preserve"> on p.176)</w:t>
      </w:r>
      <w:r w:rsidR="00AC043C" w:rsidRPr="00E77FAE">
        <w:rPr>
          <w:sz w:val="16"/>
          <w:szCs w:val="16"/>
        </w:rPr>
        <w:t xml:space="preserve">. This mismatch of estimated day 0 blood and hair mercury concentrations </w:t>
      </w:r>
      <w:r w:rsidR="000F74B7" w:rsidRPr="00E77FAE">
        <w:rPr>
          <w:sz w:val="16"/>
          <w:szCs w:val="16"/>
        </w:rPr>
        <w:t xml:space="preserve">0-43 days after symptom onset </w:t>
      </w:r>
      <w:r w:rsidR="00AC043C" w:rsidRPr="00E77FAE">
        <w:rPr>
          <w:sz w:val="16"/>
          <w:szCs w:val="16"/>
        </w:rPr>
        <w:t>were not discussed by the Swedish Expert Group</w:t>
      </w:r>
      <w:r w:rsidR="009E7B44" w:rsidRPr="00E77FAE">
        <w:rPr>
          <w:sz w:val="16"/>
          <w:szCs w:val="16"/>
        </w:rPr>
        <w:t xml:space="preserve">. </w:t>
      </w:r>
      <w:r w:rsidR="008A08D4">
        <w:rPr>
          <w:sz w:val="16"/>
          <w:szCs w:val="16"/>
        </w:rPr>
        <w:t>In contrast, i</w:t>
      </w:r>
      <w:r w:rsidR="009E7B44" w:rsidRPr="00E77FAE">
        <w:rPr>
          <w:sz w:val="16"/>
          <w:szCs w:val="16"/>
        </w:rPr>
        <w:t xml:space="preserve">f hair measures </w:t>
      </w:r>
      <w:r w:rsidR="00341BAE">
        <w:rPr>
          <w:sz w:val="16"/>
          <w:szCs w:val="16"/>
        </w:rPr>
        <w:t>we</w:t>
      </w:r>
      <w:r w:rsidR="009E7B44" w:rsidRPr="00E77FAE">
        <w:rPr>
          <w:sz w:val="16"/>
          <w:szCs w:val="16"/>
        </w:rPr>
        <w:t>re considered more reliable</w:t>
      </w:r>
      <w:r w:rsidR="000F74B7" w:rsidRPr="00E77FAE">
        <w:rPr>
          <w:sz w:val="16"/>
          <w:szCs w:val="16"/>
        </w:rPr>
        <w:t xml:space="preserve"> estimates of MeHg exposure </w:t>
      </w:r>
      <w:r w:rsidR="003E73B8" w:rsidRPr="00E77FAE">
        <w:rPr>
          <w:sz w:val="16"/>
          <w:szCs w:val="16"/>
        </w:rPr>
        <w:t>when symptoms were first reported</w:t>
      </w:r>
      <w:r w:rsidR="009E7B44" w:rsidRPr="00E77FAE">
        <w:rPr>
          <w:sz w:val="16"/>
          <w:szCs w:val="16"/>
        </w:rPr>
        <w:t xml:space="preserve">, then </w:t>
      </w:r>
      <w:r w:rsidR="007A13A5" w:rsidRPr="00E77FAE">
        <w:rPr>
          <w:sz w:val="16"/>
          <w:szCs w:val="16"/>
        </w:rPr>
        <w:t>these “lowest”</w:t>
      </w:r>
      <w:r w:rsidR="008E3855">
        <w:rPr>
          <w:sz w:val="16"/>
          <w:szCs w:val="16"/>
        </w:rPr>
        <w:t xml:space="preserve"> or most sensitive</w:t>
      </w:r>
      <w:r w:rsidR="007A13A5" w:rsidRPr="00E77FAE">
        <w:rPr>
          <w:sz w:val="16"/>
          <w:szCs w:val="16"/>
        </w:rPr>
        <w:t xml:space="preserve"> 3 cases </w:t>
      </w:r>
      <w:r w:rsidR="0055240D">
        <w:rPr>
          <w:sz w:val="16"/>
          <w:szCs w:val="16"/>
        </w:rPr>
        <w:t xml:space="preserve">would give </w:t>
      </w:r>
      <w:r w:rsidR="0055240D" w:rsidRPr="00E77FAE">
        <w:rPr>
          <w:sz w:val="16"/>
          <w:szCs w:val="16"/>
        </w:rPr>
        <w:t xml:space="preserve">corresponding blood levels </w:t>
      </w:r>
      <w:r w:rsidR="0055240D">
        <w:rPr>
          <w:sz w:val="16"/>
          <w:szCs w:val="16"/>
        </w:rPr>
        <w:t>of</w:t>
      </w:r>
      <w:r w:rsidR="009E7B44" w:rsidRPr="00E77FAE">
        <w:rPr>
          <w:sz w:val="16"/>
          <w:szCs w:val="16"/>
        </w:rPr>
        <w:t xml:space="preserve"> </w:t>
      </w:r>
      <w:r w:rsidR="004A0302" w:rsidRPr="00E77FAE">
        <w:rPr>
          <w:sz w:val="16"/>
          <w:szCs w:val="16"/>
        </w:rPr>
        <w:t>~800 – 1100 µg/L using the hair:blood ratio of 0.250:1</w:t>
      </w:r>
      <w:r w:rsidR="007A13A5" w:rsidRPr="00E77FAE">
        <w:rPr>
          <w:sz w:val="16"/>
          <w:szCs w:val="16"/>
        </w:rPr>
        <w:t xml:space="preserve"> vs the </w:t>
      </w:r>
      <w:r w:rsidR="0076763B">
        <w:rPr>
          <w:sz w:val="16"/>
          <w:szCs w:val="16"/>
        </w:rPr>
        <w:t xml:space="preserve">estimated </w:t>
      </w:r>
      <w:r w:rsidR="0076763B" w:rsidRPr="00E77FAE">
        <w:rPr>
          <w:sz w:val="16"/>
          <w:szCs w:val="16"/>
        </w:rPr>
        <w:t xml:space="preserve">extrapolated day 0 blood concentrations from 200 – 400 µg/L THg </w:t>
      </w:r>
      <w:r w:rsidR="00B27B5E" w:rsidRPr="00E77FAE">
        <w:rPr>
          <w:sz w:val="16"/>
          <w:szCs w:val="16"/>
        </w:rPr>
        <w:t>from Figure 9.1 (p.170)</w:t>
      </w:r>
      <w:r w:rsidR="004A0302" w:rsidRPr="00E77FAE">
        <w:rPr>
          <w:sz w:val="16"/>
          <w:szCs w:val="16"/>
        </w:rPr>
        <w:t xml:space="preserve">. </w:t>
      </w:r>
    </w:p>
  </w:footnote>
  <w:footnote w:id="3">
    <w:p w14:paraId="3DEB5ECE" w14:textId="353F1C71" w:rsidR="00EA5F5C" w:rsidRPr="00EA5F5C" w:rsidRDefault="00EA5F5C">
      <w:pPr>
        <w:pStyle w:val="FootnoteText"/>
        <w:rPr>
          <w:sz w:val="16"/>
          <w:szCs w:val="16"/>
        </w:rPr>
      </w:pPr>
      <w:r w:rsidRPr="008E3958">
        <w:rPr>
          <w:rStyle w:val="FootnoteReference"/>
        </w:rPr>
        <w:footnoteRef/>
      </w:r>
      <w:r w:rsidRPr="00EA5F5C">
        <w:rPr>
          <w:sz w:val="16"/>
          <w:szCs w:val="16"/>
        </w:rPr>
        <w:t xml:space="preserve"> in Figure 11.2 and p.217-219</w:t>
      </w:r>
      <w:r>
        <w:rPr>
          <w:sz w:val="16"/>
          <w:szCs w:val="16"/>
        </w:rPr>
        <w:t xml:space="preserve"> of the SEG report</w:t>
      </w:r>
    </w:p>
  </w:footnote>
  <w:footnote w:id="4">
    <w:p w14:paraId="54E176A7" w14:textId="77777777" w:rsidR="00DB25DC" w:rsidRPr="000E719C" w:rsidRDefault="00DB25DC" w:rsidP="00DB25DC">
      <w:pPr>
        <w:pStyle w:val="FootnoteText"/>
        <w:rPr>
          <w:sz w:val="16"/>
          <w:szCs w:val="16"/>
        </w:rPr>
      </w:pPr>
      <w:r w:rsidRPr="008E3958">
        <w:rPr>
          <w:rStyle w:val="FootnoteReference"/>
        </w:rPr>
        <w:footnoteRef/>
      </w:r>
      <w:r w:rsidRPr="000E719C">
        <w:rPr>
          <w:sz w:val="16"/>
          <w:szCs w:val="16"/>
        </w:rPr>
        <w:t xml:space="preserve"> 0.2 µg/g THg in blood is equivalent to 200 µg/L THg</w:t>
      </w:r>
    </w:p>
  </w:footnote>
  <w:footnote w:id="5">
    <w:p w14:paraId="05EC0E50" w14:textId="4EB7CF91" w:rsidR="00567357" w:rsidRPr="00A91F57" w:rsidRDefault="00567357" w:rsidP="00567357">
      <w:pPr>
        <w:rPr>
          <w:sz w:val="16"/>
          <w:szCs w:val="16"/>
        </w:rPr>
      </w:pPr>
      <w:r w:rsidRPr="008E3958">
        <w:rPr>
          <w:rStyle w:val="FootnoteReference"/>
        </w:rPr>
        <w:footnoteRef/>
      </w:r>
      <w:r w:rsidRPr="000E719C">
        <w:rPr>
          <w:sz w:val="16"/>
          <w:szCs w:val="16"/>
        </w:rPr>
        <w:t xml:space="preserve"> The oral </w:t>
      </w:r>
      <w:r w:rsidR="004500A1">
        <w:rPr>
          <w:sz w:val="16"/>
          <w:szCs w:val="16"/>
        </w:rPr>
        <w:t>PoD</w:t>
      </w:r>
      <w:r w:rsidRPr="000E719C">
        <w:rPr>
          <w:sz w:val="16"/>
          <w:szCs w:val="16"/>
        </w:rPr>
        <w:t xml:space="preserve"> of 300 µg/day MeHg was presumed to have been estimated from two regression equations: 1. An unpublished report submitted to JECFA </w:t>
      </w:r>
      <w:r w:rsidRPr="000E719C">
        <w:rPr>
          <w:sz w:val="16"/>
          <w:szCs w:val="16"/>
        </w:rPr>
        <w:fldChar w:fldCharType="begin" w:fldLock="1"/>
      </w:r>
      <w:r w:rsidRPr="000E719C">
        <w:rPr>
          <w:sz w:val="16"/>
          <w:szCs w:val="16"/>
        </w:rPr>
        <w:instrText>ADDIN CSL_CITATION {"citationItems":[{"id":"ITEM-1","itemData":{"author":[{"dropping-particle":"","family":"Kojima","given":"K.","non-dropping-particle":"","parse-names":false,"suffix":""},{"dropping-particle":"","family":"Araki","given":"T.","non-dropping-particle":"","parse-names":false,"suffix":""}],"id":"ITEM-1","issued":{"date-parts":[["1972"]]},"title":"Paper submitted to WHO (unpublished, cited in FAO-WHO 1972)","type":"report"},"uris":["http://www.mendeley.com/documents/?uuid=f95b3c0f-235a-490e-b64c-a9038cc03dbf"]}],"mendeley":{"formattedCitation":"(Kojima &amp; Araki, 1972)","plainTextFormattedCitation":"(Kojima &amp; Araki, 1972)","previouslyFormattedCitation":"(Kojima &amp; Araki, 1972)"},"properties":{"noteIndex":0},"schema":"https://github.com/citation-style-language/schema/raw/master/csl-citation.json"}</w:instrText>
      </w:r>
      <w:r w:rsidRPr="000E719C">
        <w:rPr>
          <w:sz w:val="16"/>
          <w:szCs w:val="16"/>
        </w:rPr>
        <w:fldChar w:fldCharType="separate"/>
      </w:r>
      <w:r w:rsidRPr="000E719C">
        <w:rPr>
          <w:noProof/>
          <w:sz w:val="16"/>
          <w:szCs w:val="16"/>
        </w:rPr>
        <w:t>(Kojima &amp; Araki, 1972)</w:t>
      </w:r>
      <w:r w:rsidRPr="000E719C">
        <w:rPr>
          <w:sz w:val="16"/>
          <w:szCs w:val="16"/>
        </w:rPr>
        <w:fldChar w:fldCharType="end"/>
      </w:r>
      <w:r w:rsidRPr="000E719C">
        <w:rPr>
          <w:sz w:val="16"/>
          <w:szCs w:val="16"/>
        </w:rPr>
        <w:t xml:space="preserve"> where [hair µg/g THg] = 150*[intake mg/day MeHg] + 1.66, and 2. Birke et al. </w:t>
      </w:r>
      <w:r w:rsidRPr="000E719C">
        <w:rPr>
          <w:sz w:val="16"/>
          <w:szCs w:val="16"/>
        </w:rPr>
        <w:fldChar w:fldCharType="begin" w:fldLock="1"/>
      </w:r>
      <w:r w:rsidRPr="000E719C">
        <w:rPr>
          <w:sz w:val="16"/>
          <w:szCs w:val="16"/>
        </w:rPr>
        <w:instrText>ADDIN CSL_CITATION {"citationItems":[{"id":"ITEM-1","itemData":{"author":[{"dropping-particle":"","family":"Birke","given":"G","non-dropping-particle":"","parse-names":false,"suffix":""},{"dropping-particle":"","family":"Johnels","given":"AG","non-dropping-particle":"","parse-names":false,"suffix":""},{"dropping-particle":"","family":"Plantin","given":"LO","non-dropping-particle":"","parse-names":false,"suffix":""},{"dropping-particle":"","family":"Sjostrand","given":"B","non-dropping-particle":"","parse-names":false,"suffix":""},{"dropping-particle":"","family":"Westermark","given":"T","non-dropping-particle":"","parse-names":false,"suffix":""}],"container-title":"Lakartidningen","id":"ITEM-1","issued":{"date-parts":[["1967"]]},"page":"3628-3637","title":"Mercury poisoning through eating fish?","type":"article-journal","volume":"64"},"suppress-author":1,"uris":["http://www.mendeley.com/documents/?uuid=9d2f0b14-6159-41e5-adcb-79fae5461161"]}],"mendeley":{"formattedCitation":"(1967)","plainTextFormattedCitation":"(1967)","previouslyFormattedCitation":"(1967)"},"properties":{"noteIndex":0},"schema":"https://github.com/citation-style-language/schema/raw/master/csl-citation.json"}</w:instrText>
      </w:r>
      <w:r w:rsidRPr="000E719C">
        <w:rPr>
          <w:sz w:val="16"/>
          <w:szCs w:val="16"/>
        </w:rPr>
        <w:fldChar w:fldCharType="separate"/>
      </w:r>
      <w:r w:rsidRPr="000E719C">
        <w:rPr>
          <w:noProof/>
          <w:sz w:val="16"/>
          <w:szCs w:val="16"/>
        </w:rPr>
        <w:t>(1967)</w:t>
      </w:r>
      <w:r w:rsidRPr="000E719C">
        <w:rPr>
          <w:sz w:val="16"/>
          <w:szCs w:val="16"/>
        </w:rPr>
        <w:fldChar w:fldCharType="end"/>
      </w:r>
      <w:r w:rsidRPr="000E719C">
        <w:rPr>
          <w:sz w:val="16"/>
          <w:szCs w:val="16"/>
        </w:rPr>
        <w:t xml:space="preserve"> where [RBC µg/g THg] = 1.4 * [oral intake of mg/day MeHg] + 0.003</w:t>
      </w:r>
    </w:p>
  </w:footnote>
  <w:footnote w:id="6">
    <w:p w14:paraId="4B885680" w14:textId="2EFC91DB" w:rsidR="0006332F" w:rsidRPr="00E77FAE" w:rsidRDefault="0006332F">
      <w:pPr>
        <w:pStyle w:val="FootnoteText"/>
        <w:rPr>
          <w:sz w:val="16"/>
          <w:szCs w:val="16"/>
        </w:rPr>
      </w:pPr>
      <w:r w:rsidRPr="008E3958">
        <w:rPr>
          <w:rStyle w:val="FootnoteReference"/>
        </w:rPr>
        <w:footnoteRef/>
      </w:r>
      <w:r w:rsidRPr="00E77FAE">
        <w:rPr>
          <w:sz w:val="16"/>
          <w:szCs w:val="16"/>
        </w:rPr>
        <w:t xml:space="preserve"> </w:t>
      </w:r>
      <w:r w:rsidR="00C54D92">
        <w:rPr>
          <w:sz w:val="16"/>
          <w:szCs w:val="16"/>
        </w:rPr>
        <w:t>T</w:t>
      </w:r>
      <w:r w:rsidR="00604E80" w:rsidRPr="00E77FAE">
        <w:rPr>
          <w:sz w:val="16"/>
          <w:szCs w:val="16"/>
        </w:rPr>
        <w:t xml:space="preserve">he conversion between blood THg </w:t>
      </w:r>
      <w:r w:rsidR="007158E1" w:rsidRPr="00E77FAE">
        <w:rPr>
          <w:sz w:val="16"/>
          <w:szCs w:val="16"/>
        </w:rPr>
        <w:t>(µg/L) to oral intake MeHg (µg/</w:t>
      </w:r>
      <w:r w:rsidR="00A90FF2" w:rsidRPr="00E77FAE">
        <w:rPr>
          <w:sz w:val="16"/>
          <w:szCs w:val="16"/>
        </w:rPr>
        <w:t xml:space="preserve">70kg person/day) in Table 3 of WHO </w:t>
      </w:r>
      <w:r w:rsidR="00A90FF2" w:rsidRPr="00E77FAE">
        <w:rPr>
          <w:sz w:val="16"/>
          <w:szCs w:val="16"/>
        </w:rPr>
        <w:fldChar w:fldCharType="begin" w:fldLock="1"/>
      </w:r>
      <w:r w:rsidR="00F12BF5" w:rsidRPr="00E77FAE">
        <w:rPr>
          <w:sz w:val="16"/>
          <w:szCs w:val="16"/>
        </w:rPr>
        <w:instrText>ADDIN CSL_CITATION {"citationItems":[{"id":"ITEM-1","itemData":{"author":[{"dropping-particle":"","family":"WHO","given":"","non-dropping-particle":"","parse-names":false,"suffix":""}],"id":"ITEM-1","issued":{"date-parts":[["1976"]]},"title":"Environmental Health Criteria 1: Mercury. International Programme on Chemical Safety (IPCS).","type":"report"},"suppress-author":1,"uris":["http://www.mendeley.com/documents/?uuid=85e0c1a9-9214-4aa7-bbca-013028200ae0"]}],"mendeley":{"formattedCitation":"(1976)","plainTextFormattedCitation":"(1976)","previouslyFormattedCitation":"(1976)"},"properties":{"noteIndex":0},"schema":"https://github.com/citation-style-language/schema/raw/master/csl-citation.json"}</w:instrText>
      </w:r>
      <w:r w:rsidR="00A90FF2" w:rsidRPr="00E77FAE">
        <w:rPr>
          <w:sz w:val="16"/>
          <w:szCs w:val="16"/>
        </w:rPr>
        <w:fldChar w:fldCharType="separate"/>
      </w:r>
      <w:r w:rsidR="00A90FF2" w:rsidRPr="00E77FAE">
        <w:rPr>
          <w:noProof/>
          <w:sz w:val="16"/>
          <w:szCs w:val="16"/>
        </w:rPr>
        <w:t>(1976)</w:t>
      </w:r>
      <w:r w:rsidR="00A90FF2" w:rsidRPr="00E77FAE">
        <w:rPr>
          <w:sz w:val="16"/>
          <w:szCs w:val="16"/>
        </w:rPr>
        <w:fldChar w:fldCharType="end"/>
      </w:r>
      <w:r w:rsidR="00760DAA" w:rsidRPr="00E77FAE">
        <w:rPr>
          <w:sz w:val="16"/>
          <w:szCs w:val="16"/>
        </w:rPr>
        <w:t xml:space="preserve"> was base</w:t>
      </w:r>
      <w:r w:rsidR="00C54D92">
        <w:rPr>
          <w:sz w:val="16"/>
          <w:szCs w:val="16"/>
        </w:rPr>
        <w:t>d</w:t>
      </w:r>
      <w:r w:rsidR="00760DAA" w:rsidRPr="00E77FAE">
        <w:rPr>
          <w:sz w:val="16"/>
          <w:szCs w:val="16"/>
        </w:rPr>
        <w:t xml:space="preserve"> on estimated MeHg daily intake, </w:t>
      </w:r>
      <w:r w:rsidR="00C54D92">
        <w:rPr>
          <w:sz w:val="16"/>
          <w:szCs w:val="16"/>
        </w:rPr>
        <w:t xml:space="preserve">and </w:t>
      </w:r>
      <w:r w:rsidR="00760DAA" w:rsidRPr="00E77FAE">
        <w:rPr>
          <w:sz w:val="16"/>
          <w:szCs w:val="16"/>
        </w:rPr>
        <w:t>therefore</w:t>
      </w:r>
      <w:r w:rsidR="00C54D92">
        <w:rPr>
          <w:sz w:val="16"/>
          <w:szCs w:val="16"/>
        </w:rPr>
        <w:t>,</w:t>
      </w:r>
      <w:r w:rsidR="00760DAA" w:rsidRPr="00E77FAE">
        <w:rPr>
          <w:sz w:val="16"/>
          <w:szCs w:val="16"/>
        </w:rPr>
        <w:t xml:space="preserve"> predicted oral </w:t>
      </w:r>
      <w:r w:rsidR="002A6882" w:rsidRPr="00E77FAE">
        <w:rPr>
          <w:sz w:val="16"/>
          <w:szCs w:val="16"/>
        </w:rPr>
        <w:t>PoDs are also in units of MeHg</w:t>
      </w:r>
      <w:r w:rsidR="00C54D92">
        <w:rPr>
          <w:sz w:val="16"/>
          <w:szCs w:val="16"/>
        </w:rPr>
        <w:t>.</w:t>
      </w:r>
    </w:p>
  </w:footnote>
  <w:footnote w:id="7">
    <w:p w14:paraId="33954FC7" w14:textId="61523411" w:rsidR="009B3256" w:rsidRPr="00E77FAE" w:rsidRDefault="009B3256" w:rsidP="009900DC">
      <w:pPr>
        <w:pStyle w:val="FootnoteText"/>
        <w:rPr>
          <w:sz w:val="16"/>
          <w:szCs w:val="16"/>
        </w:rPr>
      </w:pPr>
      <w:r w:rsidRPr="008E3958">
        <w:rPr>
          <w:rStyle w:val="FootnoteReference"/>
        </w:rPr>
        <w:footnoteRef/>
      </w:r>
      <w:r w:rsidRPr="00E77FAE">
        <w:rPr>
          <w:sz w:val="16"/>
          <w:szCs w:val="16"/>
        </w:rPr>
        <w:t xml:space="preserve"> </w:t>
      </w:r>
      <w:r w:rsidR="00CE467A">
        <w:rPr>
          <w:sz w:val="16"/>
          <w:szCs w:val="16"/>
        </w:rPr>
        <w:t>“</w:t>
      </w:r>
      <w:r w:rsidR="003F3E07">
        <w:rPr>
          <w:sz w:val="16"/>
          <w:szCs w:val="16"/>
        </w:rPr>
        <w:t>C</w:t>
      </w:r>
      <w:r w:rsidR="00CE467A">
        <w:rPr>
          <w:sz w:val="16"/>
          <w:szCs w:val="16"/>
        </w:rPr>
        <w:t>ountry food”</w:t>
      </w:r>
      <w:r w:rsidR="00D61D99" w:rsidRPr="00D61D99">
        <w:t xml:space="preserve"> </w:t>
      </w:r>
      <w:r w:rsidR="00D61D99" w:rsidRPr="00D61D99">
        <w:rPr>
          <w:sz w:val="16"/>
          <w:szCs w:val="16"/>
        </w:rPr>
        <w:t xml:space="preserve">or “traditional food” </w:t>
      </w:r>
      <w:r w:rsidR="00CE467A">
        <w:rPr>
          <w:sz w:val="16"/>
          <w:szCs w:val="16"/>
        </w:rPr>
        <w:t xml:space="preserve"> is defined as </w:t>
      </w:r>
      <w:r w:rsidR="009900DC" w:rsidRPr="00E77FAE">
        <w:rPr>
          <w:sz w:val="16"/>
          <w:szCs w:val="16"/>
        </w:rPr>
        <w:t xml:space="preserve">“any food that is trapped, fished, hunted, harvested or grown for subsistence or medicinal purposes, outside of the commercial food chain.” </w:t>
      </w:r>
      <w:r w:rsidR="002260E6" w:rsidRPr="00E77FAE">
        <w:rPr>
          <w:sz w:val="16"/>
          <w:szCs w:val="16"/>
        </w:rPr>
        <w:fldChar w:fldCharType="begin" w:fldLock="1"/>
      </w:r>
      <w:r w:rsidR="00E021A7" w:rsidRPr="00E77FAE">
        <w:rPr>
          <w:sz w:val="16"/>
          <w:szCs w:val="16"/>
        </w:rPr>
        <w:instrText>ADDIN CSL_CITATION {"citationItems":[{"id":"ITEM-1","itemData":{"author":[{"dropping-particle":"","family":"Health Canada","given":"","non-dropping-particle":"","parse-names":false,"suffix":""}],"id":"ITEM-1","issued":{"date-parts":[["2023"]]},"title":"Guidance for Evaluating Human Health Effects in Impact Assessment: Country Foods.","type":"report"},"uris":["http://www.mendeley.com/documents/?uuid=f842814f-346e-485a-b394-f59af0bdfcf8"]}],"mendeley":{"formattedCitation":"(Health Canada, 2023)","plainTextFormattedCitation":"(Health Canada, 2023)","previouslyFormattedCitation":"(Health Canada, 2023)"},"properties":{"noteIndex":0},"schema":"https://github.com/citation-style-language/schema/raw/master/csl-citation.json"}</w:instrText>
      </w:r>
      <w:r w:rsidR="002260E6" w:rsidRPr="00E77FAE">
        <w:rPr>
          <w:sz w:val="16"/>
          <w:szCs w:val="16"/>
        </w:rPr>
        <w:fldChar w:fldCharType="separate"/>
      </w:r>
      <w:r w:rsidR="002260E6" w:rsidRPr="00E77FAE">
        <w:rPr>
          <w:noProof/>
          <w:sz w:val="16"/>
          <w:szCs w:val="16"/>
        </w:rPr>
        <w:t>(Health Canada, 2023)</w:t>
      </w:r>
      <w:r w:rsidR="002260E6" w:rsidRPr="00E77FAE">
        <w:rPr>
          <w:sz w:val="16"/>
          <w:szCs w:val="16"/>
        </w:rPr>
        <w:fldChar w:fldCharType="end"/>
      </w:r>
    </w:p>
  </w:footnote>
  <w:footnote w:id="8">
    <w:p w14:paraId="6C24B302" w14:textId="3FB090C4" w:rsidR="0011726D" w:rsidRPr="00BA2B9D" w:rsidRDefault="0011726D">
      <w:pPr>
        <w:pStyle w:val="FootnoteText"/>
        <w:rPr>
          <w:sz w:val="16"/>
          <w:szCs w:val="16"/>
        </w:rPr>
      </w:pPr>
      <w:r w:rsidRPr="008E3958">
        <w:rPr>
          <w:rStyle w:val="FootnoteReference"/>
        </w:rPr>
        <w:footnoteRef/>
      </w:r>
      <w:r w:rsidRPr="00E77FAE">
        <w:rPr>
          <w:sz w:val="16"/>
          <w:szCs w:val="16"/>
        </w:rPr>
        <w:t xml:space="preserve"> </w:t>
      </w:r>
      <w:r w:rsidR="00994E19" w:rsidRPr="00994E19">
        <w:rPr>
          <w:sz w:val="16"/>
          <w:szCs w:val="16"/>
        </w:rPr>
        <w:t>Biomonitoring and dietary surveys to assess MeHg exposure in Indigenous communities in Canada continues today under the administration of Indigenous Services Canada (ISC) (Tikhonov et al., 2021), and Crown-Indigenous Relations and Northern Affairs Canada (CIRNAC) via the Northern Contaminants Program (NCP) . Exposures to MeHg from country food continue to be managed through shared responsibilities of governments and health authorities at the Federal, Provincial/Territorial and Indigenous level (Health Canada,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9087" w14:textId="6DAB6158" w:rsidR="0042465A" w:rsidRDefault="00E56DD0">
    <w:pPr>
      <w:pStyle w:val="Header"/>
    </w:pPr>
    <w:r>
      <w:rPr>
        <w:noProof/>
      </w:rPr>
      <mc:AlternateContent>
        <mc:Choice Requires="wps">
          <w:drawing>
            <wp:anchor distT="0" distB="0" distL="0" distR="0" simplePos="0" relativeHeight="251659264" behindDoc="0" locked="0" layoutInCell="1" allowOverlap="1" wp14:anchorId="62C26B99" wp14:editId="7575C8C5">
              <wp:simplePos x="635" y="635"/>
              <wp:positionH relativeFrom="page">
                <wp:align>right</wp:align>
              </wp:positionH>
              <wp:positionV relativeFrom="page">
                <wp:align>top</wp:align>
              </wp:positionV>
              <wp:extent cx="2037080" cy="376555"/>
              <wp:effectExtent l="0" t="0" r="0" b="4445"/>
              <wp:wrapNone/>
              <wp:docPr id="1331474411"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376555"/>
                      </a:xfrm>
                      <a:prstGeom prst="rect">
                        <a:avLst/>
                      </a:prstGeom>
                      <a:noFill/>
                      <a:ln>
                        <a:noFill/>
                      </a:ln>
                    </wps:spPr>
                    <wps:txbx>
                      <w:txbxContent>
                        <w:p w14:paraId="2F28D076" w14:textId="4BD1FCFB" w:rsidR="00E56DD0" w:rsidRPr="00E56DD0" w:rsidRDefault="00E56DD0" w:rsidP="00E56DD0">
                          <w:pPr>
                            <w:rPr>
                              <w:rFonts w:ascii="Aptos" w:eastAsia="Aptos" w:hAnsi="Aptos" w:cs="Aptos"/>
                              <w:noProof/>
                              <w:color w:val="000000"/>
                              <w:sz w:val="24"/>
                              <w:szCs w:val="24"/>
                            </w:rPr>
                          </w:pPr>
                          <w:r w:rsidRPr="00E56DD0">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2C26B99" id="_x0000_t202" coordsize="21600,21600" o:spt="202" path="m,l,21600r21600,l21600,xe">
              <v:stroke joinstyle="miter"/>
              <v:path gradientshapeok="t" o:connecttype="rect"/>
            </v:shapetype>
            <v:shape id="Text Box 2" o:spid="_x0000_s1026" type="#_x0000_t202" alt="Unclassified / Non classifié" style="position:absolute;margin-left:120.4pt;margin-top:0;width:160.4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" filled="f" stroked="f">
              <v:fill o:detectmouseclick="t"/>
              <v:textbox style="mso-fit-shape-to-text:t" inset="0,15pt,20pt,0">
                <w:txbxContent>
                  <w:p w14:paraId="2F28D076" w14:textId="4BD1FCFB" w:rsidR="00E56DD0" w:rsidRPr="00E56DD0" w:rsidRDefault="00E56DD0" w:rsidP="00E56DD0">
                    <w:pPr>
                      <w:rPr>
                        <w:rFonts w:ascii="Aptos" w:eastAsia="Aptos" w:hAnsi="Aptos" w:cs="Aptos"/>
                        <w:noProof/>
                        <w:color w:val="000000"/>
                        <w:sz w:val="24"/>
                        <w:szCs w:val="24"/>
                      </w:rPr>
                    </w:pPr>
                    <w:r w:rsidRPr="00E56DD0">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F6CF" w14:textId="360A3197" w:rsidR="00E56DD0" w:rsidRDefault="00E56D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7324" w14:textId="24D8D154" w:rsidR="0042465A" w:rsidRDefault="00E56DD0">
    <w:pPr>
      <w:pStyle w:val="Header"/>
    </w:pPr>
    <w:r>
      <w:rPr>
        <w:noProof/>
      </w:rPr>
      <mc:AlternateContent>
        <mc:Choice Requires="wps">
          <w:drawing>
            <wp:anchor distT="0" distB="0" distL="0" distR="0" simplePos="0" relativeHeight="251658240" behindDoc="0" locked="0" layoutInCell="1" allowOverlap="1" wp14:anchorId="2CE33B30" wp14:editId="717C2336">
              <wp:simplePos x="635" y="635"/>
              <wp:positionH relativeFrom="page">
                <wp:align>right</wp:align>
              </wp:positionH>
              <wp:positionV relativeFrom="page">
                <wp:align>top</wp:align>
              </wp:positionV>
              <wp:extent cx="2037080" cy="376555"/>
              <wp:effectExtent l="0" t="0" r="0" b="4445"/>
              <wp:wrapNone/>
              <wp:docPr id="760847894"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376555"/>
                      </a:xfrm>
                      <a:prstGeom prst="rect">
                        <a:avLst/>
                      </a:prstGeom>
                      <a:noFill/>
                      <a:ln>
                        <a:noFill/>
                      </a:ln>
                    </wps:spPr>
                    <wps:txbx>
                      <w:txbxContent>
                        <w:p w14:paraId="70BD6A2E" w14:textId="2D9F49EB" w:rsidR="00E56DD0" w:rsidRPr="00E56DD0" w:rsidRDefault="00E56DD0" w:rsidP="00E56DD0">
                          <w:pPr>
                            <w:rPr>
                              <w:rFonts w:ascii="Aptos" w:eastAsia="Aptos" w:hAnsi="Aptos" w:cs="Aptos"/>
                              <w:noProof/>
                              <w:color w:val="000000"/>
                              <w:sz w:val="24"/>
                              <w:szCs w:val="24"/>
                            </w:rPr>
                          </w:pPr>
                          <w:r w:rsidRPr="00E56DD0">
                            <w:rPr>
                              <w:rFonts w:ascii="Aptos" w:eastAsia="Aptos" w:hAnsi="Aptos" w:cs="Aptos"/>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E33B30" id="_x0000_t202" coordsize="21600,21600" o:spt="202" path="m,l,21600r21600,l21600,xe">
              <v:stroke joinstyle="miter"/>
              <v:path gradientshapeok="t" o:connecttype="rect"/>
            </v:shapetype>
            <v:shape id="Text Box 1" o:spid="_x0000_s1027" type="#_x0000_t202" alt="Unclassified / Non classifié" style="position:absolute;margin-left:120.4pt;margin-top:0;width:160.4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" filled="f" stroked="f">
              <v:fill o:detectmouseclick="t"/>
              <v:textbox style="mso-fit-shape-to-text:t" inset="0,15pt,20pt,0">
                <w:txbxContent>
                  <w:p w14:paraId="70BD6A2E" w14:textId="2D9F49EB" w:rsidR="00E56DD0" w:rsidRPr="00E56DD0" w:rsidRDefault="00E56DD0" w:rsidP="00E56DD0">
                    <w:pPr>
                      <w:rPr>
                        <w:rFonts w:ascii="Aptos" w:eastAsia="Aptos" w:hAnsi="Aptos" w:cs="Aptos"/>
                        <w:noProof/>
                        <w:color w:val="000000"/>
                        <w:sz w:val="24"/>
                        <w:szCs w:val="24"/>
                      </w:rPr>
                    </w:pPr>
                    <w:r w:rsidRPr="00E56DD0">
                      <w:rPr>
                        <w:rFonts w:ascii="Aptos" w:eastAsia="Aptos" w:hAnsi="Aptos" w:cs="Aptos"/>
                        <w:noProof/>
                        <w:color w:val="000000"/>
                        <w:sz w:val="24"/>
                        <w:szCs w:val="24"/>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0F"/>
    <w:multiLevelType w:val="hybridMultilevel"/>
    <w:tmpl w:val="26AE511E"/>
    <w:lvl w:ilvl="0" w:tplc="C6EE3E90">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17E39A0"/>
    <w:multiLevelType w:val="hybridMultilevel"/>
    <w:tmpl w:val="B55E6E96"/>
    <w:lvl w:ilvl="0" w:tplc="010C74BE">
      <w:start w:val="1"/>
      <w:numFmt w:val="bullet"/>
      <w:lvlText w:val=""/>
      <w:lvlJc w:val="left"/>
      <w:pPr>
        <w:ind w:left="720" w:hanging="360"/>
      </w:pPr>
      <w:rPr>
        <w:rFonts w:ascii="Symbol" w:hAnsi="Symbol"/>
      </w:rPr>
    </w:lvl>
    <w:lvl w:ilvl="1" w:tplc="FE1AE0DE">
      <w:start w:val="1"/>
      <w:numFmt w:val="bullet"/>
      <w:lvlText w:val=""/>
      <w:lvlJc w:val="left"/>
      <w:pPr>
        <w:ind w:left="720" w:hanging="360"/>
      </w:pPr>
      <w:rPr>
        <w:rFonts w:ascii="Symbol" w:hAnsi="Symbol"/>
      </w:rPr>
    </w:lvl>
    <w:lvl w:ilvl="2" w:tplc="6826071A">
      <w:start w:val="1"/>
      <w:numFmt w:val="bullet"/>
      <w:lvlText w:val=""/>
      <w:lvlJc w:val="left"/>
      <w:pPr>
        <w:ind w:left="720" w:hanging="360"/>
      </w:pPr>
      <w:rPr>
        <w:rFonts w:ascii="Symbol" w:hAnsi="Symbol"/>
      </w:rPr>
    </w:lvl>
    <w:lvl w:ilvl="3" w:tplc="D586F65E">
      <w:start w:val="1"/>
      <w:numFmt w:val="bullet"/>
      <w:lvlText w:val=""/>
      <w:lvlJc w:val="left"/>
      <w:pPr>
        <w:ind w:left="720" w:hanging="360"/>
      </w:pPr>
      <w:rPr>
        <w:rFonts w:ascii="Symbol" w:hAnsi="Symbol"/>
      </w:rPr>
    </w:lvl>
    <w:lvl w:ilvl="4" w:tplc="15AA5A00">
      <w:start w:val="1"/>
      <w:numFmt w:val="bullet"/>
      <w:lvlText w:val=""/>
      <w:lvlJc w:val="left"/>
      <w:pPr>
        <w:ind w:left="720" w:hanging="360"/>
      </w:pPr>
      <w:rPr>
        <w:rFonts w:ascii="Symbol" w:hAnsi="Symbol"/>
      </w:rPr>
    </w:lvl>
    <w:lvl w:ilvl="5" w:tplc="4D9CAF98">
      <w:start w:val="1"/>
      <w:numFmt w:val="bullet"/>
      <w:lvlText w:val=""/>
      <w:lvlJc w:val="left"/>
      <w:pPr>
        <w:ind w:left="720" w:hanging="360"/>
      </w:pPr>
      <w:rPr>
        <w:rFonts w:ascii="Symbol" w:hAnsi="Symbol"/>
      </w:rPr>
    </w:lvl>
    <w:lvl w:ilvl="6" w:tplc="E9AC3156">
      <w:start w:val="1"/>
      <w:numFmt w:val="bullet"/>
      <w:lvlText w:val=""/>
      <w:lvlJc w:val="left"/>
      <w:pPr>
        <w:ind w:left="720" w:hanging="360"/>
      </w:pPr>
      <w:rPr>
        <w:rFonts w:ascii="Symbol" w:hAnsi="Symbol"/>
      </w:rPr>
    </w:lvl>
    <w:lvl w:ilvl="7" w:tplc="36908E5E">
      <w:start w:val="1"/>
      <w:numFmt w:val="bullet"/>
      <w:lvlText w:val=""/>
      <w:lvlJc w:val="left"/>
      <w:pPr>
        <w:ind w:left="720" w:hanging="360"/>
      </w:pPr>
      <w:rPr>
        <w:rFonts w:ascii="Symbol" w:hAnsi="Symbol"/>
      </w:rPr>
    </w:lvl>
    <w:lvl w:ilvl="8" w:tplc="1AF46502">
      <w:start w:val="1"/>
      <w:numFmt w:val="bullet"/>
      <w:lvlText w:val=""/>
      <w:lvlJc w:val="left"/>
      <w:pPr>
        <w:ind w:left="720" w:hanging="360"/>
      </w:pPr>
      <w:rPr>
        <w:rFonts w:ascii="Symbol" w:hAnsi="Symbol"/>
      </w:rPr>
    </w:lvl>
  </w:abstractNum>
  <w:abstractNum w:abstractNumId="2" w15:restartNumberingAfterBreak="0">
    <w:nsid w:val="152863CB"/>
    <w:multiLevelType w:val="hybridMultilevel"/>
    <w:tmpl w:val="47C85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4686640"/>
    <w:multiLevelType w:val="hybridMultilevel"/>
    <w:tmpl w:val="CD469F74"/>
    <w:lvl w:ilvl="0" w:tplc="B9F215EA">
      <w:start w:val="1"/>
      <w:numFmt w:val="decimal"/>
      <w:lvlText w:val="%1."/>
      <w:lvlJc w:val="left"/>
      <w:pPr>
        <w:ind w:left="1020" w:hanging="360"/>
      </w:pPr>
    </w:lvl>
    <w:lvl w:ilvl="1" w:tplc="1A94F406">
      <w:start w:val="1"/>
      <w:numFmt w:val="decimal"/>
      <w:lvlText w:val="%2."/>
      <w:lvlJc w:val="left"/>
      <w:pPr>
        <w:ind w:left="1020" w:hanging="360"/>
      </w:pPr>
    </w:lvl>
    <w:lvl w:ilvl="2" w:tplc="3D4C1F6E">
      <w:start w:val="1"/>
      <w:numFmt w:val="decimal"/>
      <w:lvlText w:val="%3."/>
      <w:lvlJc w:val="left"/>
      <w:pPr>
        <w:ind w:left="1020" w:hanging="360"/>
      </w:pPr>
    </w:lvl>
    <w:lvl w:ilvl="3" w:tplc="1D56F64C">
      <w:start w:val="1"/>
      <w:numFmt w:val="decimal"/>
      <w:lvlText w:val="%4."/>
      <w:lvlJc w:val="left"/>
      <w:pPr>
        <w:ind w:left="1020" w:hanging="360"/>
      </w:pPr>
    </w:lvl>
    <w:lvl w:ilvl="4" w:tplc="5EC407F0">
      <w:start w:val="1"/>
      <w:numFmt w:val="decimal"/>
      <w:lvlText w:val="%5."/>
      <w:lvlJc w:val="left"/>
      <w:pPr>
        <w:ind w:left="1020" w:hanging="360"/>
      </w:pPr>
    </w:lvl>
    <w:lvl w:ilvl="5" w:tplc="C48A68B8">
      <w:start w:val="1"/>
      <w:numFmt w:val="decimal"/>
      <w:lvlText w:val="%6."/>
      <w:lvlJc w:val="left"/>
      <w:pPr>
        <w:ind w:left="1020" w:hanging="360"/>
      </w:pPr>
    </w:lvl>
    <w:lvl w:ilvl="6" w:tplc="E2C41474">
      <w:start w:val="1"/>
      <w:numFmt w:val="decimal"/>
      <w:lvlText w:val="%7."/>
      <w:lvlJc w:val="left"/>
      <w:pPr>
        <w:ind w:left="1020" w:hanging="360"/>
      </w:pPr>
    </w:lvl>
    <w:lvl w:ilvl="7" w:tplc="F8206852">
      <w:start w:val="1"/>
      <w:numFmt w:val="decimal"/>
      <w:lvlText w:val="%8."/>
      <w:lvlJc w:val="left"/>
      <w:pPr>
        <w:ind w:left="1020" w:hanging="360"/>
      </w:pPr>
    </w:lvl>
    <w:lvl w:ilvl="8" w:tplc="82C43ACA">
      <w:start w:val="1"/>
      <w:numFmt w:val="decimal"/>
      <w:lvlText w:val="%9."/>
      <w:lvlJc w:val="left"/>
      <w:pPr>
        <w:ind w:left="1020" w:hanging="360"/>
      </w:pPr>
    </w:lvl>
  </w:abstractNum>
  <w:abstractNum w:abstractNumId="4" w15:restartNumberingAfterBreak="0">
    <w:nsid w:val="2A5009A3"/>
    <w:multiLevelType w:val="hybridMultilevel"/>
    <w:tmpl w:val="5E4E5ED8"/>
    <w:lvl w:ilvl="0" w:tplc="10090011">
      <w:start w:val="1"/>
      <w:numFmt w:val="decimal"/>
      <w:lvlText w:val="%1)"/>
      <w:lvlJc w:val="left"/>
      <w:pPr>
        <w:ind w:left="766" w:hanging="360"/>
      </w:pPr>
      <w:rPr>
        <w:rFonts w:hint="default"/>
      </w:rPr>
    </w:lvl>
    <w:lvl w:ilvl="1" w:tplc="10090003">
      <w:start w:val="1"/>
      <w:numFmt w:val="bullet"/>
      <w:lvlText w:val="o"/>
      <w:lvlJc w:val="left"/>
      <w:pPr>
        <w:ind w:left="1486" w:hanging="360"/>
      </w:pPr>
      <w:rPr>
        <w:rFonts w:ascii="Courier New" w:hAnsi="Courier New" w:cs="Courier New" w:hint="default"/>
      </w:rPr>
    </w:lvl>
    <w:lvl w:ilvl="2" w:tplc="10090005" w:tentative="1">
      <w:start w:val="1"/>
      <w:numFmt w:val="bullet"/>
      <w:lvlText w:val=""/>
      <w:lvlJc w:val="left"/>
      <w:pPr>
        <w:ind w:left="2206" w:hanging="360"/>
      </w:pPr>
      <w:rPr>
        <w:rFonts w:ascii="Wingdings" w:hAnsi="Wingdings" w:hint="default"/>
      </w:rPr>
    </w:lvl>
    <w:lvl w:ilvl="3" w:tplc="10090001" w:tentative="1">
      <w:start w:val="1"/>
      <w:numFmt w:val="bullet"/>
      <w:lvlText w:val=""/>
      <w:lvlJc w:val="left"/>
      <w:pPr>
        <w:ind w:left="2926" w:hanging="360"/>
      </w:pPr>
      <w:rPr>
        <w:rFonts w:ascii="Symbol" w:hAnsi="Symbol" w:hint="default"/>
      </w:rPr>
    </w:lvl>
    <w:lvl w:ilvl="4" w:tplc="10090003" w:tentative="1">
      <w:start w:val="1"/>
      <w:numFmt w:val="bullet"/>
      <w:lvlText w:val="o"/>
      <w:lvlJc w:val="left"/>
      <w:pPr>
        <w:ind w:left="3646" w:hanging="360"/>
      </w:pPr>
      <w:rPr>
        <w:rFonts w:ascii="Courier New" w:hAnsi="Courier New" w:cs="Courier New" w:hint="default"/>
      </w:rPr>
    </w:lvl>
    <w:lvl w:ilvl="5" w:tplc="10090005" w:tentative="1">
      <w:start w:val="1"/>
      <w:numFmt w:val="bullet"/>
      <w:lvlText w:val=""/>
      <w:lvlJc w:val="left"/>
      <w:pPr>
        <w:ind w:left="4366" w:hanging="360"/>
      </w:pPr>
      <w:rPr>
        <w:rFonts w:ascii="Wingdings" w:hAnsi="Wingdings" w:hint="default"/>
      </w:rPr>
    </w:lvl>
    <w:lvl w:ilvl="6" w:tplc="10090001" w:tentative="1">
      <w:start w:val="1"/>
      <w:numFmt w:val="bullet"/>
      <w:lvlText w:val=""/>
      <w:lvlJc w:val="left"/>
      <w:pPr>
        <w:ind w:left="5086" w:hanging="360"/>
      </w:pPr>
      <w:rPr>
        <w:rFonts w:ascii="Symbol" w:hAnsi="Symbol" w:hint="default"/>
      </w:rPr>
    </w:lvl>
    <w:lvl w:ilvl="7" w:tplc="10090003" w:tentative="1">
      <w:start w:val="1"/>
      <w:numFmt w:val="bullet"/>
      <w:lvlText w:val="o"/>
      <w:lvlJc w:val="left"/>
      <w:pPr>
        <w:ind w:left="5806" w:hanging="360"/>
      </w:pPr>
      <w:rPr>
        <w:rFonts w:ascii="Courier New" w:hAnsi="Courier New" w:cs="Courier New" w:hint="default"/>
      </w:rPr>
    </w:lvl>
    <w:lvl w:ilvl="8" w:tplc="10090005" w:tentative="1">
      <w:start w:val="1"/>
      <w:numFmt w:val="bullet"/>
      <w:lvlText w:val=""/>
      <w:lvlJc w:val="left"/>
      <w:pPr>
        <w:ind w:left="6526" w:hanging="360"/>
      </w:pPr>
      <w:rPr>
        <w:rFonts w:ascii="Wingdings" w:hAnsi="Wingdings" w:hint="default"/>
      </w:rPr>
    </w:lvl>
  </w:abstractNum>
  <w:abstractNum w:abstractNumId="5" w15:restartNumberingAfterBreak="0">
    <w:nsid w:val="2CE51407"/>
    <w:multiLevelType w:val="hybridMultilevel"/>
    <w:tmpl w:val="104CAE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7E76E9"/>
    <w:multiLevelType w:val="multilevel"/>
    <w:tmpl w:val="8E0855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38F0BD6"/>
    <w:multiLevelType w:val="hybridMultilevel"/>
    <w:tmpl w:val="596CEB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A90322C"/>
    <w:multiLevelType w:val="hybridMultilevel"/>
    <w:tmpl w:val="F75ADEEA"/>
    <w:lvl w:ilvl="0" w:tplc="5582EEAA">
      <w:start w:val="1"/>
      <w:numFmt w:val="decimal"/>
      <w:lvlText w:val="%1."/>
      <w:lvlJc w:val="left"/>
      <w:pPr>
        <w:ind w:left="1020" w:hanging="360"/>
      </w:pPr>
    </w:lvl>
    <w:lvl w:ilvl="1" w:tplc="9D928A18">
      <w:start w:val="1"/>
      <w:numFmt w:val="decimal"/>
      <w:lvlText w:val="%2."/>
      <w:lvlJc w:val="left"/>
      <w:pPr>
        <w:ind w:left="1020" w:hanging="360"/>
      </w:pPr>
    </w:lvl>
    <w:lvl w:ilvl="2" w:tplc="5E6CC0F0">
      <w:start w:val="1"/>
      <w:numFmt w:val="decimal"/>
      <w:lvlText w:val="%3."/>
      <w:lvlJc w:val="left"/>
      <w:pPr>
        <w:ind w:left="1020" w:hanging="360"/>
      </w:pPr>
    </w:lvl>
    <w:lvl w:ilvl="3" w:tplc="63B6CB0E">
      <w:start w:val="1"/>
      <w:numFmt w:val="decimal"/>
      <w:lvlText w:val="%4."/>
      <w:lvlJc w:val="left"/>
      <w:pPr>
        <w:ind w:left="1020" w:hanging="360"/>
      </w:pPr>
    </w:lvl>
    <w:lvl w:ilvl="4" w:tplc="514E8C06">
      <w:start w:val="1"/>
      <w:numFmt w:val="decimal"/>
      <w:lvlText w:val="%5."/>
      <w:lvlJc w:val="left"/>
      <w:pPr>
        <w:ind w:left="1020" w:hanging="360"/>
      </w:pPr>
    </w:lvl>
    <w:lvl w:ilvl="5" w:tplc="40542816">
      <w:start w:val="1"/>
      <w:numFmt w:val="decimal"/>
      <w:lvlText w:val="%6."/>
      <w:lvlJc w:val="left"/>
      <w:pPr>
        <w:ind w:left="1020" w:hanging="360"/>
      </w:pPr>
    </w:lvl>
    <w:lvl w:ilvl="6" w:tplc="1C9630C6">
      <w:start w:val="1"/>
      <w:numFmt w:val="decimal"/>
      <w:lvlText w:val="%7."/>
      <w:lvlJc w:val="left"/>
      <w:pPr>
        <w:ind w:left="1020" w:hanging="360"/>
      </w:pPr>
    </w:lvl>
    <w:lvl w:ilvl="7" w:tplc="71BC9998">
      <w:start w:val="1"/>
      <w:numFmt w:val="decimal"/>
      <w:lvlText w:val="%8."/>
      <w:lvlJc w:val="left"/>
      <w:pPr>
        <w:ind w:left="1020" w:hanging="360"/>
      </w:pPr>
    </w:lvl>
    <w:lvl w:ilvl="8" w:tplc="0188F54C">
      <w:start w:val="1"/>
      <w:numFmt w:val="decimal"/>
      <w:lvlText w:val="%9."/>
      <w:lvlJc w:val="left"/>
      <w:pPr>
        <w:ind w:left="1020" w:hanging="360"/>
      </w:pPr>
    </w:lvl>
  </w:abstractNum>
  <w:abstractNum w:abstractNumId="9" w15:restartNumberingAfterBreak="0">
    <w:nsid w:val="4CB57E40"/>
    <w:multiLevelType w:val="hybridMultilevel"/>
    <w:tmpl w:val="5E4299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E222875"/>
    <w:multiLevelType w:val="hybridMultilevel"/>
    <w:tmpl w:val="98A6B606"/>
    <w:lvl w:ilvl="0" w:tplc="7FE02792">
      <w:start w:val="1"/>
      <w:numFmt w:val="decimal"/>
      <w:lvlText w:val="%1."/>
      <w:lvlJc w:val="left"/>
      <w:pPr>
        <w:ind w:left="1020" w:hanging="360"/>
      </w:pPr>
    </w:lvl>
    <w:lvl w:ilvl="1" w:tplc="81368D58">
      <w:start w:val="1"/>
      <w:numFmt w:val="decimal"/>
      <w:lvlText w:val="%2."/>
      <w:lvlJc w:val="left"/>
      <w:pPr>
        <w:ind w:left="1020" w:hanging="360"/>
      </w:pPr>
    </w:lvl>
    <w:lvl w:ilvl="2" w:tplc="E6B8B006">
      <w:start w:val="1"/>
      <w:numFmt w:val="decimal"/>
      <w:lvlText w:val="%3."/>
      <w:lvlJc w:val="left"/>
      <w:pPr>
        <w:ind w:left="1020" w:hanging="360"/>
      </w:pPr>
    </w:lvl>
    <w:lvl w:ilvl="3" w:tplc="46463F0A">
      <w:start w:val="1"/>
      <w:numFmt w:val="decimal"/>
      <w:lvlText w:val="%4."/>
      <w:lvlJc w:val="left"/>
      <w:pPr>
        <w:ind w:left="1020" w:hanging="360"/>
      </w:pPr>
    </w:lvl>
    <w:lvl w:ilvl="4" w:tplc="DCAEB1F8">
      <w:start w:val="1"/>
      <w:numFmt w:val="decimal"/>
      <w:lvlText w:val="%5."/>
      <w:lvlJc w:val="left"/>
      <w:pPr>
        <w:ind w:left="1020" w:hanging="360"/>
      </w:pPr>
    </w:lvl>
    <w:lvl w:ilvl="5" w:tplc="2634E4CE">
      <w:start w:val="1"/>
      <w:numFmt w:val="decimal"/>
      <w:lvlText w:val="%6."/>
      <w:lvlJc w:val="left"/>
      <w:pPr>
        <w:ind w:left="1020" w:hanging="360"/>
      </w:pPr>
    </w:lvl>
    <w:lvl w:ilvl="6" w:tplc="69DEE19C">
      <w:start w:val="1"/>
      <w:numFmt w:val="decimal"/>
      <w:lvlText w:val="%7."/>
      <w:lvlJc w:val="left"/>
      <w:pPr>
        <w:ind w:left="1020" w:hanging="360"/>
      </w:pPr>
    </w:lvl>
    <w:lvl w:ilvl="7" w:tplc="B608D4A2">
      <w:start w:val="1"/>
      <w:numFmt w:val="decimal"/>
      <w:lvlText w:val="%8."/>
      <w:lvlJc w:val="left"/>
      <w:pPr>
        <w:ind w:left="1020" w:hanging="360"/>
      </w:pPr>
    </w:lvl>
    <w:lvl w:ilvl="8" w:tplc="EC3C4CB8">
      <w:start w:val="1"/>
      <w:numFmt w:val="decimal"/>
      <w:lvlText w:val="%9."/>
      <w:lvlJc w:val="left"/>
      <w:pPr>
        <w:ind w:left="1020" w:hanging="360"/>
      </w:pPr>
    </w:lvl>
  </w:abstractNum>
  <w:abstractNum w:abstractNumId="11" w15:restartNumberingAfterBreak="0">
    <w:nsid w:val="6D290AC8"/>
    <w:multiLevelType w:val="hybridMultilevel"/>
    <w:tmpl w:val="9D3A32E2"/>
    <w:lvl w:ilvl="0" w:tplc="714ABED4">
      <w:start w:val="1"/>
      <w:numFmt w:val="bullet"/>
      <w:lvlText w:val=""/>
      <w:lvlJc w:val="left"/>
      <w:pPr>
        <w:ind w:left="720" w:hanging="360"/>
      </w:pPr>
      <w:rPr>
        <w:rFonts w:ascii="Symbol" w:hAnsi="Symbol"/>
      </w:rPr>
    </w:lvl>
    <w:lvl w:ilvl="1" w:tplc="65AE4D04">
      <w:start w:val="1"/>
      <w:numFmt w:val="bullet"/>
      <w:lvlText w:val=""/>
      <w:lvlJc w:val="left"/>
      <w:pPr>
        <w:ind w:left="720" w:hanging="360"/>
      </w:pPr>
      <w:rPr>
        <w:rFonts w:ascii="Symbol" w:hAnsi="Symbol"/>
      </w:rPr>
    </w:lvl>
    <w:lvl w:ilvl="2" w:tplc="016021F4">
      <w:start w:val="1"/>
      <w:numFmt w:val="bullet"/>
      <w:lvlText w:val=""/>
      <w:lvlJc w:val="left"/>
      <w:pPr>
        <w:ind w:left="720" w:hanging="360"/>
      </w:pPr>
      <w:rPr>
        <w:rFonts w:ascii="Symbol" w:hAnsi="Symbol"/>
      </w:rPr>
    </w:lvl>
    <w:lvl w:ilvl="3" w:tplc="D3D2A1FC">
      <w:start w:val="1"/>
      <w:numFmt w:val="bullet"/>
      <w:lvlText w:val=""/>
      <w:lvlJc w:val="left"/>
      <w:pPr>
        <w:ind w:left="720" w:hanging="360"/>
      </w:pPr>
      <w:rPr>
        <w:rFonts w:ascii="Symbol" w:hAnsi="Symbol"/>
      </w:rPr>
    </w:lvl>
    <w:lvl w:ilvl="4" w:tplc="DD2A1DAA">
      <w:start w:val="1"/>
      <w:numFmt w:val="bullet"/>
      <w:lvlText w:val=""/>
      <w:lvlJc w:val="left"/>
      <w:pPr>
        <w:ind w:left="720" w:hanging="360"/>
      </w:pPr>
      <w:rPr>
        <w:rFonts w:ascii="Symbol" w:hAnsi="Symbol"/>
      </w:rPr>
    </w:lvl>
    <w:lvl w:ilvl="5" w:tplc="8D7EBDE6">
      <w:start w:val="1"/>
      <w:numFmt w:val="bullet"/>
      <w:lvlText w:val=""/>
      <w:lvlJc w:val="left"/>
      <w:pPr>
        <w:ind w:left="720" w:hanging="360"/>
      </w:pPr>
      <w:rPr>
        <w:rFonts w:ascii="Symbol" w:hAnsi="Symbol"/>
      </w:rPr>
    </w:lvl>
    <w:lvl w:ilvl="6" w:tplc="9FC497DC">
      <w:start w:val="1"/>
      <w:numFmt w:val="bullet"/>
      <w:lvlText w:val=""/>
      <w:lvlJc w:val="left"/>
      <w:pPr>
        <w:ind w:left="720" w:hanging="360"/>
      </w:pPr>
      <w:rPr>
        <w:rFonts w:ascii="Symbol" w:hAnsi="Symbol"/>
      </w:rPr>
    </w:lvl>
    <w:lvl w:ilvl="7" w:tplc="816200B8">
      <w:start w:val="1"/>
      <w:numFmt w:val="bullet"/>
      <w:lvlText w:val=""/>
      <w:lvlJc w:val="left"/>
      <w:pPr>
        <w:ind w:left="720" w:hanging="360"/>
      </w:pPr>
      <w:rPr>
        <w:rFonts w:ascii="Symbol" w:hAnsi="Symbol"/>
      </w:rPr>
    </w:lvl>
    <w:lvl w:ilvl="8" w:tplc="F1E6A36C">
      <w:start w:val="1"/>
      <w:numFmt w:val="bullet"/>
      <w:lvlText w:val=""/>
      <w:lvlJc w:val="left"/>
      <w:pPr>
        <w:ind w:left="720" w:hanging="360"/>
      </w:pPr>
      <w:rPr>
        <w:rFonts w:ascii="Symbol" w:hAnsi="Symbol"/>
      </w:rPr>
    </w:lvl>
  </w:abstractNum>
  <w:abstractNum w:abstractNumId="12" w15:restartNumberingAfterBreak="0">
    <w:nsid w:val="6E130E3E"/>
    <w:multiLevelType w:val="hybridMultilevel"/>
    <w:tmpl w:val="91E8E574"/>
    <w:lvl w:ilvl="0" w:tplc="10090001">
      <w:start w:val="1"/>
      <w:numFmt w:val="bullet"/>
      <w:lvlText w:val=""/>
      <w:lvlJc w:val="left"/>
      <w:pPr>
        <w:ind w:left="766" w:hanging="360"/>
      </w:pPr>
      <w:rPr>
        <w:rFonts w:ascii="Symbol" w:hAnsi="Symbol" w:hint="default"/>
      </w:rPr>
    </w:lvl>
    <w:lvl w:ilvl="1" w:tplc="FFFFFFFF">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13" w15:restartNumberingAfterBreak="0">
    <w:nsid w:val="712723DC"/>
    <w:multiLevelType w:val="hybridMultilevel"/>
    <w:tmpl w:val="E3FA90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4B92753"/>
    <w:multiLevelType w:val="hybridMultilevel"/>
    <w:tmpl w:val="B004252C"/>
    <w:lvl w:ilvl="0" w:tplc="7D7C85B2">
      <w:start w:val="1"/>
      <w:numFmt w:val="bullet"/>
      <w:lvlText w:val=""/>
      <w:lvlJc w:val="left"/>
      <w:pPr>
        <w:ind w:left="720" w:hanging="360"/>
      </w:pPr>
      <w:rPr>
        <w:rFonts w:ascii="Symbol" w:hAnsi="Symbol"/>
      </w:rPr>
    </w:lvl>
    <w:lvl w:ilvl="1" w:tplc="93F23818">
      <w:start w:val="1"/>
      <w:numFmt w:val="bullet"/>
      <w:lvlText w:val=""/>
      <w:lvlJc w:val="left"/>
      <w:pPr>
        <w:ind w:left="720" w:hanging="360"/>
      </w:pPr>
      <w:rPr>
        <w:rFonts w:ascii="Symbol" w:hAnsi="Symbol"/>
      </w:rPr>
    </w:lvl>
    <w:lvl w:ilvl="2" w:tplc="5AA60BC6">
      <w:start w:val="1"/>
      <w:numFmt w:val="bullet"/>
      <w:lvlText w:val=""/>
      <w:lvlJc w:val="left"/>
      <w:pPr>
        <w:ind w:left="720" w:hanging="360"/>
      </w:pPr>
      <w:rPr>
        <w:rFonts w:ascii="Symbol" w:hAnsi="Symbol"/>
      </w:rPr>
    </w:lvl>
    <w:lvl w:ilvl="3" w:tplc="FB720B32">
      <w:start w:val="1"/>
      <w:numFmt w:val="bullet"/>
      <w:lvlText w:val=""/>
      <w:lvlJc w:val="left"/>
      <w:pPr>
        <w:ind w:left="720" w:hanging="360"/>
      </w:pPr>
      <w:rPr>
        <w:rFonts w:ascii="Symbol" w:hAnsi="Symbol"/>
      </w:rPr>
    </w:lvl>
    <w:lvl w:ilvl="4" w:tplc="015EAB10">
      <w:start w:val="1"/>
      <w:numFmt w:val="bullet"/>
      <w:lvlText w:val=""/>
      <w:lvlJc w:val="left"/>
      <w:pPr>
        <w:ind w:left="720" w:hanging="360"/>
      </w:pPr>
      <w:rPr>
        <w:rFonts w:ascii="Symbol" w:hAnsi="Symbol"/>
      </w:rPr>
    </w:lvl>
    <w:lvl w:ilvl="5" w:tplc="F80A3B94">
      <w:start w:val="1"/>
      <w:numFmt w:val="bullet"/>
      <w:lvlText w:val=""/>
      <w:lvlJc w:val="left"/>
      <w:pPr>
        <w:ind w:left="720" w:hanging="360"/>
      </w:pPr>
      <w:rPr>
        <w:rFonts w:ascii="Symbol" w:hAnsi="Symbol"/>
      </w:rPr>
    </w:lvl>
    <w:lvl w:ilvl="6" w:tplc="0C5A149E">
      <w:start w:val="1"/>
      <w:numFmt w:val="bullet"/>
      <w:lvlText w:val=""/>
      <w:lvlJc w:val="left"/>
      <w:pPr>
        <w:ind w:left="720" w:hanging="360"/>
      </w:pPr>
      <w:rPr>
        <w:rFonts w:ascii="Symbol" w:hAnsi="Symbol"/>
      </w:rPr>
    </w:lvl>
    <w:lvl w:ilvl="7" w:tplc="42FE66F4">
      <w:start w:val="1"/>
      <w:numFmt w:val="bullet"/>
      <w:lvlText w:val=""/>
      <w:lvlJc w:val="left"/>
      <w:pPr>
        <w:ind w:left="720" w:hanging="360"/>
      </w:pPr>
      <w:rPr>
        <w:rFonts w:ascii="Symbol" w:hAnsi="Symbol"/>
      </w:rPr>
    </w:lvl>
    <w:lvl w:ilvl="8" w:tplc="F898AC2C">
      <w:start w:val="1"/>
      <w:numFmt w:val="bullet"/>
      <w:lvlText w:val=""/>
      <w:lvlJc w:val="left"/>
      <w:pPr>
        <w:ind w:left="720" w:hanging="360"/>
      </w:pPr>
      <w:rPr>
        <w:rFonts w:ascii="Symbol" w:hAnsi="Symbol"/>
      </w:rPr>
    </w:lvl>
  </w:abstractNum>
  <w:num w:numId="1" w16cid:durableId="816382936">
    <w:abstractNumId w:val="1"/>
  </w:num>
  <w:num w:numId="2" w16cid:durableId="25445695">
    <w:abstractNumId w:val="11"/>
  </w:num>
  <w:num w:numId="3" w16cid:durableId="845634265">
    <w:abstractNumId w:val="0"/>
  </w:num>
  <w:num w:numId="4" w16cid:durableId="405953596">
    <w:abstractNumId w:val="6"/>
  </w:num>
  <w:num w:numId="5" w16cid:durableId="1185747441">
    <w:abstractNumId w:val="14"/>
  </w:num>
  <w:num w:numId="6" w16cid:durableId="1274285253">
    <w:abstractNumId w:val="9"/>
  </w:num>
  <w:num w:numId="7" w16cid:durableId="796878628">
    <w:abstractNumId w:val="13"/>
  </w:num>
  <w:num w:numId="8" w16cid:durableId="1478298383">
    <w:abstractNumId w:val="5"/>
  </w:num>
  <w:num w:numId="9" w16cid:durableId="845555431">
    <w:abstractNumId w:val="4"/>
  </w:num>
  <w:num w:numId="10" w16cid:durableId="192350279">
    <w:abstractNumId w:val="12"/>
  </w:num>
  <w:num w:numId="11" w16cid:durableId="25521666">
    <w:abstractNumId w:val="2"/>
  </w:num>
  <w:num w:numId="12" w16cid:durableId="615216649">
    <w:abstractNumId w:val="7"/>
  </w:num>
  <w:num w:numId="13" w16cid:durableId="1569226188">
    <w:abstractNumId w:val="3"/>
  </w:num>
  <w:num w:numId="14" w16cid:durableId="1671830671">
    <w:abstractNumId w:val="10"/>
  </w:num>
  <w:num w:numId="15" w16cid:durableId="229384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A4"/>
    <w:rsid w:val="000007D6"/>
    <w:rsid w:val="00001358"/>
    <w:rsid w:val="00001BC1"/>
    <w:rsid w:val="00003252"/>
    <w:rsid w:val="00003512"/>
    <w:rsid w:val="00003916"/>
    <w:rsid w:val="00003AA1"/>
    <w:rsid w:val="0000423D"/>
    <w:rsid w:val="000043B8"/>
    <w:rsid w:val="00004729"/>
    <w:rsid w:val="00004DAA"/>
    <w:rsid w:val="00004F4E"/>
    <w:rsid w:val="0000613E"/>
    <w:rsid w:val="00006459"/>
    <w:rsid w:val="00006598"/>
    <w:rsid w:val="00006D07"/>
    <w:rsid w:val="00006E24"/>
    <w:rsid w:val="00006F46"/>
    <w:rsid w:val="00007282"/>
    <w:rsid w:val="00007C3B"/>
    <w:rsid w:val="00010693"/>
    <w:rsid w:val="000109F2"/>
    <w:rsid w:val="00011B42"/>
    <w:rsid w:val="00012179"/>
    <w:rsid w:val="00012194"/>
    <w:rsid w:val="000124BE"/>
    <w:rsid w:val="00012F34"/>
    <w:rsid w:val="000131D0"/>
    <w:rsid w:val="000138AC"/>
    <w:rsid w:val="00013F51"/>
    <w:rsid w:val="00014D13"/>
    <w:rsid w:val="00015467"/>
    <w:rsid w:val="00015659"/>
    <w:rsid w:val="000157B2"/>
    <w:rsid w:val="00017656"/>
    <w:rsid w:val="00021A38"/>
    <w:rsid w:val="00021B06"/>
    <w:rsid w:val="000223D1"/>
    <w:rsid w:val="0002341E"/>
    <w:rsid w:val="00023EA4"/>
    <w:rsid w:val="00023F43"/>
    <w:rsid w:val="00023F98"/>
    <w:rsid w:val="00024330"/>
    <w:rsid w:val="00024690"/>
    <w:rsid w:val="00024B38"/>
    <w:rsid w:val="000250C5"/>
    <w:rsid w:val="000251D6"/>
    <w:rsid w:val="00026133"/>
    <w:rsid w:val="0002613C"/>
    <w:rsid w:val="0002668C"/>
    <w:rsid w:val="000267D6"/>
    <w:rsid w:val="000300C9"/>
    <w:rsid w:val="00030252"/>
    <w:rsid w:val="00030A33"/>
    <w:rsid w:val="00031028"/>
    <w:rsid w:val="0003140D"/>
    <w:rsid w:val="00031697"/>
    <w:rsid w:val="00031A2A"/>
    <w:rsid w:val="000321C7"/>
    <w:rsid w:val="00032335"/>
    <w:rsid w:val="00032A05"/>
    <w:rsid w:val="0003386B"/>
    <w:rsid w:val="0003430F"/>
    <w:rsid w:val="00034F98"/>
    <w:rsid w:val="000357B3"/>
    <w:rsid w:val="000364FE"/>
    <w:rsid w:val="00036997"/>
    <w:rsid w:val="000373EC"/>
    <w:rsid w:val="000408F2"/>
    <w:rsid w:val="000410A2"/>
    <w:rsid w:val="0004159C"/>
    <w:rsid w:val="000418FE"/>
    <w:rsid w:val="0004195B"/>
    <w:rsid w:val="00041B8D"/>
    <w:rsid w:val="00041C72"/>
    <w:rsid w:val="00042454"/>
    <w:rsid w:val="00043093"/>
    <w:rsid w:val="000435DD"/>
    <w:rsid w:val="00043863"/>
    <w:rsid w:val="000440FA"/>
    <w:rsid w:val="00046862"/>
    <w:rsid w:val="000471C8"/>
    <w:rsid w:val="000507F8"/>
    <w:rsid w:val="00050CC8"/>
    <w:rsid w:val="00052440"/>
    <w:rsid w:val="00052D68"/>
    <w:rsid w:val="00053174"/>
    <w:rsid w:val="00053CE1"/>
    <w:rsid w:val="00053D74"/>
    <w:rsid w:val="000550C8"/>
    <w:rsid w:val="00055B25"/>
    <w:rsid w:val="00055B50"/>
    <w:rsid w:val="00056471"/>
    <w:rsid w:val="00056B6F"/>
    <w:rsid w:val="00056FE2"/>
    <w:rsid w:val="00057D0B"/>
    <w:rsid w:val="00057D5D"/>
    <w:rsid w:val="000617F5"/>
    <w:rsid w:val="00062846"/>
    <w:rsid w:val="0006332F"/>
    <w:rsid w:val="0006415A"/>
    <w:rsid w:val="00065116"/>
    <w:rsid w:val="0006589A"/>
    <w:rsid w:val="0006679C"/>
    <w:rsid w:val="00066C08"/>
    <w:rsid w:val="00067105"/>
    <w:rsid w:val="000676C3"/>
    <w:rsid w:val="00067C34"/>
    <w:rsid w:val="0007105E"/>
    <w:rsid w:val="00071D79"/>
    <w:rsid w:val="00072715"/>
    <w:rsid w:val="00072CC7"/>
    <w:rsid w:val="00072E53"/>
    <w:rsid w:val="00073CB1"/>
    <w:rsid w:val="00074B78"/>
    <w:rsid w:val="00074C0F"/>
    <w:rsid w:val="000752D2"/>
    <w:rsid w:val="00075332"/>
    <w:rsid w:val="0007588F"/>
    <w:rsid w:val="000761CC"/>
    <w:rsid w:val="0007757E"/>
    <w:rsid w:val="00081954"/>
    <w:rsid w:val="00082479"/>
    <w:rsid w:val="000829AD"/>
    <w:rsid w:val="00083142"/>
    <w:rsid w:val="00084BF3"/>
    <w:rsid w:val="00087091"/>
    <w:rsid w:val="00087DD5"/>
    <w:rsid w:val="000904CB"/>
    <w:rsid w:val="000904EA"/>
    <w:rsid w:val="00091397"/>
    <w:rsid w:val="00091E28"/>
    <w:rsid w:val="000920E7"/>
    <w:rsid w:val="0009270A"/>
    <w:rsid w:val="00092FEA"/>
    <w:rsid w:val="000945A4"/>
    <w:rsid w:val="00094D8B"/>
    <w:rsid w:val="00094FA2"/>
    <w:rsid w:val="00095040"/>
    <w:rsid w:val="00095CF6"/>
    <w:rsid w:val="000962B5"/>
    <w:rsid w:val="00097794"/>
    <w:rsid w:val="000A007D"/>
    <w:rsid w:val="000A0679"/>
    <w:rsid w:val="000A0A5E"/>
    <w:rsid w:val="000A10B4"/>
    <w:rsid w:val="000A15D9"/>
    <w:rsid w:val="000A1801"/>
    <w:rsid w:val="000A1CBE"/>
    <w:rsid w:val="000A249A"/>
    <w:rsid w:val="000A3147"/>
    <w:rsid w:val="000A34B1"/>
    <w:rsid w:val="000A3647"/>
    <w:rsid w:val="000A423C"/>
    <w:rsid w:val="000A4F27"/>
    <w:rsid w:val="000A60DC"/>
    <w:rsid w:val="000A620B"/>
    <w:rsid w:val="000A631B"/>
    <w:rsid w:val="000A6B99"/>
    <w:rsid w:val="000A6E10"/>
    <w:rsid w:val="000A70C6"/>
    <w:rsid w:val="000A7213"/>
    <w:rsid w:val="000A7A63"/>
    <w:rsid w:val="000B0207"/>
    <w:rsid w:val="000B0A87"/>
    <w:rsid w:val="000B161A"/>
    <w:rsid w:val="000B20D8"/>
    <w:rsid w:val="000B28DA"/>
    <w:rsid w:val="000B4FC3"/>
    <w:rsid w:val="000B595A"/>
    <w:rsid w:val="000C0201"/>
    <w:rsid w:val="000C066B"/>
    <w:rsid w:val="000C16CB"/>
    <w:rsid w:val="000C2E9D"/>
    <w:rsid w:val="000C31A4"/>
    <w:rsid w:val="000C3439"/>
    <w:rsid w:val="000C3E0A"/>
    <w:rsid w:val="000C42C8"/>
    <w:rsid w:val="000C535B"/>
    <w:rsid w:val="000C56B8"/>
    <w:rsid w:val="000C5D02"/>
    <w:rsid w:val="000C5F52"/>
    <w:rsid w:val="000C6F39"/>
    <w:rsid w:val="000C74FA"/>
    <w:rsid w:val="000D053E"/>
    <w:rsid w:val="000D0EC3"/>
    <w:rsid w:val="000D1315"/>
    <w:rsid w:val="000D1522"/>
    <w:rsid w:val="000D279B"/>
    <w:rsid w:val="000D2B49"/>
    <w:rsid w:val="000D3D8A"/>
    <w:rsid w:val="000D4055"/>
    <w:rsid w:val="000D4B99"/>
    <w:rsid w:val="000D502F"/>
    <w:rsid w:val="000D508A"/>
    <w:rsid w:val="000D5467"/>
    <w:rsid w:val="000D5953"/>
    <w:rsid w:val="000D5D0D"/>
    <w:rsid w:val="000D6C2A"/>
    <w:rsid w:val="000D7DAF"/>
    <w:rsid w:val="000E05A2"/>
    <w:rsid w:val="000E09E4"/>
    <w:rsid w:val="000E15DB"/>
    <w:rsid w:val="000E46E0"/>
    <w:rsid w:val="000E4A94"/>
    <w:rsid w:val="000E5063"/>
    <w:rsid w:val="000E65DD"/>
    <w:rsid w:val="000E65EC"/>
    <w:rsid w:val="000E73FD"/>
    <w:rsid w:val="000F00A5"/>
    <w:rsid w:val="000F0B3B"/>
    <w:rsid w:val="000F0ED6"/>
    <w:rsid w:val="000F1F89"/>
    <w:rsid w:val="000F3BDD"/>
    <w:rsid w:val="000F4DE2"/>
    <w:rsid w:val="000F4E46"/>
    <w:rsid w:val="000F5028"/>
    <w:rsid w:val="000F52F9"/>
    <w:rsid w:val="000F54F7"/>
    <w:rsid w:val="000F6A05"/>
    <w:rsid w:val="000F6FDC"/>
    <w:rsid w:val="000F74B7"/>
    <w:rsid w:val="000F74CA"/>
    <w:rsid w:val="000F77B6"/>
    <w:rsid w:val="00100202"/>
    <w:rsid w:val="001015E0"/>
    <w:rsid w:val="00101B10"/>
    <w:rsid w:val="00102CA8"/>
    <w:rsid w:val="00103508"/>
    <w:rsid w:val="0010434C"/>
    <w:rsid w:val="00104711"/>
    <w:rsid w:val="00104C90"/>
    <w:rsid w:val="00105339"/>
    <w:rsid w:val="001054F8"/>
    <w:rsid w:val="00105745"/>
    <w:rsid w:val="00105E18"/>
    <w:rsid w:val="001067E1"/>
    <w:rsid w:val="00106FE6"/>
    <w:rsid w:val="00107784"/>
    <w:rsid w:val="00110625"/>
    <w:rsid w:val="00110674"/>
    <w:rsid w:val="001107EA"/>
    <w:rsid w:val="00110C7F"/>
    <w:rsid w:val="001110FC"/>
    <w:rsid w:val="00111521"/>
    <w:rsid w:val="001121B1"/>
    <w:rsid w:val="00112670"/>
    <w:rsid w:val="00112693"/>
    <w:rsid w:val="00112C1C"/>
    <w:rsid w:val="00113742"/>
    <w:rsid w:val="00113AE1"/>
    <w:rsid w:val="00113B9C"/>
    <w:rsid w:val="00114755"/>
    <w:rsid w:val="00114A12"/>
    <w:rsid w:val="00115B95"/>
    <w:rsid w:val="0011666C"/>
    <w:rsid w:val="00117210"/>
    <w:rsid w:val="0011726D"/>
    <w:rsid w:val="00117960"/>
    <w:rsid w:val="0012023B"/>
    <w:rsid w:val="00120A5D"/>
    <w:rsid w:val="00120D88"/>
    <w:rsid w:val="0012101E"/>
    <w:rsid w:val="0012250C"/>
    <w:rsid w:val="001228FC"/>
    <w:rsid w:val="001233FE"/>
    <w:rsid w:val="0012457C"/>
    <w:rsid w:val="001250AB"/>
    <w:rsid w:val="0012578B"/>
    <w:rsid w:val="00126D48"/>
    <w:rsid w:val="00126E09"/>
    <w:rsid w:val="00127700"/>
    <w:rsid w:val="001279B8"/>
    <w:rsid w:val="00127C2D"/>
    <w:rsid w:val="00130E61"/>
    <w:rsid w:val="001316FD"/>
    <w:rsid w:val="001317F5"/>
    <w:rsid w:val="001323AF"/>
    <w:rsid w:val="001328EC"/>
    <w:rsid w:val="001329B2"/>
    <w:rsid w:val="00132B6D"/>
    <w:rsid w:val="00132D13"/>
    <w:rsid w:val="00133543"/>
    <w:rsid w:val="001340CA"/>
    <w:rsid w:val="00134D02"/>
    <w:rsid w:val="00135097"/>
    <w:rsid w:val="00135D71"/>
    <w:rsid w:val="001369ED"/>
    <w:rsid w:val="00136B00"/>
    <w:rsid w:val="00136C45"/>
    <w:rsid w:val="001370E4"/>
    <w:rsid w:val="00137642"/>
    <w:rsid w:val="001401FD"/>
    <w:rsid w:val="001406B1"/>
    <w:rsid w:val="00140F34"/>
    <w:rsid w:val="001412C4"/>
    <w:rsid w:val="0014157D"/>
    <w:rsid w:val="00142392"/>
    <w:rsid w:val="001438C2"/>
    <w:rsid w:val="001460D1"/>
    <w:rsid w:val="0014663B"/>
    <w:rsid w:val="001468AD"/>
    <w:rsid w:val="00146CA4"/>
    <w:rsid w:val="00146E1F"/>
    <w:rsid w:val="00147F52"/>
    <w:rsid w:val="00150E5B"/>
    <w:rsid w:val="0015155A"/>
    <w:rsid w:val="00151DF6"/>
    <w:rsid w:val="001525DC"/>
    <w:rsid w:val="00152E50"/>
    <w:rsid w:val="00153F61"/>
    <w:rsid w:val="001543FE"/>
    <w:rsid w:val="00154577"/>
    <w:rsid w:val="00154625"/>
    <w:rsid w:val="00155354"/>
    <w:rsid w:val="001563D5"/>
    <w:rsid w:val="00156883"/>
    <w:rsid w:val="00156BF7"/>
    <w:rsid w:val="0016087F"/>
    <w:rsid w:val="00160883"/>
    <w:rsid w:val="00161A52"/>
    <w:rsid w:val="00162780"/>
    <w:rsid w:val="00163498"/>
    <w:rsid w:val="0016391D"/>
    <w:rsid w:val="001640E0"/>
    <w:rsid w:val="0016455C"/>
    <w:rsid w:val="001646BD"/>
    <w:rsid w:val="001648B9"/>
    <w:rsid w:val="00164C79"/>
    <w:rsid w:val="00164D08"/>
    <w:rsid w:val="00164DF0"/>
    <w:rsid w:val="00165357"/>
    <w:rsid w:val="0016613D"/>
    <w:rsid w:val="00166217"/>
    <w:rsid w:val="00167D08"/>
    <w:rsid w:val="00170209"/>
    <w:rsid w:val="0017054C"/>
    <w:rsid w:val="00171CAE"/>
    <w:rsid w:val="00171FB9"/>
    <w:rsid w:val="00172D68"/>
    <w:rsid w:val="00172DDA"/>
    <w:rsid w:val="00173598"/>
    <w:rsid w:val="00175562"/>
    <w:rsid w:val="00176360"/>
    <w:rsid w:val="0017636E"/>
    <w:rsid w:val="00176834"/>
    <w:rsid w:val="00176930"/>
    <w:rsid w:val="00176AA3"/>
    <w:rsid w:val="00176EB8"/>
    <w:rsid w:val="0017792E"/>
    <w:rsid w:val="00180AA3"/>
    <w:rsid w:val="00180E76"/>
    <w:rsid w:val="001811C8"/>
    <w:rsid w:val="001818E1"/>
    <w:rsid w:val="00182D49"/>
    <w:rsid w:val="0018306D"/>
    <w:rsid w:val="00183AD3"/>
    <w:rsid w:val="00184905"/>
    <w:rsid w:val="00184A47"/>
    <w:rsid w:val="00184A59"/>
    <w:rsid w:val="00185FC2"/>
    <w:rsid w:val="001863E0"/>
    <w:rsid w:val="001865E3"/>
    <w:rsid w:val="00186E2B"/>
    <w:rsid w:val="00187012"/>
    <w:rsid w:val="0018777B"/>
    <w:rsid w:val="00187E38"/>
    <w:rsid w:val="00191404"/>
    <w:rsid w:val="00191430"/>
    <w:rsid w:val="0019181A"/>
    <w:rsid w:val="00191B88"/>
    <w:rsid w:val="001924E1"/>
    <w:rsid w:val="00193C80"/>
    <w:rsid w:val="00194227"/>
    <w:rsid w:val="00194404"/>
    <w:rsid w:val="001951AD"/>
    <w:rsid w:val="00195482"/>
    <w:rsid w:val="00196241"/>
    <w:rsid w:val="00196B19"/>
    <w:rsid w:val="00196CBA"/>
    <w:rsid w:val="00196EC2"/>
    <w:rsid w:val="001971BE"/>
    <w:rsid w:val="001A1081"/>
    <w:rsid w:val="001A1864"/>
    <w:rsid w:val="001A18AD"/>
    <w:rsid w:val="001A2300"/>
    <w:rsid w:val="001A2926"/>
    <w:rsid w:val="001A2E57"/>
    <w:rsid w:val="001A4D40"/>
    <w:rsid w:val="001A5E24"/>
    <w:rsid w:val="001A773B"/>
    <w:rsid w:val="001B0271"/>
    <w:rsid w:val="001B09B9"/>
    <w:rsid w:val="001B13C4"/>
    <w:rsid w:val="001B1CEC"/>
    <w:rsid w:val="001B20BF"/>
    <w:rsid w:val="001B2111"/>
    <w:rsid w:val="001B2A8B"/>
    <w:rsid w:val="001B3D1A"/>
    <w:rsid w:val="001B43F6"/>
    <w:rsid w:val="001B553E"/>
    <w:rsid w:val="001B65C3"/>
    <w:rsid w:val="001B6796"/>
    <w:rsid w:val="001B6FD5"/>
    <w:rsid w:val="001B7D19"/>
    <w:rsid w:val="001B7E43"/>
    <w:rsid w:val="001C05FF"/>
    <w:rsid w:val="001C0759"/>
    <w:rsid w:val="001C07A2"/>
    <w:rsid w:val="001C0A6E"/>
    <w:rsid w:val="001C0D91"/>
    <w:rsid w:val="001C19D9"/>
    <w:rsid w:val="001C2A3C"/>
    <w:rsid w:val="001C2F33"/>
    <w:rsid w:val="001C3FA7"/>
    <w:rsid w:val="001C413F"/>
    <w:rsid w:val="001C4917"/>
    <w:rsid w:val="001C4F54"/>
    <w:rsid w:val="001C52A5"/>
    <w:rsid w:val="001C5CE5"/>
    <w:rsid w:val="001C5F34"/>
    <w:rsid w:val="001C6D84"/>
    <w:rsid w:val="001C77C0"/>
    <w:rsid w:val="001C7F43"/>
    <w:rsid w:val="001D06A4"/>
    <w:rsid w:val="001D06B6"/>
    <w:rsid w:val="001D06B7"/>
    <w:rsid w:val="001D0BA5"/>
    <w:rsid w:val="001D156C"/>
    <w:rsid w:val="001D1675"/>
    <w:rsid w:val="001D1D20"/>
    <w:rsid w:val="001D2413"/>
    <w:rsid w:val="001D27DC"/>
    <w:rsid w:val="001D2B07"/>
    <w:rsid w:val="001D312B"/>
    <w:rsid w:val="001D3566"/>
    <w:rsid w:val="001D3960"/>
    <w:rsid w:val="001D399F"/>
    <w:rsid w:val="001D6BD5"/>
    <w:rsid w:val="001E08E3"/>
    <w:rsid w:val="001E1F22"/>
    <w:rsid w:val="001E1FCF"/>
    <w:rsid w:val="001E2061"/>
    <w:rsid w:val="001E20A6"/>
    <w:rsid w:val="001E22EB"/>
    <w:rsid w:val="001E237B"/>
    <w:rsid w:val="001E2A34"/>
    <w:rsid w:val="001E2CBB"/>
    <w:rsid w:val="001E3C66"/>
    <w:rsid w:val="001E4CE2"/>
    <w:rsid w:val="001E5393"/>
    <w:rsid w:val="001E54CA"/>
    <w:rsid w:val="001E6CF8"/>
    <w:rsid w:val="001E7168"/>
    <w:rsid w:val="001E792A"/>
    <w:rsid w:val="001F03ED"/>
    <w:rsid w:val="001F13B1"/>
    <w:rsid w:val="001F1785"/>
    <w:rsid w:val="001F1AF2"/>
    <w:rsid w:val="001F2855"/>
    <w:rsid w:val="001F3057"/>
    <w:rsid w:val="001F374E"/>
    <w:rsid w:val="001F3BCF"/>
    <w:rsid w:val="001F3C58"/>
    <w:rsid w:val="001F54C5"/>
    <w:rsid w:val="001F55A9"/>
    <w:rsid w:val="001F571D"/>
    <w:rsid w:val="001F6F3C"/>
    <w:rsid w:val="001F75D5"/>
    <w:rsid w:val="001F788E"/>
    <w:rsid w:val="002001E5"/>
    <w:rsid w:val="00200354"/>
    <w:rsid w:val="002008DB"/>
    <w:rsid w:val="00200AFA"/>
    <w:rsid w:val="00200DA6"/>
    <w:rsid w:val="00201CDD"/>
    <w:rsid w:val="00201DED"/>
    <w:rsid w:val="00201E87"/>
    <w:rsid w:val="00202930"/>
    <w:rsid w:val="002030C4"/>
    <w:rsid w:val="002035DA"/>
    <w:rsid w:val="00203AA3"/>
    <w:rsid w:val="00203F4F"/>
    <w:rsid w:val="0020441A"/>
    <w:rsid w:val="00204E8F"/>
    <w:rsid w:val="00206451"/>
    <w:rsid w:val="00206C71"/>
    <w:rsid w:val="002075AE"/>
    <w:rsid w:val="0020765A"/>
    <w:rsid w:val="0020791B"/>
    <w:rsid w:val="00211178"/>
    <w:rsid w:val="0021140B"/>
    <w:rsid w:val="00213351"/>
    <w:rsid w:val="0021371F"/>
    <w:rsid w:val="002146E8"/>
    <w:rsid w:val="002147F0"/>
    <w:rsid w:val="00214A65"/>
    <w:rsid w:val="002150A3"/>
    <w:rsid w:val="002152C2"/>
    <w:rsid w:val="00215EB0"/>
    <w:rsid w:val="002164FE"/>
    <w:rsid w:val="002168B6"/>
    <w:rsid w:val="002168E7"/>
    <w:rsid w:val="00217C11"/>
    <w:rsid w:val="00217CE5"/>
    <w:rsid w:val="00217E82"/>
    <w:rsid w:val="002202A6"/>
    <w:rsid w:val="002204A7"/>
    <w:rsid w:val="00221B81"/>
    <w:rsid w:val="002237F0"/>
    <w:rsid w:val="00223926"/>
    <w:rsid w:val="00223DA3"/>
    <w:rsid w:val="00223DB6"/>
    <w:rsid w:val="00225C71"/>
    <w:rsid w:val="002260E6"/>
    <w:rsid w:val="00226213"/>
    <w:rsid w:val="00226264"/>
    <w:rsid w:val="002266BF"/>
    <w:rsid w:val="0022772D"/>
    <w:rsid w:val="00230B38"/>
    <w:rsid w:val="00230B80"/>
    <w:rsid w:val="0023241B"/>
    <w:rsid w:val="00232C76"/>
    <w:rsid w:val="002345B7"/>
    <w:rsid w:val="002357F6"/>
    <w:rsid w:val="00235917"/>
    <w:rsid w:val="00236DC5"/>
    <w:rsid w:val="0023705C"/>
    <w:rsid w:val="0023768A"/>
    <w:rsid w:val="002377DF"/>
    <w:rsid w:val="00237FBA"/>
    <w:rsid w:val="0024261D"/>
    <w:rsid w:val="00242A80"/>
    <w:rsid w:val="00243FF8"/>
    <w:rsid w:val="00244BD9"/>
    <w:rsid w:val="002453A3"/>
    <w:rsid w:val="00247CB0"/>
    <w:rsid w:val="00247EE2"/>
    <w:rsid w:val="00247F7F"/>
    <w:rsid w:val="0025075E"/>
    <w:rsid w:val="002507A2"/>
    <w:rsid w:val="00250E87"/>
    <w:rsid w:val="002514D8"/>
    <w:rsid w:val="002521CF"/>
    <w:rsid w:val="0025248E"/>
    <w:rsid w:val="00253A90"/>
    <w:rsid w:val="00253F74"/>
    <w:rsid w:val="0025489B"/>
    <w:rsid w:val="00255301"/>
    <w:rsid w:val="002558B2"/>
    <w:rsid w:val="00256607"/>
    <w:rsid w:val="00257A87"/>
    <w:rsid w:val="00257BF2"/>
    <w:rsid w:val="002603C6"/>
    <w:rsid w:val="00260988"/>
    <w:rsid w:val="00261706"/>
    <w:rsid w:val="00261DE5"/>
    <w:rsid w:val="002628B3"/>
    <w:rsid w:val="00262CAA"/>
    <w:rsid w:val="00262FB2"/>
    <w:rsid w:val="0026309A"/>
    <w:rsid w:val="00263187"/>
    <w:rsid w:val="0026349F"/>
    <w:rsid w:val="00264AFB"/>
    <w:rsid w:val="00265929"/>
    <w:rsid w:val="00265BC0"/>
    <w:rsid w:val="00266489"/>
    <w:rsid w:val="00266D4B"/>
    <w:rsid w:val="00267216"/>
    <w:rsid w:val="00270C51"/>
    <w:rsid w:val="002717FF"/>
    <w:rsid w:val="00271D9A"/>
    <w:rsid w:val="00271EEC"/>
    <w:rsid w:val="002729D3"/>
    <w:rsid w:val="0027318A"/>
    <w:rsid w:val="002740F7"/>
    <w:rsid w:val="00274600"/>
    <w:rsid w:val="00274811"/>
    <w:rsid w:val="0027522A"/>
    <w:rsid w:val="002755C0"/>
    <w:rsid w:val="00276E44"/>
    <w:rsid w:val="00276EF3"/>
    <w:rsid w:val="0027736F"/>
    <w:rsid w:val="00277411"/>
    <w:rsid w:val="0027778E"/>
    <w:rsid w:val="002779DF"/>
    <w:rsid w:val="00280DC1"/>
    <w:rsid w:val="00280EDB"/>
    <w:rsid w:val="002817FB"/>
    <w:rsid w:val="00282499"/>
    <w:rsid w:val="002825D7"/>
    <w:rsid w:val="00282B6F"/>
    <w:rsid w:val="00282C49"/>
    <w:rsid w:val="00282E13"/>
    <w:rsid w:val="00284166"/>
    <w:rsid w:val="0028441D"/>
    <w:rsid w:val="00284A34"/>
    <w:rsid w:val="00285800"/>
    <w:rsid w:val="002867B9"/>
    <w:rsid w:val="002869F0"/>
    <w:rsid w:val="002871DE"/>
    <w:rsid w:val="0028780A"/>
    <w:rsid w:val="002878A4"/>
    <w:rsid w:val="0029095F"/>
    <w:rsid w:val="00290995"/>
    <w:rsid w:val="002918BA"/>
    <w:rsid w:val="00291B41"/>
    <w:rsid w:val="002928FE"/>
    <w:rsid w:val="00292C47"/>
    <w:rsid w:val="00292E27"/>
    <w:rsid w:val="00293B82"/>
    <w:rsid w:val="00294BD9"/>
    <w:rsid w:val="00294BED"/>
    <w:rsid w:val="0029606D"/>
    <w:rsid w:val="00296827"/>
    <w:rsid w:val="00297B85"/>
    <w:rsid w:val="002A11D5"/>
    <w:rsid w:val="002A13DA"/>
    <w:rsid w:val="002A3184"/>
    <w:rsid w:val="002A326A"/>
    <w:rsid w:val="002A32A5"/>
    <w:rsid w:val="002A33CE"/>
    <w:rsid w:val="002A345C"/>
    <w:rsid w:val="002A34BF"/>
    <w:rsid w:val="002A351A"/>
    <w:rsid w:val="002A392D"/>
    <w:rsid w:val="002A3B01"/>
    <w:rsid w:val="002A4856"/>
    <w:rsid w:val="002A52F7"/>
    <w:rsid w:val="002A6298"/>
    <w:rsid w:val="002A6882"/>
    <w:rsid w:val="002A696B"/>
    <w:rsid w:val="002A7A6B"/>
    <w:rsid w:val="002B011C"/>
    <w:rsid w:val="002B0A76"/>
    <w:rsid w:val="002B1104"/>
    <w:rsid w:val="002B1336"/>
    <w:rsid w:val="002B2580"/>
    <w:rsid w:val="002B3456"/>
    <w:rsid w:val="002B410C"/>
    <w:rsid w:val="002B46EC"/>
    <w:rsid w:val="002B4FB6"/>
    <w:rsid w:val="002B5361"/>
    <w:rsid w:val="002B560B"/>
    <w:rsid w:val="002B676C"/>
    <w:rsid w:val="002B709F"/>
    <w:rsid w:val="002B726D"/>
    <w:rsid w:val="002B7587"/>
    <w:rsid w:val="002B79B4"/>
    <w:rsid w:val="002C19B5"/>
    <w:rsid w:val="002C1C66"/>
    <w:rsid w:val="002C2565"/>
    <w:rsid w:val="002C25D4"/>
    <w:rsid w:val="002C2DC2"/>
    <w:rsid w:val="002C3131"/>
    <w:rsid w:val="002C3565"/>
    <w:rsid w:val="002C3E2D"/>
    <w:rsid w:val="002C43A5"/>
    <w:rsid w:val="002C43E2"/>
    <w:rsid w:val="002C4EA3"/>
    <w:rsid w:val="002C6478"/>
    <w:rsid w:val="002C726A"/>
    <w:rsid w:val="002C7579"/>
    <w:rsid w:val="002C763B"/>
    <w:rsid w:val="002C76AD"/>
    <w:rsid w:val="002C7C50"/>
    <w:rsid w:val="002C7C6D"/>
    <w:rsid w:val="002D0D0B"/>
    <w:rsid w:val="002D2502"/>
    <w:rsid w:val="002D2733"/>
    <w:rsid w:val="002D2B08"/>
    <w:rsid w:val="002D3781"/>
    <w:rsid w:val="002D3933"/>
    <w:rsid w:val="002D39B7"/>
    <w:rsid w:val="002D7C4E"/>
    <w:rsid w:val="002E0D42"/>
    <w:rsid w:val="002E2692"/>
    <w:rsid w:val="002E2CC1"/>
    <w:rsid w:val="002E3D8E"/>
    <w:rsid w:val="002E4CC6"/>
    <w:rsid w:val="002E5381"/>
    <w:rsid w:val="002E5644"/>
    <w:rsid w:val="002E5881"/>
    <w:rsid w:val="002E5BFB"/>
    <w:rsid w:val="002E5E2C"/>
    <w:rsid w:val="002E6465"/>
    <w:rsid w:val="002E6744"/>
    <w:rsid w:val="002E676A"/>
    <w:rsid w:val="002E6C18"/>
    <w:rsid w:val="002E6FF8"/>
    <w:rsid w:val="002E702F"/>
    <w:rsid w:val="002E7094"/>
    <w:rsid w:val="002E7977"/>
    <w:rsid w:val="002E7A9E"/>
    <w:rsid w:val="002E7BD8"/>
    <w:rsid w:val="002E7E49"/>
    <w:rsid w:val="002F13E2"/>
    <w:rsid w:val="002F1D65"/>
    <w:rsid w:val="002F21E3"/>
    <w:rsid w:val="002F2952"/>
    <w:rsid w:val="002F412C"/>
    <w:rsid w:val="002F49ED"/>
    <w:rsid w:val="002F4F46"/>
    <w:rsid w:val="002F4FB8"/>
    <w:rsid w:val="002F5B4D"/>
    <w:rsid w:val="002F623D"/>
    <w:rsid w:val="002F7639"/>
    <w:rsid w:val="002F7A3D"/>
    <w:rsid w:val="0030083D"/>
    <w:rsid w:val="003039E4"/>
    <w:rsid w:val="00303A1B"/>
    <w:rsid w:val="00304102"/>
    <w:rsid w:val="00304FF6"/>
    <w:rsid w:val="00305AA0"/>
    <w:rsid w:val="00305B30"/>
    <w:rsid w:val="00305F61"/>
    <w:rsid w:val="0030769C"/>
    <w:rsid w:val="003102C8"/>
    <w:rsid w:val="00310A01"/>
    <w:rsid w:val="00311243"/>
    <w:rsid w:val="003126DF"/>
    <w:rsid w:val="003128EF"/>
    <w:rsid w:val="00313283"/>
    <w:rsid w:val="00313C41"/>
    <w:rsid w:val="003143D8"/>
    <w:rsid w:val="00315013"/>
    <w:rsid w:val="00315A2F"/>
    <w:rsid w:val="00315F6E"/>
    <w:rsid w:val="003167FA"/>
    <w:rsid w:val="00316A3A"/>
    <w:rsid w:val="00320AD0"/>
    <w:rsid w:val="00320F7D"/>
    <w:rsid w:val="0032199F"/>
    <w:rsid w:val="0032298C"/>
    <w:rsid w:val="0032309F"/>
    <w:rsid w:val="00323C91"/>
    <w:rsid w:val="00324502"/>
    <w:rsid w:val="003248B3"/>
    <w:rsid w:val="00324933"/>
    <w:rsid w:val="00325751"/>
    <w:rsid w:val="003259ED"/>
    <w:rsid w:val="003263CB"/>
    <w:rsid w:val="00327BD5"/>
    <w:rsid w:val="00327EEA"/>
    <w:rsid w:val="00332601"/>
    <w:rsid w:val="00335DD0"/>
    <w:rsid w:val="00336339"/>
    <w:rsid w:val="003366F9"/>
    <w:rsid w:val="00337477"/>
    <w:rsid w:val="003377E3"/>
    <w:rsid w:val="00340107"/>
    <w:rsid w:val="00340381"/>
    <w:rsid w:val="00340ADC"/>
    <w:rsid w:val="00340C2B"/>
    <w:rsid w:val="00341236"/>
    <w:rsid w:val="003412CA"/>
    <w:rsid w:val="0034141B"/>
    <w:rsid w:val="00341A68"/>
    <w:rsid w:val="00341B69"/>
    <w:rsid w:val="00341BAE"/>
    <w:rsid w:val="00341CF0"/>
    <w:rsid w:val="00341E7F"/>
    <w:rsid w:val="00341F11"/>
    <w:rsid w:val="003424B0"/>
    <w:rsid w:val="00342542"/>
    <w:rsid w:val="00342588"/>
    <w:rsid w:val="00342755"/>
    <w:rsid w:val="00342797"/>
    <w:rsid w:val="003427D6"/>
    <w:rsid w:val="00343477"/>
    <w:rsid w:val="00343D54"/>
    <w:rsid w:val="003459A0"/>
    <w:rsid w:val="00346850"/>
    <w:rsid w:val="00346D69"/>
    <w:rsid w:val="003474FC"/>
    <w:rsid w:val="0034780B"/>
    <w:rsid w:val="00347A8F"/>
    <w:rsid w:val="00350445"/>
    <w:rsid w:val="003506FD"/>
    <w:rsid w:val="003511D1"/>
    <w:rsid w:val="003513C3"/>
    <w:rsid w:val="003516F7"/>
    <w:rsid w:val="003526B8"/>
    <w:rsid w:val="00353122"/>
    <w:rsid w:val="00353D64"/>
    <w:rsid w:val="00354177"/>
    <w:rsid w:val="003548F8"/>
    <w:rsid w:val="00354AF8"/>
    <w:rsid w:val="0035654E"/>
    <w:rsid w:val="003576DF"/>
    <w:rsid w:val="00360C03"/>
    <w:rsid w:val="00360CD0"/>
    <w:rsid w:val="0036103A"/>
    <w:rsid w:val="003611C6"/>
    <w:rsid w:val="00361A70"/>
    <w:rsid w:val="0036230F"/>
    <w:rsid w:val="00362801"/>
    <w:rsid w:val="00362930"/>
    <w:rsid w:val="003630A6"/>
    <w:rsid w:val="00363D99"/>
    <w:rsid w:val="0036414A"/>
    <w:rsid w:val="00364ADF"/>
    <w:rsid w:val="003663A6"/>
    <w:rsid w:val="0036672A"/>
    <w:rsid w:val="00366C71"/>
    <w:rsid w:val="00367326"/>
    <w:rsid w:val="003678F0"/>
    <w:rsid w:val="0037001B"/>
    <w:rsid w:val="00370AE1"/>
    <w:rsid w:val="00370DE5"/>
    <w:rsid w:val="0037134A"/>
    <w:rsid w:val="003718C2"/>
    <w:rsid w:val="00372008"/>
    <w:rsid w:val="0037240C"/>
    <w:rsid w:val="0037318D"/>
    <w:rsid w:val="003740CC"/>
    <w:rsid w:val="00374964"/>
    <w:rsid w:val="00374C7D"/>
    <w:rsid w:val="0037590E"/>
    <w:rsid w:val="0037592B"/>
    <w:rsid w:val="00376DDD"/>
    <w:rsid w:val="00376EC2"/>
    <w:rsid w:val="00377757"/>
    <w:rsid w:val="00380078"/>
    <w:rsid w:val="0038027B"/>
    <w:rsid w:val="003811E5"/>
    <w:rsid w:val="00381476"/>
    <w:rsid w:val="00381939"/>
    <w:rsid w:val="00381CD5"/>
    <w:rsid w:val="00382954"/>
    <w:rsid w:val="00382AD6"/>
    <w:rsid w:val="00382C16"/>
    <w:rsid w:val="00382F26"/>
    <w:rsid w:val="00383EB0"/>
    <w:rsid w:val="00384626"/>
    <w:rsid w:val="00384A4A"/>
    <w:rsid w:val="003858EF"/>
    <w:rsid w:val="00386F02"/>
    <w:rsid w:val="00387259"/>
    <w:rsid w:val="00390092"/>
    <w:rsid w:val="00390106"/>
    <w:rsid w:val="00390A70"/>
    <w:rsid w:val="0039143D"/>
    <w:rsid w:val="00391DF1"/>
    <w:rsid w:val="00392CF0"/>
    <w:rsid w:val="00392F33"/>
    <w:rsid w:val="00393706"/>
    <w:rsid w:val="00394340"/>
    <w:rsid w:val="00396A84"/>
    <w:rsid w:val="00396B7D"/>
    <w:rsid w:val="0039729A"/>
    <w:rsid w:val="003976A2"/>
    <w:rsid w:val="003977FE"/>
    <w:rsid w:val="00397A68"/>
    <w:rsid w:val="00397D21"/>
    <w:rsid w:val="00397DC3"/>
    <w:rsid w:val="003A02CD"/>
    <w:rsid w:val="003A0EA3"/>
    <w:rsid w:val="003A1384"/>
    <w:rsid w:val="003A21F8"/>
    <w:rsid w:val="003A2D84"/>
    <w:rsid w:val="003A3189"/>
    <w:rsid w:val="003A4ACD"/>
    <w:rsid w:val="003A5836"/>
    <w:rsid w:val="003A6237"/>
    <w:rsid w:val="003A6AA5"/>
    <w:rsid w:val="003A7163"/>
    <w:rsid w:val="003B01EF"/>
    <w:rsid w:val="003B226A"/>
    <w:rsid w:val="003B49DD"/>
    <w:rsid w:val="003B4C9C"/>
    <w:rsid w:val="003B4DBA"/>
    <w:rsid w:val="003B5823"/>
    <w:rsid w:val="003B6319"/>
    <w:rsid w:val="003C0420"/>
    <w:rsid w:val="003C0792"/>
    <w:rsid w:val="003C1075"/>
    <w:rsid w:val="003C1306"/>
    <w:rsid w:val="003C1D1C"/>
    <w:rsid w:val="003C2337"/>
    <w:rsid w:val="003C269B"/>
    <w:rsid w:val="003C2880"/>
    <w:rsid w:val="003C325F"/>
    <w:rsid w:val="003C4B47"/>
    <w:rsid w:val="003C4CE7"/>
    <w:rsid w:val="003C5D72"/>
    <w:rsid w:val="003C6958"/>
    <w:rsid w:val="003C6C67"/>
    <w:rsid w:val="003C7438"/>
    <w:rsid w:val="003C7AFF"/>
    <w:rsid w:val="003C7C1E"/>
    <w:rsid w:val="003D042A"/>
    <w:rsid w:val="003D0EF7"/>
    <w:rsid w:val="003D10A1"/>
    <w:rsid w:val="003D16DE"/>
    <w:rsid w:val="003D215D"/>
    <w:rsid w:val="003D2240"/>
    <w:rsid w:val="003D260E"/>
    <w:rsid w:val="003D279E"/>
    <w:rsid w:val="003D330C"/>
    <w:rsid w:val="003D383B"/>
    <w:rsid w:val="003D4EF8"/>
    <w:rsid w:val="003D5DA3"/>
    <w:rsid w:val="003D638E"/>
    <w:rsid w:val="003D743B"/>
    <w:rsid w:val="003D7D33"/>
    <w:rsid w:val="003E0882"/>
    <w:rsid w:val="003E08F3"/>
    <w:rsid w:val="003E17BE"/>
    <w:rsid w:val="003E264B"/>
    <w:rsid w:val="003E2B3B"/>
    <w:rsid w:val="003E2C67"/>
    <w:rsid w:val="003E38FA"/>
    <w:rsid w:val="003E3DC9"/>
    <w:rsid w:val="003E3F73"/>
    <w:rsid w:val="003E43AD"/>
    <w:rsid w:val="003E5ADF"/>
    <w:rsid w:val="003E5CE7"/>
    <w:rsid w:val="003E662B"/>
    <w:rsid w:val="003E6A9F"/>
    <w:rsid w:val="003E6EF8"/>
    <w:rsid w:val="003E707D"/>
    <w:rsid w:val="003E73B8"/>
    <w:rsid w:val="003F0B71"/>
    <w:rsid w:val="003F0D65"/>
    <w:rsid w:val="003F11DF"/>
    <w:rsid w:val="003F1D31"/>
    <w:rsid w:val="003F3098"/>
    <w:rsid w:val="003F3697"/>
    <w:rsid w:val="003F3E07"/>
    <w:rsid w:val="003F4E3B"/>
    <w:rsid w:val="003F509A"/>
    <w:rsid w:val="003F5553"/>
    <w:rsid w:val="003F7A39"/>
    <w:rsid w:val="003F7F28"/>
    <w:rsid w:val="00400336"/>
    <w:rsid w:val="00400713"/>
    <w:rsid w:val="004007BC"/>
    <w:rsid w:val="004012F0"/>
    <w:rsid w:val="0040193C"/>
    <w:rsid w:val="0040216A"/>
    <w:rsid w:val="00402207"/>
    <w:rsid w:val="004028B4"/>
    <w:rsid w:val="00402B77"/>
    <w:rsid w:val="00402FA5"/>
    <w:rsid w:val="00403511"/>
    <w:rsid w:val="0040386E"/>
    <w:rsid w:val="004038CC"/>
    <w:rsid w:val="00405970"/>
    <w:rsid w:val="00405E5F"/>
    <w:rsid w:val="00405E87"/>
    <w:rsid w:val="00406E9A"/>
    <w:rsid w:val="00406FF1"/>
    <w:rsid w:val="00407B89"/>
    <w:rsid w:val="004100A1"/>
    <w:rsid w:val="0041053E"/>
    <w:rsid w:val="00410A58"/>
    <w:rsid w:val="00411867"/>
    <w:rsid w:val="00411FCD"/>
    <w:rsid w:val="0041219F"/>
    <w:rsid w:val="00412931"/>
    <w:rsid w:val="00412DD5"/>
    <w:rsid w:val="00413999"/>
    <w:rsid w:val="0041413F"/>
    <w:rsid w:val="0041505A"/>
    <w:rsid w:val="00416003"/>
    <w:rsid w:val="004164F5"/>
    <w:rsid w:val="00416C28"/>
    <w:rsid w:val="00416DFE"/>
    <w:rsid w:val="00417FCA"/>
    <w:rsid w:val="0042012B"/>
    <w:rsid w:val="00420470"/>
    <w:rsid w:val="00420D30"/>
    <w:rsid w:val="004220D7"/>
    <w:rsid w:val="004226ED"/>
    <w:rsid w:val="00422A6D"/>
    <w:rsid w:val="004231B5"/>
    <w:rsid w:val="0042465A"/>
    <w:rsid w:val="00424958"/>
    <w:rsid w:val="004252A7"/>
    <w:rsid w:val="004254FD"/>
    <w:rsid w:val="00425F60"/>
    <w:rsid w:val="00426065"/>
    <w:rsid w:val="0042638F"/>
    <w:rsid w:val="00426A11"/>
    <w:rsid w:val="0043196A"/>
    <w:rsid w:val="004319FE"/>
    <w:rsid w:val="00431A77"/>
    <w:rsid w:val="00432246"/>
    <w:rsid w:val="00432F04"/>
    <w:rsid w:val="0043351E"/>
    <w:rsid w:val="0043426D"/>
    <w:rsid w:val="0043486C"/>
    <w:rsid w:val="00434D96"/>
    <w:rsid w:val="004353E0"/>
    <w:rsid w:val="00435A3E"/>
    <w:rsid w:val="00437042"/>
    <w:rsid w:val="004372D2"/>
    <w:rsid w:val="00437902"/>
    <w:rsid w:val="00440040"/>
    <w:rsid w:val="0044043F"/>
    <w:rsid w:val="00440810"/>
    <w:rsid w:val="00440851"/>
    <w:rsid w:val="00441121"/>
    <w:rsid w:val="0044114E"/>
    <w:rsid w:val="00441CDF"/>
    <w:rsid w:val="00442D8D"/>
    <w:rsid w:val="00443B26"/>
    <w:rsid w:val="00443E54"/>
    <w:rsid w:val="004441F4"/>
    <w:rsid w:val="00444B0E"/>
    <w:rsid w:val="0044686C"/>
    <w:rsid w:val="00446A0B"/>
    <w:rsid w:val="00446BF2"/>
    <w:rsid w:val="00446DAC"/>
    <w:rsid w:val="0044712D"/>
    <w:rsid w:val="0044798F"/>
    <w:rsid w:val="00447BAC"/>
    <w:rsid w:val="004500A1"/>
    <w:rsid w:val="0045144E"/>
    <w:rsid w:val="004519BB"/>
    <w:rsid w:val="00452437"/>
    <w:rsid w:val="004526CC"/>
    <w:rsid w:val="004528BB"/>
    <w:rsid w:val="00453A2C"/>
    <w:rsid w:val="004555DA"/>
    <w:rsid w:val="004561A1"/>
    <w:rsid w:val="0045621B"/>
    <w:rsid w:val="004563DA"/>
    <w:rsid w:val="00456D89"/>
    <w:rsid w:val="004571B1"/>
    <w:rsid w:val="004574C7"/>
    <w:rsid w:val="00457C3D"/>
    <w:rsid w:val="00457F32"/>
    <w:rsid w:val="0046092B"/>
    <w:rsid w:val="004612BE"/>
    <w:rsid w:val="0046135B"/>
    <w:rsid w:val="00461412"/>
    <w:rsid w:val="00461858"/>
    <w:rsid w:val="00461A6E"/>
    <w:rsid w:val="00461D61"/>
    <w:rsid w:val="00462702"/>
    <w:rsid w:val="00462CA3"/>
    <w:rsid w:val="00462D1E"/>
    <w:rsid w:val="00463732"/>
    <w:rsid w:val="00463858"/>
    <w:rsid w:val="00463D37"/>
    <w:rsid w:val="00463E8C"/>
    <w:rsid w:val="004646BE"/>
    <w:rsid w:val="004657D1"/>
    <w:rsid w:val="00465DD6"/>
    <w:rsid w:val="00465FB4"/>
    <w:rsid w:val="00466744"/>
    <w:rsid w:val="00466A30"/>
    <w:rsid w:val="0046709A"/>
    <w:rsid w:val="00467386"/>
    <w:rsid w:val="00467E02"/>
    <w:rsid w:val="004702AA"/>
    <w:rsid w:val="00470F04"/>
    <w:rsid w:val="00471154"/>
    <w:rsid w:val="004715D8"/>
    <w:rsid w:val="00471E17"/>
    <w:rsid w:val="0047273D"/>
    <w:rsid w:val="004729EC"/>
    <w:rsid w:val="00472B90"/>
    <w:rsid w:val="00472D22"/>
    <w:rsid w:val="004735BC"/>
    <w:rsid w:val="00475CFB"/>
    <w:rsid w:val="00475EA9"/>
    <w:rsid w:val="004766F5"/>
    <w:rsid w:val="00480145"/>
    <w:rsid w:val="0048095F"/>
    <w:rsid w:val="004811CD"/>
    <w:rsid w:val="00481DC4"/>
    <w:rsid w:val="0048298D"/>
    <w:rsid w:val="00482D2F"/>
    <w:rsid w:val="00484D79"/>
    <w:rsid w:val="00485C99"/>
    <w:rsid w:val="004870C2"/>
    <w:rsid w:val="00487588"/>
    <w:rsid w:val="00487689"/>
    <w:rsid w:val="00490939"/>
    <w:rsid w:val="00490C94"/>
    <w:rsid w:val="0049104A"/>
    <w:rsid w:val="0049151E"/>
    <w:rsid w:val="00491610"/>
    <w:rsid w:val="0049183C"/>
    <w:rsid w:val="004920B1"/>
    <w:rsid w:val="0049264A"/>
    <w:rsid w:val="004929D8"/>
    <w:rsid w:val="00492B3B"/>
    <w:rsid w:val="00492EFC"/>
    <w:rsid w:val="00493BF2"/>
    <w:rsid w:val="00494A5E"/>
    <w:rsid w:val="00495BFF"/>
    <w:rsid w:val="004965C2"/>
    <w:rsid w:val="0049675F"/>
    <w:rsid w:val="00496BA8"/>
    <w:rsid w:val="00497351"/>
    <w:rsid w:val="004A01D7"/>
    <w:rsid w:val="004A02FC"/>
    <w:rsid w:val="004A0302"/>
    <w:rsid w:val="004A1A21"/>
    <w:rsid w:val="004A1ABC"/>
    <w:rsid w:val="004A1CA7"/>
    <w:rsid w:val="004A233A"/>
    <w:rsid w:val="004A251D"/>
    <w:rsid w:val="004A294A"/>
    <w:rsid w:val="004A2976"/>
    <w:rsid w:val="004A2C9F"/>
    <w:rsid w:val="004A37C8"/>
    <w:rsid w:val="004A37F7"/>
    <w:rsid w:val="004A412A"/>
    <w:rsid w:val="004A42C9"/>
    <w:rsid w:val="004A43F6"/>
    <w:rsid w:val="004A51D5"/>
    <w:rsid w:val="004A5C09"/>
    <w:rsid w:val="004A6942"/>
    <w:rsid w:val="004A7B7E"/>
    <w:rsid w:val="004B0FC2"/>
    <w:rsid w:val="004B1BA1"/>
    <w:rsid w:val="004B1C26"/>
    <w:rsid w:val="004B1FBC"/>
    <w:rsid w:val="004B3D5C"/>
    <w:rsid w:val="004B3EF5"/>
    <w:rsid w:val="004B3F98"/>
    <w:rsid w:val="004B450F"/>
    <w:rsid w:val="004B5181"/>
    <w:rsid w:val="004B75EC"/>
    <w:rsid w:val="004B771A"/>
    <w:rsid w:val="004C00F0"/>
    <w:rsid w:val="004C093B"/>
    <w:rsid w:val="004C1898"/>
    <w:rsid w:val="004C261D"/>
    <w:rsid w:val="004C34BF"/>
    <w:rsid w:val="004C36A6"/>
    <w:rsid w:val="004C3F86"/>
    <w:rsid w:val="004C44C4"/>
    <w:rsid w:val="004C6CBA"/>
    <w:rsid w:val="004C6F4D"/>
    <w:rsid w:val="004C7CAB"/>
    <w:rsid w:val="004D00E0"/>
    <w:rsid w:val="004D048B"/>
    <w:rsid w:val="004D0531"/>
    <w:rsid w:val="004D0717"/>
    <w:rsid w:val="004D0D90"/>
    <w:rsid w:val="004D15A1"/>
    <w:rsid w:val="004D17B9"/>
    <w:rsid w:val="004D1A80"/>
    <w:rsid w:val="004D1D5C"/>
    <w:rsid w:val="004D22D7"/>
    <w:rsid w:val="004D416B"/>
    <w:rsid w:val="004D45EA"/>
    <w:rsid w:val="004D491E"/>
    <w:rsid w:val="004D524A"/>
    <w:rsid w:val="004D53C1"/>
    <w:rsid w:val="004D55F4"/>
    <w:rsid w:val="004D5CE1"/>
    <w:rsid w:val="004D6052"/>
    <w:rsid w:val="004D6B8C"/>
    <w:rsid w:val="004D6C15"/>
    <w:rsid w:val="004D6C25"/>
    <w:rsid w:val="004E0317"/>
    <w:rsid w:val="004E09B0"/>
    <w:rsid w:val="004E0ADB"/>
    <w:rsid w:val="004E15EC"/>
    <w:rsid w:val="004E173F"/>
    <w:rsid w:val="004E17E8"/>
    <w:rsid w:val="004E2A1A"/>
    <w:rsid w:val="004E2B7E"/>
    <w:rsid w:val="004E35A1"/>
    <w:rsid w:val="004E3D53"/>
    <w:rsid w:val="004E42E0"/>
    <w:rsid w:val="004E4389"/>
    <w:rsid w:val="004E4835"/>
    <w:rsid w:val="004E4917"/>
    <w:rsid w:val="004E54BB"/>
    <w:rsid w:val="004E5AC0"/>
    <w:rsid w:val="004E68A5"/>
    <w:rsid w:val="004E7E41"/>
    <w:rsid w:val="004F037F"/>
    <w:rsid w:val="004F107C"/>
    <w:rsid w:val="004F12DC"/>
    <w:rsid w:val="004F12E1"/>
    <w:rsid w:val="004F13E7"/>
    <w:rsid w:val="004F14BC"/>
    <w:rsid w:val="004F1968"/>
    <w:rsid w:val="004F21C9"/>
    <w:rsid w:val="004F29D7"/>
    <w:rsid w:val="004F29F3"/>
    <w:rsid w:val="004F2A30"/>
    <w:rsid w:val="004F3095"/>
    <w:rsid w:val="004F317F"/>
    <w:rsid w:val="004F3240"/>
    <w:rsid w:val="004F3C19"/>
    <w:rsid w:val="004F3D20"/>
    <w:rsid w:val="004F4087"/>
    <w:rsid w:val="004F47D5"/>
    <w:rsid w:val="004F4E19"/>
    <w:rsid w:val="004F52EB"/>
    <w:rsid w:val="004F777B"/>
    <w:rsid w:val="004F7B28"/>
    <w:rsid w:val="004F7D3A"/>
    <w:rsid w:val="00500397"/>
    <w:rsid w:val="00500731"/>
    <w:rsid w:val="00500EE1"/>
    <w:rsid w:val="00501360"/>
    <w:rsid w:val="005014B7"/>
    <w:rsid w:val="00501870"/>
    <w:rsid w:val="00501ADE"/>
    <w:rsid w:val="00501D3B"/>
    <w:rsid w:val="00501F4D"/>
    <w:rsid w:val="0050204F"/>
    <w:rsid w:val="00502FF6"/>
    <w:rsid w:val="0050333D"/>
    <w:rsid w:val="00503D13"/>
    <w:rsid w:val="00503E77"/>
    <w:rsid w:val="00504313"/>
    <w:rsid w:val="005044D5"/>
    <w:rsid w:val="005050E6"/>
    <w:rsid w:val="005055FA"/>
    <w:rsid w:val="005063FC"/>
    <w:rsid w:val="00506A10"/>
    <w:rsid w:val="00506D25"/>
    <w:rsid w:val="00507F13"/>
    <w:rsid w:val="005111AA"/>
    <w:rsid w:val="00511ACF"/>
    <w:rsid w:val="00511ED2"/>
    <w:rsid w:val="00512732"/>
    <w:rsid w:val="00512C3F"/>
    <w:rsid w:val="00512D2B"/>
    <w:rsid w:val="00512D83"/>
    <w:rsid w:val="00512D8D"/>
    <w:rsid w:val="00512DE0"/>
    <w:rsid w:val="005136B2"/>
    <w:rsid w:val="00513870"/>
    <w:rsid w:val="00513D04"/>
    <w:rsid w:val="00513E11"/>
    <w:rsid w:val="00513E52"/>
    <w:rsid w:val="00513FE0"/>
    <w:rsid w:val="005140F3"/>
    <w:rsid w:val="0051459A"/>
    <w:rsid w:val="00514792"/>
    <w:rsid w:val="00515165"/>
    <w:rsid w:val="0051535F"/>
    <w:rsid w:val="005163B6"/>
    <w:rsid w:val="00516992"/>
    <w:rsid w:val="00516A23"/>
    <w:rsid w:val="00516DAE"/>
    <w:rsid w:val="00516DD2"/>
    <w:rsid w:val="00516E86"/>
    <w:rsid w:val="00517301"/>
    <w:rsid w:val="00520845"/>
    <w:rsid w:val="00520F42"/>
    <w:rsid w:val="0052162C"/>
    <w:rsid w:val="00521772"/>
    <w:rsid w:val="0052207E"/>
    <w:rsid w:val="00522619"/>
    <w:rsid w:val="00522C7B"/>
    <w:rsid w:val="00522D61"/>
    <w:rsid w:val="00522F4D"/>
    <w:rsid w:val="0052368E"/>
    <w:rsid w:val="00523858"/>
    <w:rsid w:val="00523958"/>
    <w:rsid w:val="00524094"/>
    <w:rsid w:val="0052416E"/>
    <w:rsid w:val="00524D06"/>
    <w:rsid w:val="0052623C"/>
    <w:rsid w:val="00527279"/>
    <w:rsid w:val="00527B9F"/>
    <w:rsid w:val="00530022"/>
    <w:rsid w:val="00530912"/>
    <w:rsid w:val="00530DFF"/>
    <w:rsid w:val="0053182E"/>
    <w:rsid w:val="00532316"/>
    <w:rsid w:val="00532526"/>
    <w:rsid w:val="0053254C"/>
    <w:rsid w:val="00532CFC"/>
    <w:rsid w:val="00533500"/>
    <w:rsid w:val="00533F37"/>
    <w:rsid w:val="00534EB9"/>
    <w:rsid w:val="00535A87"/>
    <w:rsid w:val="00535AD0"/>
    <w:rsid w:val="00535EDB"/>
    <w:rsid w:val="0053600A"/>
    <w:rsid w:val="00536015"/>
    <w:rsid w:val="005371D6"/>
    <w:rsid w:val="005376F1"/>
    <w:rsid w:val="00540081"/>
    <w:rsid w:val="00540255"/>
    <w:rsid w:val="005402CB"/>
    <w:rsid w:val="0054181B"/>
    <w:rsid w:val="00541F7C"/>
    <w:rsid w:val="0054208B"/>
    <w:rsid w:val="005424DB"/>
    <w:rsid w:val="005433D3"/>
    <w:rsid w:val="00543ABB"/>
    <w:rsid w:val="0054449A"/>
    <w:rsid w:val="005445FB"/>
    <w:rsid w:val="0054550B"/>
    <w:rsid w:val="005465C0"/>
    <w:rsid w:val="005466E8"/>
    <w:rsid w:val="00546FBD"/>
    <w:rsid w:val="005474CF"/>
    <w:rsid w:val="00550369"/>
    <w:rsid w:val="005507B5"/>
    <w:rsid w:val="005519A2"/>
    <w:rsid w:val="00552001"/>
    <w:rsid w:val="0055240D"/>
    <w:rsid w:val="00552B96"/>
    <w:rsid w:val="00552DAF"/>
    <w:rsid w:val="00553124"/>
    <w:rsid w:val="00553389"/>
    <w:rsid w:val="0055381E"/>
    <w:rsid w:val="00554102"/>
    <w:rsid w:val="0055413A"/>
    <w:rsid w:val="00556305"/>
    <w:rsid w:val="00556820"/>
    <w:rsid w:val="00557851"/>
    <w:rsid w:val="00560C5C"/>
    <w:rsid w:val="00561DE5"/>
    <w:rsid w:val="00561E12"/>
    <w:rsid w:val="00562868"/>
    <w:rsid w:val="005630FF"/>
    <w:rsid w:val="005639FA"/>
    <w:rsid w:val="00565CE4"/>
    <w:rsid w:val="0056653C"/>
    <w:rsid w:val="005671B0"/>
    <w:rsid w:val="005672E5"/>
    <w:rsid w:val="00567357"/>
    <w:rsid w:val="005700AE"/>
    <w:rsid w:val="005707DF"/>
    <w:rsid w:val="005707E9"/>
    <w:rsid w:val="005715E0"/>
    <w:rsid w:val="00571A00"/>
    <w:rsid w:val="00572309"/>
    <w:rsid w:val="00572EAB"/>
    <w:rsid w:val="0057371C"/>
    <w:rsid w:val="0057372C"/>
    <w:rsid w:val="00573AD7"/>
    <w:rsid w:val="00573ED3"/>
    <w:rsid w:val="005746E9"/>
    <w:rsid w:val="005755E3"/>
    <w:rsid w:val="00575E5C"/>
    <w:rsid w:val="005766B0"/>
    <w:rsid w:val="0057678C"/>
    <w:rsid w:val="00580CB9"/>
    <w:rsid w:val="0058127A"/>
    <w:rsid w:val="005814F3"/>
    <w:rsid w:val="0058221D"/>
    <w:rsid w:val="0058277C"/>
    <w:rsid w:val="00582F31"/>
    <w:rsid w:val="005835B8"/>
    <w:rsid w:val="00583B11"/>
    <w:rsid w:val="00583F19"/>
    <w:rsid w:val="005843C4"/>
    <w:rsid w:val="00585288"/>
    <w:rsid w:val="00585988"/>
    <w:rsid w:val="00586FD8"/>
    <w:rsid w:val="00587ACE"/>
    <w:rsid w:val="00590C06"/>
    <w:rsid w:val="00591C58"/>
    <w:rsid w:val="00591E22"/>
    <w:rsid w:val="0059231F"/>
    <w:rsid w:val="00592330"/>
    <w:rsid w:val="0059274B"/>
    <w:rsid w:val="00592E6E"/>
    <w:rsid w:val="00592FEB"/>
    <w:rsid w:val="00595285"/>
    <w:rsid w:val="005957A3"/>
    <w:rsid w:val="0059604D"/>
    <w:rsid w:val="0059620A"/>
    <w:rsid w:val="00596526"/>
    <w:rsid w:val="0059678B"/>
    <w:rsid w:val="00596F6D"/>
    <w:rsid w:val="00597E4E"/>
    <w:rsid w:val="005A04E8"/>
    <w:rsid w:val="005A168D"/>
    <w:rsid w:val="005A191D"/>
    <w:rsid w:val="005A1B3B"/>
    <w:rsid w:val="005A1EDE"/>
    <w:rsid w:val="005A1FBC"/>
    <w:rsid w:val="005A337E"/>
    <w:rsid w:val="005A37F6"/>
    <w:rsid w:val="005A395D"/>
    <w:rsid w:val="005A3A8C"/>
    <w:rsid w:val="005A55B5"/>
    <w:rsid w:val="005A6322"/>
    <w:rsid w:val="005A79C1"/>
    <w:rsid w:val="005A7B29"/>
    <w:rsid w:val="005A7F46"/>
    <w:rsid w:val="005B0122"/>
    <w:rsid w:val="005B0541"/>
    <w:rsid w:val="005B05CB"/>
    <w:rsid w:val="005B1B9A"/>
    <w:rsid w:val="005B1DB3"/>
    <w:rsid w:val="005B1E92"/>
    <w:rsid w:val="005B45CE"/>
    <w:rsid w:val="005B4AEE"/>
    <w:rsid w:val="005B52FD"/>
    <w:rsid w:val="005B5B69"/>
    <w:rsid w:val="005B7CE3"/>
    <w:rsid w:val="005C0E6F"/>
    <w:rsid w:val="005C1C4B"/>
    <w:rsid w:val="005C1C9E"/>
    <w:rsid w:val="005C2F1D"/>
    <w:rsid w:val="005C59FD"/>
    <w:rsid w:val="005C6227"/>
    <w:rsid w:val="005C74D8"/>
    <w:rsid w:val="005C7B04"/>
    <w:rsid w:val="005D01D4"/>
    <w:rsid w:val="005D059A"/>
    <w:rsid w:val="005D30CD"/>
    <w:rsid w:val="005D4410"/>
    <w:rsid w:val="005D5EF1"/>
    <w:rsid w:val="005D5F2E"/>
    <w:rsid w:val="005D7627"/>
    <w:rsid w:val="005D77E3"/>
    <w:rsid w:val="005D7B43"/>
    <w:rsid w:val="005E1AAB"/>
    <w:rsid w:val="005E1C19"/>
    <w:rsid w:val="005E452F"/>
    <w:rsid w:val="005E50B4"/>
    <w:rsid w:val="005E50F6"/>
    <w:rsid w:val="005E5860"/>
    <w:rsid w:val="005E5DFF"/>
    <w:rsid w:val="005E60F4"/>
    <w:rsid w:val="005E6585"/>
    <w:rsid w:val="005E7370"/>
    <w:rsid w:val="005E7B41"/>
    <w:rsid w:val="005F0482"/>
    <w:rsid w:val="005F0D36"/>
    <w:rsid w:val="005F13C6"/>
    <w:rsid w:val="005F1520"/>
    <w:rsid w:val="005F163B"/>
    <w:rsid w:val="005F26BE"/>
    <w:rsid w:val="005F286F"/>
    <w:rsid w:val="005F2915"/>
    <w:rsid w:val="005F2EBD"/>
    <w:rsid w:val="005F3DB7"/>
    <w:rsid w:val="005F43BD"/>
    <w:rsid w:val="005F4616"/>
    <w:rsid w:val="005F4C7C"/>
    <w:rsid w:val="005F5147"/>
    <w:rsid w:val="005F5196"/>
    <w:rsid w:val="005F548B"/>
    <w:rsid w:val="005F6E57"/>
    <w:rsid w:val="005F75ED"/>
    <w:rsid w:val="005F7628"/>
    <w:rsid w:val="005F7D92"/>
    <w:rsid w:val="005F7F5A"/>
    <w:rsid w:val="00600919"/>
    <w:rsid w:val="00600EA8"/>
    <w:rsid w:val="00602271"/>
    <w:rsid w:val="006030B2"/>
    <w:rsid w:val="0060313D"/>
    <w:rsid w:val="006048A5"/>
    <w:rsid w:val="00604D13"/>
    <w:rsid w:val="00604E80"/>
    <w:rsid w:val="00605073"/>
    <w:rsid w:val="006057DD"/>
    <w:rsid w:val="00606024"/>
    <w:rsid w:val="0060625D"/>
    <w:rsid w:val="006063F8"/>
    <w:rsid w:val="00607D57"/>
    <w:rsid w:val="00610502"/>
    <w:rsid w:val="00611739"/>
    <w:rsid w:val="006117DD"/>
    <w:rsid w:val="00611A3A"/>
    <w:rsid w:val="00611FE1"/>
    <w:rsid w:val="00612D7D"/>
    <w:rsid w:val="00612FA0"/>
    <w:rsid w:val="0061395A"/>
    <w:rsid w:val="006139DA"/>
    <w:rsid w:val="006139F7"/>
    <w:rsid w:val="00613F6A"/>
    <w:rsid w:val="00614E4C"/>
    <w:rsid w:val="006151B0"/>
    <w:rsid w:val="006153AB"/>
    <w:rsid w:val="0061555E"/>
    <w:rsid w:val="00616101"/>
    <w:rsid w:val="006166BB"/>
    <w:rsid w:val="00617804"/>
    <w:rsid w:val="00620B0E"/>
    <w:rsid w:val="00620DB3"/>
    <w:rsid w:val="00621572"/>
    <w:rsid w:val="0062224A"/>
    <w:rsid w:val="0062238C"/>
    <w:rsid w:val="00622573"/>
    <w:rsid w:val="006231D1"/>
    <w:rsid w:val="00623327"/>
    <w:rsid w:val="0062396C"/>
    <w:rsid w:val="00623C8B"/>
    <w:rsid w:val="00623CCD"/>
    <w:rsid w:val="006240DB"/>
    <w:rsid w:val="00624AEA"/>
    <w:rsid w:val="00625CCF"/>
    <w:rsid w:val="00626309"/>
    <w:rsid w:val="00626324"/>
    <w:rsid w:val="006266D8"/>
    <w:rsid w:val="00626CE9"/>
    <w:rsid w:val="00626DE7"/>
    <w:rsid w:val="006271F6"/>
    <w:rsid w:val="006279CA"/>
    <w:rsid w:val="00627EA1"/>
    <w:rsid w:val="00630876"/>
    <w:rsid w:val="006312F5"/>
    <w:rsid w:val="00631E27"/>
    <w:rsid w:val="006323B7"/>
    <w:rsid w:val="00632C89"/>
    <w:rsid w:val="00632F18"/>
    <w:rsid w:val="00633064"/>
    <w:rsid w:val="006334EF"/>
    <w:rsid w:val="00634276"/>
    <w:rsid w:val="006343B5"/>
    <w:rsid w:val="006359AC"/>
    <w:rsid w:val="00636B30"/>
    <w:rsid w:val="00636CF5"/>
    <w:rsid w:val="006375F1"/>
    <w:rsid w:val="006416B0"/>
    <w:rsid w:val="00641D84"/>
    <w:rsid w:val="00642213"/>
    <w:rsid w:val="00642499"/>
    <w:rsid w:val="00642559"/>
    <w:rsid w:val="006430F4"/>
    <w:rsid w:val="00645474"/>
    <w:rsid w:val="00645A3C"/>
    <w:rsid w:val="00645DA0"/>
    <w:rsid w:val="00645EBB"/>
    <w:rsid w:val="00646310"/>
    <w:rsid w:val="006467A6"/>
    <w:rsid w:val="0064690D"/>
    <w:rsid w:val="0065229A"/>
    <w:rsid w:val="00652736"/>
    <w:rsid w:val="006529C8"/>
    <w:rsid w:val="00652BE2"/>
    <w:rsid w:val="006531B9"/>
    <w:rsid w:val="006538DC"/>
    <w:rsid w:val="00653927"/>
    <w:rsid w:val="00653E16"/>
    <w:rsid w:val="006546E0"/>
    <w:rsid w:val="00654937"/>
    <w:rsid w:val="00654DC9"/>
    <w:rsid w:val="00655158"/>
    <w:rsid w:val="0065606B"/>
    <w:rsid w:val="0065671B"/>
    <w:rsid w:val="00656743"/>
    <w:rsid w:val="00656840"/>
    <w:rsid w:val="00656B65"/>
    <w:rsid w:val="006574EA"/>
    <w:rsid w:val="00660160"/>
    <w:rsid w:val="00660B92"/>
    <w:rsid w:val="006629BE"/>
    <w:rsid w:val="00662AAD"/>
    <w:rsid w:val="00662FF4"/>
    <w:rsid w:val="00663532"/>
    <w:rsid w:val="006645FE"/>
    <w:rsid w:val="0066477E"/>
    <w:rsid w:val="00665228"/>
    <w:rsid w:val="00665C0C"/>
    <w:rsid w:val="006667B3"/>
    <w:rsid w:val="00666A39"/>
    <w:rsid w:val="00666C1D"/>
    <w:rsid w:val="00666E49"/>
    <w:rsid w:val="006674DF"/>
    <w:rsid w:val="00667943"/>
    <w:rsid w:val="00667DA4"/>
    <w:rsid w:val="00670117"/>
    <w:rsid w:val="00670366"/>
    <w:rsid w:val="006705DE"/>
    <w:rsid w:val="006708F0"/>
    <w:rsid w:val="00670D21"/>
    <w:rsid w:val="00670EC0"/>
    <w:rsid w:val="006716AE"/>
    <w:rsid w:val="00671CCD"/>
    <w:rsid w:val="0067237E"/>
    <w:rsid w:val="006730CF"/>
    <w:rsid w:val="006743C2"/>
    <w:rsid w:val="006743EF"/>
    <w:rsid w:val="0067459A"/>
    <w:rsid w:val="0067532F"/>
    <w:rsid w:val="00675AB8"/>
    <w:rsid w:val="00675F15"/>
    <w:rsid w:val="006763A6"/>
    <w:rsid w:val="00677209"/>
    <w:rsid w:val="00677963"/>
    <w:rsid w:val="006813E0"/>
    <w:rsid w:val="00682FE6"/>
    <w:rsid w:val="006830BA"/>
    <w:rsid w:val="00684B7D"/>
    <w:rsid w:val="0068500B"/>
    <w:rsid w:val="00685B47"/>
    <w:rsid w:val="00685C9F"/>
    <w:rsid w:val="00686714"/>
    <w:rsid w:val="006869AD"/>
    <w:rsid w:val="0068758B"/>
    <w:rsid w:val="0068792D"/>
    <w:rsid w:val="00687B70"/>
    <w:rsid w:val="00687DB8"/>
    <w:rsid w:val="0069010F"/>
    <w:rsid w:val="0069035A"/>
    <w:rsid w:val="00690AC6"/>
    <w:rsid w:val="0069113E"/>
    <w:rsid w:val="00691FE6"/>
    <w:rsid w:val="006929E8"/>
    <w:rsid w:val="00692FCB"/>
    <w:rsid w:val="00694058"/>
    <w:rsid w:val="006950A3"/>
    <w:rsid w:val="006953D4"/>
    <w:rsid w:val="0069663D"/>
    <w:rsid w:val="0069669F"/>
    <w:rsid w:val="006966FF"/>
    <w:rsid w:val="006A0301"/>
    <w:rsid w:val="006A0686"/>
    <w:rsid w:val="006A0A57"/>
    <w:rsid w:val="006A0FCE"/>
    <w:rsid w:val="006A1854"/>
    <w:rsid w:val="006A1971"/>
    <w:rsid w:val="006A2385"/>
    <w:rsid w:val="006A2D81"/>
    <w:rsid w:val="006A477B"/>
    <w:rsid w:val="006A511E"/>
    <w:rsid w:val="006A53FC"/>
    <w:rsid w:val="006A58CD"/>
    <w:rsid w:val="006A5FEA"/>
    <w:rsid w:val="006A6600"/>
    <w:rsid w:val="006A6C96"/>
    <w:rsid w:val="006A7A8C"/>
    <w:rsid w:val="006B045E"/>
    <w:rsid w:val="006B08D1"/>
    <w:rsid w:val="006B15E2"/>
    <w:rsid w:val="006B19E7"/>
    <w:rsid w:val="006B1B40"/>
    <w:rsid w:val="006B1C6A"/>
    <w:rsid w:val="006B224F"/>
    <w:rsid w:val="006B24B9"/>
    <w:rsid w:val="006B3085"/>
    <w:rsid w:val="006B356B"/>
    <w:rsid w:val="006B360E"/>
    <w:rsid w:val="006B41BB"/>
    <w:rsid w:val="006B4445"/>
    <w:rsid w:val="006B538F"/>
    <w:rsid w:val="006B59A8"/>
    <w:rsid w:val="006B5E43"/>
    <w:rsid w:val="006B5E51"/>
    <w:rsid w:val="006B60CB"/>
    <w:rsid w:val="006B6385"/>
    <w:rsid w:val="006B650E"/>
    <w:rsid w:val="006B68BF"/>
    <w:rsid w:val="006B6DF8"/>
    <w:rsid w:val="006B7271"/>
    <w:rsid w:val="006B79C3"/>
    <w:rsid w:val="006C0A0E"/>
    <w:rsid w:val="006C0ECF"/>
    <w:rsid w:val="006C17B7"/>
    <w:rsid w:val="006C1C1A"/>
    <w:rsid w:val="006C376C"/>
    <w:rsid w:val="006C3FDB"/>
    <w:rsid w:val="006C4C98"/>
    <w:rsid w:val="006C59A7"/>
    <w:rsid w:val="006C5A46"/>
    <w:rsid w:val="006C6CB5"/>
    <w:rsid w:val="006C754C"/>
    <w:rsid w:val="006C7EC1"/>
    <w:rsid w:val="006D0222"/>
    <w:rsid w:val="006D09A9"/>
    <w:rsid w:val="006D14BB"/>
    <w:rsid w:val="006D1835"/>
    <w:rsid w:val="006D1B96"/>
    <w:rsid w:val="006D23B3"/>
    <w:rsid w:val="006D3331"/>
    <w:rsid w:val="006D33E7"/>
    <w:rsid w:val="006D373B"/>
    <w:rsid w:val="006D3DDE"/>
    <w:rsid w:val="006D50A8"/>
    <w:rsid w:val="006D7D0A"/>
    <w:rsid w:val="006E05BF"/>
    <w:rsid w:val="006E188B"/>
    <w:rsid w:val="006E2814"/>
    <w:rsid w:val="006E3446"/>
    <w:rsid w:val="006E35CA"/>
    <w:rsid w:val="006E3952"/>
    <w:rsid w:val="006E3AE2"/>
    <w:rsid w:val="006E4C09"/>
    <w:rsid w:val="006E53BB"/>
    <w:rsid w:val="006F0649"/>
    <w:rsid w:val="006F0B0F"/>
    <w:rsid w:val="006F0B61"/>
    <w:rsid w:val="006F0E02"/>
    <w:rsid w:val="006F120A"/>
    <w:rsid w:val="006F1236"/>
    <w:rsid w:val="006F3384"/>
    <w:rsid w:val="006F3417"/>
    <w:rsid w:val="006F3AB9"/>
    <w:rsid w:val="006F451E"/>
    <w:rsid w:val="006F4A80"/>
    <w:rsid w:val="006F4C5A"/>
    <w:rsid w:val="006F4EB9"/>
    <w:rsid w:val="006F5069"/>
    <w:rsid w:val="006F53ED"/>
    <w:rsid w:val="006F6412"/>
    <w:rsid w:val="006F6C7A"/>
    <w:rsid w:val="006F7156"/>
    <w:rsid w:val="006F7164"/>
    <w:rsid w:val="006F7EA6"/>
    <w:rsid w:val="00701026"/>
    <w:rsid w:val="00701175"/>
    <w:rsid w:val="00701245"/>
    <w:rsid w:val="00701DE7"/>
    <w:rsid w:val="00702C01"/>
    <w:rsid w:val="00702C59"/>
    <w:rsid w:val="00702D65"/>
    <w:rsid w:val="00702FAE"/>
    <w:rsid w:val="0070387F"/>
    <w:rsid w:val="007041A8"/>
    <w:rsid w:val="00706213"/>
    <w:rsid w:val="007071A3"/>
    <w:rsid w:val="007072A2"/>
    <w:rsid w:val="00707C33"/>
    <w:rsid w:val="0071000A"/>
    <w:rsid w:val="00711517"/>
    <w:rsid w:val="007119C7"/>
    <w:rsid w:val="00711BF3"/>
    <w:rsid w:val="007123FE"/>
    <w:rsid w:val="00712F22"/>
    <w:rsid w:val="0071357A"/>
    <w:rsid w:val="00714A51"/>
    <w:rsid w:val="00714D70"/>
    <w:rsid w:val="007154EA"/>
    <w:rsid w:val="007158E1"/>
    <w:rsid w:val="00715F9D"/>
    <w:rsid w:val="00717091"/>
    <w:rsid w:val="00717520"/>
    <w:rsid w:val="00717E5B"/>
    <w:rsid w:val="007202E2"/>
    <w:rsid w:val="007205E8"/>
    <w:rsid w:val="007209B0"/>
    <w:rsid w:val="00720C52"/>
    <w:rsid w:val="00722028"/>
    <w:rsid w:val="0072278D"/>
    <w:rsid w:val="00723B69"/>
    <w:rsid w:val="0072437B"/>
    <w:rsid w:val="00725246"/>
    <w:rsid w:val="007255D8"/>
    <w:rsid w:val="0072591D"/>
    <w:rsid w:val="007268EC"/>
    <w:rsid w:val="0072725A"/>
    <w:rsid w:val="00732086"/>
    <w:rsid w:val="00733274"/>
    <w:rsid w:val="00734120"/>
    <w:rsid w:val="0073476C"/>
    <w:rsid w:val="00734A40"/>
    <w:rsid w:val="00734F67"/>
    <w:rsid w:val="00734FB2"/>
    <w:rsid w:val="00735A60"/>
    <w:rsid w:val="00735D0B"/>
    <w:rsid w:val="00735E9B"/>
    <w:rsid w:val="0073603E"/>
    <w:rsid w:val="00736E3C"/>
    <w:rsid w:val="00737A7F"/>
    <w:rsid w:val="00737D8F"/>
    <w:rsid w:val="00740990"/>
    <w:rsid w:val="00741216"/>
    <w:rsid w:val="00741FB1"/>
    <w:rsid w:val="0074289C"/>
    <w:rsid w:val="007432A9"/>
    <w:rsid w:val="00745573"/>
    <w:rsid w:val="0074628D"/>
    <w:rsid w:val="007467AA"/>
    <w:rsid w:val="007469E3"/>
    <w:rsid w:val="00747066"/>
    <w:rsid w:val="00747921"/>
    <w:rsid w:val="007500F1"/>
    <w:rsid w:val="007504C2"/>
    <w:rsid w:val="00750D1E"/>
    <w:rsid w:val="00751622"/>
    <w:rsid w:val="00751AA4"/>
    <w:rsid w:val="00753016"/>
    <w:rsid w:val="00753A18"/>
    <w:rsid w:val="00753ADF"/>
    <w:rsid w:val="00754547"/>
    <w:rsid w:val="00754950"/>
    <w:rsid w:val="007549F0"/>
    <w:rsid w:val="00755F76"/>
    <w:rsid w:val="00756E42"/>
    <w:rsid w:val="007572B4"/>
    <w:rsid w:val="0076088B"/>
    <w:rsid w:val="00760928"/>
    <w:rsid w:val="00760B55"/>
    <w:rsid w:val="00760DAA"/>
    <w:rsid w:val="00761CFC"/>
    <w:rsid w:val="007624E8"/>
    <w:rsid w:val="007625D2"/>
    <w:rsid w:val="007625FE"/>
    <w:rsid w:val="00763AE9"/>
    <w:rsid w:val="00764867"/>
    <w:rsid w:val="00764B1C"/>
    <w:rsid w:val="007651BD"/>
    <w:rsid w:val="0076530F"/>
    <w:rsid w:val="00766FE3"/>
    <w:rsid w:val="0076763B"/>
    <w:rsid w:val="00767884"/>
    <w:rsid w:val="007704D2"/>
    <w:rsid w:val="00770F42"/>
    <w:rsid w:val="00771DF7"/>
    <w:rsid w:val="00771EDE"/>
    <w:rsid w:val="00771EED"/>
    <w:rsid w:val="00772E0B"/>
    <w:rsid w:val="0077331A"/>
    <w:rsid w:val="007733CA"/>
    <w:rsid w:val="00773F2A"/>
    <w:rsid w:val="007752C3"/>
    <w:rsid w:val="00775780"/>
    <w:rsid w:val="00775950"/>
    <w:rsid w:val="00776156"/>
    <w:rsid w:val="00776281"/>
    <w:rsid w:val="00776B0B"/>
    <w:rsid w:val="007777B3"/>
    <w:rsid w:val="00777D92"/>
    <w:rsid w:val="00777DCB"/>
    <w:rsid w:val="00780F24"/>
    <w:rsid w:val="00781F57"/>
    <w:rsid w:val="007829F1"/>
    <w:rsid w:val="00782BF1"/>
    <w:rsid w:val="00782DB0"/>
    <w:rsid w:val="007846BD"/>
    <w:rsid w:val="00785B34"/>
    <w:rsid w:val="00785C18"/>
    <w:rsid w:val="00785EE7"/>
    <w:rsid w:val="0078659A"/>
    <w:rsid w:val="00786922"/>
    <w:rsid w:val="0079011C"/>
    <w:rsid w:val="00790302"/>
    <w:rsid w:val="00791110"/>
    <w:rsid w:val="0079167B"/>
    <w:rsid w:val="00791AF2"/>
    <w:rsid w:val="00791BF5"/>
    <w:rsid w:val="00791E70"/>
    <w:rsid w:val="0079229D"/>
    <w:rsid w:val="007927CC"/>
    <w:rsid w:val="007929D0"/>
    <w:rsid w:val="00792F4D"/>
    <w:rsid w:val="0079309A"/>
    <w:rsid w:val="0079331F"/>
    <w:rsid w:val="00793AC8"/>
    <w:rsid w:val="0079555B"/>
    <w:rsid w:val="007962E9"/>
    <w:rsid w:val="007970F3"/>
    <w:rsid w:val="00797172"/>
    <w:rsid w:val="00797520"/>
    <w:rsid w:val="007A11A0"/>
    <w:rsid w:val="007A13A5"/>
    <w:rsid w:val="007A2422"/>
    <w:rsid w:val="007A2A0F"/>
    <w:rsid w:val="007A2F1C"/>
    <w:rsid w:val="007A3090"/>
    <w:rsid w:val="007A31F4"/>
    <w:rsid w:val="007A35D4"/>
    <w:rsid w:val="007A3F57"/>
    <w:rsid w:val="007A412B"/>
    <w:rsid w:val="007A4227"/>
    <w:rsid w:val="007A4D9C"/>
    <w:rsid w:val="007A5B8A"/>
    <w:rsid w:val="007A5C28"/>
    <w:rsid w:val="007A67E7"/>
    <w:rsid w:val="007A70D5"/>
    <w:rsid w:val="007B021F"/>
    <w:rsid w:val="007B036A"/>
    <w:rsid w:val="007B0B94"/>
    <w:rsid w:val="007B0EEE"/>
    <w:rsid w:val="007B1316"/>
    <w:rsid w:val="007B1B44"/>
    <w:rsid w:val="007B3538"/>
    <w:rsid w:val="007B3D44"/>
    <w:rsid w:val="007B4765"/>
    <w:rsid w:val="007B4B65"/>
    <w:rsid w:val="007B4ECA"/>
    <w:rsid w:val="007B504B"/>
    <w:rsid w:val="007B5564"/>
    <w:rsid w:val="007B5E59"/>
    <w:rsid w:val="007B6CCC"/>
    <w:rsid w:val="007C133A"/>
    <w:rsid w:val="007C22B6"/>
    <w:rsid w:val="007C3729"/>
    <w:rsid w:val="007C37CA"/>
    <w:rsid w:val="007C5F73"/>
    <w:rsid w:val="007C6226"/>
    <w:rsid w:val="007C773F"/>
    <w:rsid w:val="007C7DDB"/>
    <w:rsid w:val="007D0100"/>
    <w:rsid w:val="007D0838"/>
    <w:rsid w:val="007D0DAD"/>
    <w:rsid w:val="007D1340"/>
    <w:rsid w:val="007D2186"/>
    <w:rsid w:val="007D2218"/>
    <w:rsid w:val="007D22A5"/>
    <w:rsid w:val="007D2A83"/>
    <w:rsid w:val="007D2F0E"/>
    <w:rsid w:val="007D5258"/>
    <w:rsid w:val="007D5B0A"/>
    <w:rsid w:val="007D6491"/>
    <w:rsid w:val="007D6801"/>
    <w:rsid w:val="007D6CBE"/>
    <w:rsid w:val="007D70C2"/>
    <w:rsid w:val="007D781B"/>
    <w:rsid w:val="007D7A98"/>
    <w:rsid w:val="007E0C45"/>
    <w:rsid w:val="007E1402"/>
    <w:rsid w:val="007E23B3"/>
    <w:rsid w:val="007E2AE2"/>
    <w:rsid w:val="007E2DDD"/>
    <w:rsid w:val="007E3963"/>
    <w:rsid w:val="007E3B8D"/>
    <w:rsid w:val="007E4174"/>
    <w:rsid w:val="007E483F"/>
    <w:rsid w:val="007E4979"/>
    <w:rsid w:val="007E4B34"/>
    <w:rsid w:val="007E51BE"/>
    <w:rsid w:val="007E553A"/>
    <w:rsid w:val="007E62EC"/>
    <w:rsid w:val="007E62FD"/>
    <w:rsid w:val="007E6B4E"/>
    <w:rsid w:val="007F020B"/>
    <w:rsid w:val="007F0379"/>
    <w:rsid w:val="007F2203"/>
    <w:rsid w:val="007F23FC"/>
    <w:rsid w:val="007F29B8"/>
    <w:rsid w:val="007F397A"/>
    <w:rsid w:val="007F3A2B"/>
    <w:rsid w:val="007F3A72"/>
    <w:rsid w:val="007F4377"/>
    <w:rsid w:val="007F4475"/>
    <w:rsid w:val="007F4B3B"/>
    <w:rsid w:val="007F4C03"/>
    <w:rsid w:val="007F4DB1"/>
    <w:rsid w:val="007F5CF8"/>
    <w:rsid w:val="007F690B"/>
    <w:rsid w:val="007F6CC1"/>
    <w:rsid w:val="007F6E33"/>
    <w:rsid w:val="007F6F29"/>
    <w:rsid w:val="007F7D82"/>
    <w:rsid w:val="007F7EEA"/>
    <w:rsid w:val="008007A8"/>
    <w:rsid w:val="00800AA8"/>
    <w:rsid w:val="0080201F"/>
    <w:rsid w:val="00803FBC"/>
    <w:rsid w:val="00805803"/>
    <w:rsid w:val="00806849"/>
    <w:rsid w:val="00806F01"/>
    <w:rsid w:val="008070AE"/>
    <w:rsid w:val="00807352"/>
    <w:rsid w:val="00807F7B"/>
    <w:rsid w:val="008119F8"/>
    <w:rsid w:val="00812903"/>
    <w:rsid w:val="008131D7"/>
    <w:rsid w:val="008140A5"/>
    <w:rsid w:val="00814375"/>
    <w:rsid w:val="008153BE"/>
    <w:rsid w:val="008157A1"/>
    <w:rsid w:val="008178C8"/>
    <w:rsid w:val="00817F31"/>
    <w:rsid w:val="00817F54"/>
    <w:rsid w:val="00820257"/>
    <w:rsid w:val="0082045E"/>
    <w:rsid w:val="008206E7"/>
    <w:rsid w:val="0082229C"/>
    <w:rsid w:val="00823459"/>
    <w:rsid w:val="008239FD"/>
    <w:rsid w:val="00823F90"/>
    <w:rsid w:val="00824CAF"/>
    <w:rsid w:val="00825090"/>
    <w:rsid w:val="008252DD"/>
    <w:rsid w:val="00826086"/>
    <w:rsid w:val="0082670A"/>
    <w:rsid w:val="00826FAF"/>
    <w:rsid w:val="00827855"/>
    <w:rsid w:val="00827A4A"/>
    <w:rsid w:val="00827BED"/>
    <w:rsid w:val="00827C2B"/>
    <w:rsid w:val="00830723"/>
    <w:rsid w:val="00830A3A"/>
    <w:rsid w:val="00830E42"/>
    <w:rsid w:val="00831FE0"/>
    <w:rsid w:val="008323F6"/>
    <w:rsid w:val="0083365C"/>
    <w:rsid w:val="00833B40"/>
    <w:rsid w:val="00834AC3"/>
    <w:rsid w:val="00834EB1"/>
    <w:rsid w:val="008358E7"/>
    <w:rsid w:val="00836176"/>
    <w:rsid w:val="008377B3"/>
    <w:rsid w:val="0083789E"/>
    <w:rsid w:val="0084015D"/>
    <w:rsid w:val="008422E3"/>
    <w:rsid w:val="00845B46"/>
    <w:rsid w:val="008461FE"/>
    <w:rsid w:val="00846691"/>
    <w:rsid w:val="0084736A"/>
    <w:rsid w:val="0084737E"/>
    <w:rsid w:val="0084774B"/>
    <w:rsid w:val="00850BD2"/>
    <w:rsid w:val="0085102D"/>
    <w:rsid w:val="008515A8"/>
    <w:rsid w:val="008519E1"/>
    <w:rsid w:val="00851B23"/>
    <w:rsid w:val="0085205D"/>
    <w:rsid w:val="0085263C"/>
    <w:rsid w:val="0085289F"/>
    <w:rsid w:val="00852D44"/>
    <w:rsid w:val="008533EF"/>
    <w:rsid w:val="008540AE"/>
    <w:rsid w:val="00854C0A"/>
    <w:rsid w:val="0085539A"/>
    <w:rsid w:val="00855879"/>
    <w:rsid w:val="008558D8"/>
    <w:rsid w:val="00855CB8"/>
    <w:rsid w:val="00855E00"/>
    <w:rsid w:val="008562CD"/>
    <w:rsid w:val="00856360"/>
    <w:rsid w:val="00856AE6"/>
    <w:rsid w:val="00856D3C"/>
    <w:rsid w:val="00860A68"/>
    <w:rsid w:val="00862E5B"/>
    <w:rsid w:val="00863B7B"/>
    <w:rsid w:val="00864984"/>
    <w:rsid w:val="008649CA"/>
    <w:rsid w:val="00864D68"/>
    <w:rsid w:val="00865964"/>
    <w:rsid w:val="00865AAC"/>
    <w:rsid w:val="0086604F"/>
    <w:rsid w:val="008660E3"/>
    <w:rsid w:val="00866218"/>
    <w:rsid w:val="00866509"/>
    <w:rsid w:val="008672D9"/>
    <w:rsid w:val="008672DE"/>
    <w:rsid w:val="00867556"/>
    <w:rsid w:val="00870068"/>
    <w:rsid w:val="008701C8"/>
    <w:rsid w:val="008702DF"/>
    <w:rsid w:val="008706BC"/>
    <w:rsid w:val="008707A6"/>
    <w:rsid w:val="00870F4D"/>
    <w:rsid w:val="00871901"/>
    <w:rsid w:val="00871CAD"/>
    <w:rsid w:val="008727D0"/>
    <w:rsid w:val="008738A4"/>
    <w:rsid w:val="008740DA"/>
    <w:rsid w:val="00875487"/>
    <w:rsid w:val="0087566C"/>
    <w:rsid w:val="00875775"/>
    <w:rsid w:val="00875ED4"/>
    <w:rsid w:val="00876601"/>
    <w:rsid w:val="00876629"/>
    <w:rsid w:val="00876C87"/>
    <w:rsid w:val="00876D4A"/>
    <w:rsid w:val="00876DC3"/>
    <w:rsid w:val="00876EFC"/>
    <w:rsid w:val="00877296"/>
    <w:rsid w:val="008779C6"/>
    <w:rsid w:val="00877FFE"/>
    <w:rsid w:val="0088168C"/>
    <w:rsid w:val="008818B2"/>
    <w:rsid w:val="00881F39"/>
    <w:rsid w:val="00882485"/>
    <w:rsid w:val="008825A1"/>
    <w:rsid w:val="00882922"/>
    <w:rsid w:val="00883FEC"/>
    <w:rsid w:val="00884B3A"/>
    <w:rsid w:val="00885126"/>
    <w:rsid w:val="0088523D"/>
    <w:rsid w:val="008857C9"/>
    <w:rsid w:val="00885D16"/>
    <w:rsid w:val="00890D13"/>
    <w:rsid w:val="0089124B"/>
    <w:rsid w:val="00891BDB"/>
    <w:rsid w:val="00892562"/>
    <w:rsid w:val="00892B88"/>
    <w:rsid w:val="0089348E"/>
    <w:rsid w:val="00893647"/>
    <w:rsid w:val="008950BF"/>
    <w:rsid w:val="008950E3"/>
    <w:rsid w:val="00896431"/>
    <w:rsid w:val="00896E3B"/>
    <w:rsid w:val="008971B1"/>
    <w:rsid w:val="008978F7"/>
    <w:rsid w:val="00897C58"/>
    <w:rsid w:val="008A08D4"/>
    <w:rsid w:val="008A0C12"/>
    <w:rsid w:val="008A1491"/>
    <w:rsid w:val="008A1977"/>
    <w:rsid w:val="008A1A82"/>
    <w:rsid w:val="008A345A"/>
    <w:rsid w:val="008A54F8"/>
    <w:rsid w:val="008A59C2"/>
    <w:rsid w:val="008A5B15"/>
    <w:rsid w:val="008A63C1"/>
    <w:rsid w:val="008A694B"/>
    <w:rsid w:val="008A7CC5"/>
    <w:rsid w:val="008B08CA"/>
    <w:rsid w:val="008B0B09"/>
    <w:rsid w:val="008B1023"/>
    <w:rsid w:val="008B198B"/>
    <w:rsid w:val="008B1B2D"/>
    <w:rsid w:val="008B1EA6"/>
    <w:rsid w:val="008B42CC"/>
    <w:rsid w:val="008B441D"/>
    <w:rsid w:val="008B4C0C"/>
    <w:rsid w:val="008B6023"/>
    <w:rsid w:val="008B63B3"/>
    <w:rsid w:val="008B6466"/>
    <w:rsid w:val="008B682F"/>
    <w:rsid w:val="008B6A25"/>
    <w:rsid w:val="008B6AAE"/>
    <w:rsid w:val="008B6AF6"/>
    <w:rsid w:val="008B6F7C"/>
    <w:rsid w:val="008B7759"/>
    <w:rsid w:val="008C01A9"/>
    <w:rsid w:val="008C136B"/>
    <w:rsid w:val="008C1C37"/>
    <w:rsid w:val="008C278D"/>
    <w:rsid w:val="008C2BB8"/>
    <w:rsid w:val="008C2D95"/>
    <w:rsid w:val="008C37C8"/>
    <w:rsid w:val="008C4B5D"/>
    <w:rsid w:val="008C53E2"/>
    <w:rsid w:val="008C6941"/>
    <w:rsid w:val="008C727B"/>
    <w:rsid w:val="008D0453"/>
    <w:rsid w:val="008D0508"/>
    <w:rsid w:val="008D0DF6"/>
    <w:rsid w:val="008D109B"/>
    <w:rsid w:val="008D12A5"/>
    <w:rsid w:val="008D1CFC"/>
    <w:rsid w:val="008D1DBC"/>
    <w:rsid w:val="008D21DF"/>
    <w:rsid w:val="008D28D0"/>
    <w:rsid w:val="008D2BD1"/>
    <w:rsid w:val="008D3D3E"/>
    <w:rsid w:val="008D3DC6"/>
    <w:rsid w:val="008D3E23"/>
    <w:rsid w:val="008D3E5A"/>
    <w:rsid w:val="008D45CF"/>
    <w:rsid w:val="008D462C"/>
    <w:rsid w:val="008D50FE"/>
    <w:rsid w:val="008D5719"/>
    <w:rsid w:val="008D60AD"/>
    <w:rsid w:val="008D689A"/>
    <w:rsid w:val="008D6C66"/>
    <w:rsid w:val="008D6DE6"/>
    <w:rsid w:val="008D7075"/>
    <w:rsid w:val="008D79AB"/>
    <w:rsid w:val="008D7E09"/>
    <w:rsid w:val="008D7FC4"/>
    <w:rsid w:val="008E00EF"/>
    <w:rsid w:val="008E063F"/>
    <w:rsid w:val="008E09B0"/>
    <w:rsid w:val="008E0B94"/>
    <w:rsid w:val="008E110B"/>
    <w:rsid w:val="008E110C"/>
    <w:rsid w:val="008E12AD"/>
    <w:rsid w:val="008E2162"/>
    <w:rsid w:val="008E257B"/>
    <w:rsid w:val="008E2A5F"/>
    <w:rsid w:val="008E2DBB"/>
    <w:rsid w:val="008E3710"/>
    <w:rsid w:val="008E3764"/>
    <w:rsid w:val="008E3855"/>
    <w:rsid w:val="008E3958"/>
    <w:rsid w:val="008E6050"/>
    <w:rsid w:val="008E66E2"/>
    <w:rsid w:val="008E6722"/>
    <w:rsid w:val="008F012E"/>
    <w:rsid w:val="008F1CCF"/>
    <w:rsid w:val="008F26E2"/>
    <w:rsid w:val="008F28FD"/>
    <w:rsid w:val="008F2DF9"/>
    <w:rsid w:val="008F2F70"/>
    <w:rsid w:val="008F3203"/>
    <w:rsid w:val="008F404A"/>
    <w:rsid w:val="008F456F"/>
    <w:rsid w:val="008F55F9"/>
    <w:rsid w:val="008F6CF4"/>
    <w:rsid w:val="008F7555"/>
    <w:rsid w:val="008F7641"/>
    <w:rsid w:val="0090089F"/>
    <w:rsid w:val="0090194E"/>
    <w:rsid w:val="00901C21"/>
    <w:rsid w:val="009023A8"/>
    <w:rsid w:val="0090291B"/>
    <w:rsid w:val="0090313E"/>
    <w:rsid w:val="00903352"/>
    <w:rsid w:val="00903DF4"/>
    <w:rsid w:val="00903E64"/>
    <w:rsid w:val="00904281"/>
    <w:rsid w:val="0090613B"/>
    <w:rsid w:val="0090639B"/>
    <w:rsid w:val="00906C8B"/>
    <w:rsid w:val="009074D1"/>
    <w:rsid w:val="009079BB"/>
    <w:rsid w:val="00907FFD"/>
    <w:rsid w:val="009105AE"/>
    <w:rsid w:val="0091139D"/>
    <w:rsid w:val="00911961"/>
    <w:rsid w:val="0091262C"/>
    <w:rsid w:val="00913E36"/>
    <w:rsid w:val="00913FD8"/>
    <w:rsid w:val="0091649B"/>
    <w:rsid w:val="00916520"/>
    <w:rsid w:val="0091663F"/>
    <w:rsid w:val="00916F65"/>
    <w:rsid w:val="00917E31"/>
    <w:rsid w:val="009207FB"/>
    <w:rsid w:val="00920917"/>
    <w:rsid w:val="00920B18"/>
    <w:rsid w:val="0092112B"/>
    <w:rsid w:val="00922B58"/>
    <w:rsid w:val="009231F6"/>
    <w:rsid w:val="00923714"/>
    <w:rsid w:val="00923C10"/>
    <w:rsid w:val="009241DA"/>
    <w:rsid w:val="00924BFD"/>
    <w:rsid w:val="00925851"/>
    <w:rsid w:val="00926D62"/>
    <w:rsid w:val="00927D5E"/>
    <w:rsid w:val="0093007C"/>
    <w:rsid w:val="00930107"/>
    <w:rsid w:val="009309C1"/>
    <w:rsid w:val="00930F2D"/>
    <w:rsid w:val="00931184"/>
    <w:rsid w:val="00932C1A"/>
    <w:rsid w:val="0093311F"/>
    <w:rsid w:val="00933EAB"/>
    <w:rsid w:val="0093429F"/>
    <w:rsid w:val="00934C4C"/>
    <w:rsid w:val="00934F6F"/>
    <w:rsid w:val="009357B8"/>
    <w:rsid w:val="00935A69"/>
    <w:rsid w:val="00936104"/>
    <w:rsid w:val="009362BE"/>
    <w:rsid w:val="00936426"/>
    <w:rsid w:val="00936460"/>
    <w:rsid w:val="009364A4"/>
    <w:rsid w:val="00936877"/>
    <w:rsid w:val="00936916"/>
    <w:rsid w:val="009373E4"/>
    <w:rsid w:val="00937BD9"/>
    <w:rsid w:val="009414C9"/>
    <w:rsid w:val="009421A9"/>
    <w:rsid w:val="009422F4"/>
    <w:rsid w:val="009426FD"/>
    <w:rsid w:val="00942BF4"/>
    <w:rsid w:val="00943711"/>
    <w:rsid w:val="0094404E"/>
    <w:rsid w:val="00944347"/>
    <w:rsid w:val="00945057"/>
    <w:rsid w:val="009452F4"/>
    <w:rsid w:val="00945BB8"/>
    <w:rsid w:val="009461A9"/>
    <w:rsid w:val="00946BD8"/>
    <w:rsid w:val="00946C9E"/>
    <w:rsid w:val="009473D2"/>
    <w:rsid w:val="0094794C"/>
    <w:rsid w:val="00947EF8"/>
    <w:rsid w:val="009516E7"/>
    <w:rsid w:val="00952CA5"/>
    <w:rsid w:val="00952FBF"/>
    <w:rsid w:val="00953075"/>
    <w:rsid w:val="00953864"/>
    <w:rsid w:val="009542F2"/>
    <w:rsid w:val="009545C1"/>
    <w:rsid w:val="00954747"/>
    <w:rsid w:val="0095549A"/>
    <w:rsid w:val="009561D5"/>
    <w:rsid w:val="009564E0"/>
    <w:rsid w:val="00956614"/>
    <w:rsid w:val="009578D6"/>
    <w:rsid w:val="00957DEA"/>
    <w:rsid w:val="009609A7"/>
    <w:rsid w:val="00960A85"/>
    <w:rsid w:val="00962159"/>
    <w:rsid w:val="00962C0F"/>
    <w:rsid w:val="0096394E"/>
    <w:rsid w:val="00964413"/>
    <w:rsid w:val="00964674"/>
    <w:rsid w:val="0096508F"/>
    <w:rsid w:val="00965AA2"/>
    <w:rsid w:val="00966725"/>
    <w:rsid w:val="009668D0"/>
    <w:rsid w:val="00967D61"/>
    <w:rsid w:val="009705CD"/>
    <w:rsid w:val="009710B7"/>
    <w:rsid w:val="00971214"/>
    <w:rsid w:val="009716FE"/>
    <w:rsid w:val="009718B0"/>
    <w:rsid w:val="00971CBC"/>
    <w:rsid w:val="0097210B"/>
    <w:rsid w:val="009722A5"/>
    <w:rsid w:val="009726B3"/>
    <w:rsid w:val="009739AE"/>
    <w:rsid w:val="00973A98"/>
    <w:rsid w:val="00973BEF"/>
    <w:rsid w:val="009759D4"/>
    <w:rsid w:val="00975E43"/>
    <w:rsid w:val="00975FF4"/>
    <w:rsid w:val="00976650"/>
    <w:rsid w:val="00976B81"/>
    <w:rsid w:val="00976FA5"/>
    <w:rsid w:val="0098075D"/>
    <w:rsid w:val="009811E2"/>
    <w:rsid w:val="00981507"/>
    <w:rsid w:val="00981766"/>
    <w:rsid w:val="00981AF6"/>
    <w:rsid w:val="0098202F"/>
    <w:rsid w:val="009826A5"/>
    <w:rsid w:val="00982D1E"/>
    <w:rsid w:val="00982E76"/>
    <w:rsid w:val="00983282"/>
    <w:rsid w:val="00983541"/>
    <w:rsid w:val="00983C2B"/>
    <w:rsid w:val="009850D8"/>
    <w:rsid w:val="009856B9"/>
    <w:rsid w:val="0098646E"/>
    <w:rsid w:val="009866BA"/>
    <w:rsid w:val="00987059"/>
    <w:rsid w:val="009900DC"/>
    <w:rsid w:val="00990111"/>
    <w:rsid w:val="00991295"/>
    <w:rsid w:val="00992BE4"/>
    <w:rsid w:val="00992D82"/>
    <w:rsid w:val="00994E19"/>
    <w:rsid w:val="00995798"/>
    <w:rsid w:val="009959F5"/>
    <w:rsid w:val="00995C1F"/>
    <w:rsid w:val="00995CAC"/>
    <w:rsid w:val="00995FF5"/>
    <w:rsid w:val="0099615D"/>
    <w:rsid w:val="009968E1"/>
    <w:rsid w:val="00997878"/>
    <w:rsid w:val="00997AAF"/>
    <w:rsid w:val="00997BB2"/>
    <w:rsid w:val="009A02A2"/>
    <w:rsid w:val="009A2C68"/>
    <w:rsid w:val="009A32DB"/>
    <w:rsid w:val="009A3365"/>
    <w:rsid w:val="009A44AB"/>
    <w:rsid w:val="009A4F99"/>
    <w:rsid w:val="009A5EE5"/>
    <w:rsid w:val="009A6700"/>
    <w:rsid w:val="009A6C6E"/>
    <w:rsid w:val="009A735F"/>
    <w:rsid w:val="009A7D7D"/>
    <w:rsid w:val="009B019A"/>
    <w:rsid w:val="009B21A1"/>
    <w:rsid w:val="009B2261"/>
    <w:rsid w:val="009B2861"/>
    <w:rsid w:val="009B28B3"/>
    <w:rsid w:val="009B2A9D"/>
    <w:rsid w:val="009B2F55"/>
    <w:rsid w:val="009B3256"/>
    <w:rsid w:val="009B33E0"/>
    <w:rsid w:val="009B3552"/>
    <w:rsid w:val="009B5992"/>
    <w:rsid w:val="009B6F0B"/>
    <w:rsid w:val="009B7051"/>
    <w:rsid w:val="009B70A7"/>
    <w:rsid w:val="009B71BF"/>
    <w:rsid w:val="009C0475"/>
    <w:rsid w:val="009C0654"/>
    <w:rsid w:val="009C0D59"/>
    <w:rsid w:val="009C1188"/>
    <w:rsid w:val="009C1F2E"/>
    <w:rsid w:val="009C2378"/>
    <w:rsid w:val="009C2389"/>
    <w:rsid w:val="009C27CE"/>
    <w:rsid w:val="009C3E12"/>
    <w:rsid w:val="009C419E"/>
    <w:rsid w:val="009C436C"/>
    <w:rsid w:val="009C4884"/>
    <w:rsid w:val="009C4890"/>
    <w:rsid w:val="009C4CD0"/>
    <w:rsid w:val="009C523F"/>
    <w:rsid w:val="009C5D3C"/>
    <w:rsid w:val="009C5FC1"/>
    <w:rsid w:val="009C7931"/>
    <w:rsid w:val="009C7ABE"/>
    <w:rsid w:val="009D0A09"/>
    <w:rsid w:val="009D24D6"/>
    <w:rsid w:val="009D3052"/>
    <w:rsid w:val="009D30A3"/>
    <w:rsid w:val="009D4CF5"/>
    <w:rsid w:val="009D4F3D"/>
    <w:rsid w:val="009D50A8"/>
    <w:rsid w:val="009D5AE0"/>
    <w:rsid w:val="009D60C1"/>
    <w:rsid w:val="009D60CA"/>
    <w:rsid w:val="009D6E43"/>
    <w:rsid w:val="009D6FAE"/>
    <w:rsid w:val="009E090B"/>
    <w:rsid w:val="009E0DE5"/>
    <w:rsid w:val="009E3648"/>
    <w:rsid w:val="009E4763"/>
    <w:rsid w:val="009E5A7D"/>
    <w:rsid w:val="009E5BBE"/>
    <w:rsid w:val="009E5C98"/>
    <w:rsid w:val="009E60BF"/>
    <w:rsid w:val="009E6745"/>
    <w:rsid w:val="009E6BAC"/>
    <w:rsid w:val="009E6BFE"/>
    <w:rsid w:val="009E72D5"/>
    <w:rsid w:val="009E7B44"/>
    <w:rsid w:val="009F0588"/>
    <w:rsid w:val="009F28C6"/>
    <w:rsid w:val="009F2FDB"/>
    <w:rsid w:val="009F32F7"/>
    <w:rsid w:val="009F452C"/>
    <w:rsid w:val="009F4863"/>
    <w:rsid w:val="009F4E64"/>
    <w:rsid w:val="009F6219"/>
    <w:rsid w:val="009F7069"/>
    <w:rsid w:val="009F7536"/>
    <w:rsid w:val="009F7C54"/>
    <w:rsid w:val="00A01490"/>
    <w:rsid w:val="00A02309"/>
    <w:rsid w:val="00A025F2"/>
    <w:rsid w:val="00A0268C"/>
    <w:rsid w:val="00A033E0"/>
    <w:rsid w:val="00A03A41"/>
    <w:rsid w:val="00A03A9E"/>
    <w:rsid w:val="00A03FC6"/>
    <w:rsid w:val="00A0426A"/>
    <w:rsid w:val="00A047BE"/>
    <w:rsid w:val="00A04918"/>
    <w:rsid w:val="00A04B2A"/>
    <w:rsid w:val="00A05A38"/>
    <w:rsid w:val="00A0637D"/>
    <w:rsid w:val="00A06C0C"/>
    <w:rsid w:val="00A07041"/>
    <w:rsid w:val="00A07646"/>
    <w:rsid w:val="00A07713"/>
    <w:rsid w:val="00A07D85"/>
    <w:rsid w:val="00A1076A"/>
    <w:rsid w:val="00A10A8D"/>
    <w:rsid w:val="00A10ED8"/>
    <w:rsid w:val="00A1111B"/>
    <w:rsid w:val="00A113DF"/>
    <w:rsid w:val="00A1156E"/>
    <w:rsid w:val="00A1242F"/>
    <w:rsid w:val="00A144B6"/>
    <w:rsid w:val="00A16870"/>
    <w:rsid w:val="00A1795F"/>
    <w:rsid w:val="00A17A7C"/>
    <w:rsid w:val="00A206A8"/>
    <w:rsid w:val="00A206C6"/>
    <w:rsid w:val="00A20A1A"/>
    <w:rsid w:val="00A20B91"/>
    <w:rsid w:val="00A21C02"/>
    <w:rsid w:val="00A2226D"/>
    <w:rsid w:val="00A22497"/>
    <w:rsid w:val="00A22698"/>
    <w:rsid w:val="00A23C20"/>
    <w:rsid w:val="00A24211"/>
    <w:rsid w:val="00A24554"/>
    <w:rsid w:val="00A24ADC"/>
    <w:rsid w:val="00A24CAC"/>
    <w:rsid w:val="00A2570A"/>
    <w:rsid w:val="00A27015"/>
    <w:rsid w:val="00A27065"/>
    <w:rsid w:val="00A303A8"/>
    <w:rsid w:val="00A309AD"/>
    <w:rsid w:val="00A31191"/>
    <w:rsid w:val="00A31606"/>
    <w:rsid w:val="00A31634"/>
    <w:rsid w:val="00A316F2"/>
    <w:rsid w:val="00A31912"/>
    <w:rsid w:val="00A32538"/>
    <w:rsid w:val="00A3275D"/>
    <w:rsid w:val="00A328A9"/>
    <w:rsid w:val="00A343F7"/>
    <w:rsid w:val="00A35C7D"/>
    <w:rsid w:val="00A36D50"/>
    <w:rsid w:val="00A36DD2"/>
    <w:rsid w:val="00A3783A"/>
    <w:rsid w:val="00A40261"/>
    <w:rsid w:val="00A40441"/>
    <w:rsid w:val="00A410E0"/>
    <w:rsid w:val="00A4138B"/>
    <w:rsid w:val="00A413E6"/>
    <w:rsid w:val="00A42337"/>
    <w:rsid w:val="00A42664"/>
    <w:rsid w:val="00A4371E"/>
    <w:rsid w:val="00A43CEC"/>
    <w:rsid w:val="00A43FC1"/>
    <w:rsid w:val="00A449DB"/>
    <w:rsid w:val="00A44AED"/>
    <w:rsid w:val="00A45876"/>
    <w:rsid w:val="00A4674E"/>
    <w:rsid w:val="00A46BDB"/>
    <w:rsid w:val="00A471A2"/>
    <w:rsid w:val="00A473B5"/>
    <w:rsid w:val="00A47D19"/>
    <w:rsid w:val="00A47D3B"/>
    <w:rsid w:val="00A50069"/>
    <w:rsid w:val="00A509B5"/>
    <w:rsid w:val="00A50DD6"/>
    <w:rsid w:val="00A51163"/>
    <w:rsid w:val="00A52211"/>
    <w:rsid w:val="00A532D5"/>
    <w:rsid w:val="00A539FA"/>
    <w:rsid w:val="00A53A19"/>
    <w:rsid w:val="00A5423D"/>
    <w:rsid w:val="00A5447B"/>
    <w:rsid w:val="00A55506"/>
    <w:rsid w:val="00A568F1"/>
    <w:rsid w:val="00A573D5"/>
    <w:rsid w:val="00A57CE2"/>
    <w:rsid w:val="00A600E8"/>
    <w:rsid w:val="00A61CA5"/>
    <w:rsid w:val="00A62297"/>
    <w:rsid w:val="00A62CA7"/>
    <w:rsid w:val="00A644CC"/>
    <w:rsid w:val="00A64FE4"/>
    <w:rsid w:val="00A652E9"/>
    <w:rsid w:val="00A65A18"/>
    <w:rsid w:val="00A65B41"/>
    <w:rsid w:val="00A65EA3"/>
    <w:rsid w:val="00A664AC"/>
    <w:rsid w:val="00A665F4"/>
    <w:rsid w:val="00A67214"/>
    <w:rsid w:val="00A67EB9"/>
    <w:rsid w:val="00A709E0"/>
    <w:rsid w:val="00A7121A"/>
    <w:rsid w:val="00A72194"/>
    <w:rsid w:val="00A72DCD"/>
    <w:rsid w:val="00A7363E"/>
    <w:rsid w:val="00A7405A"/>
    <w:rsid w:val="00A742B8"/>
    <w:rsid w:val="00A745B7"/>
    <w:rsid w:val="00A75BC8"/>
    <w:rsid w:val="00A75C79"/>
    <w:rsid w:val="00A75E49"/>
    <w:rsid w:val="00A7608E"/>
    <w:rsid w:val="00A764AA"/>
    <w:rsid w:val="00A767BF"/>
    <w:rsid w:val="00A76902"/>
    <w:rsid w:val="00A76C9F"/>
    <w:rsid w:val="00A76E85"/>
    <w:rsid w:val="00A77A69"/>
    <w:rsid w:val="00A80069"/>
    <w:rsid w:val="00A80587"/>
    <w:rsid w:val="00A80761"/>
    <w:rsid w:val="00A80AAB"/>
    <w:rsid w:val="00A8249F"/>
    <w:rsid w:val="00A824B8"/>
    <w:rsid w:val="00A82F4A"/>
    <w:rsid w:val="00A8516F"/>
    <w:rsid w:val="00A85183"/>
    <w:rsid w:val="00A8588F"/>
    <w:rsid w:val="00A85E39"/>
    <w:rsid w:val="00A85F66"/>
    <w:rsid w:val="00A86DCA"/>
    <w:rsid w:val="00A87911"/>
    <w:rsid w:val="00A90BDD"/>
    <w:rsid w:val="00A90FF2"/>
    <w:rsid w:val="00A91F57"/>
    <w:rsid w:val="00A924CE"/>
    <w:rsid w:val="00A9257A"/>
    <w:rsid w:val="00A93516"/>
    <w:rsid w:val="00A93FC9"/>
    <w:rsid w:val="00A946C6"/>
    <w:rsid w:val="00A94A19"/>
    <w:rsid w:val="00A94F87"/>
    <w:rsid w:val="00A94F95"/>
    <w:rsid w:val="00A95160"/>
    <w:rsid w:val="00A960D2"/>
    <w:rsid w:val="00A961B6"/>
    <w:rsid w:val="00A963FB"/>
    <w:rsid w:val="00A9659C"/>
    <w:rsid w:val="00A96AAB"/>
    <w:rsid w:val="00A96E46"/>
    <w:rsid w:val="00A9788D"/>
    <w:rsid w:val="00A97AD9"/>
    <w:rsid w:val="00AA0B19"/>
    <w:rsid w:val="00AA0DB2"/>
    <w:rsid w:val="00AA1281"/>
    <w:rsid w:val="00AA142D"/>
    <w:rsid w:val="00AA1A0C"/>
    <w:rsid w:val="00AA1EDA"/>
    <w:rsid w:val="00AA27AD"/>
    <w:rsid w:val="00AA3203"/>
    <w:rsid w:val="00AA36A2"/>
    <w:rsid w:val="00AA55EE"/>
    <w:rsid w:val="00AA5742"/>
    <w:rsid w:val="00AA5745"/>
    <w:rsid w:val="00AA5BAE"/>
    <w:rsid w:val="00AA6B83"/>
    <w:rsid w:val="00AA7F15"/>
    <w:rsid w:val="00AB02D2"/>
    <w:rsid w:val="00AB0C47"/>
    <w:rsid w:val="00AB1471"/>
    <w:rsid w:val="00AB1AC8"/>
    <w:rsid w:val="00AB5428"/>
    <w:rsid w:val="00AB75B1"/>
    <w:rsid w:val="00AC043C"/>
    <w:rsid w:val="00AC0467"/>
    <w:rsid w:val="00AC0FF1"/>
    <w:rsid w:val="00AC1182"/>
    <w:rsid w:val="00AC1DF9"/>
    <w:rsid w:val="00AC1E34"/>
    <w:rsid w:val="00AC2CD9"/>
    <w:rsid w:val="00AC2F78"/>
    <w:rsid w:val="00AC309B"/>
    <w:rsid w:val="00AC3801"/>
    <w:rsid w:val="00AC3987"/>
    <w:rsid w:val="00AC3EB6"/>
    <w:rsid w:val="00AC4D17"/>
    <w:rsid w:val="00AC61F7"/>
    <w:rsid w:val="00AC689B"/>
    <w:rsid w:val="00AC6B9D"/>
    <w:rsid w:val="00AC7211"/>
    <w:rsid w:val="00AC7476"/>
    <w:rsid w:val="00AC7B4B"/>
    <w:rsid w:val="00AC7E7C"/>
    <w:rsid w:val="00AD104F"/>
    <w:rsid w:val="00AD2438"/>
    <w:rsid w:val="00AD2B55"/>
    <w:rsid w:val="00AD3D1D"/>
    <w:rsid w:val="00AD4530"/>
    <w:rsid w:val="00AD55BF"/>
    <w:rsid w:val="00AD740B"/>
    <w:rsid w:val="00AE0E1D"/>
    <w:rsid w:val="00AE18DD"/>
    <w:rsid w:val="00AE217D"/>
    <w:rsid w:val="00AE2C61"/>
    <w:rsid w:val="00AE346F"/>
    <w:rsid w:val="00AE3CE7"/>
    <w:rsid w:val="00AE3D70"/>
    <w:rsid w:val="00AE3E35"/>
    <w:rsid w:val="00AE4085"/>
    <w:rsid w:val="00AE492C"/>
    <w:rsid w:val="00AE4EE7"/>
    <w:rsid w:val="00AE580E"/>
    <w:rsid w:val="00AE5D24"/>
    <w:rsid w:val="00AE756F"/>
    <w:rsid w:val="00AE7990"/>
    <w:rsid w:val="00AE7FBB"/>
    <w:rsid w:val="00AF05E7"/>
    <w:rsid w:val="00AF0B03"/>
    <w:rsid w:val="00AF0B1D"/>
    <w:rsid w:val="00AF0B28"/>
    <w:rsid w:val="00AF1B38"/>
    <w:rsid w:val="00AF22E2"/>
    <w:rsid w:val="00AF2F4B"/>
    <w:rsid w:val="00AF34AA"/>
    <w:rsid w:val="00AF3BE2"/>
    <w:rsid w:val="00AF3BFD"/>
    <w:rsid w:val="00AF42F4"/>
    <w:rsid w:val="00AF4F22"/>
    <w:rsid w:val="00AF5A99"/>
    <w:rsid w:val="00AF5BC6"/>
    <w:rsid w:val="00B0007E"/>
    <w:rsid w:val="00B008D7"/>
    <w:rsid w:val="00B00D54"/>
    <w:rsid w:val="00B01F0A"/>
    <w:rsid w:val="00B020FF"/>
    <w:rsid w:val="00B02457"/>
    <w:rsid w:val="00B02B7C"/>
    <w:rsid w:val="00B02FD5"/>
    <w:rsid w:val="00B0393A"/>
    <w:rsid w:val="00B039F5"/>
    <w:rsid w:val="00B048ED"/>
    <w:rsid w:val="00B04ACD"/>
    <w:rsid w:val="00B050DE"/>
    <w:rsid w:val="00B05CA5"/>
    <w:rsid w:val="00B06079"/>
    <w:rsid w:val="00B060FA"/>
    <w:rsid w:val="00B0661A"/>
    <w:rsid w:val="00B072CB"/>
    <w:rsid w:val="00B07434"/>
    <w:rsid w:val="00B07639"/>
    <w:rsid w:val="00B0794E"/>
    <w:rsid w:val="00B07F25"/>
    <w:rsid w:val="00B10694"/>
    <w:rsid w:val="00B10C8B"/>
    <w:rsid w:val="00B11EA9"/>
    <w:rsid w:val="00B12FB0"/>
    <w:rsid w:val="00B13230"/>
    <w:rsid w:val="00B14612"/>
    <w:rsid w:val="00B14AAE"/>
    <w:rsid w:val="00B14ECD"/>
    <w:rsid w:val="00B156A0"/>
    <w:rsid w:val="00B1580E"/>
    <w:rsid w:val="00B167CC"/>
    <w:rsid w:val="00B170A9"/>
    <w:rsid w:val="00B17D89"/>
    <w:rsid w:val="00B2070B"/>
    <w:rsid w:val="00B20B0A"/>
    <w:rsid w:val="00B20FEA"/>
    <w:rsid w:val="00B2152E"/>
    <w:rsid w:val="00B21CF3"/>
    <w:rsid w:val="00B226F2"/>
    <w:rsid w:val="00B23275"/>
    <w:rsid w:val="00B23511"/>
    <w:rsid w:val="00B241CF"/>
    <w:rsid w:val="00B245D3"/>
    <w:rsid w:val="00B2473D"/>
    <w:rsid w:val="00B25598"/>
    <w:rsid w:val="00B25E61"/>
    <w:rsid w:val="00B26039"/>
    <w:rsid w:val="00B266FE"/>
    <w:rsid w:val="00B272D7"/>
    <w:rsid w:val="00B2742F"/>
    <w:rsid w:val="00B27B5E"/>
    <w:rsid w:val="00B27B85"/>
    <w:rsid w:val="00B310C8"/>
    <w:rsid w:val="00B31106"/>
    <w:rsid w:val="00B33995"/>
    <w:rsid w:val="00B34872"/>
    <w:rsid w:val="00B34D23"/>
    <w:rsid w:val="00B34FE0"/>
    <w:rsid w:val="00B3530C"/>
    <w:rsid w:val="00B35C1E"/>
    <w:rsid w:val="00B367C9"/>
    <w:rsid w:val="00B4002A"/>
    <w:rsid w:val="00B402EB"/>
    <w:rsid w:val="00B40E8A"/>
    <w:rsid w:val="00B415C3"/>
    <w:rsid w:val="00B419BC"/>
    <w:rsid w:val="00B41B80"/>
    <w:rsid w:val="00B429CB"/>
    <w:rsid w:val="00B4368D"/>
    <w:rsid w:val="00B442FB"/>
    <w:rsid w:val="00B45176"/>
    <w:rsid w:val="00B452F2"/>
    <w:rsid w:val="00B464D8"/>
    <w:rsid w:val="00B46A6E"/>
    <w:rsid w:val="00B47057"/>
    <w:rsid w:val="00B47503"/>
    <w:rsid w:val="00B502AF"/>
    <w:rsid w:val="00B513D7"/>
    <w:rsid w:val="00B51A08"/>
    <w:rsid w:val="00B52840"/>
    <w:rsid w:val="00B53511"/>
    <w:rsid w:val="00B544E9"/>
    <w:rsid w:val="00B55E7C"/>
    <w:rsid w:val="00B56087"/>
    <w:rsid w:val="00B5630E"/>
    <w:rsid w:val="00B56C73"/>
    <w:rsid w:val="00B56E88"/>
    <w:rsid w:val="00B61230"/>
    <w:rsid w:val="00B61608"/>
    <w:rsid w:val="00B6245A"/>
    <w:rsid w:val="00B62ACE"/>
    <w:rsid w:val="00B62BB3"/>
    <w:rsid w:val="00B62D1C"/>
    <w:rsid w:val="00B62D33"/>
    <w:rsid w:val="00B63C61"/>
    <w:rsid w:val="00B64788"/>
    <w:rsid w:val="00B64E2A"/>
    <w:rsid w:val="00B65211"/>
    <w:rsid w:val="00B65C37"/>
    <w:rsid w:val="00B6629F"/>
    <w:rsid w:val="00B66B8C"/>
    <w:rsid w:val="00B66CFB"/>
    <w:rsid w:val="00B67001"/>
    <w:rsid w:val="00B672BF"/>
    <w:rsid w:val="00B67D79"/>
    <w:rsid w:val="00B7022A"/>
    <w:rsid w:val="00B704E2"/>
    <w:rsid w:val="00B70A90"/>
    <w:rsid w:val="00B71D19"/>
    <w:rsid w:val="00B72193"/>
    <w:rsid w:val="00B72ECE"/>
    <w:rsid w:val="00B73190"/>
    <w:rsid w:val="00B73E1A"/>
    <w:rsid w:val="00B740D7"/>
    <w:rsid w:val="00B747E0"/>
    <w:rsid w:val="00B77EB7"/>
    <w:rsid w:val="00B803F1"/>
    <w:rsid w:val="00B8046C"/>
    <w:rsid w:val="00B80519"/>
    <w:rsid w:val="00B80FFB"/>
    <w:rsid w:val="00B81F31"/>
    <w:rsid w:val="00B8207E"/>
    <w:rsid w:val="00B8220B"/>
    <w:rsid w:val="00B827CF"/>
    <w:rsid w:val="00B830F6"/>
    <w:rsid w:val="00B849B6"/>
    <w:rsid w:val="00B85681"/>
    <w:rsid w:val="00B86270"/>
    <w:rsid w:val="00B86295"/>
    <w:rsid w:val="00B870EF"/>
    <w:rsid w:val="00B90F70"/>
    <w:rsid w:val="00B9274C"/>
    <w:rsid w:val="00B93BF9"/>
    <w:rsid w:val="00B9421D"/>
    <w:rsid w:val="00B94B4C"/>
    <w:rsid w:val="00B94CB6"/>
    <w:rsid w:val="00B94DAB"/>
    <w:rsid w:val="00B94E22"/>
    <w:rsid w:val="00B95C1C"/>
    <w:rsid w:val="00B96815"/>
    <w:rsid w:val="00B96CB6"/>
    <w:rsid w:val="00B96F3B"/>
    <w:rsid w:val="00B96F52"/>
    <w:rsid w:val="00B9739E"/>
    <w:rsid w:val="00BA0488"/>
    <w:rsid w:val="00BA0AED"/>
    <w:rsid w:val="00BA0E6E"/>
    <w:rsid w:val="00BA107C"/>
    <w:rsid w:val="00BA16A6"/>
    <w:rsid w:val="00BA2B9D"/>
    <w:rsid w:val="00BA2DF7"/>
    <w:rsid w:val="00BA3AD4"/>
    <w:rsid w:val="00BA3F11"/>
    <w:rsid w:val="00BA549C"/>
    <w:rsid w:val="00BA5E5E"/>
    <w:rsid w:val="00BA5F4B"/>
    <w:rsid w:val="00BA5F4E"/>
    <w:rsid w:val="00BA6094"/>
    <w:rsid w:val="00BA6BC3"/>
    <w:rsid w:val="00BA6CC1"/>
    <w:rsid w:val="00BB2608"/>
    <w:rsid w:val="00BB2A24"/>
    <w:rsid w:val="00BB4328"/>
    <w:rsid w:val="00BB461D"/>
    <w:rsid w:val="00BB5A1C"/>
    <w:rsid w:val="00BB5ECE"/>
    <w:rsid w:val="00BB5FD3"/>
    <w:rsid w:val="00BB702F"/>
    <w:rsid w:val="00BC0C23"/>
    <w:rsid w:val="00BC16FB"/>
    <w:rsid w:val="00BC2ED3"/>
    <w:rsid w:val="00BC320C"/>
    <w:rsid w:val="00BC3741"/>
    <w:rsid w:val="00BC3B30"/>
    <w:rsid w:val="00BC3F91"/>
    <w:rsid w:val="00BC4159"/>
    <w:rsid w:val="00BC6B17"/>
    <w:rsid w:val="00BC6F76"/>
    <w:rsid w:val="00BC770D"/>
    <w:rsid w:val="00BC7DE2"/>
    <w:rsid w:val="00BD0E22"/>
    <w:rsid w:val="00BD12F6"/>
    <w:rsid w:val="00BD1F4F"/>
    <w:rsid w:val="00BD2001"/>
    <w:rsid w:val="00BD21BD"/>
    <w:rsid w:val="00BD21D2"/>
    <w:rsid w:val="00BD2AEE"/>
    <w:rsid w:val="00BD2BD2"/>
    <w:rsid w:val="00BD2C22"/>
    <w:rsid w:val="00BD3243"/>
    <w:rsid w:val="00BD3E56"/>
    <w:rsid w:val="00BD40B1"/>
    <w:rsid w:val="00BD4241"/>
    <w:rsid w:val="00BD468A"/>
    <w:rsid w:val="00BD5015"/>
    <w:rsid w:val="00BD50BA"/>
    <w:rsid w:val="00BD5308"/>
    <w:rsid w:val="00BD5C77"/>
    <w:rsid w:val="00BD5E82"/>
    <w:rsid w:val="00BD5F56"/>
    <w:rsid w:val="00BD62E5"/>
    <w:rsid w:val="00BD7544"/>
    <w:rsid w:val="00BD771F"/>
    <w:rsid w:val="00BD7A64"/>
    <w:rsid w:val="00BE149E"/>
    <w:rsid w:val="00BE15D4"/>
    <w:rsid w:val="00BE291D"/>
    <w:rsid w:val="00BE293F"/>
    <w:rsid w:val="00BE3127"/>
    <w:rsid w:val="00BE347D"/>
    <w:rsid w:val="00BE35CC"/>
    <w:rsid w:val="00BE3FDD"/>
    <w:rsid w:val="00BE437D"/>
    <w:rsid w:val="00BE53CA"/>
    <w:rsid w:val="00BE5CC5"/>
    <w:rsid w:val="00BE5D85"/>
    <w:rsid w:val="00BE7529"/>
    <w:rsid w:val="00BE78D3"/>
    <w:rsid w:val="00BF0AE4"/>
    <w:rsid w:val="00BF0B94"/>
    <w:rsid w:val="00BF10E3"/>
    <w:rsid w:val="00BF14BD"/>
    <w:rsid w:val="00BF15C0"/>
    <w:rsid w:val="00BF1D72"/>
    <w:rsid w:val="00BF3BD5"/>
    <w:rsid w:val="00BF3EA1"/>
    <w:rsid w:val="00BF454C"/>
    <w:rsid w:val="00BF5AE4"/>
    <w:rsid w:val="00BF5F41"/>
    <w:rsid w:val="00BF6471"/>
    <w:rsid w:val="00BF6495"/>
    <w:rsid w:val="00BF64D9"/>
    <w:rsid w:val="00BF7B4C"/>
    <w:rsid w:val="00BF7C80"/>
    <w:rsid w:val="00BF7D20"/>
    <w:rsid w:val="00BF7F2D"/>
    <w:rsid w:val="00C0017E"/>
    <w:rsid w:val="00C00CF8"/>
    <w:rsid w:val="00C01613"/>
    <w:rsid w:val="00C0280E"/>
    <w:rsid w:val="00C02FAD"/>
    <w:rsid w:val="00C03BB6"/>
    <w:rsid w:val="00C04FE6"/>
    <w:rsid w:val="00C05A81"/>
    <w:rsid w:val="00C05B63"/>
    <w:rsid w:val="00C07908"/>
    <w:rsid w:val="00C07CBC"/>
    <w:rsid w:val="00C07E42"/>
    <w:rsid w:val="00C10259"/>
    <w:rsid w:val="00C10AB9"/>
    <w:rsid w:val="00C124E4"/>
    <w:rsid w:val="00C12D58"/>
    <w:rsid w:val="00C1304C"/>
    <w:rsid w:val="00C140AE"/>
    <w:rsid w:val="00C140B6"/>
    <w:rsid w:val="00C141F6"/>
    <w:rsid w:val="00C146F4"/>
    <w:rsid w:val="00C15DAA"/>
    <w:rsid w:val="00C15EC6"/>
    <w:rsid w:val="00C16B58"/>
    <w:rsid w:val="00C178AA"/>
    <w:rsid w:val="00C226E8"/>
    <w:rsid w:val="00C22CCC"/>
    <w:rsid w:val="00C22F2A"/>
    <w:rsid w:val="00C23C19"/>
    <w:rsid w:val="00C2450F"/>
    <w:rsid w:val="00C24839"/>
    <w:rsid w:val="00C249C9"/>
    <w:rsid w:val="00C250E7"/>
    <w:rsid w:val="00C2580D"/>
    <w:rsid w:val="00C258B3"/>
    <w:rsid w:val="00C26374"/>
    <w:rsid w:val="00C2663E"/>
    <w:rsid w:val="00C27AE9"/>
    <w:rsid w:val="00C30193"/>
    <w:rsid w:val="00C30833"/>
    <w:rsid w:val="00C30BA7"/>
    <w:rsid w:val="00C3156F"/>
    <w:rsid w:val="00C31A38"/>
    <w:rsid w:val="00C31AF5"/>
    <w:rsid w:val="00C326A3"/>
    <w:rsid w:val="00C32B72"/>
    <w:rsid w:val="00C34597"/>
    <w:rsid w:val="00C34B3D"/>
    <w:rsid w:val="00C34CBC"/>
    <w:rsid w:val="00C34DFA"/>
    <w:rsid w:val="00C37896"/>
    <w:rsid w:val="00C37B74"/>
    <w:rsid w:val="00C404D5"/>
    <w:rsid w:val="00C40DC5"/>
    <w:rsid w:val="00C410EC"/>
    <w:rsid w:val="00C42252"/>
    <w:rsid w:val="00C42B4D"/>
    <w:rsid w:val="00C43551"/>
    <w:rsid w:val="00C43DA6"/>
    <w:rsid w:val="00C44B66"/>
    <w:rsid w:val="00C44D8A"/>
    <w:rsid w:val="00C456A5"/>
    <w:rsid w:val="00C4587C"/>
    <w:rsid w:val="00C45A03"/>
    <w:rsid w:val="00C45F10"/>
    <w:rsid w:val="00C47185"/>
    <w:rsid w:val="00C47E95"/>
    <w:rsid w:val="00C47F2F"/>
    <w:rsid w:val="00C501D3"/>
    <w:rsid w:val="00C50AB1"/>
    <w:rsid w:val="00C518FF"/>
    <w:rsid w:val="00C51A97"/>
    <w:rsid w:val="00C5228B"/>
    <w:rsid w:val="00C53564"/>
    <w:rsid w:val="00C5409F"/>
    <w:rsid w:val="00C5410C"/>
    <w:rsid w:val="00C54140"/>
    <w:rsid w:val="00C541F7"/>
    <w:rsid w:val="00C54D92"/>
    <w:rsid w:val="00C54F08"/>
    <w:rsid w:val="00C55157"/>
    <w:rsid w:val="00C55205"/>
    <w:rsid w:val="00C563C4"/>
    <w:rsid w:val="00C5691B"/>
    <w:rsid w:val="00C5698C"/>
    <w:rsid w:val="00C56B60"/>
    <w:rsid w:val="00C56E14"/>
    <w:rsid w:val="00C57529"/>
    <w:rsid w:val="00C603EE"/>
    <w:rsid w:val="00C604D6"/>
    <w:rsid w:val="00C62474"/>
    <w:rsid w:val="00C62D26"/>
    <w:rsid w:val="00C6314C"/>
    <w:rsid w:val="00C636A7"/>
    <w:rsid w:val="00C6468D"/>
    <w:rsid w:val="00C64848"/>
    <w:rsid w:val="00C64D13"/>
    <w:rsid w:val="00C657C7"/>
    <w:rsid w:val="00C65C07"/>
    <w:rsid w:val="00C6616B"/>
    <w:rsid w:val="00C66E3F"/>
    <w:rsid w:val="00C70737"/>
    <w:rsid w:val="00C7284F"/>
    <w:rsid w:val="00C728C8"/>
    <w:rsid w:val="00C73957"/>
    <w:rsid w:val="00C73B95"/>
    <w:rsid w:val="00C751D2"/>
    <w:rsid w:val="00C76120"/>
    <w:rsid w:val="00C7676A"/>
    <w:rsid w:val="00C77000"/>
    <w:rsid w:val="00C777DE"/>
    <w:rsid w:val="00C77948"/>
    <w:rsid w:val="00C77C9D"/>
    <w:rsid w:val="00C80393"/>
    <w:rsid w:val="00C809B1"/>
    <w:rsid w:val="00C80B0D"/>
    <w:rsid w:val="00C81017"/>
    <w:rsid w:val="00C813FC"/>
    <w:rsid w:val="00C81961"/>
    <w:rsid w:val="00C82D69"/>
    <w:rsid w:val="00C84A12"/>
    <w:rsid w:val="00C84E7E"/>
    <w:rsid w:val="00C85090"/>
    <w:rsid w:val="00C85A37"/>
    <w:rsid w:val="00C869C0"/>
    <w:rsid w:val="00C8734F"/>
    <w:rsid w:val="00C92012"/>
    <w:rsid w:val="00C94679"/>
    <w:rsid w:val="00C94ADB"/>
    <w:rsid w:val="00C95843"/>
    <w:rsid w:val="00C960A0"/>
    <w:rsid w:val="00C960B1"/>
    <w:rsid w:val="00C96B80"/>
    <w:rsid w:val="00C970D0"/>
    <w:rsid w:val="00C9717B"/>
    <w:rsid w:val="00C97658"/>
    <w:rsid w:val="00CA02A2"/>
    <w:rsid w:val="00CA04AE"/>
    <w:rsid w:val="00CA07B3"/>
    <w:rsid w:val="00CA0CB3"/>
    <w:rsid w:val="00CA2308"/>
    <w:rsid w:val="00CA2709"/>
    <w:rsid w:val="00CA3DB3"/>
    <w:rsid w:val="00CA3EAE"/>
    <w:rsid w:val="00CA4987"/>
    <w:rsid w:val="00CA5837"/>
    <w:rsid w:val="00CA6931"/>
    <w:rsid w:val="00CA6A79"/>
    <w:rsid w:val="00CA6EEC"/>
    <w:rsid w:val="00CA71AE"/>
    <w:rsid w:val="00CA795D"/>
    <w:rsid w:val="00CB0E18"/>
    <w:rsid w:val="00CB2A50"/>
    <w:rsid w:val="00CB2E01"/>
    <w:rsid w:val="00CB4522"/>
    <w:rsid w:val="00CB590E"/>
    <w:rsid w:val="00CB5BA7"/>
    <w:rsid w:val="00CB5BF9"/>
    <w:rsid w:val="00CB5F94"/>
    <w:rsid w:val="00CB605D"/>
    <w:rsid w:val="00CB6783"/>
    <w:rsid w:val="00CB6A95"/>
    <w:rsid w:val="00CB6BB7"/>
    <w:rsid w:val="00CC0EB1"/>
    <w:rsid w:val="00CC142E"/>
    <w:rsid w:val="00CC1560"/>
    <w:rsid w:val="00CC1838"/>
    <w:rsid w:val="00CC2C1E"/>
    <w:rsid w:val="00CC2D1B"/>
    <w:rsid w:val="00CC2E24"/>
    <w:rsid w:val="00CC3559"/>
    <w:rsid w:val="00CC377E"/>
    <w:rsid w:val="00CC395C"/>
    <w:rsid w:val="00CC5061"/>
    <w:rsid w:val="00CC5B6E"/>
    <w:rsid w:val="00CC609D"/>
    <w:rsid w:val="00CC66F0"/>
    <w:rsid w:val="00CC7540"/>
    <w:rsid w:val="00CC7B11"/>
    <w:rsid w:val="00CD028D"/>
    <w:rsid w:val="00CD098D"/>
    <w:rsid w:val="00CD0F34"/>
    <w:rsid w:val="00CD1081"/>
    <w:rsid w:val="00CD11DC"/>
    <w:rsid w:val="00CD145C"/>
    <w:rsid w:val="00CD166F"/>
    <w:rsid w:val="00CD1AC9"/>
    <w:rsid w:val="00CD20BA"/>
    <w:rsid w:val="00CD26A5"/>
    <w:rsid w:val="00CD3003"/>
    <w:rsid w:val="00CD40B1"/>
    <w:rsid w:val="00CD46BE"/>
    <w:rsid w:val="00CD4881"/>
    <w:rsid w:val="00CD4ACF"/>
    <w:rsid w:val="00CD51C2"/>
    <w:rsid w:val="00CD6044"/>
    <w:rsid w:val="00CD60D8"/>
    <w:rsid w:val="00CD62A9"/>
    <w:rsid w:val="00CD690D"/>
    <w:rsid w:val="00CD6C6D"/>
    <w:rsid w:val="00CD6CDE"/>
    <w:rsid w:val="00CD719E"/>
    <w:rsid w:val="00CD72E0"/>
    <w:rsid w:val="00CD759D"/>
    <w:rsid w:val="00CD75F5"/>
    <w:rsid w:val="00CD7801"/>
    <w:rsid w:val="00CD7E46"/>
    <w:rsid w:val="00CE00E2"/>
    <w:rsid w:val="00CE0FC4"/>
    <w:rsid w:val="00CE22DF"/>
    <w:rsid w:val="00CE31B8"/>
    <w:rsid w:val="00CE34CA"/>
    <w:rsid w:val="00CE417B"/>
    <w:rsid w:val="00CE467A"/>
    <w:rsid w:val="00CE4822"/>
    <w:rsid w:val="00CE5301"/>
    <w:rsid w:val="00CE53DC"/>
    <w:rsid w:val="00CE56BA"/>
    <w:rsid w:val="00CE60F1"/>
    <w:rsid w:val="00CE610B"/>
    <w:rsid w:val="00CE68C8"/>
    <w:rsid w:val="00CE6EBA"/>
    <w:rsid w:val="00CE7A26"/>
    <w:rsid w:val="00CE7CC1"/>
    <w:rsid w:val="00CF1CA0"/>
    <w:rsid w:val="00CF210E"/>
    <w:rsid w:val="00CF255F"/>
    <w:rsid w:val="00CF2843"/>
    <w:rsid w:val="00CF3570"/>
    <w:rsid w:val="00CF4437"/>
    <w:rsid w:val="00CF5317"/>
    <w:rsid w:val="00CF6A61"/>
    <w:rsid w:val="00CF7886"/>
    <w:rsid w:val="00CF7935"/>
    <w:rsid w:val="00CF7A51"/>
    <w:rsid w:val="00D00B66"/>
    <w:rsid w:val="00D017CC"/>
    <w:rsid w:val="00D01FEE"/>
    <w:rsid w:val="00D02BEC"/>
    <w:rsid w:val="00D0486F"/>
    <w:rsid w:val="00D04A15"/>
    <w:rsid w:val="00D04D66"/>
    <w:rsid w:val="00D054AC"/>
    <w:rsid w:val="00D05EE4"/>
    <w:rsid w:val="00D06391"/>
    <w:rsid w:val="00D10344"/>
    <w:rsid w:val="00D104DF"/>
    <w:rsid w:val="00D10922"/>
    <w:rsid w:val="00D10FB9"/>
    <w:rsid w:val="00D1130D"/>
    <w:rsid w:val="00D11601"/>
    <w:rsid w:val="00D11FB9"/>
    <w:rsid w:val="00D13559"/>
    <w:rsid w:val="00D135D8"/>
    <w:rsid w:val="00D15105"/>
    <w:rsid w:val="00D159F5"/>
    <w:rsid w:val="00D1697B"/>
    <w:rsid w:val="00D17073"/>
    <w:rsid w:val="00D17717"/>
    <w:rsid w:val="00D213D2"/>
    <w:rsid w:val="00D2184F"/>
    <w:rsid w:val="00D22350"/>
    <w:rsid w:val="00D223DB"/>
    <w:rsid w:val="00D2284A"/>
    <w:rsid w:val="00D23108"/>
    <w:rsid w:val="00D2393C"/>
    <w:rsid w:val="00D239EF"/>
    <w:rsid w:val="00D23A80"/>
    <w:rsid w:val="00D23F4F"/>
    <w:rsid w:val="00D24544"/>
    <w:rsid w:val="00D246DA"/>
    <w:rsid w:val="00D25004"/>
    <w:rsid w:val="00D256F3"/>
    <w:rsid w:val="00D2598F"/>
    <w:rsid w:val="00D26CED"/>
    <w:rsid w:val="00D279E7"/>
    <w:rsid w:val="00D27A17"/>
    <w:rsid w:val="00D30BC8"/>
    <w:rsid w:val="00D31915"/>
    <w:rsid w:val="00D31A0A"/>
    <w:rsid w:val="00D31B52"/>
    <w:rsid w:val="00D331FE"/>
    <w:rsid w:val="00D332BB"/>
    <w:rsid w:val="00D33454"/>
    <w:rsid w:val="00D34092"/>
    <w:rsid w:val="00D34134"/>
    <w:rsid w:val="00D34A72"/>
    <w:rsid w:val="00D34B96"/>
    <w:rsid w:val="00D35009"/>
    <w:rsid w:val="00D35884"/>
    <w:rsid w:val="00D365F5"/>
    <w:rsid w:val="00D367F2"/>
    <w:rsid w:val="00D370D8"/>
    <w:rsid w:val="00D37647"/>
    <w:rsid w:val="00D4180F"/>
    <w:rsid w:val="00D42502"/>
    <w:rsid w:val="00D42DC9"/>
    <w:rsid w:val="00D43116"/>
    <w:rsid w:val="00D4313C"/>
    <w:rsid w:val="00D43651"/>
    <w:rsid w:val="00D43FD6"/>
    <w:rsid w:val="00D44691"/>
    <w:rsid w:val="00D447D4"/>
    <w:rsid w:val="00D457CD"/>
    <w:rsid w:val="00D4637C"/>
    <w:rsid w:val="00D46F5D"/>
    <w:rsid w:val="00D47872"/>
    <w:rsid w:val="00D47AD0"/>
    <w:rsid w:val="00D50817"/>
    <w:rsid w:val="00D508F4"/>
    <w:rsid w:val="00D50917"/>
    <w:rsid w:val="00D51460"/>
    <w:rsid w:val="00D51DFC"/>
    <w:rsid w:val="00D52AD6"/>
    <w:rsid w:val="00D543DE"/>
    <w:rsid w:val="00D5577B"/>
    <w:rsid w:val="00D55C4D"/>
    <w:rsid w:val="00D5684B"/>
    <w:rsid w:val="00D56CA2"/>
    <w:rsid w:val="00D57890"/>
    <w:rsid w:val="00D57CFC"/>
    <w:rsid w:val="00D609A0"/>
    <w:rsid w:val="00D61182"/>
    <w:rsid w:val="00D61D99"/>
    <w:rsid w:val="00D62831"/>
    <w:rsid w:val="00D637A6"/>
    <w:rsid w:val="00D63E04"/>
    <w:rsid w:val="00D6435D"/>
    <w:rsid w:val="00D6509D"/>
    <w:rsid w:val="00D65322"/>
    <w:rsid w:val="00D656BC"/>
    <w:rsid w:val="00D66F58"/>
    <w:rsid w:val="00D6738E"/>
    <w:rsid w:val="00D7010E"/>
    <w:rsid w:val="00D718C9"/>
    <w:rsid w:val="00D71FDF"/>
    <w:rsid w:val="00D7279D"/>
    <w:rsid w:val="00D72A66"/>
    <w:rsid w:val="00D72A7F"/>
    <w:rsid w:val="00D72C60"/>
    <w:rsid w:val="00D72E5B"/>
    <w:rsid w:val="00D73281"/>
    <w:rsid w:val="00D73506"/>
    <w:rsid w:val="00D73AEB"/>
    <w:rsid w:val="00D741B9"/>
    <w:rsid w:val="00D7486A"/>
    <w:rsid w:val="00D752B5"/>
    <w:rsid w:val="00D75685"/>
    <w:rsid w:val="00D760C3"/>
    <w:rsid w:val="00D761FE"/>
    <w:rsid w:val="00D765FB"/>
    <w:rsid w:val="00D76C51"/>
    <w:rsid w:val="00D80DFF"/>
    <w:rsid w:val="00D81054"/>
    <w:rsid w:val="00D82B9F"/>
    <w:rsid w:val="00D82BF5"/>
    <w:rsid w:val="00D82E68"/>
    <w:rsid w:val="00D8424F"/>
    <w:rsid w:val="00D842B5"/>
    <w:rsid w:val="00D84A71"/>
    <w:rsid w:val="00D84B57"/>
    <w:rsid w:val="00D84D13"/>
    <w:rsid w:val="00D85000"/>
    <w:rsid w:val="00D86396"/>
    <w:rsid w:val="00D8696D"/>
    <w:rsid w:val="00D87AB6"/>
    <w:rsid w:val="00D9032B"/>
    <w:rsid w:val="00D904E0"/>
    <w:rsid w:val="00D90F7A"/>
    <w:rsid w:val="00D91403"/>
    <w:rsid w:val="00D914BF"/>
    <w:rsid w:val="00D92FB4"/>
    <w:rsid w:val="00D9334E"/>
    <w:rsid w:val="00D94847"/>
    <w:rsid w:val="00D94FDB"/>
    <w:rsid w:val="00D94FFE"/>
    <w:rsid w:val="00D95D17"/>
    <w:rsid w:val="00D9612B"/>
    <w:rsid w:val="00D965F6"/>
    <w:rsid w:val="00DA0256"/>
    <w:rsid w:val="00DA2CEE"/>
    <w:rsid w:val="00DA2DC0"/>
    <w:rsid w:val="00DA2F98"/>
    <w:rsid w:val="00DA3ABE"/>
    <w:rsid w:val="00DA45BD"/>
    <w:rsid w:val="00DA48B8"/>
    <w:rsid w:val="00DA4A94"/>
    <w:rsid w:val="00DA4CD3"/>
    <w:rsid w:val="00DA5C34"/>
    <w:rsid w:val="00DA696C"/>
    <w:rsid w:val="00DA6BB8"/>
    <w:rsid w:val="00DA74F6"/>
    <w:rsid w:val="00DA7D51"/>
    <w:rsid w:val="00DA7D91"/>
    <w:rsid w:val="00DB0093"/>
    <w:rsid w:val="00DB0C82"/>
    <w:rsid w:val="00DB170D"/>
    <w:rsid w:val="00DB2081"/>
    <w:rsid w:val="00DB25DC"/>
    <w:rsid w:val="00DB26BC"/>
    <w:rsid w:val="00DB3211"/>
    <w:rsid w:val="00DB3BF8"/>
    <w:rsid w:val="00DB4A05"/>
    <w:rsid w:val="00DB5668"/>
    <w:rsid w:val="00DB5CF0"/>
    <w:rsid w:val="00DB6251"/>
    <w:rsid w:val="00DB62DF"/>
    <w:rsid w:val="00DB63FC"/>
    <w:rsid w:val="00DB6752"/>
    <w:rsid w:val="00DB6D34"/>
    <w:rsid w:val="00DB7B42"/>
    <w:rsid w:val="00DC06FF"/>
    <w:rsid w:val="00DC0F7B"/>
    <w:rsid w:val="00DC22A3"/>
    <w:rsid w:val="00DC29BB"/>
    <w:rsid w:val="00DC2B56"/>
    <w:rsid w:val="00DC37F6"/>
    <w:rsid w:val="00DC38F2"/>
    <w:rsid w:val="00DC3C94"/>
    <w:rsid w:val="00DC49A1"/>
    <w:rsid w:val="00DC516B"/>
    <w:rsid w:val="00DC51BE"/>
    <w:rsid w:val="00DC54F3"/>
    <w:rsid w:val="00DC5BA0"/>
    <w:rsid w:val="00DC5DBB"/>
    <w:rsid w:val="00DC5F44"/>
    <w:rsid w:val="00DC6B89"/>
    <w:rsid w:val="00DC7146"/>
    <w:rsid w:val="00DC7969"/>
    <w:rsid w:val="00DC7DDA"/>
    <w:rsid w:val="00DD0FB3"/>
    <w:rsid w:val="00DD1D1C"/>
    <w:rsid w:val="00DD27BF"/>
    <w:rsid w:val="00DD30E9"/>
    <w:rsid w:val="00DD314D"/>
    <w:rsid w:val="00DD3877"/>
    <w:rsid w:val="00DD601F"/>
    <w:rsid w:val="00DD69AE"/>
    <w:rsid w:val="00DD6EC3"/>
    <w:rsid w:val="00DD7642"/>
    <w:rsid w:val="00DD7E05"/>
    <w:rsid w:val="00DE00F3"/>
    <w:rsid w:val="00DE0984"/>
    <w:rsid w:val="00DE1AC1"/>
    <w:rsid w:val="00DE4041"/>
    <w:rsid w:val="00DE4148"/>
    <w:rsid w:val="00DE4696"/>
    <w:rsid w:val="00DE4792"/>
    <w:rsid w:val="00DE4938"/>
    <w:rsid w:val="00DE4A28"/>
    <w:rsid w:val="00DE4E16"/>
    <w:rsid w:val="00DE5AD3"/>
    <w:rsid w:val="00DE5D32"/>
    <w:rsid w:val="00DE5DDF"/>
    <w:rsid w:val="00DE68D7"/>
    <w:rsid w:val="00DE69D9"/>
    <w:rsid w:val="00DE7397"/>
    <w:rsid w:val="00DF0BC4"/>
    <w:rsid w:val="00DF13E2"/>
    <w:rsid w:val="00DF2288"/>
    <w:rsid w:val="00DF33D9"/>
    <w:rsid w:val="00DF34E4"/>
    <w:rsid w:val="00DF35FA"/>
    <w:rsid w:val="00DF3AEE"/>
    <w:rsid w:val="00DF6309"/>
    <w:rsid w:val="00DF6FD8"/>
    <w:rsid w:val="00DF7260"/>
    <w:rsid w:val="00DF7C76"/>
    <w:rsid w:val="00DF7F10"/>
    <w:rsid w:val="00DF7F9B"/>
    <w:rsid w:val="00E00B2A"/>
    <w:rsid w:val="00E01766"/>
    <w:rsid w:val="00E017CC"/>
    <w:rsid w:val="00E019EF"/>
    <w:rsid w:val="00E021A7"/>
    <w:rsid w:val="00E023F1"/>
    <w:rsid w:val="00E027B7"/>
    <w:rsid w:val="00E02F46"/>
    <w:rsid w:val="00E02F7D"/>
    <w:rsid w:val="00E035CF"/>
    <w:rsid w:val="00E03AF7"/>
    <w:rsid w:val="00E03B12"/>
    <w:rsid w:val="00E04130"/>
    <w:rsid w:val="00E0417E"/>
    <w:rsid w:val="00E043D0"/>
    <w:rsid w:val="00E044BF"/>
    <w:rsid w:val="00E05612"/>
    <w:rsid w:val="00E05B93"/>
    <w:rsid w:val="00E0635E"/>
    <w:rsid w:val="00E07BC7"/>
    <w:rsid w:val="00E1046E"/>
    <w:rsid w:val="00E110F2"/>
    <w:rsid w:val="00E117D5"/>
    <w:rsid w:val="00E12983"/>
    <w:rsid w:val="00E133A7"/>
    <w:rsid w:val="00E135FF"/>
    <w:rsid w:val="00E14B36"/>
    <w:rsid w:val="00E1537A"/>
    <w:rsid w:val="00E155FC"/>
    <w:rsid w:val="00E15758"/>
    <w:rsid w:val="00E15B67"/>
    <w:rsid w:val="00E15E45"/>
    <w:rsid w:val="00E167AC"/>
    <w:rsid w:val="00E17325"/>
    <w:rsid w:val="00E174B0"/>
    <w:rsid w:val="00E179B3"/>
    <w:rsid w:val="00E207DC"/>
    <w:rsid w:val="00E20C16"/>
    <w:rsid w:val="00E22574"/>
    <w:rsid w:val="00E22D7A"/>
    <w:rsid w:val="00E2321A"/>
    <w:rsid w:val="00E23226"/>
    <w:rsid w:val="00E232BE"/>
    <w:rsid w:val="00E255D0"/>
    <w:rsid w:val="00E3026E"/>
    <w:rsid w:val="00E3031A"/>
    <w:rsid w:val="00E305C7"/>
    <w:rsid w:val="00E30983"/>
    <w:rsid w:val="00E318F1"/>
    <w:rsid w:val="00E32689"/>
    <w:rsid w:val="00E332A7"/>
    <w:rsid w:val="00E3573F"/>
    <w:rsid w:val="00E3582B"/>
    <w:rsid w:val="00E35ED5"/>
    <w:rsid w:val="00E3640B"/>
    <w:rsid w:val="00E36605"/>
    <w:rsid w:val="00E366E7"/>
    <w:rsid w:val="00E3698A"/>
    <w:rsid w:val="00E36CEE"/>
    <w:rsid w:val="00E37481"/>
    <w:rsid w:val="00E4092C"/>
    <w:rsid w:val="00E40CED"/>
    <w:rsid w:val="00E42D2C"/>
    <w:rsid w:val="00E42DAF"/>
    <w:rsid w:val="00E42FBE"/>
    <w:rsid w:val="00E4338D"/>
    <w:rsid w:val="00E43A33"/>
    <w:rsid w:val="00E4428A"/>
    <w:rsid w:val="00E44682"/>
    <w:rsid w:val="00E44FF9"/>
    <w:rsid w:val="00E451D5"/>
    <w:rsid w:val="00E453E4"/>
    <w:rsid w:val="00E4569A"/>
    <w:rsid w:val="00E45859"/>
    <w:rsid w:val="00E45910"/>
    <w:rsid w:val="00E45C88"/>
    <w:rsid w:val="00E4683F"/>
    <w:rsid w:val="00E46C06"/>
    <w:rsid w:val="00E47237"/>
    <w:rsid w:val="00E47484"/>
    <w:rsid w:val="00E500F1"/>
    <w:rsid w:val="00E50252"/>
    <w:rsid w:val="00E515A7"/>
    <w:rsid w:val="00E52835"/>
    <w:rsid w:val="00E52D8E"/>
    <w:rsid w:val="00E53549"/>
    <w:rsid w:val="00E54157"/>
    <w:rsid w:val="00E555DA"/>
    <w:rsid w:val="00E556A5"/>
    <w:rsid w:val="00E569D1"/>
    <w:rsid w:val="00E56DD0"/>
    <w:rsid w:val="00E5710C"/>
    <w:rsid w:val="00E576F5"/>
    <w:rsid w:val="00E57E28"/>
    <w:rsid w:val="00E61808"/>
    <w:rsid w:val="00E62382"/>
    <w:rsid w:val="00E63473"/>
    <w:rsid w:val="00E63ACE"/>
    <w:rsid w:val="00E64E4A"/>
    <w:rsid w:val="00E652D9"/>
    <w:rsid w:val="00E66183"/>
    <w:rsid w:val="00E662C6"/>
    <w:rsid w:val="00E666D5"/>
    <w:rsid w:val="00E66B95"/>
    <w:rsid w:val="00E67086"/>
    <w:rsid w:val="00E67C86"/>
    <w:rsid w:val="00E67DB0"/>
    <w:rsid w:val="00E704CF"/>
    <w:rsid w:val="00E70789"/>
    <w:rsid w:val="00E7188E"/>
    <w:rsid w:val="00E738B7"/>
    <w:rsid w:val="00E73A9E"/>
    <w:rsid w:val="00E7487D"/>
    <w:rsid w:val="00E74D38"/>
    <w:rsid w:val="00E7621A"/>
    <w:rsid w:val="00E766F2"/>
    <w:rsid w:val="00E76947"/>
    <w:rsid w:val="00E76AA6"/>
    <w:rsid w:val="00E77163"/>
    <w:rsid w:val="00E772B1"/>
    <w:rsid w:val="00E77FAE"/>
    <w:rsid w:val="00E80143"/>
    <w:rsid w:val="00E80ADF"/>
    <w:rsid w:val="00E80DF0"/>
    <w:rsid w:val="00E81EE9"/>
    <w:rsid w:val="00E82BE9"/>
    <w:rsid w:val="00E82E0F"/>
    <w:rsid w:val="00E83858"/>
    <w:rsid w:val="00E83F44"/>
    <w:rsid w:val="00E84968"/>
    <w:rsid w:val="00E85DC0"/>
    <w:rsid w:val="00E85FEA"/>
    <w:rsid w:val="00E8635D"/>
    <w:rsid w:val="00E86377"/>
    <w:rsid w:val="00E86B85"/>
    <w:rsid w:val="00E86C75"/>
    <w:rsid w:val="00E87583"/>
    <w:rsid w:val="00E87F17"/>
    <w:rsid w:val="00E909F5"/>
    <w:rsid w:val="00E915E9"/>
    <w:rsid w:val="00E91EC9"/>
    <w:rsid w:val="00E92372"/>
    <w:rsid w:val="00E9279D"/>
    <w:rsid w:val="00E928F4"/>
    <w:rsid w:val="00E92DDA"/>
    <w:rsid w:val="00E93491"/>
    <w:rsid w:val="00E93B45"/>
    <w:rsid w:val="00E93D5C"/>
    <w:rsid w:val="00E93E2A"/>
    <w:rsid w:val="00E94034"/>
    <w:rsid w:val="00E94195"/>
    <w:rsid w:val="00E9432E"/>
    <w:rsid w:val="00E9481F"/>
    <w:rsid w:val="00E95A1B"/>
    <w:rsid w:val="00E95B74"/>
    <w:rsid w:val="00E95F13"/>
    <w:rsid w:val="00E96CB4"/>
    <w:rsid w:val="00E96E79"/>
    <w:rsid w:val="00E97FD7"/>
    <w:rsid w:val="00EA101C"/>
    <w:rsid w:val="00EA36F0"/>
    <w:rsid w:val="00EA396F"/>
    <w:rsid w:val="00EA4114"/>
    <w:rsid w:val="00EA4245"/>
    <w:rsid w:val="00EA464E"/>
    <w:rsid w:val="00EA5957"/>
    <w:rsid w:val="00EA5F5C"/>
    <w:rsid w:val="00EA78CF"/>
    <w:rsid w:val="00EA7ED2"/>
    <w:rsid w:val="00EB12CA"/>
    <w:rsid w:val="00EB133B"/>
    <w:rsid w:val="00EB20AD"/>
    <w:rsid w:val="00EB28E1"/>
    <w:rsid w:val="00EB2B14"/>
    <w:rsid w:val="00EB2CAD"/>
    <w:rsid w:val="00EB31D0"/>
    <w:rsid w:val="00EB35F5"/>
    <w:rsid w:val="00EB3E83"/>
    <w:rsid w:val="00EB3EE5"/>
    <w:rsid w:val="00EB4060"/>
    <w:rsid w:val="00EB40B3"/>
    <w:rsid w:val="00EB4AFC"/>
    <w:rsid w:val="00EB51B3"/>
    <w:rsid w:val="00EB52EB"/>
    <w:rsid w:val="00EB53C7"/>
    <w:rsid w:val="00EB5485"/>
    <w:rsid w:val="00EB5488"/>
    <w:rsid w:val="00EB56EF"/>
    <w:rsid w:val="00EB66D5"/>
    <w:rsid w:val="00EB7537"/>
    <w:rsid w:val="00EC0524"/>
    <w:rsid w:val="00EC0651"/>
    <w:rsid w:val="00EC0B6D"/>
    <w:rsid w:val="00EC0D70"/>
    <w:rsid w:val="00EC13B8"/>
    <w:rsid w:val="00EC171D"/>
    <w:rsid w:val="00EC1FD0"/>
    <w:rsid w:val="00EC2603"/>
    <w:rsid w:val="00EC271D"/>
    <w:rsid w:val="00EC2756"/>
    <w:rsid w:val="00EC34EB"/>
    <w:rsid w:val="00EC36B2"/>
    <w:rsid w:val="00EC3A13"/>
    <w:rsid w:val="00EC3C95"/>
    <w:rsid w:val="00EC43A9"/>
    <w:rsid w:val="00EC4663"/>
    <w:rsid w:val="00EC4AAC"/>
    <w:rsid w:val="00EC50A6"/>
    <w:rsid w:val="00EC526F"/>
    <w:rsid w:val="00EC54EF"/>
    <w:rsid w:val="00EC5CA2"/>
    <w:rsid w:val="00EC62E7"/>
    <w:rsid w:val="00EC65B0"/>
    <w:rsid w:val="00EC6766"/>
    <w:rsid w:val="00EC6B0C"/>
    <w:rsid w:val="00EC6D77"/>
    <w:rsid w:val="00EC7B5D"/>
    <w:rsid w:val="00ED0672"/>
    <w:rsid w:val="00ED0953"/>
    <w:rsid w:val="00ED0ABC"/>
    <w:rsid w:val="00ED2398"/>
    <w:rsid w:val="00ED2697"/>
    <w:rsid w:val="00ED2E11"/>
    <w:rsid w:val="00ED4051"/>
    <w:rsid w:val="00ED42B0"/>
    <w:rsid w:val="00ED4567"/>
    <w:rsid w:val="00ED48B3"/>
    <w:rsid w:val="00ED4A63"/>
    <w:rsid w:val="00ED503B"/>
    <w:rsid w:val="00ED6350"/>
    <w:rsid w:val="00ED638B"/>
    <w:rsid w:val="00ED6C0B"/>
    <w:rsid w:val="00ED7539"/>
    <w:rsid w:val="00ED778D"/>
    <w:rsid w:val="00EE089F"/>
    <w:rsid w:val="00EE10B6"/>
    <w:rsid w:val="00EE138F"/>
    <w:rsid w:val="00EE152B"/>
    <w:rsid w:val="00EE1657"/>
    <w:rsid w:val="00EE2548"/>
    <w:rsid w:val="00EE2C99"/>
    <w:rsid w:val="00EE3600"/>
    <w:rsid w:val="00EE3640"/>
    <w:rsid w:val="00EE3B7B"/>
    <w:rsid w:val="00EE4B60"/>
    <w:rsid w:val="00EE4DFC"/>
    <w:rsid w:val="00EE582B"/>
    <w:rsid w:val="00EE5CD1"/>
    <w:rsid w:val="00EE5FEC"/>
    <w:rsid w:val="00EE651E"/>
    <w:rsid w:val="00EE6EEC"/>
    <w:rsid w:val="00EE7D8B"/>
    <w:rsid w:val="00EE7F3B"/>
    <w:rsid w:val="00EF09C9"/>
    <w:rsid w:val="00EF1564"/>
    <w:rsid w:val="00EF1677"/>
    <w:rsid w:val="00EF259E"/>
    <w:rsid w:val="00EF2CB2"/>
    <w:rsid w:val="00EF3392"/>
    <w:rsid w:val="00EF3A17"/>
    <w:rsid w:val="00EF3B7C"/>
    <w:rsid w:val="00EF3D45"/>
    <w:rsid w:val="00EF3D81"/>
    <w:rsid w:val="00EF45DC"/>
    <w:rsid w:val="00EF54E6"/>
    <w:rsid w:val="00EF55D0"/>
    <w:rsid w:val="00EF5AC5"/>
    <w:rsid w:val="00F0031C"/>
    <w:rsid w:val="00F00448"/>
    <w:rsid w:val="00F0089A"/>
    <w:rsid w:val="00F00C5E"/>
    <w:rsid w:val="00F01BDB"/>
    <w:rsid w:val="00F029F4"/>
    <w:rsid w:val="00F02F58"/>
    <w:rsid w:val="00F03D4B"/>
    <w:rsid w:val="00F04528"/>
    <w:rsid w:val="00F05802"/>
    <w:rsid w:val="00F05C4E"/>
    <w:rsid w:val="00F069F4"/>
    <w:rsid w:val="00F06F23"/>
    <w:rsid w:val="00F07FBD"/>
    <w:rsid w:val="00F10091"/>
    <w:rsid w:val="00F103A8"/>
    <w:rsid w:val="00F1089F"/>
    <w:rsid w:val="00F10CEC"/>
    <w:rsid w:val="00F10F87"/>
    <w:rsid w:val="00F112E2"/>
    <w:rsid w:val="00F11701"/>
    <w:rsid w:val="00F11F3D"/>
    <w:rsid w:val="00F11FBB"/>
    <w:rsid w:val="00F12469"/>
    <w:rsid w:val="00F12697"/>
    <w:rsid w:val="00F12A17"/>
    <w:rsid w:val="00F12BF5"/>
    <w:rsid w:val="00F130A0"/>
    <w:rsid w:val="00F130C2"/>
    <w:rsid w:val="00F1357A"/>
    <w:rsid w:val="00F13E78"/>
    <w:rsid w:val="00F14151"/>
    <w:rsid w:val="00F1574A"/>
    <w:rsid w:val="00F16091"/>
    <w:rsid w:val="00F17E83"/>
    <w:rsid w:val="00F17F4E"/>
    <w:rsid w:val="00F20977"/>
    <w:rsid w:val="00F20FC9"/>
    <w:rsid w:val="00F217D6"/>
    <w:rsid w:val="00F21BF4"/>
    <w:rsid w:val="00F21BFB"/>
    <w:rsid w:val="00F21FAC"/>
    <w:rsid w:val="00F226F0"/>
    <w:rsid w:val="00F22922"/>
    <w:rsid w:val="00F22F62"/>
    <w:rsid w:val="00F236B8"/>
    <w:rsid w:val="00F237B2"/>
    <w:rsid w:val="00F239C8"/>
    <w:rsid w:val="00F25E7A"/>
    <w:rsid w:val="00F2642A"/>
    <w:rsid w:val="00F273C3"/>
    <w:rsid w:val="00F27924"/>
    <w:rsid w:val="00F27E20"/>
    <w:rsid w:val="00F27F74"/>
    <w:rsid w:val="00F3003F"/>
    <w:rsid w:val="00F3015E"/>
    <w:rsid w:val="00F303DD"/>
    <w:rsid w:val="00F307F7"/>
    <w:rsid w:val="00F310D3"/>
    <w:rsid w:val="00F31943"/>
    <w:rsid w:val="00F31CAE"/>
    <w:rsid w:val="00F33158"/>
    <w:rsid w:val="00F33548"/>
    <w:rsid w:val="00F347DA"/>
    <w:rsid w:val="00F34C97"/>
    <w:rsid w:val="00F34FA3"/>
    <w:rsid w:val="00F3511F"/>
    <w:rsid w:val="00F35210"/>
    <w:rsid w:val="00F3529E"/>
    <w:rsid w:val="00F36212"/>
    <w:rsid w:val="00F36759"/>
    <w:rsid w:val="00F375D1"/>
    <w:rsid w:val="00F411EF"/>
    <w:rsid w:val="00F419CB"/>
    <w:rsid w:val="00F41EE5"/>
    <w:rsid w:val="00F435F5"/>
    <w:rsid w:val="00F43B1E"/>
    <w:rsid w:val="00F43E66"/>
    <w:rsid w:val="00F43FF2"/>
    <w:rsid w:val="00F44201"/>
    <w:rsid w:val="00F453E3"/>
    <w:rsid w:val="00F46323"/>
    <w:rsid w:val="00F5007F"/>
    <w:rsid w:val="00F5035A"/>
    <w:rsid w:val="00F5044C"/>
    <w:rsid w:val="00F5199F"/>
    <w:rsid w:val="00F52138"/>
    <w:rsid w:val="00F521E1"/>
    <w:rsid w:val="00F52228"/>
    <w:rsid w:val="00F52718"/>
    <w:rsid w:val="00F531DB"/>
    <w:rsid w:val="00F53E25"/>
    <w:rsid w:val="00F54589"/>
    <w:rsid w:val="00F54669"/>
    <w:rsid w:val="00F54F8A"/>
    <w:rsid w:val="00F555EC"/>
    <w:rsid w:val="00F55DFD"/>
    <w:rsid w:val="00F5775A"/>
    <w:rsid w:val="00F57D28"/>
    <w:rsid w:val="00F60619"/>
    <w:rsid w:val="00F6163A"/>
    <w:rsid w:val="00F6270F"/>
    <w:rsid w:val="00F62B1E"/>
    <w:rsid w:val="00F62BCD"/>
    <w:rsid w:val="00F634FE"/>
    <w:rsid w:val="00F63E0A"/>
    <w:rsid w:val="00F64562"/>
    <w:rsid w:val="00F64899"/>
    <w:rsid w:val="00F669C3"/>
    <w:rsid w:val="00F66B16"/>
    <w:rsid w:val="00F6714C"/>
    <w:rsid w:val="00F67EF1"/>
    <w:rsid w:val="00F67F7C"/>
    <w:rsid w:val="00F70705"/>
    <w:rsid w:val="00F70FDE"/>
    <w:rsid w:val="00F71354"/>
    <w:rsid w:val="00F71B49"/>
    <w:rsid w:val="00F731CD"/>
    <w:rsid w:val="00F7332A"/>
    <w:rsid w:val="00F733AA"/>
    <w:rsid w:val="00F73D31"/>
    <w:rsid w:val="00F75782"/>
    <w:rsid w:val="00F806B3"/>
    <w:rsid w:val="00F80814"/>
    <w:rsid w:val="00F81A87"/>
    <w:rsid w:val="00F8207A"/>
    <w:rsid w:val="00F836F6"/>
    <w:rsid w:val="00F83ABB"/>
    <w:rsid w:val="00F86BB1"/>
    <w:rsid w:val="00F8770A"/>
    <w:rsid w:val="00F90799"/>
    <w:rsid w:val="00F91005"/>
    <w:rsid w:val="00F91E7B"/>
    <w:rsid w:val="00F92087"/>
    <w:rsid w:val="00F921BF"/>
    <w:rsid w:val="00F94D34"/>
    <w:rsid w:val="00F94F88"/>
    <w:rsid w:val="00F958A2"/>
    <w:rsid w:val="00F9607C"/>
    <w:rsid w:val="00F97075"/>
    <w:rsid w:val="00F97410"/>
    <w:rsid w:val="00FA0102"/>
    <w:rsid w:val="00FA05C7"/>
    <w:rsid w:val="00FA0704"/>
    <w:rsid w:val="00FA0EF0"/>
    <w:rsid w:val="00FA153B"/>
    <w:rsid w:val="00FA1F9E"/>
    <w:rsid w:val="00FA30AC"/>
    <w:rsid w:val="00FA34F4"/>
    <w:rsid w:val="00FA4405"/>
    <w:rsid w:val="00FA4574"/>
    <w:rsid w:val="00FA4797"/>
    <w:rsid w:val="00FA54F2"/>
    <w:rsid w:val="00FA5724"/>
    <w:rsid w:val="00FA627B"/>
    <w:rsid w:val="00FA7DFE"/>
    <w:rsid w:val="00FA7F5C"/>
    <w:rsid w:val="00FB098C"/>
    <w:rsid w:val="00FB1BCF"/>
    <w:rsid w:val="00FB21C1"/>
    <w:rsid w:val="00FB23B0"/>
    <w:rsid w:val="00FB2A0D"/>
    <w:rsid w:val="00FB3137"/>
    <w:rsid w:val="00FB31A2"/>
    <w:rsid w:val="00FB41FE"/>
    <w:rsid w:val="00FB48FF"/>
    <w:rsid w:val="00FB4CAD"/>
    <w:rsid w:val="00FB4DEE"/>
    <w:rsid w:val="00FB4DF0"/>
    <w:rsid w:val="00FB4F1A"/>
    <w:rsid w:val="00FB4FE2"/>
    <w:rsid w:val="00FB5595"/>
    <w:rsid w:val="00FB618F"/>
    <w:rsid w:val="00FB6771"/>
    <w:rsid w:val="00FC0F90"/>
    <w:rsid w:val="00FC2A06"/>
    <w:rsid w:val="00FC52D9"/>
    <w:rsid w:val="00FC649C"/>
    <w:rsid w:val="00FC6DA0"/>
    <w:rsid w:val="00FC73C4"/>
    <w:rsid w:val="00FC7F11"/>
    <w:rsid w:val="00FD11BD"/>
    <w:rsid w:val="00FD128D"/>
    <w:rsid w:val="00FD1968"/>
    <w:rsid w:val="00FD2084"/>
    <w:rsid w:val="00FD302F"/>
    <w:rsid w:val="00FD3BA7"/>
    <w:rsid w:val="00FD483A"/>
    <w:rsid w:val="00FD4D8D"/>
    <w:rsid w:val="00FD4F11"/>
    <w:rsid w:val="00FD5300"/>
    <w:rsid w:val="00FD5791"/>
    <w:rsid w:val="00FD6C38"/>
    <w:rsid w:val="00FD78C5"/>
    <w:rsid w:val="00FE0D6D"/>
    <w:rsid w:val="00FE16BE"/>
    <w:rsid w:val="00FE1C8B"/>
    <w:rsid w:val="00FE2074"/>
    <w:rsid w:val="00FE23C2"/>
    <w:rsid w:val="00FE24DC"/>
    <w:rsid w:val="00FE3A39"/>
    <w:rsid w:val="00FE3B7B"/>
    <w:rsid w:val="00FE601E"/>
    <w:rsid w:val="00FE6627"/>
    <w:rsid w:val="00FE68F7"/>
    <w:rsid w:val="00FE7109"/>
    <w:rsid w:val="00FE7A89"/>
    <w:rsid w:val="00FE7A9A"/>
    <w:rsid w:val="00FE7C2A"/>
    <w:rsid w:val="00FF0BE8"/>
    <w:rsid w:val="00FF2578"/>
    <w:rsid w:val="00FF2E3A"/>
    <w:rsid w:val="00FF3D17"/>
    <w:rsid w:val="00FF62F6"/>
    <w:rsid w:val="00FF6EED"/>
    <w:rsid w:val="00FF74D0"/>
    <w:rsid w:val="00FF78C5"/>
    <w:rsid w:val="015DC735"/>
    <w:rsid w:val="01694744"/>
    <w:rsid w:val="01DC7BD1"/>
    <w:rsid w:val="026D6675"/>
    <w:rsid w:val="03E13490"/>
    <w:rsid w:val="05CF99F4"/>
    <w:rsid w:val="063F9F57"/>
    <w:rsid w:val="074BF298"/>
    <w:rsid w:val="08317B00"/>
    <w:rsid w:val="0A27901F"/>
    <w:rsid w:val="0A9243D2"/>
    <w:rsid w:val="0AD61CCE"/>
    <w:rsid w:val="0B56DD72"/>
    <w:rsid w:val="0BF45B3E"/>
    <w:rsid w:val="0D8052EF"/>
    <w:rsid w:val="0E4EDBAE"/>
    <w:rsid w:val="0F0FC2F4"/>
    <w:rsid w:val="0F2CE169"/>
    <w:rsid w:val="0F51EF59"/>
    <w:rsid w:val="1139E629"/>
    <w:rsid w:val="1143BBE1"/>
    <w:rsid w:val="115EC873"/>
    <w:rsid w:val="11E11CC8"/>
    <w:rsid w:val="12EDCE80"/>
    <w:rsid w:val="12F977A2"/>
    <w:rsid w:val="132C35F8"/>
    <w:rsid w:val="13585997"/>
    <w:rsid w:val="153EDAFB"/>
    <w:rsid w:val="170FBB7A"/>
    <w:rsid w:val="19F831E2"/>
    <w:rsid w:val="1B07D77E"/>
    <w:rsid w:val="1B2A2D9E"/>
    <w:rsid w:val="1B6708E1"/>
    <w:rsid w:val="1BA157F8"/>
    <w:rsid w:val="1C690C34"/>
    <w:rsid w:val="1D1BC5C8"/>
    <w:rsid w:val="1D2A1A9E"/>
    <w:rsid w:val="1DE6EDDD"/>
    <w:rsid w:val="1E4F267B"/>
    <w:rsid w:val="1ECD768D"/>
    <w:rsid w:val="1F4D18EF"/>
    <w:rsid w:val="1F50AD68"/>
    <w:rsid w:val="2157EB7E"/>
    <w:rsid w:val="21651531"/>
    <w:rsid w:val="221DE9FA"/>
    <w:rsid w:val="237B82DF"/>
    <w:rsid w:val="244A84C3"/>
    <w:rsid w:val="24E887FC"/>
    <w:rsid w:val="253669D9"/>
    <w:rsid w:val="2639833D"/>
    <w:rsid w:val="27155737"/>
    <w:rsid w:val="272EC613"/>
    <w:rsid w:val="27692D9D"/>
    <w:rsid w:val="27CC1E2D"/>
    <w:rsid w:val="27DC4C92"/>
    <w:rsid w:val="284BD97E"/>
    <w:rsid w:val="2A0E7B58"/>
    <w:rsid w:val="2ABC4918"/>
    <w:rsid w:val="2B26C93F"/>
    <w:rsid w:val="2D264579"/>
    <w:rsid w:val="2D46F4E1"/>
    <w:rsid w:val="2D54918F"/>
    <w:rsid w:val="2D7128D9"/>
    <w:rsid w:val="2EB82215"/>
    <w:rsid w:val="30E9C718"/>
    <w:rsid w:val="30ED9FA6"/>
    <w:rsid w:val="32C15A50"/>
    <w:rsid w:val="355750E2"/>
    <w:rsid w:val="3610C8DA"/>
    <w:rsid w:val="373AC458"/>
    <w:rsid w:val="387B196C"/>
    <w:rsid w:val="389C40C6"/>
    <w:rsid w:val="3A58D447"/>
    <w:rsid w:val="3A74F342"/>
    <w:rsid w:val="3B1C4378"/>
    <w:rsid w:val="3B337CBB"/>
    <w:rsid w:val="3BC7CE6A"/>
    <w:rsid w:val="3C1782F1"/>
    <w:rsid w:val="3C28939F"/>
    <w:rsid w:val="3CDD599D"/>
    <w:rsid w:val="3D5DDE73"/>
    <w:rsid w:val="3E9436CC"/>
    <w:rsid w:val="3EDA6CC7"/>
    <w:rsid w:val="3FC37B4D"/>
    <w:rsid w:val="400FB5AB"/>
    <w:rsid w:val="40BEC1F5"/>
    <w:rsid w:val="4166EE28"/>
    <w:rsid w:val="423716F4"/>
    <w:rsid w:val="424514B3"/>
    <w:rsid w:val="42E6BBEA"/>
    <w:rsid w:val="43011108"/>
    <w:rsid w:val="4421EE2F"/>
    <w:rsid w:val="44787721"/>
    <w:rsid w:val="46104316"/>
    <w:rsid w:val="479254B5"/>
    <w:rsid w:val="487DB78B"/>
    <w:rsid w:val="4B1574BF"/>
    <w:rsid w:val="4CCBA934"/>
    <w:rsid w:val="4CD8C283"/>
    <w:rsid w:val="4E129721"/>
    <w:rsid w:val="4E438727"/>
    <w:rsid w:val="4E536359"/>
    <w:rsid w:val="4F714B7C"/>
    <w:rsid w:val="4FFB565C"/>
    <w:rsid w:val="512514D7"/>
    <w:rsid w:val="512A5379"/>
    <w:rsid w:val="5258D062"/>
    <w:rsid w:val="528CBC7F"/>
    <w:rsid w:val="542E2E64"/>
    <w:rsid w:val="54F8267E"/>
    <w:rsid w:val="5608FC68"/>
    <w:rsid w:val="566540DC"/>
    <w:rsid w:val="5747783E"/>
    <w:rsid w:val="58FD813B"/>
    <w:rsid w:val="59E043E4"/>
    <w:rsid w:val="5A04BEBF"/>
    <w:rsid w:val="5A8645E9"/>
    <w:rsid w:val="5B22EF60"/>
    <w:rsid w:val="5B862C74"/>
    <w:rsid w:val="5C30A6AD"/>
    <w:rsid w:val="5D54221F"/>
    <w:rsid w:val="5DDD073A"/>
    <w:rsid w:val="5EA68973"/>
    <w:rsid w:val="5EC8FBEA"/>
    <w:rsid w:val="60B3BFC2"/>
    <w:rsid w:val="6484191E"/>
    <w:rsid w:val="64F51E0C"/>
    <w:rsid w:val="65F69D85"/>
    <w:rsid w:val="66DCC5A3"/>
    <w:rsid w:val="686DF0C3"/>
    <w:rsid w:val="69734432"/>
    <w:rsid w:val="6C1C19FB"/>
    <w:rsid w:val="6C1CF29D"/>
    <w:rsid w:val="6C330FAB"/>
    <w:rsid w:val="6C5D2F03"/>
    <w:rsid w:val="6C96D9F2"/>
    <w:rsid w:val="6CD2116E"/>
    <w:rsid w:val="6D9B82F6"/>
    <w:rsid w:val="6F134DCC"/>
    <w:rsid w:val="7001F1BF"/>
    <w:rsid w:val="70270343"/>
    <w:rsid w:val="72464A78"/>
    <w:rsid w:val="7278153A"/>
    <w:rsid w:val="72FDF511"/>
    <w:rsid w:val="73A982A2"/>
    <w:rsid w:val="7540C95A"/>
    <w:rsid w:val="75673CE4"/>
    <w:rsid w:val="760E4317"/>
    <w:rsid w:val="777185FD"/>
    <w:rsid w:val="7878E0A7"/>
    <w:rsid w:val="787F0AD1"/>
    <w:rsid w:val="7A54C2D9"/>
    <w:rsid w:val="7BC01E41"/>
    <w:rsid w:val="7C4C4C6C"/>
    <w:rsid w:val="7C8BB90B"/>
    <w:rsid w:val="7CA6B5F9"/>
    <w:rsid w:val="7D26814E"/>
    <w:rsid w:val="7EC3F2D7"/>
    <w:rsid w:val="7F292451"/>
    <w:rsid w:val="7F82ED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47F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A87"/>
    <w:pPr>
      <w:numPr>
        <w:numId w:val="4"/>
      </w:numPr>
      <w:outlineLvl w:val="0"/>
    </w:pPr>
    <w:rPr>
      <w:b/>
      <w:bCs/>
    </w:rPr>
  </w:style>
  <w:style w:type="paragraph" w:styleId="Heading2">
    <w:name w:val="heading 2"/>
    <w:basedOn w:val="Heading1"/>
    <w:next w:val="Normal"/>
    <w:link w:val="Heading2Char"/>
    <w:uiPriority w:val="9"/>
    <w:unhideWhenUsed/>
    <w:qFormat/>
    <w:rsid w:val="003E38FA"/>
    <w:pPr>
      <w:numPr>
        <w:ilvl w:val="1"/>
      </w:numPr>
      <w:outlineLvl w:val="1"/>
    </w:pPr>
  </w:style>
  <w:style w:type="paragraph" w:styleId="Heading3">
    <w:name w:val="heading 3"/>
    <w:basedOn w:val="Normal"/>
    <w:next w:val="Normal"/>
    <w:link w:val="Heading3Char"/>
    <w:uiPriority w:val="9"/>
    <w:unhideWhenUsed/>
    <w:qFormat/>
    <w:rsid w:val="00791110"/>
    <w:pPr>
      <w:keepNext/>
      <w:keepLines/>
      <w:numPr>
        <w:ilvl w:val="2"/>
        <w:numId w:val="4"/>
      </w:numPr>
      <w:spacing w:before="40"/>
      <w:outlineLvl w:val="2"/>
    </w:pPr>
    <w:rPr>
      <w:rFonts w:eastAsiaTheme="majorEastAsia"/>
      <w:b/>
      <w:bCs/>
      <w:color w:val="000000" w:themeColor="text1"/>
    </w:rPr>
  </w:style>
  <w:style w:type="paragraph" w:styleId="Heading4">
    <w:name w:val="heading 4"/>
    <w:basedOn w:val="Normal"/>
    <w:next w:val="Normal"/>
    <w:link w:val="Heading4Char"/>
    <w:uiPriority w:val="9"/>
    <w:semiHidden/>
    <w:unhideWhenUsed/>
    <w:qFormat/>
    <w:rsid w:val="00C5410C"/>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410C"/>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5410C"/>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5410C"/>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5410C"/>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410C"/>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5263C"/>
    <w:rPr>
      <w:sz w:val="16"/>
      <w:szCs w:val="16"/>
    </w:rPr>
  </w:style>
  <w:style w:type="paragraph" w:styleId="CommentText">
    <w:name w:val="annotation text"/>
    <w:basedOn w:val="Normal"/>
    <w:link w:val="CommentTextChar"/>
    <w:uiPriority w:val="99"/>
    <w:unhideWhenUsed/>
    <w:rsid w:val="0085263C"/>
  </w:style>
  <w:style w:type="character" w:customStyle="1" w:styleId="CommentTextChar">
    <w:name w:val="Comment Text Char"/>
    <w:basedOn w:val="DefaultParagraphFont"/>
    <w:link w:val="CommentText"/>
    <w:uiPriority w:val="99"/>
    <w:rsid w:val="0085263C"/>
    <w:rPr>
      <w:sz w:val="20"/>
      <w:szCs w:val="20"/>
    </w:rPr>
  </w:style>
  <w:style w:type="paragraph" w:styleId="CommentSubject">
    <w:name w:val="annotation subject"/>
    <w:basedOn w:val="CommentText"/>
    <w:next w:val="CommentText"/>
    <w:link w:val="CommentSubjectChar"/>
    <w:uiPriority w:val="99"/>
    <w:semiHidden/>
    <w:unhideWhenUsed/>
    <w:rsid w:val="0085263C"/>
    <w:rPr>
      <w:b/>
      <w:bCs/>
    </w:rPr>
  </w:style>
  <w:style w:type="character" w:customStyle="1" w:styleId="CommentSubjectChar">
    <w:name w:val="Comment Subject Char"/>
    <w:basedOn w:val="CommentTextChar"/>
    <w:link w:val="CommentSubject"/>
    <w:uiPriority w:val="99"/>
    <w:semiHidden/>
    <w:rsid w:val="0085263C"/>
    <w:rPr>
      <w:b/>
      <w:bCs/>
      <w:sz w:val="20"/>
      <w:szCs w:val="20"/>
    </w:rPr>
  </w:style>
  <w:style w:type="character" w:styleId="Hyperlink">
    <w:name w:val="Hyperlink"/>
    <w:basedOn w:val="DefaultParagraphFont"/>
    <w:uiPriority w:val="99"/>
    <w:unhideWhenUsed/>
    <w:rsid w:val="009D6FAE"/>
    <w:rPr>
      <w:color w:val="0563C1" w:themeColor="hyperlink"/>
      <w:u w:val="single"/>
    </w:rPr>
  </w:style>
  <w:style w:type="character" w:styleId="UnresolvedMention">
    <w:name w:val="Unresolved Mention"/>
    <w:basedOn w:val="DefaultParagraphFont"/>
    <w:uiPriority w:val="99"/>
    <w:semiHidden/>
    <w:unhideWhenUsed/>
    <w:rsid w:val="009D6FAE"/>
    <w:rPr>
      <w:color w:val="605E5C"/>
      <w:shd w:val="clear" w:color="auto" w:fill="E1DFDD"/>
    </w:rPr>
  </w:style>
  <w:style w:type="character" w:styleId="LineNumber">
    <w:name w:val="line number"/>
    <w:basedOn w:val="DefaultParagraphFont"/>
    <w:uiPriority w:val="99"/>
    <w:semiHidden/>
    <w:unhideWhenUsed/>
    <w:rsid w:val="00A40441"/>
  </w:style>
  <w:style w:type="paragraph" w:styleId="Header">
    <w:name w:val="header"/>
    <w:basedOn w:val="Normal"/>
    <w:link w:val="HeaderChar"/>
    <w:uiPriority w:val="99"/>
    <w:unhideWhenUsed/>
    <w:rsid w:val="00CA5837"/>
    <w:pPr>
      <w:tabs>
        <w:tab w:val="center" w:pos="4680"/>
        <w:tab w:val="right" w:pos="9360"/>
      </w:tabs>
    </w:pPr>
  </w:style>
  <w:style w:type="character" w:customStyle="1" w:styleId="HeaderChar">
    <w:name w:val="Header Char"/>
    <w:basedOn w:val="DefaultParagraphFont"/>
    <w:link w:val="Header"/>
    <w:uiPriority w:val="99"/>
    <w:rsid w:val="00CA5837"/>
  </w:style>
  <w:style w:type="paragraph" w:styleId="Footer">
    <w:name w:val="footer"/>
    <w:basedOn w:val="Normal"/>
    <w:link w:val="FooterChar"/>
    <w:uiPriority w:val="99"/>
    <w:unhideWhenUsed/>
    <w:rsid w:val="00CA5837"/>
    <w:pPr>
      <w:tabs>
        <w:tab w:val="center" w:pos="4680"/>
        <w:tab w:val="right" w:pos="9360"/>
      </w:tabs>
    </w:pPr>
  </w:style>
  <w:style w:type="character" w:customStyle="1" w:styleId="FooterChar">
    <w:name w:val="Footer Char"/>
    <w:basedOn w:val="DefaultParagraphFont"/>
    <w:link w:val="Footer"/>
    <w:uiPriority w:val="99"/>
    <w:rsid w:val="00CA5837"/>
  </w:style>
  <w:style w:type="character" w:customStyle="1" w:styleId="Heading1Char">
    <w:name w:val="Heading 1 Char"/>
    <w:basedOn w:val="DefaultParagraphFont"/>
    <w:link w:val="Heading1"/>
    <w:uiPriority w:val="9"/>
    <w:rsid w:val="00257A87"/>
    <w:rPr>
      <w:rFonts w:ascii="Times New Roman" w:hAnsi="Times New Roman" w:cs="Times New Roman"/>
      <w:b/>
      <w:bCs/>
      <w:sz w:val="20"/>
      <w:szCs w:val="20"/>
    </w:rPr>
  </w:style>
  <w:style w:type="character" w:customStyle="1" w:styleId="Heading2Char">
    <w:name w:val="Heading 2 Char"/>
    <w:basedOn w:val="DefaultParagraphFont"/>
    <w:link w:val="Heading2"/>
    <w:uiPriority w:val="9"/>
    <w:rsid w:val="003E38FA"/>
    <w:rPr>
      <w:rFonts w:ascii="Times New Roman" w:hAnsi="Times New Roman" w:cs="Times New Roman"/>
      <w:b/>
      <w:bCs/>
      <w:sz w:val="20"/>
      <w:szCs w:val="20"/>
    </w:rPr>
  </w:style>
  <w:style w:type="character" w:customStyle="1" w:styleId="Heading3Char">
    <w:name w:val="Heading 3 Char"/>
    <w:basedOn w:val="DefaultParagraphFont"/>
    <w:link w:val="Heading3"/>
    <w:uiPriority w:val="9"/>
    <w:rsid w:val="00791110"/>
    <w:rPr>
      <w:rFonts w:eastAsiaTheme="majorEastAsia"/>
      <w:b/>
      <w:bCs/>
      <w:color w:val="000000" w:themeColor="text1"/>
    </w:rPr>
  </w:style>
  <w:style w:type="character" w:customStyle="1" w:styleId="Heading4Char">
    <w:name w:val="Heading 4 Char"/>
    <w:basedOn w:val="DefaultParagraphFont"/>
    <w:link w:val="Heading4"/>
    <w:uiPriority w:val="9"/>
    <w:semiHidden/>
    <w:rsid w:val="00C5410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5410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5410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5410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541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410C"/>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534EB9"/>
  </w:style>
  <w:style w:type="character" w:customStyle="1" w:styleId="FootnoteTextChar">
    <w:name w:val="Footnote Text Char"/>
    <w:basedOn w:val="DefaultParagraphFont"/>
    <w:link w:val="FootnoteText"/>
    <w:uiPriority w:val="99"/>
    <w:rsid w:val="00534EB9"/>
  </w:style>
  <w:style w:type="character" w:styleId="FootnoteReference">
    <w:name w:val="footnote reference"/>
    <w:basedOn w:val="DefaultParagraphFont"/>
    <w:uiPriority w:val="99"/>
    <w:semiHidden/>
    <w:unhideWhenUsed/>
    <w:rsid w:val="00534EB9"/>
    <w:rPr>
      <w:vertAlign w:val="superscript"/>
    </w:rPr>
  </w:style>
  <w:style w:type="paragraph" w:styleId="ListParagraph">
    <w:name w:val="List Paragraph"/>
    <w:basedOn w:val="Normal"/>
    <w:uiPriority w:val="34"/>
    <w:qFormat/>
    <w:rsid w:val="0090639B"/>
    <w:pPr>
      <w:spacing w:after="160" w:line="259" w:lineRule="auto"/>
      <w:ind w:left="720"/>
      <w:contextualSpacing/>
    </w:pPr>
    <w:rPr>
      <w:rFonts w:asciiTheme="minorHAnsi" w:hAnsiTheme="minorHAnsi" w:cstheme="minorBidi"/>
      <w:bCs/>
      <w:noProof/>
      <w:kern w:val="0"/>
      <w:sz w:val="22"/>
      <w:szCs w:val="22"/>
      <w14:ligatures w14:val="none"/>
    </w:rPr>
  </w:style>
  <w:style w:type="table" w:styleId="TableGrid">
    <w:name w:val="Table Grid"/>
    <w:basedOn w:val="TableNormal"/>
    <w:uiPriority w:val="39"/>
    <w:rsid w:val="00A77A69"/>
    <w:rPr>
      <w:rFonts w:asciiTheme="minorHAnsi" w:hAnsiTheme="minorHAnsi" w:cstheme="minorBidi"/>
      <w:bC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77A69"/>
    <w:pPr>
      <w:spacing w:after="160" w:line="259" w:lineRule="auto"/>
    </w:pPr>
    <w:rPr>
      <w:rFonts w:asciiTheme="minorHAnsi" w:eastAsia="Times New Roman" w:hAnsiTheme="minorHAnsi" w:cstheme="minorHAnsi"/>
      <w:b/>
      <w:bCs/>
      <w:noProof/>
      <w:kern w:val="0"/>
      <w:sz w:val="22"/>
      <w:szCs w:val="22"/>
      <w:lang w:eastAsia="en-CA"/>
      <w14:ligatures w14:val="none"/>
    </w:rPr>
  </w:style>
  <w:style w:type="character" w:styleId="EndnoteReference">
    <w:name w:val="endnote reference"/>
    <w:basedOn w:val="DefaultParagraphFont"/>
    <w:uiPriority w:val="99"/>
    <w:semiHidden/>
    <w:unhideWhenUsed/>
    <w:rsid w:val="006D3331"/>
    <w:rPr>
      <w:vertAlign w:val="superscript"/>
    </w:rPr>
  </w:style>
  <w:style w:type="paragraph" w:styleId="Revision">
    <w:name w:val="Revision"/>
    <w:hidden/>
    <w:uiPriority w:val="99"/>
    <w:semiHidden/>
    <w:rsid w:val="00405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7B860-B1B2-4034-85D1-5266BDF5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21247</Words>
  <Characters>121113</Characters>
  <Application>Microsoft Office Word</Application>
  <DocSecurity>0</DocSecurity>
  <Lines>1009</Lines>
  <Paragraphs>284</Paragraphs>
  <ScaleCrop>false</ScaleCrop>
  <Company/>
  <LinksUpToDate>false</LinksUpToDate>
  <CharactersWithSpaces>142076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2026-01-29T16:42:00Z</dcterms:created>
  <dcterms:modified xsi:type="dcterms:W3CDTF">2026-01-29T16:42:00Z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2d599e16,4f5cafeb,6d67636d</vt:lpwstr>
  </property>
  <property fmtid="{D5CDD505-2E9C-101B-9397-08002B2CF9AE}" pid="3" name="ClassificationContentMarkingHeaderFontProps">
    <vt:lpwstr>#000000,12,Aptos</vt:lpwstr>
  </property>
  <property fmtid="{D5CDD505-2E9C-101B-9397-08002B2CF9AE}" pid="4" name="ClassificationContentMarkingHeaderText">
    <vt:lpwstr>Unclassified / Non classifié</vt:lpwstr>
  </property>
  <property fmtid="{D5CDD505-2E9C-101B-9397-08002B2CF9AE}" pid="5" name="MSIP_Label_05d8ed60-cd71-485b-a85b-277aaf32f506_Enabled">
    <vt:lpwstr>true</vt:lpwstr>
  </property>
  <property fmtid="{D5CDD505-2E9C-101B-9397-08002B2CF9AE}" pid="6" name="MSIP_Label_05d8ed60-cd71-485b-a85b-277aaf32f506_SetDate">
    <vt:lpwstr>2026-01-29T16:42:28Z</vt:lpwstr>
  </property>
  <property fmtid="{D5CDD505-2E9C-101B-9397-08002B2CF9AE}" pid="7" name="MSIP_Label_05d8ed60-cd71-485b-a85b-277aaf32f506_Method">
    <vt:lpwstr>Standard</vt:lpwstr>
  </property>
  <property fmtid="{D5CDD505-2E9C-101B-9397-08002B2CF9AE}" pid="8" name="MSIP_Label_05d8ed60-cd71-485b-a85b-277aaf32f506_Name">
    <vt:lpwstr>Unclassified</vt:lpwstr>
  </property>
  <property fmtid="{D5CDD505-2E9C-101B-9397-08002B2CF9AE}" pid="9" name="MSIP_Label_05d8ed60-cd71-485b-a85b-277aaf32f506_SiteId">
    <vt:lpwstr>42fd9015-de4d-4223-a368-baeacab48927</vt:lpwstr>
  </property>
  <property fmtid="{D5CDD505-2E9C-101B-9397-08002B2CF9AE}" pid="10" name="MSIP_Label_05d8ed60-cd71-485b-a85b-277aaf32f506_ActionId">
    <vt:lpwstr>4bdc859f-c2c2-4368-a11d-24f2d112d768</vt:lpwstr>
  </property>
  <property fmtid="{D5CDD505-2E9C-101B-9397-08002B2CF9AE}" pid="11" name="MSIP_Label_05d8ed60-cd71-485b-a85b-277aaf32f506_ContentBits">
    <vt:lpwstr>1</vt:lpwstr>
  </property>
  <property fmtid="{D5CDD505-2E9C-101B-9397-08002B2CF9AE}" pid="12" name="MSIP_Label_05d8ed60-cd71-485b-a85b-277aaf32f506_Tag">
    <vt:lpwstr>10, 3, 0, 1</vt:lpwstr>
  </property>
</Properties>
</file>