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81891" w14:textId="79429AD3" w:rsidR="000A0AB0" w:rsidRDefault="0082229C" w:rsidP="00C5410C">
      <w:pPr>
        <w:rPr>
          <w:b/>
          <w:bCs w:val="0"/>
        </w:rPr>
      </w:pPr>
      <w:r w:rsidRPr="0054181B">
        <w:rPr>
          <w:b/>
          <w:bCs w:val="0"/>
        </w:rPr>
        <w:t xml:space="preserve">Supplemental File </w:t>
      </w:r>
      <w:r w:rsidR="00EE3C66">
        <w:rPr>
          <w:b/>
          <w:bCs w:val="0"/>
        </w:rPr>
        <w:t>S6</w:t>
      </w:r>
      <w:r w:rsidR="001E6B5F">
        <w:rPr>
          <w:b/>
          <w:bCs w:val="0"/>
        </w:rPr>
        <w:t>A</w:t>
      </w:r>
      <w:r w:rsidR="00223DB6" w:rsidRPr="0054181B">
        <w:rPr>
          <w:b/>
          <w:bCs w:val="0"/>
        </w:rPr>
        <w:t xml:space="preserve"> </w:t>
      </w:r>
    </w:p>
    <w:p w14:paraId="71045E70" w14:textId="16491D74" w:rsidR="00870068" w:rsidRDefault="001E6B5F" w:rsidP="00C5410C">
      <w:r>
        <w:rPr>
          <w:b/>
          <w:bCs w:val="0"/>
        </w:rPr>
        <w:t xml:space="preserve">BMD Modelling of Child Neurological </w:t>
      </w:r>
      <w:r w:rsidRPr="000A0AB0">
        <w:rPr>
          <w:b/>
          <w:bCs w:val="0"/>
        </w:rPr>
        <w:t xml:space="preserve">Scores from </w:t>
      </w:r>
      <w:r w:rsidR="006E6EEB" w:rsidRPr="000A0AB0">
        <w:rPr>
          <w:b/>
          <w:bCs w:val="0"/>
        </w:rPr>
        <w:t xml:space="preserve">the Iraq Poisoning </w:t>
      </w:r>
      <w:r w:rsidR="000A0AB0" w:rsidRPr="000A0AB0">
        <w:rPr>
          <w:b/>
          <w:bCs w:val="0"/>
        </w:rPr>
        <w:fldChar w:fldCharType="begin" w:fldLock="1"/>
      </w:r>
      <w:r w:rsidR="00E7155F">
        <w:rPr>
          <w:b/>
          <w:bCs w:val="0"/>
        </w:rPr>
        <w:instrText>ADDIN CSL_CITATION {"citationItems":[{"id":"ITEM-1","itemData":{"DOI":"10.1001/archneur.1987.00520220023010","ISSN":"15383687","abstract":"Pregnant women consumed bread that was prepared from methylmercurytreated wheat. Single strands of maternal head hair were analyzed by x-ray fluorescence spectrometry. The index of fetal exposure was the maximum hair mercury concentration during gestation. Effects were measured by the frequency of psychomotor retardation, seizures, and neurological signs in the children. A dose-response relationship was demonstrated for fetal effects of methylmercury. Analysis of single hair strands provides a better index of acute or subacute fetal exposure than analysis of bundles of hair; the duration and degree of exposure are more accurately defined. A sex difference in response is discussed. © 1987, American Medical Association. All rights reserved.","author":[{"dropping-particle":"","family":"Marsh","given":"D O","non-dropping-particle":"","parse-names":false,"suffix":""},{"dropping-particle":"","family":"Clarkson","given":"Thomas W.","non-dropping-particle":"","parse-names":false,"suffix":""},{"dropping-particle":"","family":"Cox","given":"Christopher","non-dropping-particle":"","parse-names":false,"suffix":""},{"dropping-particle":"","family":"Myers","given":"Gary J.","non-dropping-particle":"","parse-names":false,"suffix":""},{"dropping-particle":"","family":"Amin Zaki","given":"Laman","non-dropping-particle":"","parse-names":false,"suffix":""},{"dropping-particle":"","family":"Tikriti","given":"Sa'adoun","non-dropping-particle":"","parse-names":false,"suffix":""}],"container-title":"Archives of Neurology","id":"ITEM-1","issue":"10","issued":{"date-parts":[["1987"]]},"page":"1017-1022","title":"Fetal methylmercury poisoning: Relationship between concentration in single strands of maternal hair and child effects","type":"article-journal","volume":"44"},"uris":["http://www.mendeley.com/documents/?uuid=66764164-9d08-4460-bb35-e7bea4681245"]}],"mendeley":{"formattedCitation":"(Marsh et al., 1987)","plainTextFormattedCitation":"(Marsh et al., 1987)","previouslyFormattedCitation":"(Marsh et al., 1987)"},"properties":{"noteIndex":0},"schema":"https://github.com/citation-style-language/schema/raw/master/csl-citation.json"}</w:instrText>
      </w:r>
      <w:r w:rsidR="000A0AB0" w:rsidRPr="000A0AB0">
        <w:rPr>
          <w:b/>
          <w:bCs w:val="0"/>
        </w:rPr>
        <w:fldChar w:fldCharType="separate"/>
      </w:r>
      <w:r w:rsidR="000A0AB0" w:rsidRPr="000A0AB0">
        <w:rPr>
          <w:b/>
          <w:bCs w:val="0"/>
          <w:noProof/>
        </w:rPr>
        <w:t>(Marsh et al., 1987)</w:t>
      </w:r>
      <w:r w:rsidR="000A0AB0" w:rsidRPr="000A0AB0">
        <w:rPr>
          <w:b/>
          <w:bCs w:val="0"/>
        </w:rPr>
        <w:fldChar w:fldCharType="end"/>
      </w:r>
    </w:p>
    <w:p w14:paraId="7579E552" w14:textId="77777777" w:rsidR="000A0AB0" w:rsidRDefault="000A0AB0" w:rsidP="00C5410C"/>
    <w:p w14:paraId="3CFC33D1" w14:textId="77777777" w:rsidR="0039507E" w:rsidRPr="00AB1471" w:rsidRDefault="0039507E" w:rsidP="0039507E">
      <w:pPr>
        <w:rPr>
          <w:bCs w:val="0"/>
          <w:i/>
          <w:iCs/>
        </w:rPr>
      </w:pPr>
      <w:r w:rsidRPr="00AB1471">
        <w:rPr>
          <w:bCs w:val="0"/>
          <w:i/>
          <w:iCs/>
        </w:rPr>
        <w:t>Archives of Toxicology</w:t>
      </w:r>
    </w:p>
    <w:p w14:paraId="325CA7E7" w14:textId="77777777" w:rsidR="0039507E" w:rsidRPr="00771EDE" w:rsidRDefault="0039507E" w:rsidP="0039507E">
      <w:pPr>
        <w:rPr>
          <w:b/>
          <w:bCs w:val="0"/>
        </w:rPr>
      </w:pPr>
    </w:p>
    <w:p w14:paraId="27A20DA1" w14:textId="77777777" w:rsidR="0039507E" w:rsidRDefault="0039507E" w:rsidP="0039507E">
      <w:r>
        <w:t xml:space="preserve">Neurodevelopmental effects of methylmercury (MeHg): A review of epidemiological points of departure (PoDs), toxicological reference values (TRVs), and key uncertainties in human health risk assessment </w:t>
      </w:r>
    </w:p>
    <w:p w14:paraId="0EF1A29F" w14:textId="77777777" w:rsidR="0039507E" w:rsidRDefault="0039507E" w:rsidP="0039507E"/>
    <w:p w14:paraId="66F86C06" w14:textId="77777777" w:rsidR="0039507E" w:rsidRDefault="0039507E" w:rsidP="0039507E">
      <w:r>
        <w:t>Blechinger, Scott R.</w:t>
      </w:r>
      <w:r>
        <w:rPr>
          <w:vertAlign w:val="superscript"/>
        </w:rPr>
        <w:t>1</w:t>
      </w:r>
      <w:r>
        <w:t xml:space="preserve">* (ORCID </w:t>
      </w:r>
      <w:r w:rsidRPr="00F80E47">
        <w:t>0000-0002-4991-4597</w:t>
      </w:r>
      <w:r>
        <w:t xml:space="preserve">, Scopus ID </w:t>
      </w:r>
      <w:r w:rsidRPr="007E63BA">
        <w:t>6506155596</w:t>
      </w:r>
      <w:r>
        <w:t>)</w:t>
      </w:r>
    </w:p>
    <w:p w14:paraId="63552035" w14:textId="77777777" w:rsidR="0039507E" w:rsidRDefault="0039507E" w:rsidP="0039507E">
      <w:r>
        <w:t>Singh, Kavita</w:t>
      </w:r>
      <w:r>
        <w:rPr>
          <w:vertAlign w:val="superscript"/>
        </w:rPr>
        <w:t>2</w:t>
      </w:r>
      <w:r>
        <w:t xml:space="preserve"> (ORCID N/A, Scopus ID </w:t>
      </w:r>
      <w:r w:rsidRPr="00482A87">
        <w:t>58382466900</w:t>
      </w:r>
      <w:r>
        <w:t>)</w:t>
      </w:r>
    </w:p>
    <w:p w14:paraId="53C17F06" w14:textId="77777777" w:rsidR="0039507E" w:rsidRDefault="0039507E" w:rsidP="0039507E">
      <w:r>
        <w:t>Afghan, Abdul</w:t>
      </w:r>
      <w:r>
        <w:rPr>
          <w:vertAlign w:val="superscript"/>
        </w:rPr>
        <w:t>1</w:t>
      </w:r>
      <w:r>
        <w:t xml:space="preserve"> (ORCID N/A, Scopus ID </w:t>
      </w:r>
      <w:r w:rsidRPr="00186779">
        <w:t>58522410100</w:t>
      </w:r>
      <w:r>
        <w:t>)</w:t>
      </w:r>
    </w:p>
    <w:p w14:paraId="4132E6FD" w14:textId="77777777" w:rsidR="0039507E" w:rsidRDefault="0039507E" w:rsidP="0039507E">
      <w:r>
        <w:t>Smith, Catherine A.</w:t>
      </w:r>
      <w:r>
        <w:rPr>
          <w:vertAlign w:val="superscript"/>
        </w:rPr>
        <w:t>1</w:t>
      </w:r>
      <w:r>
        <w:t xml:space="preserve"> (ORCID N/A, Scopus ID </w:t>
      </w:r>
      <w:r w:rsidRPr="00E3522E">
        <w:t>46461849300</w:t>
      </w:r>
      <w:r>
        <w:t>)</w:t>
      </w:r>
    </w:p>
    <w:p w14:paraId="58D461A2" w14:textId="77777777" w:rsidR="0039507E" w:rsidRDefault="0039507E" w:rsidP="0039507E"/>
    <w:p w14:paraId="66B26901" w14:textId="77777777" w:rsidR="0039507E" w:rsidRDefault="0039507E" w:rsidP="0039507E">
      <w:r>
        <w:rPr>
          <w:vertAlign w:val="superscript"/>
        </w:rPr>
        <w:t>1</w:t>
      </w:r>
      <w:r>
        <w:t xml:space="preserve"> Bureau of Chemical Safety, Food and Nutrition Directorate, Health Canada, Ottawa, Canada</w:t>
      </w:r>
    </w:p>
    <w:p w14:paraId="65732D71" w14:textId="77777777" w:rsidR="0039507E" w:rsidRPr="00196BA5" w:rsidRDefault="0039507E" w:rsidP="0039507E">
      <w:r>
        <w:rPr>
          <w:vertAlign w:val="superscript"/>
        </w:rPr>
        <w:t xml:space="preserve">2 </w:t>
      </w:r>
      <w:r>
        <w:t>Environmental Health Science and Research Bureau, Health Canada, Ottawa, Canada</w:t>
      </w:r>
    </w:p>
    <w:p w14:paraId="0EA33F57" w14:textId="77777777" w:rsidR="0039507E" w:rsidRDefault="0039507E" w:rsidP="0039507E">
      <w:r>
        <w:t>*Corresponding author: scott.blechinger@hc-sc.gc.ca</w:t>
      </w:r>
    </w:p>
    <w:p w14:paraId="4B920CA7" w14:textId="77777777" w:rsidR="0039507E" w:rsidRDefault="0039507E">
      <w:pPr>
        <w:rPr>
          <w:b/>
          <w:bCs w:val="0"/>
        </w:rPr>
      </w:pPr>
      <w:r>
        <w:br w:type="page"/>
      </w:r>
    </w:p>
    <w:p w14:paraId="28779386" w14:textId="0F019A88" w:rsidR="005E3BD0" w:rsidRDefault="002E2154" w:rsidP="005E3BD0">
      <w:pPr>
        <w:pStyle w:val="Heading1"/>
      </w:pPr>
      <w:r>
        <w:lastRenderedPageBreak/>
        <w:t xml:space="preserve">The </w:t>
      </w:r>
      <w:r w:rsidR="006A1586">
        <w:t>Data</w:t>
      </w:r>
    </w:p>
    <w:p w14:paraId="761ED7B2" w14:textId="77777777" w:rsidR="005E3BD0" w:rsidRDefault="005E3BD0" w:rsidP="00C5410C"/>
    <w:p w14:paraId="7FFCC692" w14:textId="42504B6D" w:rsidR="000F66E3" w:rsidRDefault="00F13BFE" w:rsidP="00C5410C">
      <w:r>
        <w:t>Clinicians conducted a</w:t>
      </w:r>
      <w:r w:rsidR="00705D9D">
        <w:t xml:space="preserve"> neurological exam on 81 children of mothers who were </w:t>
      </w:r>
      <w:r w:rsidR="009F7F85">
        <w:t xml:space="preserve">pregnant during the period </w:t>
      </w:r>
      <w:r w:rsidR="006506C6">
        <w:t>of the Iraq poisoning</w:t>
      </w:r>
      <w:r w:rsidR="000D0F83">
        <w:t xml:space="preserve">. </w:t>
      </w:r>
      <w:r w:rsidR="00304715">
        <w:t>A</w:t>
      </w:r>
      <w:r w:rsidR="00E7155F">
        <w:t xml:space="preserve">n earlier </w:t>
      </w:r>
      <w:r w:rsidR="000D0F83">
        <w:t xml:space="preserve">case-series reported data on 84 children </w:t>
      </w:r>
      <w:r w:rsidR="000D0F83">
        <w:fldChar w:fldCharType="begin" w:fldLock="1"/>
      </w:r>
      <w:r w:rsidR="0030056B">
        <w:instrText>ADDIN CSL_CITATION {"citationItems":[{"id":"ITEM-1","itemData":{"DOI":"10.3109/00099308109035071","ISSN":"0009-9309 (Print)","PMID":"7341057","abstract":"Eighty-four Iraqi mothers and their infants had been exposed to methylmercury  during pregnancy. The methylmercury had been ingested as a fungicide. Peak maternal hair mercury concentrations were related to the frequency of maternal symptoms during pregnancy and to neurological effects in the infants. These include various degrees of psychomotor retardation. Severe neurological deficits were observed in five children whose maternal peak hair mercury concentrations were 165 to 320 ppm. Minimal symptoms were reported for mothers and children when peak maternal hair levels were below 68 ppm. Minimal clinical neurological signs occurred in children when peak maternal hair mercury concentrations were at an undetermined point between 68 and 180 ppm. Greater fetal risk appears to be associated with exposure during the second trimester. This exposure to methylmercury was acute and the results may not be extrapolated to a constant level of exposure throughout pregnancy. The effects of fetal exposure to methylmercury in marine fish may differ.","author":[{"dropping-particle":"","family":"Marsh","given":"D O","non-dropping-particle":"","parse-names":false,"suffix":""},{"dropping-particle":"","family":"Myers","given":"G J","non-dropping-particle":"","parse-names":false,"suffix":""},{"dropping-particle":"","family":"Clarkson","given":"T W","non-dropping-particle":"","parse-names":false,"suffix":""},{"dropping-particle":"","family":"Amin-Zaki","given":"L","non-dropping-particle":"","parse-names":false,"suffix":""},{"dropping-particle":"","family":"Tikriti","given":"S","non-dropping-particle":"","parse-names":false,"suffix":""},{"dropping-particle":"","family":"Majeed","given":"M A","non-dropping-particle":"","parse-names":false,"suffix":""},{"dropping-particle":"","family":"Dabbagh","given":"A R","non-dropping-particle":"","parse-names":false,"suffix":""}],"container-title":"Clinical toxicology","id":"ITEM-1","issue":"11","issued":{"date-parts":[["1981","11"]]},"language":"eng","page":"1311-1318","publisher-place":"United States","title":"Dose-response relationship for human fetal exposure to methylmercury.","type":"article-journal","volume":"18"},"uris":["http://www.mendeley.com/documents/?uuid=34d9d110-3357-41a5-aeb4-be99060e4116"]}],"mendeley":{"formattedCitation":"(Marsh et al., 1981)","plainTextFormattedCitation":"(Marsh et al., 1981)","previouslyFormattedCitation":"(Marsh et al., 1981)"},"properties":{"noteIndex":0},"schema":"https://github.com/citation-style-language/schema/raw/master/csl-citation.json"}</w:instrText>
      </w:r>
      <w:r w:rsidR="000D0F83">
        <w:fldChar w:fldCharType="separate"/>
      </w:r>
      <w:r w:rsidR="000D0F83" w:rsidRPr="000D0F83">
        <w:rPr>
          <w:noProof/>
        </w:rPr>
        <w:t>(Marsh et al., 1981)</w:t>
      </w:r>
      <w:r w:rsidR="000D0F83">
        <w:fldChar w:fldCharType="end"/>
      </w:r>
      <w:r w:rsidR="00B92BEA">
        <w:t>, h</w:t>
      </w:r>
      <w:r w:rsidR="000D0F83">
        <w:t>owever</w:t>
      </w:r>
      <w:r w:rsidR="00B92BEA">
        <w:t xml:space="preserve"> </w:t>
      </w:r>
      <w:r w:rsidR="00161B16">
        <w:t>a</w:t>
      </w:r>
      <w:r w:rsidR="000D0F83">
        <w:t xml:space="preserve"> later publication</w:t>
      </w:r>
      <w:r w:rsidR="00094246">
        <w:t xml:space="preserve"> by the same authors</w:t>
      </w:r>
      <w:r w:rsidR="000D0F83">
        <w:t xml:space="preserve"> on </w:t>
      </w:r>
      <w:r w:rsidR="00094246">
        <w:t xml:space="preserve">a slightly smaller sample of </w:t>
      </w:r>
      <w:r w:rsidR="000D0F83">
        <w:t xml:space="preserve">81 mother-child pairs </w:t>
      </w:r>
      <w:r w:rsidR="006D611E">
        <w:t>provide</w:t>
      </w:r>
      <w:r w:rsidR="00DB6EAC">
        <w:t>d</w:t>
      </w:r>
      <w:r w:rsidR="006D611E">
        <w:t xml:space="preserve"> more details </w:t>
      </w:r>
      <w:r w:rsidR="00094246">
        <w:fldChar w:fldCharType="begin" w:fldLock="1"/>
      </w:r>
      <w:r w:rsidR="00094246">
        <w:instrText>ADDIN CSL_CITATION {"citationItems":[{"id":"ITEM-1","itemData":{"DOI":"10.1001/archneur.1987.00520220023010","ISSN":"15383687","abstract":"Pregnant women consumed bread that was prepared from methylmercurytreated wheat. Single strands of maternal head hair were analyzed by x-ray fluorescence spectrometry. The index of fetal exposure was the maximum hair mercury concentration during gestation. Effects were measured by the frequency of psychomotor retardation, seizures, and neurological signs in the children. A dose-response relationship was demonstrated for fetal effects of methylmercury. Analysis of single hair strands provides a better index of acute or subacute fetal exposure than analysis of bundles of hair; the duration and degree of exposure are more accurately defined. A sex difference in response is discussed. © 1987, American Medical Association. All rights reserved.","author":[{"dropping-particle":"","family":"Marsh","given":"D O","non-dropping-particle":"","parse-names":false,"suffix":""},{"dropping-particle":"","family":"Clarkson","given":"Thomas W.","non-dropping-particle":"","parse-names":false,"suffix":""},{"dropping-particle":"","family":"Cox","given":"Christopher","non-dropping-particle":"","parse-names":false,"suffix":""},{"dropping-particle":"","family":"Myers","given":"Gary J.","non-dropping-particle":"","parse-names":false,"suffix":""},{"dropping-particle":"","family":"Amin Zaki","given":"Laman","non-dropping-particle":"","parse-names":false,"suffix":""},{"dropping-particle":"","family":"Tikriti","given":"Sa'adoun","non-dropping-particle":"","parse-names":false,"suffix":""}],"container-title":"Archives of Neurology","id":"ITEM-1","issue":"10","issued":{"date-parts":[["1987"]]},"page":"1017-1022","title":"Fetal methylmercury poisoning: Relationship between concentration in single strands of maternal hair and child effects","type":"article-journal","volume":"44"},"uris":["http://www.mendeley.com/documents/?uuid=66764164-9d08-4460-bb35-e7bea4681245"]}],"mendeley":{"formattedCitation":"(Marsh et al., 1987)","plainTextFormattedCitation":"(Marsh et al., 1987)","previouslyFormattedCitation":"(Marsh et al., 1987)"},"properties":{"noteIndex":0},"schema":"https://github.com/citation-style-language/schema/raw/master/csl-citation.json"}</w:instrText>
      </w:r>
      <w:r w:rsidR="00094246">
        <w:fldChar w:fldCharType="separate"/>
      </w:r>
      <w:r w:rsidR="00094246" w:rsidRPr="0030056B">
        <w:rPr>
          <w:noProof/>
        </w:rPr>
        <w:t>(Marsh et al., 1987)</w:t>
      </w:r>
      <w:r w:rsidR="00094246">
        <w:fldChar w:fldCharType="end"/>
      </w:r>
      <w:r w:rsidR="00094246">
        <w:t xml:space="preserve"> </w:t>
      </w:r>
      <w:r w:rsidR="006D611E">
        <w:t xml:space="preserve">and has historically </w:t>
      </w:r>
      <w:r w:rsidR="00E4053D">
        <w:t xml:space="preserve">been </w:t>
      </w:r>
      <w:r w:rsidR="006D611E">
        <w:t xml:space="preserve">used </w:t>
      </w:r>
      <w:r w:rsidR="00544874">
        <w:t>in</w:t>
      </w:r>
      <w:r w:rsidR="006D611E">
        <w:t xml:space="preserve"> risk assessments</w:t>
      </w:r>
      <w:r w:rsidR="00544874">
        <w:t xml:space="preserve"> of </w:t>
      </w:r>
      <w:r w:rsidR="00CB09C4">
        <w:t>methylmercury (</w:t>
      </w:r>
      <w:r w:rsidR="00544874">
        <w:t>MeHg</w:t>
      </w:r>
      <w:r w:rsidR="00CB09C4">
        <w:t>)</w:t>
      </w:r>
      <w:r w:rsidR="006D611E">
        <w:t xml:space="preserve">. </w:t>
      </w:r>
      <w:r w:rsidR="006506C6">
        <w:t xml:space="preserve">Maternal hair </w:t>
      </w:r>
      <w:r w:rsidR="00A0327A">
        <w:t xml:space="preserve">(MH) </w:t>
      </w:r>
      <w:r w:rsidR="006506C6">
        <w:t xml:space="preserve">total mercury </w:t>
      </w:r>
      <w:r w:rsidR="00A0327A">
        <w:t xml:space="preserve">(THg) </w:t>
      </w:r>
      <w:r w:rsidR="006506C6">
        <w:t>covering the period of gestation</w:t>
      </w:r>
      <w:r w:rsidR="00A0327A">
        <w:t xml:space="preserve"> was measured </w:t>
      </w:r>
      <w:r w:rsidR="00DA5D59">
        <w:t xml:space="preserve">in </w:t>
      </w:r>
      <w:r w:rsidR="00544874">
        <w:t xml:space="preserve">the 81 </w:t>
      </w:r>
      <w:r w:rsidR="00DA5D59">
        <w:t xml:space="preserve">mothers </w:t>
      </w:r>
      <w:r w:rsidR="00A0327A">
        <w:t>as a metric of p</w:t>
      </w:r>
      <w:r w:rsidR="006506C6">
        <w:t xml:space="preserve">renatal </w:t>
      </w:r>
      <w:r w:rsidR="00CB09C4">
        <w:t xml:space="preserve">MeHg </w:t>
      </w:r>
      <w:r w:rsidR="00A0327A">
        <w:t xml:space="preserve">exposure. </w:t>
      </w:r>
      <w:r w:rsidR="001A3CF2">
        <w:t>M</w:t>
      </w:r>
      <w:r w:rsidR="00E4659A">
        <w:t>ercury levels</w:t>
      </w:r>
      <w:r w:rsidR="00673F32">
        <w:t xml:space="preserve"> in </w:t>
      </w:r>
      <w:r w:rsidR="007667E7">
        <w:t>maternal</w:t>
      </w:r>
      <w:r w:rsidR="00673F32">
        <w:t xml:space="preserve"> hair</w:t>
      </w:r>
      <w:r w:rsidR="00E4659A">
        <w:t xml:space="preserve"> </w:t>
      </w:r>
      <w:r w:rsidR="00DE60A0">
        <w:t>range</w:t>
      </w:r>
      <w:r w:rsidR="00CB09C4">
        <w:t>d</w:t>
      </w:r>
      <w:r w:rsidR="00DE60A0">
        <w:t xml:space="preserve"> from </w:t>
      </w:r>
      <w:r w:rsidR="00E4659A">
        <w:t>1 to 674 µg/g THg</w:t>
      </w:r>
      <w:r w:rsidR="008C0A9B">
        <w:t xml:space="preserve">, and </w:t>
      </w:r>
      <w:r w:rsidR="00844D44">
        <w:t>therefore,</w:t>
      </w:r>
      <w:r w:rsidR="008C0A9B">
        <w:t xml:space="preserve"> </w:t>
      </w:r>
      <w:r w:rsidR="00755FA2">
        <w:t>the</w:t>
      </w:r>
      <w:r w:rsidR="004F5CEA">
        <w:t xml:space="preserve"> sample of</w:t>
      </w:r>
      <w:r w:rsidR="00755FA2">
        <w:t xml:space="preserve"> 81 mother-child pairs included both </w:t>
      </w:r>
      <w:r w:rsidR="004F5CEA">
        <w:t xml:space="preserve">mother-child pairs </w:t>
      </w:r>
      <w:r w:rsidR="008F326A">
        <w:t>exposed to</w:t>
      </w:r>
      <w:r w:rsidR="009F10F3">
        <w:t xml:space="preserve"> </w:t>
      </w:r>
      <w:r w:rsidR="009E4379">
        <w:t xml:space="preserve">a wide range of exposures from </w:t>
      </w:r>
      <w:r w:rsidR="0030098B">
        <w:t>low background</w:t>
      </w:r>
      <w:r w:rsidR="00A45980">
        <w:t xml:space="preserve"> </w:t>
      </w:r>
      <w:r w:rsidR="008F326A">
        <w:t xml:space="preserve">levels </w:t>
      </w:r>
      <w:r w:rsidR="00A45980">
        <w:t xml:space="preserve">(i.e. unexposed) </w:t>
      </w:r>
      <w:r w:rsidR="00206D73">
        <w:t xml:space="preserve">up </w:t>
      </w:r>
      <w:r w:rsidR="00F87A21">
        <w:t>to &gt;600x higher exposure</w:t>
      </w:r>
      <w:r w:rsidR="00206D73">
        <w:t xml:space="preserve">. </w:t>
      </w:r>
      <w:r w:rsidR="008C707D">
        <w:t xml:space="preserve">The </w:t>
      </w:r>
      <w:r w:rsidR="009F10F3">
        <w:t xml:space="preserve">neurological </w:t>
      </w:r>
      <w:r w:rsidR="008C707D">
        <w:t>exam</w:t>
      </w:r>
      <w:r w:rsidR="005600C5">
        <w:t xml:space="preserve"> was conducted</w:t>
      </w:r>
      <w:r w:rsidR="000D5BAA">
        <w:t xml:space="preserve"> </w:t>
      </w:r>
      <w:r w:rsidR="006E3B8C">
        <w:t xml:space="preserve">in the </w:t>
      </w:r>
      <w:r w:rsidR="00AB6AC9">
        <w:t xml:space="preserve">family </w:t>
      </w:r>
      <w:r w:rsidR="006E3B8C">
        <w:t xml:space="preserve">home </w:t>
      </w:r>
      <w:r w:rsidR="00AB1498">
        <w:t xml:space="preserve">when the </w:t>
      </w:r>
      <w:r w:rsidR="00AB6AC9">
        <w:t xml:space="preserve">child </w:t>
      </w:r>
      <w:r w:rsidR="00AB1498">
        <w:t>w</w:t>
      </w:r>
      <w:r w:rsidR="00AB6AC9">
        <w:t>as</w:t>
      </w:r>
      <w:r w:rsidR="00AB1498">
        <w:t xml:space="preserve"> between </w:t>
      </w:r>
      <w:r w:rsidR="00F40E3D">
        <w:t xml:space="preserve">ages </w:t>
      </w:r>
      <w:r w:rsidR="00AB1498">
        <w:t xml:space="preserve">3 to 5 years </w:t>
      </w:r>
      <w:r w:rsidR="005600C5">
        <w:t xml:space="preserve">by 2 </w:t>
      </w:r>
      <w:r w:rsidR="000D5BAA">
        <w:t>neurologists</w:t>
      </w:r>
      <w:r w:rsidR="00302F56">
        <w:t xml:space="preserve"> </w:t>
      </w:r>
      <w:r w:rsidR="000D5BAA">
        <w:t xml:space="preserve">who were blinded to the mother’s </w:t>
      </w:r>
      <w:r w:rsidR="004A41C6">
        <w:t xml:space="preserve">hair mercury level </w:t>
      </w:r>
      <w:r w:rsidR="004A41C6">
        <w:fldChar w:fldCharType="begin" w:fldLock="1"/>
      </w:r>
      <w:r w:rsidR="00FD15E4">
        <w:instrText>ADDIN CSL_CITATION {"citationItems":[{"id":"ITEM-1","itemData":{"DOI":"10.1001/archneur.1987.00520220023010","ISSN":"15383687","abstract":"Pregnant women consumed bread that was prepared from methylmercurytreated wheat. Single strands of maternal head hair were analyzed by x-ray fluorescence spectrometry. The index of fetal exposure was the maximum hair mercury concentration during gestation. Effects were measured by the frequency of psychomotor retardation, seizures, and neurological signs in the children. A dose-response relationship was demonstrated for fetal effects of methylmercury. Analysis of single hair strands provides a better index of acute or subacute fetal exposure than analysis of bundles of hair; the duration and degree of exposure are more accurately defined. A sex difference in response is discussed. © 1987, American Medical Association. All rights reserved.","author":[{"dropping-particle":"","family":"Marsh","given":"D O","non-dropping-particle":"","parse-names":false,"suffix":""},{"dropping-particle":"","family":"Clarkson","given":"Thomas W.","non-dropping-particle":"","parse-names":false,"suffix":""},{"dropping-particle":"","family":"Cox","given":"Christopher","non-dropping-particle":"","parse-names":false,"suffix":""},{"dropping-particle":"","family":"Myers","given":"Gary J.","non-dropping-particle":"","parse-names":false,"suffix":""},{"dropping-particle":"","family":"Amin Zaki","given":"Laman","non-dropping-particle":"","parse-names":false,"suffix":""},{"dropping-particle":"","family":"Tikriti","given":"Sa'adoun","non-dropping-particle":"","parse-names":false,"suffix":""}],"container-title":"Archives of Neurology","id":"ITEM-1","issue":"10","issued":{"date-parts":[["1987"]]},"page":"1017-1022","title":"Fetal methylmercury poisoning: Relationship between concentration in single strands of maternal hair and child effects","type":"article-journal","volume":"44"},"uris":["http://www.mendeley.com/documents/?uuid=66764164-9d08-4460-bb35-e7bea4681245"]}],"mendeley":{"formattedCitation":"(Marsh et al., 1987)","plainTextFormattedCitation":"(Marsh et al., 1987)","previouslyFormattedCitation":"(Marsh et al., 1987)"},"properties":{"noteIndex":0},"schema":"https://github.com/citation-style-language/schema/raw/master/csl-citation.json"}</w:instrText>
      </w:r>
      <w:r w:rsidR="004A41C6">
        <w:fldChar w:fldCharType="separate"/>
      </w:r>
      <w:r w:rsidR="004A41C6" w:rsidRPr="0030056B">
        <w:rPr>
          <w:noProof/>
        </w:rPr>
        <w:t>(Marsh et al., 1987)</w:t>
      </w:r>
      <w:r w:rsidR="004A41C6">
        <w:fldChar w:fldCharType="end"/>
      </w:r>
      <w:r w:rsidR="004A41C6">
        <w:t xml:space="preserve">. The </w:t>
      </w:r>
      <w:r w:rsidR="008E6C4A">
        <w:t xml:space="preserve">neurological exam was reported to have </w:t>
      </w:r>
      <w:r w:rsidR="00302F56">
        <w:t xml:space="preserve">included “observation, measurement of head circumference and body length, </w:t>
      </w:r>
      <w:r w:rsidR="009F7F85">
        <w:t>cranial nerve signs</w:t>
      </w:r>
      <w:r w:rsidR="00193104">
        <w:t xml:space="preserve">, </w:t>
      </w:r>
      <w:r w:rsidR="003301E2">
        <w:t xml:space="preserve">speech, involuntary movements, limb tone, strength, deep tendon reflexes, plantar responses, coordination, dexterity, primitive reflexes, </w:t>
      </w:r>
      <w:r w:rsidR="00675520">
        <w:t xml:space="preserve">sensation, posture, and ability to sit, stand, walk, and run” </w:t>
      </w:r>
      <w:r w:rsidR="00675520">
        <w:fldChar w:fldCharType="begin" w:fldLock="1"/>
      </w:r>
      <w:r w:rsidR="00675520">
        <w:instrText>ADDIN CSL_CITATION {"citationItems":[{"id":"ITEM-1","itemData":{"DOI":"10.1001/archneur.1987.00520220023010","ISSN":"15383687","abstract":"Pregnant women consumed bread that was prepared from methylmercurytreated wheat. Single strands of maternal head hair were analyzed by x-ray fluorescence spectrometry. The index of fetal exposure was the maximum hair mercury concentration during gestation. Effects were measured by the frequency of psychomotor retardation, seizures, and neurological signs in the children. A dose-response relationship was demonstrated for fetal effects of methylmercury. Analysis of single hair strands provides a better index of acute or subacute fetal exposure than analysis of bundles of hair; the duration and degree of exposure are more accurately defined. A sex difference in response is discussed. © 1987, American Medical Association. All rights reserved.","author":[{"dropping-particle":"","family":"Marsh","given":"D O","non-dropping-particle":"","parse-names":false,"suffix":""},{"dropping-particle":"","family":"Clarkson","given":"Thomas W.","non-dropping-particle":"","parse-names":false,"suffix":""},{"dropping-particle":"","family":"Cox","given":"Christopher","non-dropping-particle":"","parse-names":false,"suffix":""},{"dropping-particle":"","family":"Myers","given":"Gary J.","non-dropping-particle":"","parse-names":false,"suffix":""},{"dropping-particle":"","family":"Amin Zaki","given":"Laman","non-dropping-particle":"","parse-names":false,"suffix":""},{"dropping-particle":"","family":"Tikriti","given":"Sa'adoun","non-dropping-particle":"","parse-names":false,"suffix":""}],"container-title":"Archives of Neurology","id":"ITEM-1","issue":"10","issued":{"date-parts":[["1987"]]},"page":"1017-1022","title":"Fetal methylmercury poisoning: Relationship between concentration in single strands of maternal hair and child effects","type":"article-journal","volume":"44"},"uris":["http://www.mendeley.com/documents/?uuid=66764164-9d08-4460-bb35-e7bea4681245"]}],"mendeley":{"formattedCitation":"(Marsh et al., 1987)","plainTextFormattedCitation":"(Marsh et al., 1987)","previouslyFormattedCitation":"(Marsh et al., 1987)"},"properties":{"noteIndex":0},"schema":"https://github.com/citation-style-language/schema/raw/master/csl-citation.json"}</w:instrText>
      </w:r>
      <w:r w:rsidR="00675520">
        <w:fldChar w:fldCharType="separate"/>
      </w:r>
      <w:r w:rsidR="00675520" w:rsidRPr="0030056B">
        <w:rPr>
          <w:noProof/>
        </w:rPr>
        <w:t>(Marsh et al., 1987)</w:t>
      </w:r>
      <w:r w:rsidR="00675520">
        <w:fldChar w:fldCharType="end"/>
      </w:r>
      <w:r w:rsidR="00675520">
        <w:t>.</w:t>
      </w:r>
      <w:r w:rsidR="0022096A">
        <w:t xml:space="preserve"> A scoring system was adopted </w:t>
      </w:r>
      <w:r w:rsidR="00776165">
        <w:t xml:space="preserve">with composite neurological scores assigned for each child ranging </w:t>
      </w:r>
      <w:r w:rsidR="0022096A">
        <w:t>from 0 (absolutely normal</w:t>
      </w:r>
      <w:r w:rsidR="0023457E">
        <w:t>) to 11 (maximum severity)</w:t>
      </w:r>
      <w:r w:rsidR="00D5719A">
        <w:t xml:space="preserve"> </w:t>
      </w:r>
      <w:r w:rsidR="00DF75AF">
        <w:t xml:space="preserve">and the scores were dichotomized by the authors as abnormal (scores </w:t>
      </w:r>
      <w:r w:rsidR="00CE56E4">
        <w:t>4</w:t>
      </w:r>
      <w:r w:rsidR="00C56E5F">
        <w:t>-11</w:t>
      </w:r>
      <w:r w:rsidR="003039E5">
        <w:t>) vs</w:t>
      </w:r>
      <w:r w:rsidR="00F40E3D">
        <w:t>.</w:t>
      </w:r>
      <w:r w:rsidR="003039E5">
        <w:t xml:space="preserve"> normal (scores</w:t>
      </w:r>
      <w:r w:rsidR="00C56E5F">
        <w:t xml:space="preserve"> 0-3</w:t>
      </w:r>
      <w:r w:rsidR="00CE56E4">
        <w:t>)</w:t>
      </w:r>
      <w:r w:rsidR="002E32F3">
        <w:t xml:space="preserve">. </w:t>
      </w:r>
      <w:r w:rsidR="00F02CF2">
        <w:t>The raw data</w:t>
      </w:r>
      <w:r w:rsidR="007650E7">
        <w:t xml:space="preserve"> </w:t>
      </w:r>
      <w:r w:rsidR="00C7644C">
        <w:t>f</w:t>
      </w:r>
      <w:r w:rsidR="007650E7">
        <w:t>o</w:t>
      </w:r>
      <w:r w:rsidR="00C7644C">
        <w:t>r</w:t>
      </w:r>
      <w:r w:rsidR="007650E7">
        <w:t xml:space="preserve"> neurological scores, maternal hair THg, and other mother-reported “symptoms”</w:t>
      </w:r>
      <w:r w:rsidR="001753D4">
        <w:t xml:space="preserve"> were</w:t>
      </w:r>
      <w:r w:rsidR="00F02CF2">
        <w:t xml:space="preserve"> </w:t>
      </w:r>
      <w:r w:rsidR="00FA1D75">
        <w:t xml:space="preserve">extracted from </w:t>
      </w:r>
      <w:r w:rsidR="00FE7A4B">
        <w:t xml:space="preserve">Table 1 of </w:t>
      </w:r>
      <w:r w:rsidR="00FA1D75">
        <w:t xml:space="preserve">Marsh et al. </w:t>
      </w:r>
      <w:r w:rsidR="00FA1D75">
        <w:fldChar w:fldCharType="begin" w:fldLock="1"/>
      </w:r>
      <w:r w:rsidR="00572810">
        <w:instrText>ADDIN CSL_CITATION {"citationItems":[{"id":"ITEM-1","itemData":{"DOI":"10.1001/archneur.1987.00520220023010","ISSN":"15383687","abstract":"Pregnant women consumed bread that was prepared from methylmercurytreated wheat. Single strands of maternal head hair were analyzed by x-ray fluorescence spectrometry. The index of fetal exposure was the maximum hair mercury concentration during gestation. Effects were measured by the frequency of psychomotor retardation, seizures, and neurological signs in the children. A dose-response relationship was demonstrated for fetal effects of methylmercury. Analysis of single hair strands provides a better index of acute or subacute fetal exposure than analysis of bundles of hair; the duration and degree of exposure are more accurately defined. A sex difference in response is discussed. © 1987, American Medical Association. All rights reserved.","author":[{"dropping-particle":"","family":"Marsh","given":"D O","non-dropping-particle":"","parse-names":false,"suffix":""},{"dropping-particle":"","family":"Clarkson","given":"Thomas W.","non-dropping-particle":"","parse-names":false,"suffix":""},{"dropping-particle":"","family":"Cox","given":"Christopher","non-dropping-particle":"","parse-names":false,"suffix":""},{"dropping-particle":"","family":"Myers","given":"Gary J.","non-dropping-particle":"","parse-names":false,"suffix":""},{"dropping-particle":"","family":"Amin Zaki","given":"Laman","non-dropping-particle":"","parse-names":false,"suffix":""},{"dropping-particle":"","family":"Tikriti","given":"Sa'adoun","non-dropping-particle":"","parse-names":false,"suffix":""}],"container-title":"Archives of Neurology","id":"ITEM-1","issue":"10","issued":{"date-parts":[["1987"]]},"page":"1017-1022","title":"Fetal methylmercury poisoning: Relationship between concentration in single strands of maternal hair and child effects","type":"article-journal","volume":"44"},"suppress-author":1,"uris":["http://www.mendeley.com/documents/?uuid=66764164-9d08-4460-bb35-e7bea4681245"]}],"mendeley":{"formattedCitation":"(1987)","plainTextFormattedCitation":"(1987)","previouslyFormattedCitation":"(1987)"},"properties":{"noteIndex":0},"schema":"https://github.com/citation-style-language/schema/raw/master/csl-citation.json"}</w:instrText>
      </w:r>
      <w:r w:rsidR="00FA1D75">
        <w:fldChar w:fldCharType="separate"/>
      </w:r>
      <w:r w:rsidR="00FA1D75" w:rsidRPr="00FA1D75">
        <w:rPr>
          <w:noProof/>
        </w:rPr>
        <w:t>(1987)</w:t>
      </w:r>
      <w:r w:rsidR="00FA1D75">
        <w:fldChar w:fldCharType="end"/>
      </w:r>
      <w:r w:rsidR="00FE7A4B">
        <w:t xml:space="preserve"> </w:t>
      </w:r>
      <w:r w:rsidR="00C7644C">
        <w:t xml:space="preserve">and </w:t>
      </w:r>
      <w:r w:rsidR="001B37E9">
        <w:t>are provided</w:t>
      </w:r>
      <w:r w:rsidR="00C7644C">
        <w:t xml:space="preserve"> in</w:t>
      </w:r>
      <w:r w:rsidR="001753D4">
        <w:t xml:space="preserve"> a MS Excel worksheet </w:t>
      </w:r>
      <w:r w:rsidR="001B37E9">
        <w:t xml:space="preserve">in Supplemental File </w:t>
      </w:r>
      <w:r w:rsidR="00EE3C66">
        <w:t>S6</w:t>
      </w:r>
      <w:r w:rsidR="001B37E9">
        <w:t xml:space="preserve">B. </w:t>
      </w:r>
      <w:r w:rsidR="005F2F34">
        <w:t xml:space="preserve">Data on the mother-reported “symptoms” </w:t>
      </w:r>
      <w:r w:rsidR="008A47EE">
        <w:t xml:space="preserve">in children </w:t>
      </w:r>
      <w:r w:rsidR="005F2F34">
        <w:t>were extracted</w:t>
      </w:r>
      <w:r w:rsidR="00C66081">
        <w:t xml:space="preserve"> in Supplemental File </w:t>
      </w:r>
      <w:r w:rsidR="00EE3C66">
        <w:t>S6</w:t>
      </w:r>
      <w:r w:rsidR="00C66081">
        <w:t xml:space="preserve">B, but were not considered for BMD modelling due to the </w:t>
      </w:r>
      <w:r w:rsidR="00227F19">
        <w:t>multiple uncertainties with this data</w:t>
      </w:r>
      <w:r w:rsidR="008A47EE">
        <w:t xml:space="preserve"> </w:t>
      </w:r>
      <w:r w:rsidR="008A47EE">
        <w:fldChar w:fldCharType="begin" w:fldLock="1"/>
      </w:r>
      <w:r w:rsidR="00AA3693">
        <w:instrText>ADDIN CSL_CITATION {"citationItems":[{"id":"ITEM-1","itemData":{"DOI":"https://www.epa.gov/sites/default/files/2020-01/documents/methylmercury-criterion-2001.pdf","author":[{"dropping-particle":"","family":"US EPA","given":"","non-dropping-particle":"","parse-names":false,"suffix":""}],"id":"ITEM-1","issued":{"date-parts":[["2001"]]},"title":"Water Quality Criterion for the Protection of Human Health: Methylmercury. Final. (January 2001, EPA 823-R-01-001). Office of Science and Technology Office of Water U.S. Environmental Protection Agency Washington, DC 20460","type":"report"},"uris":["http://www.mendeley.com/documents/?uuid=d03e295d-97f8-466b-be4f-699bad6111c4"]}],"mendeley":{"formattedCitation":"(US EPA, 2001)","plainTextFormattedCitation":"(US EPA, 2001)","previouslyFormattedCitation":"(US EPA, 2001)"},"properties":{"noteIndex":0},"schema":"https://github.com/citation-style-language/schema/raw/master/csl-citation.json"}</w:instrText>
      </w:r>
      <w:r w:rsidR="008A47EE">
        <w:fldChar w:fldCharType="separate"/>
      </w:r>
      <w:r w:rsidR="008A47EE" w:rsidRPr="008A47EE">
        <w:rPr>
          <w:noProof/>
        </w:rPr>
        <w:t>(US EPA, 2001)</w:t>
      </w:r>
      <w:r w:rsidR="008A47EE">
        <w:fldChar w:fldCharType="end"/>
      </w:r>
      <w:r w:rsidR="00227F19">
        <w:t>. Only the clinician-</w:t>
      </w:r>
      <w:r w:rsidR="005F7F46">
        <w:t xml:space="preserve">assigned </w:t>
      </w:r>
      <w:r w:rsidR="008A47EE">
        <w:t xml:space="preserve">child </w:t>
      </w:r>
      <w:r w:rsidR="00227F19">
        <w:t xml:space="preserve">neurological scores were </w:t>
      </w:r>
      <w:r w:rsidR="008A47EE">
        <w:t xml:space="preserve">considered further </w:t>
      </w:r>
      <w:r w:rsidR="0048610D">
        <w:t>for BMD analysis</w:t>
      </w:r>
      <w:r w:rsidR="008A47EE">
        <w:t>.</w:t>
      </w:r>
    </w:p>
    <w:p w14:paraId="0035F31E" w14:textId="77777777" w:rsidR="000F66E3" w:rsidRDefault="000F66E3" w:rsidP="00C5410C"/>
    <w:p w14:paraId="01BE5668" w14:textId="2E941F98" w:rsidR="00E91EF1" w:rsidRDefault="00D5719A" w:rsidP="00C5410C">
      <w:r>
        <w:t xml:space="preserve">A plot of the </w:t>
      </w:r>
      <w:r w:rsidR="00D12DC9">
        <w:t xml:space="preserve">clinician-assigned child </w:t>
      </w:r>
      <w:r>
        <w:t xml:space="preserve">neurological scores </w:t>
      </w:r>
      <w:r w:rsidR="00874E34">
        <w:t>and</w:t>
      </w:r>
      <w:r>
        <w:t xml:space="preserve"> maternal hair THg </w:t>
      </w:r>
      <w:r w:rsidR="00874E34">
        <w:t xml:space="preserve">concentrations </w:t>
      </w:r>
      <w:r>
        <w:t xml:space="preserve">for the 81 mother-child pairs is shown in Figure </w:t>
      </w:r>
      <w:r w:rsidR="00EE3C66">
        <w:t>S6</w:t>
      </w:r>
      <w:r w:rsidR="00E91EF1">
        <w:t>A.</w:t>
      </w:r>
      <w:r w:rsidR="002A714C">
        <w:t>1</w:t>
      </w:r>
      <w:r w:rsidR="001C0D53">
        <w:t xml:space="preserve"> with</w:t>
      </w:r>
      <w:r w:rsidR="00063EB0">
        <w:t xml:space="preserve"> colour </w:t>
      </w:r>
      <w:r w:rsidR="00D40ABE">
        <w:t xml:space="preserve">of the points </w:t>
      </w:r>
      <w:r w:rsidR="00063EB0">
        <w:t>denoting</w:t>
      </w:r>
      <w:r w:rsidR="001C0D53">
        <w:t xml:space="preserve"> </w:t>
      </w:r>
      <w:r w:rsidR="00BF1090">
        <w:t xml:space="preserve">the neurological scores dichotomized </w:t>
      </w:r>
      <w:r w:rsidR="00911E72">
        <w:t xml:space="preserve">as reported </w:t>
      </w:r>
      <w:r w:rsidR="00BF1090">
        <w:t xml:space="preserve">by Marsh et al. </w:t>
      </w:r>
      <w:r w:rsidR="00654EF7">
        <w:fldChar w:fldCharType="begin" w:fldLock="1"/>
      </w:r>
      <w:r w:rsidR="004B01E8">
        <w:instrText>ADDIN CSL_CITATION {"citationItems":[{"id":"ITEM-1","itemData":{"DOI":"10.1001/archneur.1987.00520220023010","ISSN":"15383687","abstract":"Pregnant women consumed bread that was prepared from methylmercurytreated wheat. Single strands of maternal head hair were analyzed by x-ray fluorescence spectrometry. The index of fetal exposure was the maximum hair mercury concentration during gestation. Effects were measured by the frequency of psychomotor retardation, seizures, and neurological signs in the children. A dose-response relationship was demonstrated for fetal effects of methylmercury. Analysis of single hair strands provides a better index of acute or subacute fetal exposure than analysis of bundles of hair; the duration and degree of exposure are more accurately defined. A sex difference in response is discussed. © 1987, American Medical Association. All rights reserved.","author":[{"dropping-particle":"","family":"Marsh","given":"D O","non-dropping-particle":"","parse-names":false,"suffix":""},{"dropping-particle":"","family":"Clarkson","given":"Thomas W.","non-dropping-particle":"","parse-names":false,"suffix":""},{"dropping-particle":"","family":"Cox","given":"Christopher","non-dropping-particle":"","parse-names":false,"suffix":""},{"dropping-particle":"","family":"Myers","given":"Gary J.","non-dropping-particle":"","parse-names":false,"suffix":""},{"dropping-particle":"","family":"Amin Zaki","given":"Laman","non-dropping-particle":"","parse-names":false,"suffix":""},{"dropping-particle":"","family":"Tikriti","given":"Sa'adoun","non-dropping-particle":"","parse-names":false,"suffix":""}],"container-title":"Archives of Neurology","id":"ITEM-1","issue":"10","issued":{"date-parts":[["1987"]]},"page":"1017-1022","title":"Fetal methylmercury poisoning: Relationship between concentration in single strands of maternal hair and child effects","type":"article-journal","volume":"44"},"suppress-author":1,"uris":["http://www.mendeley.com/documents/?uuid=66764164-9d08-4460-bb35-e7bea4681245"]}],"mendeley":{"formattedCitation":"(1987)","plainTextFormattedCitation":"(1987)","previouslyFormattedCitation":"(1987)"},"properties":{"noteIndex":0},"schema":"https://github.com/citation-style-language/schema/raw/master/csl-citation.json"}</w:instrText>
      </w:r>
      <w:r w:rsidR="00654EF7">
        <w:fldChar w:fldCharType="separate"/>
      </w:r>
      <w:r w:rsidR="00654EF7" w:rsidRPr="00654EF7">
        <w:rPr>
          <w:noProof/>
        </w:rPr>
        <w:t>(1987)</w:t>
      </w:r>
      <w:r w:rsidR="00654EF7">
        <w:fldChar w:fldCharType="end"/>
      </w:r>
      <w:r w:rsidR="00654EF7">
        <w:t xml:space="preserve">: </w:t>
      </w:r>
      <w:r w:rsidR="00FF4221">
        <w:t xml:space="preserve"> </w:t>
      </w:r>
      <w:r w:rsidR="00A230DD">
        <w:t xml:space="preserve">normal </w:t>
      </w:r>
      <w:r w:rsidR="00FF4221">
        <w:t xml:space="preserve">score </w:t>
      </w:r>
      <w:r w:rsidR="00A230DD">
        <w:t>0-3</w:t>
      </w:r>
      <w:r w:rsidR="00654EF7">
        <w:t xml:space="preserve"> (</w:t>
      </w:r>
      <w:r w:rsidR="00654EF7" w:rsidRPr="008E620F">
        <w:rPr>
          <w:b/>
          <w:bCs w:val="0"/>
          <w:color w:val="0000FF"/>
        </w:rPr>
        <w:t>blue</w:t>
      </w:r>
      <w:r w:rsidR="00654EF7">
        <w:t xml:space="preserve"> points)</w:t>
      </w:r>
      <w:r w:rsidR="008E620F">
        <w:t xml:space="preserve"> and </w:t>
      </w:r>
      <w:r w:rsidR="00BF1090">
        <w:t>abnormal</w:t>
      </w:r>
      <w:r w:rsidR="00FF4221">
        <w:t xml:space="preserve"> score</w:t>
      </w:r>
      <w:r w:rsidR="00BF1090">
        <w:t xml:space="preserve"> </w:t>
      </w:r>
      <w:r w:rsidR="00BF1090">
        <w:rPr>
          <w:rFonts w:ascii="Symbol" w:eastAsia="Symbol" w:hAnsi="Symbol" w:cs="Symbol"/>
        </w:rPr>
        <w:t>³</w:t>
      </w:r>
      <w:r w:rsidR="00BF1090">
        <w:t>4</w:t>
      </w:r>
      <w:r w:rsidR="008E620F">
        <w:t xml:space="preserve"> (</w:t>
      </w:r>
      <w:r w:rsidR="008E620F" w:rsidRPr="008E620F">
        <w:rPr>
          <w:b/>
          <w:bCs w:val="0"/>
          <w:color w:val="FF0000"/>
        </w:rPr>
        <w:t>red</w:t>
      </w:r>
      <w:r w:rsidR="008E620F">
        <w:t xml:space="preserve"> points)</w:t>
      </w:r>
      <w:r w:rsidR="00911E72">
        <w:t xml:space="preserve">. </w:t>
      </w:r>
      <w:r w:rsidR="00AD423E">
        <w:t xml:space="preserve">The plot also shows five categories of exposure (grey vertical dotted lines) with geometric mean (GM) and ranges based on Table 6-3 from US EPA </w:t>
      </w:r>
      <w:r w:rsidR="00AD423E">
        <w:fldChar w:fldCharType="begin" w:fldLock="1"/>
      </w:r>
      <w:r w:rsidR="00AD423E">
        <w:instrText>ADDIN CSL_CITATION {"citationItems":[{"id":"ITEM-1","itemData":{"author":[{"dropping-particle":"","family":"US EPA","given":"","non-dropping-particle":"","parse-names":false,"suffix":""}],"container-title":"Mercury Study Report to Congress","id":"ITEM-1","issued":{"date-parts":[["1997"]]},"title":"Volume V: Health Effects of Mercury and Mercury Compounds. Mercury Study Report to Congress. December 1997 (EPA-452/R-97-003) Office of Air Quality Planning and Standards, Office of Research and Development, U.S. Environmental Protection Agency","type":"report"},"suppress-author":1,"uris":["http://www.mendeley.com/documents/?uuid=b6cab3ff-18c6-41b0-ad3d-7cabbf65dda2"]}],"mendeley":{"formattedCitation":"(1997)","plainTextFormattedCitation":"(1997)","previouslyFormattedCitation":"(1997)"},"properties":{"noteIndex":0},"schema":"https://github.com/citation-style-language/schema/raw/master/csl-citation.json"}</w:instrText>
      </w:r>
      <w:r w:rsidR="00AD423E">
        <w:fldChar w:fldCharType="separate"/>
      </w:r>
      <w:r w:rsidR="00AD423E" w:rsidRPr="00CF548E">
        <w:rPr>
          <w:noProof/>
        </w:rPr>
        <w:t>(1997)</w:t>
      </w:r>
      <w:r w:rsidR="00AD423E">
        <w:fldChar w:fldCharType="end"/>
      </w:r>
      <w:r w:rsidR="00AD423E">
        <w:t xml:space="preserve"> and Table 6-11 from NAS </w:t>
      </w:r>
      <w:r w:rsidR="00AD423E">
        <w:fldChar w:fldCharType="begin" w:fldLock="1"/>
      </w:r>
      <w:r w:rsidR="00AD423E">
        <w:instrText>ADDIN CSL_CITATION {"citationItems":[{"id":"ITEM-1","itemData":{"DOI":"10.17226/1612","ISBN":"978-0-309-10374-9","abstract":"Can Americans continue to add more seafood to their diets without fear of illness or even death? Seafood-caused health problems are not widespread, but consumers are at risk from seafood-borne microbes and toxins\\u2014with consequences that can range from mild enteritis to fatal illness.\\nAt a time when legislators and consumer groups are seeking a sound regulatory approach, Seafood Safety presents a comprehensive set of practical recommendations for ensuring the safety of the seafood supply.\\nThis volume presents the first-ever overview of the field, covering seafood consumption patterns, where and how seafood contamination occurs, and the effectiveness of regulation.\\nA wealth of technical information is presented on the sources of contamination\\u2014microbes, natural toxins, and chemical pollutants\\u2014and their effects on human health. The volume evaluates methods used for risk assessment and inspection sampling.","author":[{"dropping-particle":"","family":"NAS","given":"","non-dropping-particle":"","parse-names":false,"suffix":""}],"id":"ITEM-1","issued":{"date-parts":[["1991"]]},"publisher":"The National Academies Press","publisher-place":"Washington, DC","title":"Methylmercury (p196-219). Chapter 6. Critique of Risk Assessments Used in Formulating Contaminant Guidelines/Tolerances for Specific Chemicals and Suggestions for Improvement. In: Seafood Safety. Committee on Evaluation of the Safety of Fishery Products. ","type":"report"},"suppress-author":1,"uris":["http://www.mendeley.com/documents/?uuid=2b3b3c55-d7b5-4291-9afc-0e7213257da9"]}],"mendeley":{"formattedCitation":"(1991)","plainTextFormattedCitation":"(1991)","previouslyFormattedCitation":"(1991)"},"properties":{"noteIndex":0},"schema":"https://github.com/citation-style-language/schema/raw/master/csl-citation.json"}</w:instrText>
      </w:r>
      <w:r w:rsidR="00AD423E">
        <w:fldChar w:fldCharType="separate"/>
      </w:r>
      <w:r w:rsidR="00AD423E" w:rsidRPr="00CF548E">
        <w:rPr>
          <w:noProof/>
        </w:rPr>
        <w:t>(1991)</w:t>
      </w:r>
      <w:r w:rsidR="00AD423E">
        <w:fldChar w:fldCharType="end"/>
      </w:r>
      <w:r w:rsidR="00AD423E">
        <w:t xml:space="preserve">. </w:t>
      </w:r>
      <w:r w:rsidR="00DA7B8E">
        <w:t>T</w:t>
      </w:r>
      <w:r w:rsidR="00DA7B8E" w:rsidRPr="00DA7B8E">
        <w:t>he plot appears to show an exposure-dependent increase in score severity for some observations with the most severe</w:t>
      </w:r>
      <w:r w:rsidR="00DA7500">
        <w:t xml:space="preserve"> adverse</w:t>
      </w:r>
      <w:r w:rsidR="00DA7B8E" w:rsidRPr="00DA7B8E">
        <w:t xml:space="preserve"> neurological scores (i.e., </w:t>
      </w:r>
      <w:r w:rsidR="00DA7500">
        <w:t xml:space="preserve">scores of </w:t>
      </w:r>
      <w:r w:rsidR="00DA7B8E" w:rsidRPr="00DA7B8E">
        <w:t xml:space="preserve">11) associated with the highest exposure levels (404 to 443 µg/g MH THg). However, there were also a substantial proportion of children at the highest exposure levels </w:t>
      </w:r>
      <w:r w:rsidR="00B95D93">
        <w:t xml:space="preserve">who were </w:t>
      </w:r>
      <w:r w:rsidR="00DA7B8E" w:rsidRPr="00DA7B8E">
        <w:t>assigned normal neurological scores (0-3)</w:t>
      </w:r>
      <w:r w:rsidR="00431DCF">
        <w:t xml:space="preserve"> including </w:t>
      </w:r>
      <w:r w:rsidR="00DA7B8E" w:rsidRPr="00DA7B8E">
        <w:t xml:space="preserve">the highest maternal hair THg </w:t>
      </w:r>
      <w:r w:rsidR="00431DCF">
        <w:t xml:space="preserve">concentration </w:t>
      </w:r>
      <w:r w:rsidR="00DA7B8E" w:rsidRPr="00DA7B8E">
        <w:t xml:space="preserve">(674 µg/g) </w:t>
      </w:r>
      <w:r w:rsidR="004902B1">
        <w:t xml:space="preserve">with a </w:t>
      </w:r>
      <w:r w:rsidR="00DA7B8E" w:rsidRPr="00DA7B8E">
        <w:t>child neurological score of 2</w:t>
      </w:r>
      <w:r w:rsidR="00BF1090">
        <w:t>.</w:t>
      </w:r>
      <w:r w:rsidR="0007159C">
        <w:t xml:space="preserve"> </w:t>
      </w:r>
    </w:p>
    <w:p w14:paraId="4A00E6CB" w14:textId="77777777" w:rsidR="00D00355" w:rsidRDefault="00D00355" w:rsidP="00C5410C"/>
    <w:p w14:paraId="3DCC050E" w14:textId="36CBF574" w:rsidR="00DB69D2" w:rsidRPr="004A68D6" w:rsidRDefault="00572810" w:rsidP="00DB69D2">
      <w:r w:rsidRPr="004B7826">
        <w:rPr>
          <w:b/>
          <w:bCs w:val="0"/>
        </w:rPr>
        <w:t xml:space="preserve">Figure </w:t>
      </w:r>
      <w:r w:rsidR="00EE3C66">
        <w:rPr>
          <w:b/>
          <w:bCs w:val="0"/>
        </w:rPr>
        <w:t>S6</w:t>
      </w:r>
      <w:r w:rsidRPr="004B7826">
        <w:rPr>
          <w:b/>
          <w:bCs w:val="0"/>
        </w:rPr>
        <w:t xml:space="preserve">A.1 </w:t>
      </w:r>
      <w:r w:rsidR="008E4D25">
        <w:rPr>
          <w:b/>
          <w:bCs w:val="0"/>
        </w:rPr>
        <w:t>Child n</w:t>
      </w:r>
      <w:r w:rsidRPr="004B7826">
        <w:rPr>
          <w:b/>
          <w:bCs w:val="0"/>
        </w:rPr>
        <w:t>eurological score</w:t>
      </w:r>
      <w:r w:rsidR="001B0A45">
        <w:rPr>
          <w:b/>
          <w:bCs w:val="0"/>
        </w:rPr>
        <w:t>s</w:t>
      </w:r>
      <w:r w:rsidRPr="004B7826">
        <w:rPr>
          <w:b/>
          <w:bCs w:val="0"/>
        </w:rPr>
        <w:t xml:space="preserve"> vs maternal hair THg in the 81 mother-child pairs from Marsh et al. </w:t>
      </w:r>
      <w:r w:rsidRPr="0021665E">
        <w:rPr>
          <w:b/>
          <w:bCs w:val="0"/>
        </w:rPr>
        <w:fldChar w:fldCharType="begin" w:fldLock="1"/>
      </w:r>
      <w:r w:rsidR="007C5019" w:rsidRPr="0021665E">
        <w:rPr>
          <w:b/>
          <w:bCs w:val="0"/>
        </w:rPr>
        <w:instrText>ADDIN CSL_CITATION {"citationItems":[{"id":"ITEM-1","itemData":{"DOI":"10.1001/archneur.1987.00520220023010","ISSN":"15383687","abstract":"Pregnant women consumed bread that was prepared from methylmercurytreated wheat. Single strands of maternal head hair were analyzed by x-ray fluorescence spectrometry. The index of fetal exposure was the maximum hair mercury concentration during gestation. Effects were measured by the frequency of psychomotor retardation, seizures, and neurological signs in the children. A dose-response relationship was demonstrated for fetal effects of methylmercury. Analysis of single hair strands provides a better index of acute or subacute fetal exposure than analysis of bundles of hair; the duration and degree of exposure are more accurately defined. A sex difference in response is discussed. © 1987, American Medical Association. All rights reserved.","author":[{"dropping-particle":"","family":"Marsh","given":"D O","non-dropping-particle":"","parse-names":false,"suffix":""},{"dropping-particle":"","family":"Clarkson","given":"Thomas W.","non-dropping-particle":"","parse-names":false,"suffix":""},{"dropping-particle":"","family":"Cox","given":"Christopher","non-dropping-particle":"","parse-names":false,"suffix":""},{"dropping-particle":"","family":"Myers","given":"Gary J.","non-dropping-particle":"","parse-names":false,"suffix":""},{"dropping-particle":"","family":"Amin Zaki","given":"Laman","non-dropping-particle":"","parse-names":false,"suffix":""},{"dropping-particle":"","family":"Tikriti","given":"Sa'adoun","non-dropping-particle":"","parse-names":false,"suffix":""}],"container-title":"Archives of Neurology","id":"ITEM-1","issue":"10","issued":{"date-parts":[["1987"]]},"page":"1017-1022","title":"Fetal methylmercury poisoning: Relationship between concentration in single strands of maternal hair and child effects","type":"article-journal","volume":"44"},"suppress-author":1,"uris":["http://www.mendeley.com/documents/?uuid=66764164-9d08-4460-bb35-e7bea4681245"]}],"mendeley":{"formattedCitation":"(1987)","plainTextFormattedCitation":"(1987)","previouslyFormattedCitation":"(1987)"},"properties":{"noteIndex":0},"schema":"https://github.com/citation-style-language/schema/raw/master/csl-citation.json"}</w:instrText>
      </w:r>
      <w:r w:rsidRPr="0021665E">
        <w:rPr>
          <w:b/>
          <w:bCs w:val="0"/>
        </w:rPr>
        <w:fldChar w:fldCharType="separate"/>
      </w:r>
      <w:r w:rsidRPr="0021665E">
        <w:rPr>
          <w:b/>
          <w:bCs w:val="0"/>
          <w:noProof/>
        </w:rPr>
        <w:t>(1987)</w:t>
      </w:r>
      <w:r w:rsidRPr="0021665E">
        <w:rPr>
          <w:b/>
          <w:bCs w:val="0"/>
        </w:rPr>
        <w:fldChar w:fldCharType="end"/>
      </w:r>
      <w:r w:rsidR="00126275">
        <w:rPr>
          <w:b/>
          <w:bCs w:val="0"/>
        </w:rPr>
        <w:t>.</w:t>
      </w:r>
      <w:r w:rsidR="00B84BA1">
        <w:rPr>
          <w:b/>
          <w:bCs w:val="0"/>
        </w:rPr>
        <w:t xml:space="preserve"> </w:t>
      </w:r>
      <w:r w:rsidR="00507A47">
        <w:t>J</w:t>
      </w:r>
      <w:r w:rsidR="004B7826">
        <w:t>ittering has been added to the plot in order to more clearly show overlapping datapoints</w:t>
      </w:r>
      <w:r w:rsidR="007A6521">
        <w:t xml:space="preserve">. The red </w:t>
      </w:r>
      <w:r w:rsidR="007E3EC5">
        <w:t xml:space="preserve">horizontal </w:t>
      </w:r>
      <w:r w:rsidR="007A6521">
        <w:t>line distinguishes scores classified by Marsh et al. as “abnormal” (</w:t>
      </w:r>
      <w:r w:rsidR="007A6521" w:rsidRPr="00DD0338">
        <w:rPr>
          <w:b/>
          <w:bCs w:val="0"/>
          <w:color w:val="FF0000"/>
        </w:rPr>
        <w:t>red</w:t>
      </w:r>
      <w:r w:rsidR="007E2747">
        <w:t>, scores 4-11) vs “normal” (</w:t>
      </w:r>
      <w:r w:rsidR="007E2747" w:rsidRPr="00DD0338">
        <w:rPr>
          <w:b/>
          <w:bCs w:val="0"/>
          <w:color w:val="0000FF"/>
        </w:rPr>
        <w:t>blue</w:t>
      </w:r>
      <w:r w:rsidR="007E2747">
        <w:t>, scores 0-3).</w:t>
      </w:r>
      <w:r w:rsidR="00DB69D2">
        <w:t xml:space="preserve"> (summary statistics </w:t>
      </w:r>
      <w:r w:rsidR="00CA0594">
        <w:t xml:space="preserve">and the raw data tables are </w:t>
      </w:r>
      <w:r w:rsidR="00DB69D2">
        <w:t xml:space="preserve">also provided in MS Excel form in Supplemental File </w:t>
      </w:r>
      <w:r w:rsidR="00EE3C66">
        <w:t>S6</w:t>
      </w:r>
      <w:r w:rsidR="00DB69D2">
        <w:t>B.</w:t>
      </w:r>
      <w:r w:rsidR="00CA0594">
        <w:t xml:space="preserve">2 and </w:t>
      </w:r>
      <w:r w:rsidR="00EE3C66">
        <w:t>S6</w:t>
      </w:r>
      <w:r w:rsidR="00CA0594">
        <w:t>B.3 respectively</w:t>
      </w:r>
      <w:r w:rsidR="00DB69D2">
        <w:t>)</w:t>
      </w:r>
    </w:p>
    <w:p w14:paraId="1515743A" w14:textId="238A86D9" w:rsidR="00572810" w:rsidRDefault="00521428" w:rsidP="00C5410C">
      <w:r>
        <w:rPr>
          <w:noProof/>
        </w:rPr>
        <w:drawing>
          <wp:inline distT="0" distB="0" distL="0" distR="0" wp14:anchorId="1463E676" wp14:editId="130F256D">
            <wp:extent cx="4524791" cy="3167496"/>
            <wp:effectExtent l="19050" t="19050" r="28575" b="13970"/>
            <wp:docPr id="3" name="Picture 2" descr="A graph of hair loss&#10;&#10;AI-generated content may be incorrect.">
              <a:extLst xmlns:a="http://schemas.openxmlformats.org/drawingml/2006/main">
                <a:ext uri="{FF2B5EF4-FFF2-40B4-BE49-F238E27FC236}">
                  <a16:creationId xmlns:a16="http://schemas.microsoft.com/office/drawing/2014/main" id="{50D5624A-3538-84D1-1E0A-1DC6ED2392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f hair loss&#10;&#10;AI-generated content may be incorrect.">
                      <a:extLst>
                        <a:ext uri="{FF2B5EF4-FFF2-40B4-BE49-F238E27FC236}">
                          <a16:creationId xmlns:a16="http://schemas.microsoft.com/office/drawing/2014/main" id="{50D5624A-3538-84D1-1E0A-1DC6ED23921A}"/>
                        </a:ext>
                      </a:extLst>
                    </pic:cNvPr>
                    <pic:cNvPicPr>
                      <a:picLocks noChangeAspect="1"/>
                    </pic:cNvPicPr>
                  </pic:nvPicPr>
                  <pic:blipFill>
                    <a:blip r:embed="rId8"/>
                    <a:stretch>
                      <a:fillRect/>
                    </a:stretch>
                  </pic:blipFill>
                  <pic:spPr>
                    <a:xfrm>
                      <a:off x="0" y="0"/>
                      <a:ext cx="4555406" cy="3188927"/>
                    </a:xfrm>
                    <a:prstGeom prst="rect">
                      <a:avLst/>
                    </a:prstGeom>
                    <a:ln>
                      <a:solidFill>
                        <a:schemeClr val="tx1"/>
                      </a:solidFill>
                    </a:ln>
                  </pic:spPr>
                </pic:pic>
              </a:graphicData>
            </a:graphic>
          </wp:inline>
        </w:drawing>
      </w:r>
    </w:p>
    <w:p w14:paraId="71890800" w14:textId="71E0060D" w:rsidR="006A7799" w:rsidRDefault="006A7799">
      <w:r>
        <w:br w:type="page"/>
      </w:r>
    </w:p>
    <w:p w14:paraId="2F097A7C" w14:textId="42CC5406" w:rsidR="006A1586" w:rsidRDefault="006A1586" w:rsidP="006A1586">
      <w:pPr>
        <w:pStyle w:val="Heading1"/>
      </w:pPr>
      <w:r>
        <w:lastRenderedPageBreak/>
        <w:t>BMD Modelling</w:t>
      </w:r>
    </w:p>
    <w:p w14:paraId="616E5F20" w14:textId="77777777" w:rsidR="004C39FB" w:rsidRDefault="004C39FB" w:rsidP="004C39FB"/>
    <w:p w14:paraId="468DD5F0" w14:textId="56F43ADB" w:rsidR="005832CC" w:rsidRDefault="005832CC" w:rsidP="005832CC">
      <w:r>
        <w:t xml:space="preserve">The incidence of abnormal neurological scores by the US EPA exposure categories is shown in Table </w:t>
      </w:r>
      <w:r w:rsidR="00EE3C66">
        <w:t>S6</w:t>
      </w:r>
      <w:r>
        <w:t xml:space="preserve">A.1. As in was done for the previous BMD modelling by the US EPA </w:t>
      </w:r>
      <w:r>
        <w:fldChar w:fldCharType="begin" w:fldLock="1"/>
      </w:r>
      <w:r>
        <w:instrText>ADDIN CSL_CITATION {"citationItems":[{"id":"ITEM-1","itemData":{"author":[{"dropping-particle":"","family":"US EPA","given":"","non-dropping-particle":"","parse-names":false,"suffix":""}],"container-title":"Mercury Study Report to Congress","id":"ITEM-1","issued":{"date-parts":[["1997"]]},"title":"Volume V: Health Effects of Mercury and Mercury Compounds. Mercury Study Report to Congress. December 1997 (EPA-452/R-97-003) Office of Air Quality Planning and Standards, Office of Research and Development, U.S. Environmental Protection Agency","type":"report"},"uris":["http://www.mendeley.com/documents/?uuid=b6cab3ff-18c6-41b0-ad3d-7cabbf65dda2"]}],"mendeley":{"formattedCitation":"(US EPA, 1997)","plainTextFormattedCitation":"(US EPA, 1997)","previouslyFormattedCitation":"(US EPA, 1997)"},"properties":{"noteIndex":0},"schema":"https://github.com/citation-style-language/schema/raw/master/csl-citation.json"}</w:instrText>
      </w:r>
      <w:r>
        <w:fldChar w:fldCharType="separate"/>
      </w:r>
      <w:r w:rsidRPr="00FC1495">
        <w:rPr>
          <w:noProof/>
        </w:rPr>
        <w:t>(US EPA, 1997)</w:t>
      </w:r>
      <w:r>
        <w:fldChar w:fldCharType="end"/>
      </w:r>
      <w:r>
        <w:t xml:space="preserve"> two definitions for abnormal neurological score was used, abnormal score </w:t>
      </w:r>
      <w:r>
        <w:rPr>
          <w:rFonts w:ascii="Symbol" w:eastAsia="Symbol" w:hAnsi="Symbol" w:cs="Symbol"/>
        </w:rPr>
        <w:t>³</w:t>
      </w:r>
      <w:r>
        <w:t xml:space="preserve">4 (4-11) as originally defined by Marsh et al. </w:t>
      </w:r>
      <w:r>
        <w:fldChar w:fldCharType="begin" w:fldLock="1"/>
      </w:r>
      <w:r>
        <w:instrText>ADDIN CSL_CITATION {"citationItems":[{"id":"ITEM-1","itemData":{"DOI":"10.1001/archneur.1987.00520220023010","ISSN":"15383687","abstract":"Pregnant women consumed bread that was prepared from methylmercurytreated wheat. Single strands of maternal head hair were analyzed by x-ray fluorescence spectrometry. The index of fetal exposure was the maximum hair mercury concentration during gestation. Effects were measured by the frequency of psychomotor retardation, seizures, and neurological signs in the children. A dose-response relationship was demonstrated for fetal effects of methylmercury. Analysis of single hair strands provides a better index of acute or subacute fetal exposure than analysis of bundles of hair; the duration and degree of exposure are more accurately defined. A sex difference in response is discussed. © 1987, American Medical Association. All rights reserved.","author":[{"dropping-particle":"","family":"Marsh","given":"D O","non-dropping-particle":"","parse-names":false,"suffix":""},{"dropping-particle":"","family":"Clarkson","given":"Thomas W.","non-dropping-particle":"","parse-names":false,"suffix":""},{"dropping-particle":"","family":"Cox","given":"Christopher","non-dropping-particle":"","parse-names":false,"suffix":""},{"dropping-particle":"","family":"Myers","given":"Gary J.","non-dropping-particle":"","parse-names":false,"suffix":""},{"dropping-particle":"","family":"Amin Zaki","given":"Laman","non-dropping-particle":"","parse-names":false,"suffix":""},{"dropping-particle":"","family":"Tikriti","given":"Sa'adoun","non-dropping-particle":"","parse-names":false,"suffix":""}],"container-title":"Archives of Neurology","id":"ITEM-1","issue":"10","issued":{"date-parts":[["1987"]]},"page":"1017-1022","title":"Fetal methylmercury poisoning: Relationship between concentration in single strands of maternal hair and child effects","type":"article-journal","volume":"44"},"suppress-author":1,"uris":["http://www.mendeley.com/documents/?uuid=66764164-9d08-4460-bb35-e7bea4681245"]}],"mendeley":{"formattedCitation":"(1987)","plainTextFormattedCitation":"(1987)","previouslyFormattedCitation":"(1987)"},"properties":{"noteIndex":0},"schema":"https://github.com/citation-style-language/schema/raw/master/csl-citation.json"}</w:instrText>
      </w:r>
      <w:r>
        <w:fldChar w:fldCharType="separate"/>
      </w:r>
      <w:r w:rsidRPr="004F7E12">
        <w:rPr>
          <w:noProof/>
        </w:rPr>
        <w:t>(1987)</w:t>
      </w:r>
      <w:r>
        <w:fldChar w:fldCharType="end"/>
      </w:r>
      <w:r>
        <w:t xml:space="preserve">, and an alternative definition of abnormal score </w:t>
      </w:r>
      <w:r>
        <w:rPr>
          <w:rFonts w:ascii="Symbol" w:eastAsia="Symbol" w:hAnsi="Symbol" w:cs="Symbol"/>
        </w:rPr>
        <w:t>³</w:t>
      </w:r>
      <w:r>
        <w:t xml:space="preserve">5 (5-11) from Table 6-3 from US EPA </w:t>
      </w:r>
      <w:r>
        <w:fldChar w:fldCharType="begin" w:fldLock="1"/>
      </w:r>
      <w:r>
        <w:instrText>ADDIN CSL_CITATION {"citationItems":[{"id":"ITEM-1","itemData":{"author":[{"dropping-particle":"","family":"US EPA","given":"","non-dropping-particle":"","parse-names":false,"suffix":""}],"container-title":"Mercury Study Report to Congress","id":"ITEM-1","issued":{"date-parts":[["1997"]]},"title":"Volume V: Health Effects of Mercury and Mercury Compounds. Mercury Study Report to Congress. December 1997 (EPA-452/R-97-003) Office of Air Quality Planning and Standards, Office of Research and Development, U.S. Environmental Protection Agency","type":"report"},"suppress-author":1,"uris":["http://www.mendeley.com/documents/?uuid=b6cab3ff-18c6-41b0-ad3d-7cabbf65dda2"]}],"mendeley":{"formattedCitation":"(1997)","plainTextFormattedCitation":"(1997)","previouslyFormattedCitation":"(1997)"},"properties":{"noteIndex":0},"schema":"https://github.com/citation-style-language/schema/raw/master/csl-citation.json"}</w:instrText>
      </w:r>
      <w:r>
        <w:fldChar w:fldCharType="separate"/>
      </w:r>
      <w:r w:rsidRPr="00CF548E">
        <w:rPr>
          <w:noProof/>
        </w:rPr>
        <w:t>(1997)</w:t>
      </w:r>
      <w:r>
        <w:fldChar w:fldCharType="end"/>
      </w:r>
      <w:r>
        <w:t xml:space="preserve"> and Table 6-11 from NAS </w:t>
      </w:r>
      <w:r>
        <w:fldChar w:fldCharType="begin" w:fldLock="1"/>
      </w:r>
      <w:r>
        <w:instrText>ADDIN CSL_CITATION {"citationItems":[{"id":"ITEM-1","itemData":{"DOI":"10.17226/1612","ISBN":"978-0-309-10374-9","abstract":"Can Americans continue to add more seafood to their diets without fear of illness or even death? Seafood-caused health problems are not widespread, but consumers are at risk from seafood-borne microbes and toxins\\u2014with consequences that can range from mild enteritis to fatal illness.\\nAt a time when legislators and consumer groups are seeking a sound regulatory approach, Seafood Safety presents a comprehensive set of practical recommendations for ensuring the safety of the seafood supply.\\nThis volume presents the first-ever overview of the field, covering seafood consumption patterns, where and how seafood contamination occurs, and the effectiveness of regulation.\\nA wealth of technical information is presented on the sources of contamination\\u2014microbes, natural toxins, and chemical pollutants\\u2014and their effects on human health. The volume evaluates methods used for risk assessment and inspection sampling.","author":[{"dropping-particle":"","family":"NAS","given":"","non-dropping-particle":"","parse-names":false,"suffix":""}],"id":"ITEM-1","issued":{"date-parts":[["1991"]]},"publisher":"The National Academies Press","publisher-place":"Washington, DC","title":"Methylmercury (p196-219). Chapter 6. Critique of Risk Assessments Used in Formulating Contaminant Guidelines/Tolerances for Specific Chemicals and Suggestions for Improvement. In: Seafood Safety. Committee on Evaluation of the Safety of Fishery Products. ","type":"report"},"suppress-author":1,"uris":["http://www.mendeley.com/documents/?uuid=2b3b3c55-d7b5-4291-9afc-0e7213257da9"]}],"mendeley":{"formattedCitation":"(1991)","plainTextFormattedCitation":"(1991)","previouslyFormattedCitation":"(1991)"},"properties":{"noteIndex":0},"schema":"https://github.com/citation-style-language/schema/raw/master/csl-citation.json"}</w:instrText>
      </w:r>
      <w:r>
        <w:fldChar w:fldCharType="separate"/>
      </w:r>
      <w:r w:rsidRPr="00CF548E">
        <w:rPr>
          <w:noProof/>
        </w:rPr>
        <w:t>(1991)</w:t>
      </w:r>
      <w:r>
        <w:fldChar w:fldCharType="end"/>
      </w:r>
      <w:r>
        <w:t>.</w:t>
      </w:r>
    </w:p>
    <w:p w14:paraId="4A554279" w14:textId="77777777" w:rsidR="005832CC" w:rsidRDefault="005832CC" w:rsidP="005832CC"/>
    <w:p w14:paraId="6EA43F24" w14:textId="1C978481" w:rsidR="004A68D6" w:rsidRDefault="005832CC" w:rsidP="005832CC">
      <w:pPr>
        <w:rPr>
          <w:b/>
          <w:bCs w:val="0"/>
        </w:rPr>
      </w:pPr>
      <w:r>
        <w:rPr>
          <w:b/>
          <w:bCs w:val="0"/>
        </w:rPr>
        <w:t xml:space="preserve">Table </w:t>
      </w:r>
      <w:r w:rsidR="00EE3C66">
        <w:rPr>
          <w:b/>
          <w:bCs w:val="0"/>
        </w:rPr>
        <w:t>S6</w:t>
      </w:r>
      <w:r w:rsidR="00F65B92">
        <w:rPr>
          <w:b/>
          <w:bCs w:val="0"/>
        </w:rPr>
        <w:t>A</w:t>
      </w:r>
      <w:r>
        <w:rPr>
          <w:b/>
          <w:bCs w:val="0"/>
        </w:rPr>
        <w:t xml:space="preserve">.1 </w:t>
      </w:r>
      <w:r w:rsidR="00E44840">
        <w:rPr>
          <w:b/>
          <w:bCs w:val="0"/>
        </w:rPr>
        <w:t>The</w:t>
      </w:r>
      <w:r>
        <w:rPr>
          <w:b/>
          <w:bCs w:val="0"/>
        </w:rPr>
        <w:t xml:space="preserve"> incidence of abnormal neurological score by the 5 US EPA exposure categories</w:t>
      </w:r>
      <w:r w:rsidR="004A68D6">
        <w:rPr>
          <w:b/>
          <w:bCs w:val="0"/>
        </w:rPr>
        <w:t xml:space="preserve"> </w:t>
      </w:r>
    </w:p>
    <w:p w14:paraId="43E3FBDE" w14:textId="05FABD61" w:rsidR="005832CC" w:rsidRPr="004A68D6" w:rsidRDefault="004A68D6" w:rsidP="005832CC">
      <w:r>
        <w:t xml:space="preserve">(incidence data also provided in MS Excel form in Supplemental File </w:t>
      </w:r>
      <w:r w:rsidR="00EE3C66">
        <w:t>S6</w:t>
      </w:r>
      <w:r>
        <w:t>B.1)</w:t>
      </w:r>
    </w:p>
    <w:tbl>
      <w:tblPr>
        <w:tblW w:w="8822" w:type="dxa"/>
        <w:tblLook w:val="04A0" w:firstRow="1" w:lastRow="0" w:firstColumn="1" w:lastColumn="0" w:noHBand="0" w:noVBand="1"/>
      </w:tblPr>
      <w:tblGrid>
        <w:gridCol w:w="1084"/>
        <w:gridCol w:w="1093"/>
        <w:gridCol w:w="856"/>
        <w:gridCol w:w="778"/>
        <w:gridCol w:w="1305"/>
        <w:gridCol w:w="1215"/>
        <w:gridCol w:w="1309"/>
        <w:gridCol w:w="1182"/>
      </w:tblGrid>
      <w:tr w:rsidR="00E26BB6" w:rsidRPr="00E26BB6" w14:paraId="70389638" w14:textId="77777777" w:rsidTr="00114329">
        <w:trPr>
          <w:trHeight w:val="300"/>
        </w:trPr>
        <w:tc>
          <w:tcPr>
            <w:tcW w:w="303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189C33" w14:textId="77777777" w:rsidR="00E26BB6" w:rsidRPr="00FB2F25" w:rsidRDefault="00E26BB6" w:rsidP="00635A1E">
            <w:pPr>
              <w:jc w:val="center"/>
              <w:rPr>
                <w:rFonts w:eastAsia="Times New Roman"/>
                <w:b/>
                <w:color w:val="000000"/>
                <w:kern w:val="0"/>
                <w:lang w:eastAsia="en-CA"/>
                <w14:ligatures w14:val="none"/>
              </w:rPr>
            </w:pPr>
            <w:r w:rsidRPr="00FB2F25">
              <w:rPr>
                <w:rFonts w:eastAsia="Times New Roman"/>
                <w:b/>
                <w:color w:val="000000"/>
                <w:kern w:val="0"/>
                <w:lang w:eastAsia="en-CA"/>
                <w14:ligatures w14:val="none"/>
              </w:rPr>
              <w:t>Hair THg</w:t>
            </w:r>
          </w:p>
        </w:tc>
        <w:tc>
          <w:tcPr>
            <w:tcW w:w="77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2D4A6F" w14:textId="77777777" w:rsidR="00E26BB6" w:rsidRPr="00FB2F25" w:rsidRDefault="00E26BB6" w:rsidP="00635A1E">
            <w:pPr>
              <w:jc w:val="center"/>
              <w:rPr>
                <w:rFonts w:eastAsia="Times New Roman"/>
                <w:b/>
                <w:color w:val="000000"/>
                <w:kern w:val="0"/>
                <w:lang w:eastAsia="en-CA"/>
                <w14:ligatures w14:val="none"/>
              </w:rPr>
            </w:pPr>
            <w:r w:rsidRPr="00FB2F25">
              <w:rPr>
                <w:rFonts w:eastAsia="Times New Roman"/>
                <w:b/>
                <w:color w:val="000000"/>
                <w:kern w:val="0"/>
                <w:lang w:eastAsia="en-CA"/>
                <w14:ligatures w14:val="none"/>
              </w:rPr>
              <w:t>Total</w:t>
            </w:r>
            <w:r w:rsidRPr="00FB2F25">
              <w:rPr>
                <w:rFonts w:eastAsia="Times New Roman"/>
                <w:b/>
                <w:color w:val="000000"/>
                <w:kern w:val="0"/>
                <w:lang w:eastAsia="en-CA"/>
                <w14:ligatures w14:val="none"/>
              </w:rPr>
              <w:br/>
              <w:t>(n)</w:t>
            </w:r>
          </w:p>
        </w:tc>
        <w:tc>
          <w:tcPr>
            <w:tcW w:w="252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58D7279" w14:textId="431367EF" w:rsidR="00E26BB6" w:rsidRPr="00FB2F25" w:rsidRDefault="00E26BB6" w:rsidP="00635A1E">
            <w:pPr>
              <w:jc w:val="center"/>
              <w:rPr>
                <w:rFonts w:eastAsia="Times New Roman"/>
                <w:b/>
                <w:color w:val="000000"/>
                <w:kern w:val="0"/>
                <w:lang w:eastAsia="en-CA"/>
                <w14:ligatures w14:val="none"/>
              </w:rPr>
            </w:pPr>
            <w:r w:rsidRPr="00FB2F25">
              <w:rPr>
                <w:rFonts w:eastAsia="Times New Roman"/>
                <w:b/>
                <w:color w:val="000000"/>
                <w:kern w:val="0"/>
                <w:lang w:eastAsia="en-CA"/>
                <w14:ligatures w14:val="none"/>
              </w:rPr>
              <w:t xml:space="preserve">Abnormal score </w:t>
            </w:r>
            <w:r w:rsidR="00FB2F25">
              <w:rPr>
                <w:rFonts w:eastAsia="Times New Roman"/>
                <w:b/>
                <w:color w:val="000000"/>
                <w:kern w:val="0"/>
                <w:lang w:eastAsia="en-CA"/>
                <w14:ligatures w14:val="none"/>
              </w:rPr>
              <w:sym w:font="Symbol" w:char="F0B3"/>
            </w:r>
            <w:r w:rsidR="00FB2F25">
              <w:rPr>
                <w:rFonts w:eastAsia="Times New Roman"/>
                <w:b/>
                <w:color w:val="000000"/>
                <w:kern w:val="0"/>
                <w:lang w:eastAsia="en-CA"/>
                <w14:ligatures w14:val="none"/>
              </w:rPr>
              <w:t xml:space="preserve"> </w:t>
            </w:r>
            <w:r w:rsidRPr="00FB2F25">
              <w:rPr>
                <w:rFonts w:eastAsia="Times New Roman"/>
                <w:b/>
                <w:color w:val="000000"/>
                <w:kern w:val="0"/>
                <w:lang w:eastAsia="en-CA"/>
                <w14:ligatures w14:val="none"/>
              </w:rPr>
              <w:t>4</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E6D3FE1" w14:textId="5A870CAC" w:rsidR="00E26BB6" w:rsidRPr="00FB2F25" w:rsidRDefault="00E26BB6" w:rsidP="00635A1E">
            <w:pPr>
              <w:jc w:val="center"/>
              <w:rPr>
                <w:rFonts w:eastAsia="Times New Roman"/>
                <w:b/>
                <w:color w:val="000000"/>
                <w:kern w:val="0"/>
                <w:lang w:eastAsia="en-CA"/>
                <w14:ligatures w14:val="none"/>
              </w:rPr>
            </w:pPr>
            <w:r w:rsidRPr="00FB2F25">
              <w:rPr>
                <w:rFonts w:eastAsia="Times New Roman"/>
                <w:b/>
                <w:color w:val="000000"/>
                <w:kern w:val="0"/>
                <w:lang w:eastAsia="en-CA"/>
                <w14:ligatures w14:val="none"/>
              </w:rPr>
              <w:t xml:space="preserve">Abnormal score </w:t>
            </w:r>
            <w:r w:rsidR="00FB2F25">
              <w:rPr>
                <w:rFonts w:eastAsia="Times New Roman"/>
                <w:b/>
                <w:color w:val="000000"/>
                <w:kern w:val="0"/>
                <w:lang w:eastAsia="en-CA"/>
                <w14:ligatures w14:val="none"/>
              </w:rPr>
              <w:sym w:font="Symbol" w:char="F0B3"/>
            </w:r>
            <w:r w:rsidR="00FB2F25">
              <w:rPr>
                <w:rFonts w:eastAsia="Times New Roman"/>
                <w:b/>
                <w:color w:val="000000"/>
                <w:kern w:val="0"/>
                <w:lang w:eastAsia="en-CA"/>
                <w14:ligatures w14:val="none"/>
              </w:rPr>
              <w:t xml:space="preserve"> </w:t>
            </w:r>
            <w:r w:rsidRPr="00FB2F25">
              <w:rPr>
                <w:rFonts w:eastAsia="Times New Roman"/>
                <w:b/>
                <w:color w:val="000000"/>
                <w:kern w:val="0"/>
                <w:lang w:eastAsia="en-CA"/>
                <w14:ligatures w14:val="none"/>
              </w:rPr>
              <w:t>5</w:t>
            </w:r>
          </w:p>
        </w:tc>
      </w:tr>
      <w:tr w:rsidR="0098560B" w:rsidRPr="00E26BB6" w14:paraId="1A7546B2" w14:textId="77777777" w:rsidTr="00635A1E">
        <w:trPr>
          <w:trHeight w:val="300"/>
        </w:trPr>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E7C95F" w14:textId="77777777" w:rsidR="00E26BB6" w:rsidRPr="0089264E" w:rsidRDefault="00E26BB6" w:rsidP="00635A1E">
            <w:pPr>
              <w:jc w:val="center"/>
              <w:rPr>
                <w:rFonts w:eastAsia="Times New Roman"/>
                <w:b/>
                <w:color w:val="000000"/>
                <w:kern w:val="0"/>
                <w:lang w:eastAsia="en-CA"/>
                <w14:ligatures w14:val="none"/>
              </w:rPr>
            </w:pPr>
            <w:r w:rsidRPr="0089264E">
              <w:rPr>
                <w:rFonts w:eastAsia="Times New Roman"/>
                <w:b/>
                <w:color w:val="000000"/>
                <w:kern w:val="0"/>
                <w:lang w:eastAsia="en-CA"/>
                <w14:ligatures w14:val="none"/>
              </w:rPr>
              <w:t>Category</w:t>
            </w:r>
          </w:p>
        </w:tc>
        <w:tc>
          <w:tcPr>
            <w:tcW w:w="1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25120F" w14:textId="77777777" w:rsidR="00E26BB6" w:rsidRPr="00FB2F25" w:rsidRDefault="00E26BB6" w:rsidP="00635A1E">
            <w:pPr>
              <w:jc w:val="center"/>
              <w:rPr>
                <w:rFonts w:eastAsia="Times New Roman"/>
                <w:b/>
                <w:color w:val="000000"/>
                <w:kern w:val="0"/>
                <w:lang w:eastAsia="en-CA"/>
                <w14:ligatures w14:val="none"/>
              </w:rPr>
            </w:pPr>
            <w:r w:rsidRPr="00FB2F25">
              <w:rPr>
                <w:rFonts w:eastAsia="Times New Roman"/>
                <w:b/>
                <w:color w:val="000000"/>
                <w:kern w:val="0"/>
                <w:lang w:eastAsia="en-CA"/>
                <w14:ligatures w14:val="none"/>
              </w:rPr>
              <w:t>Range (mg/g)</w:t>
            </w:r>
          </w:p>
        </w:tc>
        <w:tc>
          <w:tcPr>
            <w:tcW w:w="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32AD67" w14:textId="77777777" w:rsidR="00E26BB6" w:rsidRPr="00FB2F25" w:rsidRDefault="00E26BB6" w:rsidP="00635A1E">
            <w:pPr>
              <w:jc w:val="center"/>
              <w:rPr>
                <w:rFonts w:eastAsia="Times New Roman"/>
                <w:b/>
                <w:color w:val="000000"/>
                <w:kern w:val="0"/>
                <w:lang w:eastAsia="en-CA"/>
                <w14:ligatures w14:val="none"/>
              </w:rPr>
            </w:pPr>
            <w:r w:rsidRPr="00FB2F25">
              <w:rPr>
                <w:rFonts w:eastAsia="Times New Roman"/>
                <w:b/>
                <w:color w:val="000000"/>
                <w:kern w:val="0"/>
                <w:lang w:eastAsia="en-CA"/>
                <w14:ligatures w14:val="none"/>
              </w:rPr>
              <w:t>GM (mg/g)</w:t>
            </w: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40332E19" w14:textId="77777777" w:rsidR="00E26BB6" w:rsidRPr="00FB2F25" w:rsidRDefault="00E26BB6" w:rsidP="00635A1E">
            <w:pPr>
              <w:jc w:val="center"/>
              <w:rPr>
                <w:rFonts w:eastAsia="Times New Roman"/>
                <w:b/>
                <w:color w:val="000000"/>
                <w:kern w:val="0"/>
                <w:lang w:eastAsia="en-CA"/>
                <w14:ligatures w14:val="none"/>
              </w:rPr>
            </w:pPr>
          </w:p>
        </w:tc>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7C3B4B" w14:textId="77777777" w:rsidR="00E26BB6" w:rsidRPr="00FB2F25" w:rsidRDefault="00E26BB6" w:rsidP="00635A1E">
            <w:pPr>
              <w:jc w:val="center"/>
              <w:rPr>
                <w:rFonts w:eastAsia="Times New Roman"/>
                <w:b/>
                <w:color w:val="000000"/>
                <w:kern w:val="0"/>
                <w:lang w:eastAsia="en-CA"/>
                <w14:ligatures w14:val="none"/>
              </w:rPr>
            </w:pPr>
            <w:r w:rsidRPr="00FB2F25">
              <w:rPr>
                <w:rFonts w:eastAsia="Times New Roman"/>
                <w:b/>
                <w:color w:val="000000"/>
                <w:kern w:val="0"/>
                <w:lang w:eastAsia="en-CA"/>
                <w14:ligatures w14:val="none"/>
              </w:rPr>
              <w:t>Abnormal</w:t>
            </w:r>
            <w:r w:rsidRPr="00FB2F25">
              <w:rPr>
                <w:rFonts w:eastAsia="Times New Roman"/>
                <w:b/>
                <w:color w:val="000000"/>
                <w:kern w:val="0"/>
                <w:lang w:eastAsia="en-CA"/>
                <w14:ligatures w14:val="none"/>
              </w:rPr>
              <w:br/>
              <w:t>(n)</w:t>
            </w:r>
          </w:p>
        </w:tc>
        <w:tc>
          <w:tcPr>
            <w:tcW w:w="12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FB674A" w14:textId="5F4D6B01" w:rsidR="00E26BB6" w:rsidRPr="00FB2F25" w:rsidRDefault="00E26BB6" w:rsidP="00635A1E">
            <w:pPr>
              <w:jc w:val="center"/>
              <w:rPr>
                <w:rFonts w:eastAsia="Times New Roman"/>
                <w:b/>
                <w:color w:val="000000"/>
                <w:kern w:val="0"/>
                <w:lang w:eastAsia="en-CA"/>
                <w14:ligatures w14:val="none"/>
              </w:rPr>
            </w:pPr>
            <w:r w:rsidRPr="00FB2F25">
              <w:rPr>
                <w:rFonts w:eastAsia="Times New Roman"/>
                <w:b/>
                <w:color w:val="000000"/>
                <w:kern w:val="0"/>
                <w:lang w:eastAsia="en-CA"/>
                <w14:ligatures w14:val="none"/>
              </w:rPr>
              <w:t>Abnorma</w:t>
            </w:r>
            <w:r w:rsidR="64C2023D" w:rsidRPr="00FB2F25">
              <w:rPr>
                <w:rFonts w:eastAsia="Times New Roman"/>
                <w:b/>
                <w:color w:val="000000"/>
                <w:kern w:val="0"/>
                <w:lang w:eastAsia="en-CA"/>
                <w14:ligatures w14:val="none"/>
              </w:rPr>
              <w:t>l</w:t>
            </w:r>
            <w:r w:rsidRPr="00FB2F25">
              <w:rPr>
                <w:rFonts w:eastAsia="Times New Roman"/>
                <w:b/>
                <w:color w:val="000000"/>
                <w:kern w:val="0"/>
                <w:lang w:eastAsia="en-CA"/>
                <w14:ligatures w14:val="none"/>
              </w:rPr>
              <w:br/>
              <w:t>(%)</w:t>
            </w:r>
          </w:p>
        </w:tc>
        <w:tc>
          <w:tcPr>
            <w:tcW w:w="1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B660D1" w14:textId="1F74E0B1" w:rsidR="00E26BB6" w:rsidRPr="00FB2F25" w:rsidRDefault="00E26BB6" w:rsidP="00635A1E">
            <w:pPr>
              <w:jc w:val="center"/>
              <w:rPr>
                <w:rFonts w:eastAsia="Times New Roman"/>
                <w:b/>
                <w:color w:val="000000"/>
                <w:kern w:val="0"/>
                <w:lang w:eastAsia="en-CA"/>
                <w14:ligatures w14:val="none"/>
              </w:rPr>
            </w:pPr>
            <w:r w:rsidRPr="00FB2F25">
              <w:rPr>
                <w:rFonts w:eastAsia="Times New Roman"/>
                <w:b/>
                <w:color w:val="000000"/>
                <w:kern w:val="0"/>
                <w:lang w:eastAsia="en-CA"/>
                <w14:ligatures w14:val="none"/>
              </w:rPr>
              <w:t>Abnormal</w:t>
            </w:r>
            <w:r w:rsidR="007B6929" w:rsidRPr="00FB2F25">
              <w:rPr>
                <w:rFonts w:eastAsia="Times New Roman"/>
                <w:b/>
                <w:color w:val="000000"/>
                <w:kern w:val="0"/>
                <w:lang w:eastAsia="en-CA"/>
                <w14:ligatures w14:val="none"/>
              </w:rPr>
              <w:t xml:space="preserve"> </w:t>
            </w:r>
            <w:r w:rsidRPr="00FB2F25">
              <w:rPr>
                <w:rFonts w:eastAsia="Times New Roman"/>
                <w:b/>
                <w:color w:val="000000"/>
                <w:kern w:val="0"/>
                <w:lang w:eastAsia="en-CA"/>
                <w14:ligatures w14:val="none"/>
              </w:rPr>
              <w:t>(n)</w:t>
            </w:r>
          </w:p>
        </w:tc>
        <w:tc>
          <w:tcPr>
            <w:tcW w:w="11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AD1116" w14:textId="77777777" w:rsidR="00E26BB6" w:rsidRPr="00FB2F25" w:rsidRDefault="00E26BB6" w:rsidP="00635A1E">
            <w:pPr>
              <w:jc w:val="center"/>
              <w:rPr>
                <w:rFonts w:eastAsia="Times New Roman"/>
                <w:b/>
                <w:color w:val="000000"/>
                <w:kern w:val="0"/>
                <w:lang w:eastAsia="en-CA"/>
                <w14:ligatures w14:val="none"/>
              </w:rPr>
            </w:pPr>
            <w:r w:rsidRPr="00FB2F25">
              <w:rPr>
                <w:rFonts w:eastAsia="Times New Roman"/>
                <w:b/>
                <w:color w:val="000000"/>
                <w:kern w:val="0"/>
                <w:lang w:eastAsia="en-CA"/>
                <w14:ligatures w14:val="none"/>
              </w:rPr>
              <w:t>Abnormal</w:t>
            </w:r>
            <w:r w:rsidRPr="00FB2F25">
              <w:rPr>
                <w:rFonts w:eastAsia="Times New Roman"/>
                <w:b/>
                <w:color w:val="000000"/>
                <w:kern w:val="0"/>
                <w:lang w:eastAsia="en-CA"/>
                <w14:ligatures w14:val="none"/>
              </w:rPr>
              <w:br/>
              <w:t>(%)</w:t>
            </w:r>
          </w:p>
        </w:tc>
      </w:tr>
      <w:tr w:rsidR="007B6929" w:rsidRPr="00E26BB6" w14:paraId="2D6B9968" w14:textId="77777777" w:rsidTr="00E069AD">
        <w:trPr>
          <w:trHeight w:val="200"/>
        </w:trPr>
        <w:tc>
          <w:tcPr>
            <w:tcW w:w="1084" w:type="dxa"/>
            <w:tcBorders>
              <w:top w:val="single" w:sz="4" w:space="0" w:color="auto"/>
              <w:left w:val="single" w:sz="4" w:space="0" w:color="auto"/>
              <w:bottom w:val="single" w:sz="4" w:space="0" w:color="auto"/>
              <w:right w:val="single" w:sz="4" w:space="0" w:color="auto"/>
            </w:tcBorders>
            <w:vAlign w:val="center"/>
            <w:hideMark/>
          </w:tcPr>
          <w:p w14:paraId="2025DC01" w14:textId="77777777" w:rsidR="00E26BB6" w:rsidRPr="0089264E" w:rsidRDefault="00E26BB6" w:rsidP="00635A1E">
            <w:pPr>
              <w:jc w:val="center"/>
              <w:rPr>
                <w:rFonts w:eastAsia="Times New Roman"/>
                <w:bCs w:val="0"/>
                <w:color w:val="000000"/>
                <w:kern w:val="0"/>
                <w:lang w:eastAsia="en-CA"/>
                <w14:ligatures w14:val="none"/>
              </w:rPr>
            </w:pPr>
            <w:r w:rsidRPr="0089264E">
              <w:rPr>
                <w:rFonts w:eastAsia="Times New Roman"/>
                <w:bCs w:val="0"/>
                <w:color w:val="000000"/>
                <w:kern w:val="0"/>
                <w:lang w:eastAsia="en-CA"/>
                <w14:ligatures w14:val="none"/>
              </w:rPr>
              <w:t>1</w:t>
            </w:r>
          </w:p>
        </w:tc>
        <w:tc>
          <w:tcPr>
            <w:tcW w:w="1093" w:type="dxa"/>
            <w:tcBorders>
              <w:top w:val="single" w:sz="4" w:space="0" w:color="auto"/>
              <w:left w:val="nil"/>
              <w:bottom w:val="single" w:sz="4" w:space="0" w:color="auto"/>
              <w:right w:val="single" w:sz="4" w:space="0" w:color="auto"/>
            </w:tcBorders>
            <w:vAlign w:val="center"/>
            <w:hideMark/>
          </w:tcPr>
          <w:p w14:paraId="6775D4D3"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1 - 3</w:t>
            </w:r>
          </w:p>
        </w:tc>
        <w:tc>
          <w:tcPr>
            <w:tcW w:w="856" w:type="dxa"/>
            <w:tcBorders>
              <w:top w:val="single" w:sz="4" w:space="0" w:color="auto"/>
              <w:left w:val="nil"/>
              <w:bottom w:val="single" w:sz="4" w:space="0" w:color="auto"/>
              <w:right w:val="single" w:sz="4" w:space="0" w:color="auto"/>
            </w:tcBorders>
            <w:vAlign w:val="center"/>
            <w:hideMark/>
          </w:tcPr>
          <w:p w14:paraId="2E7280EA"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1.37</w:t>
            </w:r>
          </w:p>
        </w:tc>
        <w:tc>
          <w:tcPr>
            <w:tcW w:w="778" w:type="dxa"/>
            <w:tcBorders>
              <w:top w:val="single" w:sz="4" w:space="0" w:color="auto"/>
              <w:left w:val="nil"/>
              <w:bottom w:val="single" w:sz="4" w:space="0" w:color="auto"/>
              <w:right w:val="single" w:sz="4" w:space="0" w:color="auto"/>
            </w:tcBorders>
            <w:vAlign w:val="center"/>
            <w:hideMark/>
          </w:tcPr>
          <w:p w14:paraId="79C857D0"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27</w:t>
            </w:r>
          </w:p>
        </w:tc>
        <w:tc>
          <w:tcPr>
            <w:tcW w:w="1305" w:type="dxa"/>
            <w:tcBorders>
              <w:top w:val="single" w:sz="4" w:space="0" w:color="auto"/>
              <w:left w:val="nil"/>
              <w:bottom w:val="single" w:sz="4" w:space="0" w:color="auto"/>
              <w:right w:val="single" w:sz="4" w:space="0" w:color="auto"/>
            </w:tcBorders>
            <w:vAlign w:val="center"/>
            <w:hideMark/>
          </w:tcPr>
          <w:p w14:paraId="15DDB95B"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3</w:t>
            </w:r>
          </w:p>
        </w:tc>
        <w:tc>
          <w:tcPr>
            <w:tcW w:w="1215" w:type="dxa"/>
            <w:tcBorders>
              <w:top w:val="single" w:sz="4" w:space="0" w:color="auto"/>
              <w:left w:val="nil"/>
              <w:bottom w:val="single" w:sz="4" w:space="0" w:color="auto"/>
              <w:right w:val="single" w:sz="4" w:space="0" w:color="auto"/>
            </w:tcBorders>
            <w:vAlign w:val="center"/>
            <w:hideMark/>
          </w:tcPr>
          <w:p w14:paraId="761C9605"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11.11%</w:t>
            </w:r>
          </w:p>
        </w:tc>
        <w:tc>
          <w:tcPr>
            <w:tcW w:w="1309" w:type="dxa"/>
            <w:tcBorders>
              <w:top w:val="single" w:sz="4" w:space="0" w:color="auto"/>
              <w:left w:val="nil"/>
              <w:bottom w:val="single" w:sz="4" w:space="0" w:color="auto"/>
              <w:right w:val="single" w:sz="4" w:space="0" w:color="auto"/>
            </w:tcBorders>
            <w:vAlign w:val="center"/>
            <w:hideMark/>
          </w:tcPr>
          <w:p w14:paraId="41B44656"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0</w:t>
            </w:r>
          </w:p>
        </w:tc>
        <w:tc>
          <w:tcPr>
            <w:tcW w:w="1182" w:type="dxa"/>
            <w:tcBorders>
              <w:top w:val="single" w:sz="4" w:space="0" w:color="auto"/>
              <w:left w:val="nil"/>
              <w:bottom w:val="single" w:sz="4" w:space="0" w:color="auto"/>
              <w:right w:val="single" w:sz="4" w:space="0" w:color="auto"/>
            </w:tcBorders>
            <w:vAlign w:val="center"/>
            <w:hideMark/>
          </w:tcPr>
          <w:p w14:paraId="3BFB2949"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0.00%</w:t>
            </w:r>
          </w:p>
        </w:tc>
      </w:tr>
      <w:tr w:rsidR="007B6929" w:rsidRPr="00E26BB6" w14:paraId="1A3BA795" w14:textId="77777777" w:rsidTr="00E069AD">
        <w:trPr>
          <w:trHeight w:val="161"/>
        </w:trPr>
        <w:tc>
          <w:tcPr>
            <w:tcW w:w="1084" w:type="dxa"/>
            <w:tcBorders>
              <w:top w:val="single" w:sz="4" w:space="0" w:color="auto"/>
              <w:left w:val="single" w:sz="4" w:space="0" w:color="auto"/>
              <w:bottom w:val="single" w:sz="4" w:space="0" w:color="auto"/>
              <w:right w:val="single" w:sz="4" w:space="0" w:color="auto"/>
            </w:tcBorders>
            <w:vAlign w:val="center"/>
            <w:hideMark/>
          </w:tcPr>
          <w:p w14:paraId="13E8F3FD" w14:textId="77777777" w:rsidR="00E26BB6" w:rsidRPr="0089264E" w:rsidRDefault="00E26BB6" w:rsidP="00635A1E">
            <w:pPr>
              <w:jc w:val="center"/>
              <w:rPr>
                <w:rFonts w:eastAsia="Times New Roman"/>
                <w:bCs w:val="0"/>
                <w:color w:val="000000"/>
                <w:kern w:val="0"/>
                <w:lang w:eastAsia="en-CA"/>
                <w14:ligatures w14:val="none"/>
              </w:rPr>
            </w:pPr>
            <w:r w:rsidRPr="0089264E">
              <w:rPr>
                <w:rFonts w:eastAsia="Times New Roman"/>
                <w:bCs w:val="0"/>
                <w:color w:val="000000"/>
                <w:kern w:val="0"/>
                <w:lang w:eastAsia="en-CA"/>
                <w14:ligatures w14:val="none"/>
              </w:rPr>
              <w:t>2</w:t>
            </w:r>
          </w:p>
        </w:tc>
        <w:tc>
          <w:tcPr>
            <w:tcW w:w="1093" w:type="dxa"/>
            <w:tcBorders>
              <w:top w:val="single" w:sz="4" w:space="0" w:color="auto"/>
              <w:left w:val="nil"/>
              <w:bottom w:val="single" w:sz="4" w:space="0" w:color="auto"/>
              <w:right w:val="single" w:sz="4" w:space="0" w:color="auto"/>
            </w:tcBorders>
            <w:vAlign w:val="center"/>
            <w:hideMark/>
          </w:tcPr>
          <w:p w14:paraId="6AE4F624"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4 - 19</w:t>
            </w:r>
          </w:p>
        </w:tc>
        <w:tc>
          <w:tcPr>
            <w:tcW w:w="856" w:type="dxa"/>
            <w:tcBorders>
              <w:top w:val="single" w:sz="4" w:space="0" w:color="auto"/>
              <w:left w:val="nil"/>
              <w:bottom w:val="single" w:sz="4" w:space="0" w:color="auto"/>
              <w:right w:val="single" w:sz="4" w:space="0" w:color="auto"/>
            </w:tcBorders>
            <w:vAlign w:val="center"/>
            <w:hideMark/>
          </w:tcPr>
          <w:p w14:paraId="6CC3BCFC"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10.00</w:t>
            </w:r>
          </w:p>
        </w:tc>
        <w:tc>
          <w:tcPr>
            <w:tcW w:w="778" w:type="dxa"/>
            <w:tcBorders>
              <w:top w:val="single" w:sz="4" w:space="0" w:color="auto"/>
              <w:left w:val="nil"/>
              <w:bottom w:val="single" w:sz="4" w:space="0" w:color="auto"/>
              <w:right w:val="single" w:sz="4" w:space="0" w:color="auto"/>
            </w:tcBorders>
            <w:vAlign w:val="center"/>
            <w:hideMark/>
          </w:tcPr>
          <w:p w14:paraId="2C35FDC5"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14</w:t>
            </w:r>
          </w:p>
        </w:tc>
        <w:tc>
          <w:tcPr>
            <w:tcW w:w="1305" w:type="dxa"/>
            <w:tcBorders>
              <w:top w:val="single" w:sz="4" w:space="0" w:color="auto"/>
              <w:left w:val="nil"/>
              <w:bottom w:val="single" w:sz="4" w:space="0" w:color="auto"/>
              <w:right w:val="single" w:sz="4" w:space="0" w:color="auto"/>
            </w:tcBorders>
            <w:vAlign w:val="center"/>
            <w:hideMark/>
          </w:tcPr>
          <w:p w14:paraId="2E552989"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1</w:t>
            </w:r>
          </w:p>
        </w:tc>
        <w:tc>
          <w:tcPr>
            <w:tcW w:w="1215" w:type="dxa"/>
            <w:tcBorders>
              <w:top w:val="single" w:sz="4" w:space="0" w:color="auto"/>
              <w:left w:val="nil"/>
              <w:bottom w:val="single" w:sz="4" w:space="0" w:color="auto"/>
              <w:right w:val="single" w:sz="4" w:space="0" w:color="auto"/>
            </w:tcBorders>
            <w:vAlign w:val="center"/>
            <w:hideMark/>
          </w:tcPr>
          <w:p w14:paraId="142744BD"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7.14%</w:t>
            </w:r>
          </w:p>
        </w:tc>
        <w:tc>
          <w:tcPr>
            <w:tcW w:w="1309" w:type="dxa"/>
            <w:tcBorders>
              <w:top w:val="single" w:sz="4" w:space="0" w:color="auto"/>
              <w:left w:val="nil"/>
              <w:bottom w:val="single" w:sz="4" w:space="0" w:color="auto"/>
              <w:right w:val="single" w:sz="4" w:space="0" w:color="auto"/>
            </w:tcBorders>
            <w:vAlign w:val="center"/>
            <w:hideMark/>
          </w:tcPr>
          <w:p w14:paraId="4184C394"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1</w:t>
            </w:r>
          </w:p>
        </w:tc>
        <w:tc>
          <w:tcPr>
            <w:tcW w:w="1182" w:type="dxa"/>
            <w:tcBorders>
              <w:top w:val="single" w:sz="4" w:space="0" w:color="auto"/>
              <w:left w:val="nil"/>
              <w:bottom w:val="single" w:sz="4" w:space="0" w:color="auto"/>
              <w:right w:val="single" w:sz="4" w:space="0" w:color="auto"/>
            </w:tcBorders>
            <w:vAlign w:val="center"/>
            <w:hideMark/>
          </w:tcPr>
          <w:p w14:paraId="1D4FD218"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7.14%</w:t>
            </w:r>
          </w:p>
        </w:tc>
      </w:tr>
      <w:tr w:rsidR="007B6929" w:rsidRPr="00E26BB6" w14:paraId="1450698B" w14:textId="77777777" w:rsidTr="00E069AD">
        <w:trPr>
          <w:trHeight w:val="137"/>
        </w:trPr>
        <w:tc>
          <w:tcPr>
            <w:tcW w:w="1084" w:type="dxa"/>
            <w:tcBorders>
              <w:top w:val="single" w:sz="4" w:space="0" w:color="auto"/>
              <w:left w:val="single" w:sz="4" w:space="0" w:color="auto"/>
              <w:bottom w:val="single" w:sz="4" w:space="0" w:color="auto"/>
              <w:right w:val="single" w:sz="4" w:space="0" w:color="auto"/>
            </w:tcBorders>
            <w:vAlign w:val="center"/>
            <w:hideMark/>
          </w:tcPr>
          <w:p w14:paraId="7D98AFD4" w14:textId="77777777" w:rsidR="00E26BB6" w:rsidRPr="0089264E" w:rsidRDefault="00E26BB6" w:rsidP="00635A1E">
            <w:pPr>
              <w:jc w:val="center"/>
              <w:rPr>
                <w:rFonts w:eastAsia="Times New Roman"/>
                <w:bCs w:val="0"/>
                <w:color w:val="000000"/>
                <w:kern w:val="0"/>
                <w:lang w:eastAsia="en-CA"/>
                <w14:ligatures w14:val="none"/>
              </w:rPr>
            </w:pPr>
            <w:r w:rsidRPr="0089264E">
              <w:rPr>
                <w:rFonts w:eastAsia="Times New Roman"/>
                <w:bCs w:val="0"/>
                <w:color w:val="000000"/>
                <w:kern w:val="0"/>
                <w:lang w:eastAsia="en-CA"/>
                <w14:ligatures w14:val="none"/>
              </w:rPr>
              <w:t>3</w:t>
            </w:r>
          </w:p>
        </w:tc>
        <w:tc>
          <w:tcPr>
            <w:tcW w:w="1093" w:type="dxa"/>
            <w:tcBorders>
              <w:top w:val="single" w:sz="4" w:space="0" w:color="auto"/>
              <w:left w:val="nil"/>
              <w:bottom w:val="single" w:sz="4" w:space="0" w:color="auto"/>
              <w:right w:val="single" w:sz="4" w:space="0" w:color="auto"/>
            </w:tcBorders>
            <w:vAlign w:val="center"/>
            <w:hideMark/>
          </w:tcPr>
          <w:p w14:paraId="659E5AC3"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20 - 79</w:t>
            </w:r>
          </w:p>
        </w:tc>
        <w:tc>
          <w:tcPr>
            <w:tcW w:w="856" w:type="dxa"/>
            <w:tcBorders>
              <w:top w:val="single" w:sz="4" w:space="0" w:color="auto"/>
              <w:left w:val="nil"/>
              <w:bottom w:val="single" w:sz="4" w:space="0" w:color="auto"/>
              <w:right w:val="single" w:sz="4" w:space="0" w:color="auto"/>
            </w:tcBorders>
            <w:vAlign w:val="center"/>
            <w:hideMark/>
          </w:tcPr>
          <w:p w14:paraId="070CE9B2"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52.53</w:t>
            </w:r>
          </w:p>
        </w:tc>
        <w:tc>
          <w:tcPr>
            <w:tcW w:w="778" w:type="dxa"/>
            <w:tcBorders>
              <w:top w:val="single" w:sz="4" w:space="0" w:color="auto"/>
              <w:left w:val="nil"/>
              <w:bottom w:val="single" w:sz="4" w:space="0" w:color="auto"/>
              <w:right w:val="single" w:sz="4" w:space="0" w:color="auto"/>
            </w:tcBorders>
            <w:vAlign w:val="center"/>
            <w:hideMark/>
          </w:tcPr>
          <w:p w14:paraId="156E1900"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13</w:t>
            </w:r>
          </w:p>
        </w:tc>
        <w:tc>
          <w:tcPr>
            <w:tcW w:w="1305" w:type="dxa"/>
            <w:tcBorders>
              <w:top w:val="single" w:sz="4" w:space="0" w:color="auto"/>
              <w:left w:val="nil"/>
              <w:bottom w:val="single" w:sz="4" w:space="0" w:color="auto"/>
              <w:right w:val="single" w:sz="4" w:space="0" w:color="auto"/>
            </w:tcBorders>
            <w:vAlign w:val="center"/>
            <w:hideMark/>
          </w:tcPr>
          <w:p w14:paraId="3BC1C57B"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4</w:t>
            </w:r>
          </w:p>
        </w:tc>
        <w:tc>
          <w:tcPr>
            <w:tcW w:w="1215" w:type="dxa"/>
            <w:tcBorders>
              <w:top w:val="single" w:sz="4" w:space="0" w:color="auto"/>
              <w:left w:val="nil"/>
              <w:bottom w:val="single" w:sz="4" w:space="0" w:color="auto"/>
              <w:right w:val="single" w:sz="4" w:space="0" w:color="auto"/>
            </w:tcBorders>
            <w:vAlign w:val="center"/>
            <w:hideMark/>
          </w:tcPr>
          <w:p w14:paraId="13C1C72B"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30.77%</w:t>
            </w:r>
          </w:p>
        </w:tc>
        <w:tc>
          <w:tcPr>
            <w:tcW w:w="1309" w:type="dxa"/>
            <w:tcBorders>
              <w:top w:val="single" w:sz="4" w:space="0" w:color="auto"/>
              <w:left w:val="nil"/>
              <w:bottom w:val="single" w:sz="4" w:space="0" w:color="auto"/>
              <w:right w:val="single" w:sz="4" w:space="0" w:color="auto"/>
            </w:tcBorders>
            <w:vAlign w:val="center"/>
            <w:hideMark/>
          </w:tcPr>
          <w:p w14:paraId="0C027B0A"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2</w:t>
            </w:r>
          </w:p>
        </w:tc>
        <w:tc>
          <w:tcPr>
            <w:tcW w:w="1182" w:type="dxa"/>
            <w:tcBorders>
              <w:top w:val="single" w:sz="4" w:space="0" w:color="auto"/>
              <w:left w:val="nil"/>
              <w:bottom w:val="single" w:sz="4" w:space="0" w:color="auto"/>
              <w:right w:val="single" w:sz="4" w:space="0" w:color="auto"/>
            </w:tcBorders>
            <w:vAlign w:val="center"/>
            <w:hideMark/>
          </w:tcPr>
          <w:p w14:paraId="5636EDDF"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15.38%</w:t>
            </w:r>
          </w:p>
        </w:tc>
      </w:tr>
      <w:tr w:rsidR="007B6929" w:rsidRPr="00E26BB6" w14:paraId="1BFBD263" w14:textId="77777777" w:rsidTr="00E069AD">
        <w:trPr>
          <w:trHeight w:val="255"/>
        </w:trPr>
        <w:tc>
          <w:tcPr>
            <w:tcW w:w="1084" w:type="dxa"/>
            <w:tcBorders>
              <w:top w:val="single" w:sz="4" w:space="0" w:color="auto"/>
              <w:left w:val="single" w:sz="4" w:space="0" w:color="auto"/>
              <w:bottom w:val="single" w:sz="4" w:space="0" w:color="auto"/>
              <w:right w:val="single" w:sz="4" w:space="0" w:color="auto"/>
            </w:tcBorders>
            <w:vAlign w:val="center"/>
            <w:hideMark/>
          </w:tcPr>
          <w:p w14:paraId="6BEDB1B1" w14:textId="77777777" w:rsidR="00E26BB6" w:rsidRPr="0089264E" w:rsidRDefault="00E26BB6" w:rsidP="00635A1E">
            <w:pPr>
              <w:jc w:val="center"/>
              <w:rPr>
                <w:rFonts w:eastAsia="Times New Roman"/>
                <w:bCs w:val="0"/>
                <w:color w:val="000000"/>
                <w:kern w:val="0"/>
                <w:lang w:eastAsia="en-CA"/>
                <w14:ligatures w14:val="none"/>
              </w:rPr>
            </w:pPr>
            <w:r w:rsidRPr="0089264E">
              <w:rPr>
                <w:rFonts w:eastAsia="Times New Roman"/>
                <w:bCs w:val="0"/>
                <w:color w:val="000000"/>
                <w:kern w:val="0"/>
                <w:lang w:eastAsia="en-CA"/>
                <w14:ligatures w14:val="none"/>
              </w:rPr>
              <w:t>4</w:t>
            </w:r>
          </w:p>
        </w:tc>
        <w:tc>
          <w:tcPr>
            <w:tcW w:w="1093" w:type="dxa"/>
            <w:tcBorders>
              <w:top w:val="single" w:sz="4" w:space="0" w:color="auto"/>
              <w:left w:val="nil"/>
              <w:bottom w:val="single" w:sz="4" w:space="0" w:color="auto"/>
              <w:right w:val="single" w:sz="4" w:space="0" w:color="auto"/>
            </w:tcBorders>
            <w:vAlign w:val="center"/>
            <w:hideMark/>
          </w:tcPr>
          <w:p w14:paraId="18C6B5FC"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80 - 319</w:t>
            </w:r>
          </w:p>
        </w:tc>
        <w:tc>
          <w:tcPr>
            <w:tcW w:w="856" w:type="dxa"/>
            <w:tcBorders>
              <w:top w:val="single" w:sz="4" w:space="0" w:color="auto"/>
              <w:left w:val="nil"/>
              <w:bottom w:val="single" w:sz="4" w:space="0" w:color="auto"/>
              <w:right w:val="single" w:sz="4" w:space="0" w:color="auto"/>
            </w:tcBorders>
            <w:vAlign w:val="center"/>
            <w:hideMark/>
          </w:tcPr>
          <w:p w14:paraId="1A404091"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163.38</w:t>
            </w:r>
          </w:p>
        </w:tc>
        <w:tc>
          <w:tcPr>
            <w:tcW w:w="778" w:type="dxa"/>
            <w:tcBorders>
              <w:top w:val="single" w:sz="4" w:space="0" w:color="auto"/>
              <w:left w:val="nil"/>
              <w:bottom w:val="single" w:sz="4" w:space="0" w:color="auto"/>
              <w:right w:val="single" w:sz="4" w:space="0" w:color="auto"/>
            </w:tcBorders>
            <w:vAlign w:val="center"/>
            <w:hideMark/>
          </w:tcPr>
          <w:p w14:paraId="2DF9C11C"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12</w:t>
            </w:r>
          </w:p>
        </w:tc>
        <w:tc>
          <w:tcPr>
            <w:tcW w:w="1305" w:type="dxa"/>
            <w:tcBorders>
              <w:top w:val="single" w:sz="4" w:space="0" w:color="auto"/>
              <w:left w:val="nil"/>
              <w:bottom w:val="single" w:sz="4" w:space="0" w:color="auto"/>
              <w:right w:val="single" w:sz="4" w:space="0" w:color="auto"/>
            </w:tcBorders>
            <w:vAlign w:val="center"/>
            <w:hideMark/>
          </w:tcPr>
          <w:p w14:paraId="61721F1E"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3</w:t>
            </w:r>
          </w:p>
        </w:tc>
        <w:tc>
          <w:tcPr>
            <w:tcW w:w="1215" w:type="dxa"/>
            <w:tcBorders>
              <w:top w:val="single" w:sz="4" w:space="0" w:color="auto"/>
              <w:left w:val="nil"/>
              <w:bottom w:val="single" w:sz="4" w:space="0" w:color="auto"/>
              <w:right w:val="single" w:sz="4" w:space="0" w:color="auto"/>
            </w:tcBorders>
            <w:vAlign w:val="center"/>
            <w:hideMark/>
          </w:tcPr>
          <w:p w14:paraId="7220BAD4"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25.00%</w:t>
            </w:r>
          </w:p>
        </w:tc>
        <w:tc>
          <w:tcPr>
            <w:tcW w:w="1309" w:type="dxa"/>
            <w:tcBorders>
              <w:top w:val="single" w:sz="4" w:space="0" w:color="auto"/>
              <w:left w:val="nil"/>
              <w:bottom w:val="single" w:sz="4" w:space="0" w:color="auto"/>
              <w:right w:val="single" w:sz="4" w:space="0" w:color="auto"/>
            </w:tcBorders>
            <w:vAlign w:val="center"/>
            <w:hideMark/>
          </w:tcPr>
          <w:p w14:paraId="6CAC5DA9"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2</w:t>
            </w:r>
          </w:p>
        </w:tc>
        <w:tc>
          <w:tcPr>
            <w:tcW w:w="1182" w:type="dxa"/>
            <w:tcBorders>
              <w:top w:val="single" w:sz="4" w:space="0" w:color="auto"/>
              <w:left w:val="nil"/>
              <w:bottom w:val="single" w:sz="4" w:space="0" w:color="auto"/>
              <w:right w:val="single" w:sz="4" w:space="0" w:color="auto"/>
            </w:tcBorders>
            <w:vAlign w:val="center"/>
            <w:hideMark/>
          </w:tcPr>
          <w:p w14:paraId="2B9205F8"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16.67%</w:t>
            </w:r>
          </w:p>
        </w:tc>
      </w:tr>
      <w:tr w:rsidR="007B6929" w:rsidRPr="00E26BB6" w14:paraId="2F498582" w14:textId="77777777" w:rsidTr="0089264E">
        <w:trPr>
          <w:trHeight w:val="135"/>
        </w:trPr>
        <w:tc>
          <w:tcPr>
            <w:tcW w:w="1084" w:type="dxa"/>
            <w:tcBorders>
              <w:top w:val="single" w:sz="4" w:space="0" w:color="auto"/>
              <w:left w:val="single" w:sz="4" w:space="0" w:color="auto"/>
              <w:bottom w:val="single" w:sz="4" w:space="0" w:color="auto"/>
              <w:right w:val="single" w:sz="4" w:space="0" w:color="auto"/>
            </w:tcBorders>
            <w:vAlign w:val="center"/>
            <w:hideMark/>
          </w:tcPr>
          <w:p w14:paraId="26C2EAE5" w14:textId="77777777" w:rsidR="00E26BB6" w:rsidRPr="0089264E" w:rsidRDefault="00E26BB6" w:rsidP="00635A1E">
            <w:pPr>
              <w:jc w:val="center"/>
              <w:rPr>
                <w:rFonts w:eastAsia="Times New Roman"/>
                <w:bCs w:val="0"/>
                <w:color w:val="000000"/>
                <w:kern w:val="0"/>
                <w:lang w:eastAsia="en-CA"/>
                <w14:ligatures w14:val="none"/>
              </w:rPr>
            </w:pPr>
            <w:r w:rsidRPr="0089264E">
              <w:rPr>
                <w:rFonts w:eastAsia="Times New Roman"/>
                <w:bCs w:val="0"/>
                <w:color w:val="000000"/>
                <w:kern w:val="0"/>
                <w:lang w:eastAsia="en-CA"/>
                <w14:ligatures w14:val="none"/>
              </w:rPr>
              <w:t>5</w:t>
            </w:r>
          </w:p>
        </w:tc>
        <w:tc>
          <w:tcPr>
            <w:tcW w:w="1093" w:type="dxa"/>
            <w:tcBorders>
              <w:top w:val="single" w:sz="4" w:space="0" w:color="auto"/>
              <w:left w:val="nil"/>
              <w:bottom w:val="single" w:sz="4" w:space="0" w:color="auto"/>
              <w:right w:val="single" w:sz="4" w:space="0" w:color="auto"/>
            </w:tcBorders>
            <w:vAlign w:val="center"/>
            <w:hideMark/>
          </w:tcPr>
          <w:p w14:paraId="1EBA1F3F"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320 - 674</w:t>
            </w:r>
          </w:p>
        </w:tc>
        <w:tc>
          <w:tcPr>
            <w:tcW w:w="856" w:type="dxa"/>
            <w:tcBorders>
              <w:top w:val="single" w:sz="4" w:space="0" w:color="auto"/>
              <w:left w:val="nil"/>
              <w:bottom w:val="single" w:sz="4" w:space="0" w:color="auto"/>
              <w:right w:val="single" w:sz="4" w:space="0" w:color="auto"/>
            </w:tcBorders>
            <w:vAlign w:val="center"/>
            <w:hideMark/>
          </w:tcPr>
          <w:p w14:paraId="654D755F"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436.60</w:t>
            </w:r>
          </w:p>
        </w:tc>
        <w:tc>
          <w:tcPr>
            <w:tcW w:w="778" w:type="dxa"/>
            <w:tcBorders>
              <w:top w:val="single" w:sz="4" w:space="0" w:color="auto"/>
              <w:left w:val="nil"/>
              <w:bottom w:val="single" w:sz="4" w:space="0" w:color="auto"/>
              <w:right w:val="single" w:sz="4" w:space="0" w:color="auto"/>
            </w:tcBorders>
            <w:vAlign w:val="center"/>
            <w:hideMark/>
          </w:tcPr>
          <w:p w14:paraId="679CB445"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15</w:t>
            </w:r>
          </w:p>
        </w:tc>
        <w:tc>
          <w:tcPr>
            <w:tcW w:w="1305" w:type="dxa"/>
            <w:tcBorders>
              <w:top w:val="single" w:sz="4" w:space="0" w:color="auto"/>
              <w:left w:val="nil"/>
              <w:bottom w:val="single" w:sz="4" w:space="0" w:color="auto"/>
              <w:right w:val="single" w:sz="4" w:space="0" w:color="auto"/>
            </w:tcBorders>
            <w:vAlign w:val="center"/>
            <w:hideMark/>
          </w:tcPr>
          <w:p w14:paraId="01BCB774"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9</w:t>
            </w:r>
          </w:p>
        </w:tc>
        <w:tc>
          <w:tcPr>
            <w:tcW w:w="1215" w:type="dxa"/>
            <w:tcBorders>
              <w:top w:val="single" w:sz="4" w:space="0" w:color="auto"/>
              <w:left w:val="nil"/>
              <w:bottom w:val="single" w:sz="4" w:space="0" w:color="auto"/>
              <w:right w:val="single" w:sz="4" w:space="0" w:color="auto"/>
            </w:tcBorders>
            <w:vAlign w:val="center"/>
            <w:hideMark/>
          </w:tcPr>
          <w:p w14:paraId="3FD67E56"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60.00%</w:t>
            </w:r>
          </w:p>
        </w:tc>
        <w:tc>
          <w:tcPr>
            <w:tcW w:w="1309" w:type="dxa"/>
            <w:tcBorders>
              <w:top w:val="single" w:sz="4" w:space="0" w:color="auto"/>
              <w:left w:val="nil"/>
              <w:bottom w:val="single" w:sz="4" w:space="0" w:color="auto"/>
              <w:right w:val="single" w:sz="4" w:space="0" w:color="auto"/>
            </w:tcBorders>
            <w:vAlign w:val="center"/>
            <w:hideMark/>
          </w:tcPr>
          <w:p w14:paraId="22B96EA1"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6</w:t>
            </w:r>
          </w:p>
        </w:tc>
        <w:tc>
          <w:tcPr>
            <w:tcW w:w="1182" w:type="dxa"/>
            <w:tcBorders>
              <w:top w:val="single" w:sz="4" w:space="0" w:color="auto"/>
              <w:left w:val="nil"/>
              <w:bottom w:val="single" w:sz="4" w:space="0" w:color="auto"/>
              <w:right w:val="single" w:sz="4" w:space="0" w:color="auto"/>
            </w:tcBorders>
            <w:vAlign w:val="center"/>
            <w:hideMark/>
          </w:tcPr>
          <w:p w14:paraId="3ED5E89C" w14:textId="77777777" w:rsidR="00E26BB6" w:rsidRPr="00FB2F25" w:rsidRDefault="00E26BB6"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40.00%</w:t>
            </w:r>
          </w:p>
        </w:tc>
      </w:tr>
      <w:tr w:rsidR="00114329" w:rsidRPr="00E26BB6" w14:paraId="2DB9C9A9" w14:textId="77777777" w:rsidTr="00E069AD">
        <w:trPr>
          <w:trHeight w:val="135"/>
        </w:trPr>
        <w:tc>
          <w:tcPr>
            <w:tcW w:w="3033" w:type="dxa"/>
            <w:gridSpan w:val="3"/>
            <w:tcBorders>
              <w:top w:val="single" w:sz="4" w:space="0" w:color="auto"/>
              <w:left w:val="single" w:sz="4" w:space="0" w:color="auto"/>
              <w:bottom w:val="single" w:sz="4" w:space="0" w:color="auto"/>
              <w:right w:val="single" w:sz="4" w:space="0" w:color="auto"/>
            </w:tcBorders>
            <w:vAlign w:val="center"/>
            <w:hideMark/>
          </w:tcPr>
          <w:p w14:paraId="6A78A844" w14:textId="0B079188" w:rsidR="00114329" w:rsidRPr="00FB2F25" w:rsidRDefault="00114329" w:rsidP="00635A1E">
            <w:pPr>
              <w:jc w:val="center"/>
              <w:rPr>
                <w:rFonts w:eastAsia="Times New Roman"/>
                <w:bCs w:val="0"/>
                <w:kern w:val="0"/>
                <w:lang w:eastAsia="en-CA"/>
                <w14:ligatures w14:val="none"/>
              </w:rPr>
            </w:pPr>
            <w:r w:rsidRPr="00FB2F25">
              <w:rPr>
                <w:rFonts w:eastAsia="Times New Roman"/>
                <w:bCs w:val="0"/>
                <w:kern w:val="0"/>
                <w:lang w:eastAsia="en-CA"/>
                <w14:ligatures w14:val="none"/>
              </w:rPr>
              <w:t>Totals</w:t>
            </w:r>
          </w:p>
        </w:tc>
        <w:tc>
          <w:tcPr>
            <w:tcW w:w="778" w:type="dxa"/>
            <w:tcBorders>
              <w:top w:val="single" w:sz="4" w:space="0" w:color="auto"/>
              <w:left w:val="single" w:sz="4" w:space="0" w:color="auto"/>
              <w:bottom w:val="single" w:sz="4" w:space="0" w:color="auto"/>
              <w:right w:val="single" w:sz="4" w:space="0" w:color="auto"/>
            </w:tcBorders>
            <w:vAlign w:val="center"/>
            <w:hideMark/>
          </w:tcPr>
          <w:p w14:paraId="31DC3768" w14:textId="77777777" w:rsidR="00114329" w:rsidRPr="00FB2F25" w:rsidRDefault="00114329"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81</w:t>
            </w:r>
          </w:p>
        </w:tc>
        <w:tc>
          <w:tcPr>
            <w:tcW w:w="1305" w:type="dxa"/>
            <w:tcBorders>
              <w:top w:val="single" w:sz="4" w:space="0" w:color="auto"/>
              <w:left w:val="single" w:sz="4" w:space="0" w:color="auto"/>
              <w:bottom w:val="single" w:sz="4" w:space="0" w:color="auto"/>
              <w:right w:val="single" w:sz="4" w:space="0" w:color="auto"/>
            </w:tcBorders>
            <w:vAlign w:val="center"/>
            <w:hideMark/>
          </w:tcPr>
          <w:p w14:paraId="6846708A" w14:textId="77777777" w:rsidR="00114329" w:rsidRPr="00FB2F25" w:rsidRDefault="00114329"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20</w:t>
            </w:r>
          </w:p>
        </w:tc>
        <w:tc>
          <w:tcPr>
            <w:tcW w:w="1215" w:type="dxa"/>
            <w:tcBorders>
              <w:top w:val="single" w:sz="4" w:space="0" w:color="auto"/>
              <w:left w:val="single" w:sz="4" w:space="0" w:color="auto"/>
              <w:bottom w:val="single" w:sz="4" w:space="0" w:color="auto"/>
              <w:right w:val="single" w:sz="4" w:space="0" w:color="auto"/>
            </w:tcBorders>
            <w:vAlign w:val="center"/>
            <w:hideMark/>
          </w:tcPr>
          <w:p w14:paraId="71583D37" w14:textId="24C56940" w:rsidR="00114329" w:rsidRPr="00FB2F25" w:rsidRDefault="00114329"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100%</w:t>
            </w:r>
          </w:p>
        </w:tc>
        <w:tc>
          <w:tcPr>
            <w:tcW w:w="1309" w:type="dxa"/>
            <w:tcBorders>
              <w:top w:val="single" w:sz="4" w:space="0" w:color="auto"/>
              <w:left w:val="single" w:sz="4" w:space="0" w:color="auto"/>
              <w:bottom w:val="single" w:sz="4" w:space="0" w:color="auto"/>
              <w:right w:val="single" w:sz="4" w:space="0" w:color="auto"/>
            </w:tcBorders>
            <w:vAlign w:val="center"/>
            <w:hideMark/>
          </w:tcPr>
          <w:p w14:paraId="61315413" w14:textId="77777777" w:rsidR="00114329" w:rsidRPr="00FB2F25" w:rsidRDefault="00114329"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11</w:t>
            </w:r>
          </w:p>
        </w:tc>
        <w:tc>
          <w:tcPr>
            <w:tcW w:w="1182" w:type="dxa"/>
            <w:tcBorders>
              <w:top w:val="single" w:sz="4" w:space="0" w:color="auto"/>
              <w:left w:val="single" w:sz="4" w:space="0" w:color="auto"/>
              <w:bottom w:val="single" w:sz="4" w:space="0" w:color="auto"/>
              <w:right w:val="single" w:sz="4" w:space="0" w:color="auto"/>
            </w:tcBorders>
            <w:vAlign w:val="center"/>
            <w:hideMark/>
          </w:tcPr>
          <w:p w14:paraId="3C7348BA" w14:textId="3A850157" w:rsidR="00114329" w:rsidRPr="00FB2F25" w:rsidRDefault="00114329" w:rsidP="00635A1E">
            <w:pPr>
              <w:jc w:val="center"/>
              <w:rPr>
                <w:rFonts w:eastAsia="Times New Roman"/>
                <w:bCs w:val="0"/>
                <w:color w:val="000000"/>
                <w:kern w:val="0"/>
                <w:lang w:eastAsia="en-CA"/>
                <w14:ligatures w14:val="none"/>
              </w:rPr>
            </w:pPr>
            <w:r w:rsidRPr="00FB2F25">
              <w:rPr>
                <w:rFonts w:eastAsia="Times New Roman"/>
                <w:bCs w:val="0"/>
                <w:color w:val="000000"/>
                <w:kern w:val="0"/>
                <w:lang w:eastAsia="en-CA"/>
                <w14:ligatures w14:val="none"/>
              </w:rPr>
              <w:t>100%</w:t>
            </w:r>
          </w:p>
        </w:tc>
      </w:tr>
    </w:tbl>
    <w:p w14:paraId="1C423A4F" w14:textId="77777777" w:rsidR="005832CC" w:rsidRPr="002D3064" w:rsidRDefault="005832CC" w:rsidP="005832CC"/>
    <w:p w14:paraId="139F44D0" w14:textId="15FC7881" w:rsidR="00D823A5" w:rsidRDefault="00102E2D" w:rsidP="004C39FB">
      <w:r>
        <w:t>U</w:t>
      </w:r>
      <w:r w:rsidR="00ED6D7F">
        <w:t xml:space="preserve">pdated </w:t>
      </w:r>
      <w:r w:rsidR="00BD0273">
        <w:t>d</w:t>
      </w:r>
      <w:r w:rsidR="00745645">
        <w:t>ose-response</w:t>
      </w:r>
      <w:r w:rsidR="00ED6D7F">
        <w:t xml:space="preserve"> modeling </w:t>
      </w:r>
      <w:r w:rsidR="00AC6673">
        <w:t xml:space="preserve">of the incidence data from Table </w:t>
      </w:r>
      <w:r w:rsidR="00EE3C66">
        <w:t>S6</w:t>
      </w:r>
      <w:r w:rsidR="00AC6673">
        <w:t xml:space="preserve">A.1 </w:t>
      </w:r>
      <w:r w:rsidR="00ED6D7F">
        <w:t>was</w:t>
      </w:r>
      <w:r w:rsidR="00745645">
        <w:t xml:space="preserve"> performed</w:t>
      </w:r>
      <w:r w:rsidR="00722D66">
        <w:t xml:space="preserve"> using the</w:t>
      </w:r>
      <w:r w:rsidR="00780787">
        <w:t xml:space="preserve"> US EPA’s</w:t>
      </w:r>
      <w:r w:rsidR="00956A09">
        <w:t xml:space="preserve"> online </w:t>
      </w:r>
      <w:r w:rsidR="00375FAD">
        <w:t>Benchmark Dose</w:t>
      </w:r>
      <w:r w:rsidR="00BD0273">
        <w:t xml:space="preserve"> (BMD)</w:t>
      </w:r>
      <w:r w:rsidR="00375FAD">
        <w:t xml:space="preserve"> Software</w:t>
      </w:r>
      <w:r w:rsidR="00D04E4E">
        <w:t xml:space="preserve"> which employs a Bayesian model-average method</w:t>
      </w:r>
      <w:r w:rsidR="00CA4412">
        <w:t xml:space="preserve"> </w:t>
      </w:r>
      <w:r w:rsidR="00ED6D7F">
        <w:fldChar w:fldCharType="begin" w:fldLock="1"/>
      </w:r>
      <w:r w:rsidR="0019265C">
        <w:instrText>ADDIN CSL_CITATION {"citationItems":[{"id":"ITEM-1","itemData":{"URL":"https://bmdsonline.epa.gov/","author":[{"dropping-particle":"","family":"US EPA","given":"","non-dropping-particle":"","parse-names":false,"suffix":""}],"id":"ITEM-1","issued":{"date-parts":[["0"]]},"title":"Benchmark Dose Modeling Software (BMDS Online)","type":"webpage"},"uris":["http://www.mendeley.com/documents/?uuid=2f074404-ce6e-4948-b569-cecc62229cc9"]}],"mendeley":{"formattedCitation":"(US EPA, n.d.)","plainTextFormattedCitation":"(US EPA, n.d.)","previouslyFormattedCitation":"(US EPA, n.d.)"},"properties":{"noteIndex":0},"schema":"https://github.com/citation-style-language/schema/raw/master/csl-citation.json"}</w:instrText>
      </w:r>
      <w:r w:rsidR="00ED6D7F">
        <w:fldChar w:fldCharType="separate"/>
      </w:r>
      <w:r w:rsidRPr="00102E2D">
        <w:rPr>
          <w:noProof/>
        </w:rPr>
        <w:t>(US EPA, n.d.)</w:t>
      </w:r>
      <w:r w:rsidR="00ED6D7F">
        <w:fldChar w:fldCharType="end"/>
      </w:r>
      <w:r w:rsidR="00ED6D7F">
        <w:t xml:space="preserve">. </w:t>
      </w:r>
      <w:r w:rsidR="00C80A12">
        <w:t xml:space="preserve">Quantal </w:t>
      </w:r>
      <w:r w:rsidR="000E76ED">
        <w:t>models with a</w:t>
      </w:r>
      <w:r w:rsidR="00ED6D7F">
        <w:t xml:space="preserve"> BMR of 5% extra-risk was used </w:t>
      </w:r>
      <w:r w:rsidR="0019675C">
        <w:t xml:space="preserve">instead of </w:t>
      </w:r>
      <w:r w:rsidR="00ED6D7F">
        <w:t>the default of 10% extra-risk typically recommended for BMD of binary outcomes in order to align with previous BMD model estimates for MeHg in Tables 2</w:t>
      </w:r>
      <w:r w:rsidR="00ED6D7F" w:rsidRPr="00EE3C66">
        <w:rPr>
          <w:rStyle w:val="FootnoteReference"/>
        </w:rPr>
        <w:footnoteReference w:id="2"/>
      </w:r>
      <w:r w:rsidR="00ED6D7F">
        <w:t xml:space="preserve">. </w:t>
      </w:r>
      <w:r w:rsidR="00DC2F0E">
        <w:t xml:space="preserve">The background probability of abnormal P(0) </w:t>
      </w:r>
      <w:r w:rsidR="0030098B">
        <w:t>was estimated</w:t>
      </w:r>
      <w:r w:rsidR="00DC2F0E">
        <w:t xml:space="preserve"> in the models. </w:t>
      </w:r>
      <w:r w:rsidR="00ED6D7F">
        <w:t>The Bayesian model-average BMD</w:t>
      </w:r>
      <w:r w:rsidR="00DC2F0E">
        <w:t>s and BMDLs</w:t>
      </w:r>
      <w:r w:rsidR="00ED6D7F">
        <w:t xml:space="preserve"> reported from the US EPA BMDS</w:t>
      </w:r>
      <w:r w:rsidR="00001092">
        <w:t xml:space="preserve"> are shown in Table </w:t>
      </w:r>
      <w:r w:rsidR="00EE3C66">
        <w:t>S6</w:t>
      </w:r>
      <w:r w:rsidR="00001092">
        <w:t>A.2</w:t>
      </w:r>
      <w:r w:rsidR="008861D8">
        <w:t xml:space="preserve">. Since the US EPA does not have guidance for acceptability of their updated Bayesian </w:t>
      </w:r>
      <w:r w:rsidR="009C72B3">
        <w:t xml:space="preserve">BMD estimates, criteria </w:t>
      </w:r>
      <w:r w:rsidR="0019265C">
        <w:t xml:space="preserve">for assessing Bayesian BMD estimates </w:t>
      </w:r>
      <w:r w:rsidR="009C72B3">
        <w:t>from the updated EFSA BMD</w:t>
      </w:r>
      <w:r w:rsidR="0019265C">
        <w:t xml:space="preserve"> guidance was used </w:t>
      </w:r>
      <w:r w:rsidR="0019265C">
        <w:fldChar w:fldCharType="begin" w:fldLock="1"/>
      </w:r>
      <w:r w:rsidR="00C30A65">
        <w:instrText>ADDIN CSL_CITATION {"citationItems":[{"id":"ITEM-1","itemData":{"author":[{"dropping-particle":"","family":"EFSA","given":"","non-dropping-particle":"","parse-names":false,"suffix":""}],"id":"ITEM-1","issued":{"date-parts":[["2022"]]},"title":"Guidance on the use of the benchmark dose approach in risk assessment. (Published 25 October 2022)","type":"report"},"uris":["http://www.mendeley.com/documents/?uuid=9ed042ec-d462-431f-b36a-ff93a4d44e47"]}],"mendeley":{"formattedCitation":"(EFSA, 2022)","plainTextFormattedCitation":"(EFSA, 2022)","previouslyFormattedCitation":"(EFSA, 2022)"},"properties":{"noteIndex":0},"schema":"https://github.com/citation-style-language/schema/raw/master/csl-citation.json"}</w:instrText>
      </w:r>
      <w:r w:rsidR="0019265C">
        <w:fldChar w:fldCharType="separate"/>
      </w:r>
      <w:r w:rsidR="0019265C" w:rsidRPr="0019265C">
        <w:rPr>
          <w:noProof/>
        </w:rPr>
        <w:t>(EFSA, 2022)</w:t>
      </w:r>
      <w:r w:rsidR="0019265C">
        <w:fldChar w:fldCharType="end"/>
      </w:r>
      <w:r w:rsidR="0019265C">
        <w:t>.</w:t>
      </w:r>
      <w:r w:rsidR="00F65B92">
        <w:t xml:space="preserve"> </w:t>
      </w:r>
    </w:p>
    <w:p w14:paraId="7A777D79" w14:textId="77777777" w:rsidR="00D823A5" w:rsidRDefault="00D823A5" w:rsidP="004C39FB"/>
    <w:p w14:paraId="63CABA88" w14:textId="1E332B0C" w:rsidR="000C20B9" w:rsidRDefault="009C72B3" w:rsidP="004C39FB">
      <w:pPr>
        <w:rPr>
          <w:b/>
          <w:bCs w:val="0"/>
        </w:rPr>
      </w:pPr>
      <w:r>
        <w:t xml:space="preserve"> </w:t>
      </w:r>
      <w:r w:rsidR="00F65B92">
        <w:rPr>
          <w:b/>
          <w:bCs w:val="0"/>
        </w:rPr>
        <w:t xml:space="preserve">Table </w:t>
      </w:r>
      <w:r w:rsidR="00EE3C66">
        <w:rPr>
          <w:b/>
          <w:bCs w:val="0"/>
        </w:rPr>
        <w:t>S6</w:t>
      </w:r>
      <w:r w:rsidR="00C30A65">
        <w:rPr>
          <w:b/>
          <w:bCs w:val="0"/>
        </w:rPr>
        <w:t>A</w:t>
      </w:r>
      <w:r w:rsidR="00F65B92">
        <w:rPr>
          <w:b/>
          <w:bCs w:val="0"/>
        </w:rPr>
        <w:t xml:space="preserve">.2 </w:t>
      </w:r>
      <w:r w:rsidR="00D76B17">
        <w:rPr>
          <w:b/>
          <w:bCs w:val="0"/>
        </w:rPr>
        <w:t>Bayesian Model Average BMD and BMDL estimates</w:t>
      </w:r>
      <w:r w:rsidR="004C5FF7">
        <w:rPr>
          <w:b/>
          <w:bCs w:val="0"/>
        </w:rPr>
        <w:t xml:space="preserve"> (5% extra-risk)</w:t>
      </w:r>
      <w:r w:rsidR="00D76B17">
        <w:rPr>
          <w:b/>
          <w:bCs w:val="0"/>
        </w:rPr>
        <w:t xml:space="preserve"> from </w:t>
      </w:r>
      <w:r w:rsidR="006C313D">
        <w:rPr>
          <w:b/>
          <w:bCs w:val="0"/>
        </w:rPr>
        <w:t xml:space="preserve">US EPA </w:t>
      </w:r>
      <w:r w:rsidR="00D76B17">
        <w:rPr>
          <w:b/>
          <w:bCs w:val="0"/>
        </w:rPr>
        <w:t>BMDS</w:t>
      </w:r>
    </w:p>
    <w:p w14:paraId="1C786C27" w14:textId="465CCDF2" w:rsidR="00183D34" w:rsidRDefault="00183D34" w:rsidP="00183D34">
      <w:r>
        <w:t xml:space="preserve">Detailed BMDS output are provided in Appendix </w:t>
      </w:r>
      <w:r w:rsidR="00EE3C66">
        <w:t>S6</w:t>
      </w:r>
      <w:r>
        <w:t xml:space="preserve">A.A (for abnormal score </w:t>
      </w:r>
      <w:r>
        <w:rPr>
          <w:rFonts w:ascii="Symbol" w:eastAsia="Symbol" w:hAnsi="Symbol" w:cs="Symbol"/>
        </w:rPr>
        <w:t>³</w:t>
      </w:r>
      <w:r>
        <w:t xml:space="preserve">4) and Appendix </w:t>
      </w:r>
      <w:r w:rsidR="00EE3C66">
        <w:t>S6</w:t>
      </w:r>
      <w:r>
        <w:t xml:space="preserve">A.B (for abnormal score </w:t>
      </w:r>
      <w:r>
        <w:rPr>
          <w:rFonts w:ascii="Symbol" w:eastAsia="Symbol" w:hAnsi="Symbol" w:cs="Symbol"/>
        </w:rPr>
        <w:t>³</w:t>
      </w:r>
      <w:r>
        <w:t>5).</w:t>
      </w:r>
    </w:p>
    <w:tbl>
      <w:tblPr>
        <w:tblStyle w:val="TableGrid"/>
        <w:tblW w:w="10201" w:type="dxa"/>
        <w:tblLook w:val="04A0" w:firstRow="1" w:lastRow="0" w:firstColumn="1" w:lastColumn="0" w:noHBand="0" w:noVBand="1"/>
      </w:tblPr>
      <w:tblGrid>
        <w:gridCol w:w="1440"/>
        <w:gridCol w:w="1053"/>
        <w:gridCol w:w="1139"/>
        <w:gridCol w:w="1180"/>
        <w:gridCol w:w="853"/>
        <w:gridCol w:w="1702"/>
        <w:gridCol w:w="850"/>
        <w:gridCol w:w="1984"/>
      </w:tblGrid>
      <w:tr w:rsidR="0098482B" w:rsidRPr="00FC6FAD" w14:paraId="7F95D751" w14:textId="77777777" w:rsidTr="00E069AD">
        <w:trPr>
          <w:trHeight w:val="300"/>
        </w:trPr>
        <w:tc>
          <w:tcPr>
            <w:tcW w:w="1440" w:type="dxa"/>
            <w:vMerge w:val="restart"/>
            <w:shd w:val="clear" w:color="auto" w:fill="D9D9D9" w:themeFill="background1" w:themeFillShade="D9"/>
            <w:vAlign w:val="center"/>
          </w:tcPr>
          <w:p w14:paraId="29FB5DB9" w14:textId="47685B3A" w:rsidR="0098482B" w:rsidRPr="00FC6FAD" w:rsidRDefault="0098482B" w:rsidP="00E069AD">
            <w:pPr>
              <w:jc w:val="center"/>
              <w:rPr>
                <w:rFonts w:ascii="Times New Roman" w:hAnsi="Times New Roman" w:cs="Times New Roman"/>
                <w:b/>
                <w:bCs/>
                <w:sz w:val="20"/>
                <w:szCs w:val="20"/>
              </w:rPr>
            </w:pPr>
            <w:r w:rsidRPr="00FC6FAD">
              <w:rPr>
                <w:rFonts w:ascii="Times New Roman" w:hAnsi="Times New Roman" w:cs="Times New Roman"/>
                <w:b/>
                <w:bCs/>
                <w:sz w:val="20"/>
                <w:szCs w:val="20"/>
              </w:rPr>
              <w:t>Abnormal Neurological Score Definition</w:t>
            </w:r>
          </w:p>
        </w:tc>
        <w:tc>
          <w:tcPr>
            <w:tcW w:w="1053" w:type="dxa"/>
            <w:vMerge w:val="restart"/>
            <w:shd w:val="clear" w:color="auto" w:fill="D9D9D9" w:themeFill="background1" w:themeFillShade="D9"/>
            <w:vAlign w:val="center"/>
          </w:tcPr>
          <w:p w14:paraId="5A2CE1D7" w14:textId="32511832" w:rsidR="0098482B" w:rsidRPr="00FC6FAD" w:rsidRDefault="0098482B" w:rsidP="00E069AD">
            <w:pPr>
              <w:jc w:val="center"/>
              <w:rPr>
                <w:rFonts w:ascii="Times New Roman" w:hAnsi="Times New Roman" w:cs="Times New Roman"/>
                <w:b/>
                <w:bCs/>
                <w:sz w:val="20"/>
                <w:szCs w:val="20"/>
              </w:rPr>
            </w:pPr>
            <w:r w:rsidRPr="00FC6FAD">
              <w:rPr>
                <w:rFonts w:ascii="Times New Roman" w:hAnsi="Times New Roman" w:cs="Times New Roman"/>
                <w:b/>
                <w:bCs/>
                <w:sz w:val="20"/>
                <w:szCs w:val="20"/>
              </w:rPr>
              <w:t>BMDL</w:t>
            </w:r>
          </w:p>
          <w:p w14:paraId="2B473F0D" w14:textId="2FAA7DCF" w:rsidR="0098482B" w:rsidRPr="00FC6FAD" w:rsidRDefault="0098482B" w:rsidP="00E069AD">
            <w:pPr>
              <w:jc w:val="center"/>
              <w:rPr>
                <w:rFonts w:ascii="Times New Roman" w:hAnsi="Times New Roman" w:cs="Times New Roman"/>
                <w:b/>
                <w:bCs/>
                <w:sz w:val="20"/>
                <w:szCs w:val="20"/>
              </w:rPr>
            </w:pPr>
            <w:r w:rsidRPr="00FC6FAD">
              <w:rPr>
                <w:rFonts w:ascii="Times New Roman" w:hAnsi="Times New Roman" w:cs="Times New Roman"/>
                <w:b/>
                <w:bCs/>
                <w:sz w:val="20"/>
                <w:szCs w:val="20"/>
              </w:rPr>
              <w:t>(</w:t>
            </w:r>
            <w:r w:rsidRPr="00FC6FAD">
              <w:rPr>
                <w:rFonts w:ascii="Times New Roman" w:eastAsia="Symbol" w:hAnsi="Times New Roman" w:cs="Times New Roman"/>
                <w:b/>
                <w:bCs/>
                <w:sz w:val="20"/>
                <w:szCs w:val="20"/>
              </w:rPr>
              <w:t>m</w:t>
            </w:r>
            <w:r w:rsidRPr="00FC6FAD">
              <w:rPr>
                <w:rFonts w:ascii="Times New Roman" w:hAnsi="Times New Roman" w:cs="Times New Roman"/>
                <w:b/>
                <w:bCs/>
                <w:sz w:val="20"/>
                <w:szCs w:val="20"/>
              </w:rPr>
              <w:t>g/g hair THg)</w:t>
            </w:r>
          </w:p>
        </w:tc>
        <w:tc>
          <w:tcPr>
            <w:tcW w:w="1139" w:type="dxa"/>
            <w:vMerge w:val="restart"/>
            <w:shd w:val="clear" w:color="auto" w:fill="D9D9D9" w:themeFill="background1" w:themeFillShade="D9"/>
            <w:vAlign w:val="center"/>
          </w:tcPr>
          <w:p w14:paraId="6742E896" w14:textId="77777777" w:rsidR="0098482B" w:rsidRPr="00FC6FAD" w:rsidRDefault="0098482B" w:rsidP="00E069AD">
            <w:pPr>
              <w:jc w:val="center"/>
              <w:rPr>
                <w:rFonts w:ascii="Times New Roman" w:hAnsi="Times New Roman" w:cs="Times New Roman"/>
                <w:b/>
                <w:bCs/>
                <w:sz w:val="20"/>
                <w:szCs w:val="20"/>
              </w:rPr>
            </w:pPr>
            <w:r w:rsidRPr="00FC6FAD">
              <w:rPr>
                <w:rFonts w:ascii="Times New Roman" w:hAnsi="Times New Roman" w:cs="Times New Roman"/>
                <w:b/>
                <w:bCs/>
                <w:sz w:val="20"/>
                <w:szCs w:val="20"/>
              </w:rPr>
              <w:t>BMD</w:t>
            </w:r>
          </w:p>
          <w:p w14:paraId="3AB3DC94" w14:textId="0CE1A733" w:rsidR="0098482B" w:rsidRPr="00FC6FAD" w:rsidRDefault="0098482B" w:rsidP="00E069AD">
            <w:pPr>
              <w:jc w:val="center"/>
              <w:rPr>
                <w:rFonts w:ascii="Times New Roman" w:hAnsi="Times New Roman" w:cs="Times New Roman"/>
                <w:b/>
                <w:bCs/>
                <w:sz w:val="20"/>
                <w:szCs w:val="20"/>
              </w:rPr>
            </w:pPr>
            <w:r w:rsidRPr="00FC6FAD">
              <w:rPr>
                <w:rFonts w:ascii="Times New Roman" w:hAnsi="Times New Roman" w:cs="Times New Roman"/>
                <w:b/>
                <w:bCs/>
                <w:sz w:val="20"/>
                <w:szCs w:val="20"/>
              </w:rPr>
              <w:t>(</w:t>
            </w:r>
            <w:r w:rsidRPr="00FC6FAD">
              <w:rPr>
                <w:rFonts w:ascii="Times New Roman" w:eastAsia="Symbol" w:hAnsi="Times New Roman" w:cs="Times New Roman"/>
                <w:b/>
                <w:bCs/>
                <w:sz w:val="20"/>
                <w:szCs w:val="20"/>
              </w:rPr>
              <w:t>m</w:t>
            </w:r>
            <w:r w:rsidRPr="00FC6FAD">
              <w:rPr>
                <w:rFonts w:ascii="Times New Roman" w:hAnsi="Times New Roman" w:cs="Times New Roman"/>
                <w:b/>
                <w:bCs/>
                <w:sz w:val="20"/>
                <w:szCs w:val="20"/>
              </w:rPr>
              <w:t>g/g hair THg)</w:t>
            </w:r>
          </w:p>
        </w:tc>
        <w:tc>
          <w:tcPr>
            <w:tcW w:w="1180" w:type="dxa"/>
            <w:vMerge w:val="restart"/>
            <w:shd w:val="clear" w:color="auto" w:fill="D9D9D9" w:themeFill="background1" w:themeFillShade="D9"/>
            <w:vAlign w:val="center"/>
          </w:tcPr>
          <w:p w14:paraId="78F3253C" w14:textId="750504BE" w:rsidR="0098482B" w:rsidRPr="00FC6FAD" w:rsidRDefault="0098482B" w:rsidP="00E069AD">
            <w:pPr>
              <w:jc w:val="center"/>
              <w:rPr>
                <w:rFonts w:ascii="Times New Roman" w:hAnsi="Times New Roman" w:cs="Times New Roman"/>
                <w:b/>
                <w:bCs/>
                <w:sz w:val="20"/>
                <w:szCs w:val="20"/>
              </w:rPr>
            </w:pPr>
            <w:r w:rsidRPr="00FC6FAD">
              <w:rPr>
                <w:rFonts w:ascii="Times New Roman" w:hAnsi="Times New Roman" w:cs="Times New Roman"/>
                <w:b/>
                <w:bCs/>
                <w:sz w:val="20"/>
                <w:szCs w:val="20"/>
              </w:rPr>
              <w:t>BMDU</w:t>
            </w:r>
          </w:p>
          <w:p w14:paraId="674A9C14" w14:textId="22E8796B" w:rsidR="0098482B" w:rsidRPr="00FC6FAD" w:rsidRDefault="0098482B" w:rsidP="00E069AD">
            <w:pPr>
              <w:jc w:val="center"/>
              <w:rPr>
                <w:rFonts w:ascii="Times New Roman" w:hAnsi="Times New Roman" w:cs="Times New Roman"/>
                <w:b/>
                <w:bCs/>
                <w:sz w:val="20"/>
                <w:szCs w:val="20"/>
              </w:rPr>
            </w:pPr>
            <w:r w:rsidRPr="00FC6FAD">
              <w:rPr>
                <w:rFonts w:ascii="Times New Roman" w:hAnsi="Times New Roman" w:cs="Times New Roman"/>
                <w:b/>
                <w:bCs/>
                <w:sz w:val="20"/>
                <w:szCs w:val="20"/>
              </w:rPr>
              <w:t>(</w:t>
            </w:r>
            <w:r w:rsidRPr="00FC6FAD">
              <w:rPr>
                <w:rFonts w:ascii="Times New Roman" w:eastAsia="Symbol" w:hAnsi="Times New Roman" w:cs="Times New Roman"/>
                <w:b/>
                <w:bCs/>
                <w:sz w:val="20"/>
                <w:szCs w:val="20"/>
              </w:rPr>
              <w:t>m</w:t>
            </w:r>
            <w:r w:rsidRPr="00FC6FAD">
              <w:rPr>
                <w:rFonts w:ascii="Times New Roman" w:hAnsi="Times New Roman" w:cs="Times New Roman"/>
                <w:b/>
                <w:bCs/>
                <w:sz w:val="20"/>
                <w:szCs w:val="20"/>
              </w:rPr>
              <w:t>g/g hair THg)</w:t>
            </w:r>
          </w:p>
        </w:tc>
        <w:tc>
          <w:tcPr>
            <w:tcW w:w="2555" w:type="dxa"/>
            <w:gridSpan w:val="2"/>
            <w:shd w:val="clear" w:color="auto" w:fill="D9D9D9" w:themeFill="background1" w:themeFillShade="D9"/>
            <w:vAlign w:val="center"/>
          </w:tcPr>
          <w:p w14:paraId="0AFBCA8A" w14:textId="2CB30A0B" w:rsidR="0098482B" w:rsidRPr="00FC6FAD" w:rsidRDefault="0098482B" w:rsidP="00E069AD">
            <w:pPr>
              <w:jc w:val="center"/>
              <w:rPr>
                <w:rFonts w:ascii="Times New Roman" w:hAnsi="Times New Roman" w:cs="Times New Roman"/>
                <w:b/>
                <w:bCs/>
                <w:sz w:val="20"/>
                <w:szCs w:val="20"/>
              </w:rPr>
            </w:pPr>
            <w:r w:rsidRPr="00FC6FAD">
              <w:rPr>
                <w:rFonts w:ascii="Times New Roman" w:hAnsi="Times New Roman" w:cs="Times New Roman"/>
                <w:b/>
                <w:bCs/>
                <w:sz w:val="20"/>
                <w:szCs w:val="20"/>
              </w:rPr>
              <w:t>BMD/BMDL ratio</w:t>
            </w:r>
          </w:p>
        </w:tc>
        <w:tc>
          <w:tcPr>
            <w:tcW w:w="2834" w:type="dxa"/>
            <w:gridSpan w:val="2"/>
            <w:shd w:val="clear" w:color="auto" w:fill="D9D9D9" w:themeFill="background1" w:themeFillShade="D9"/>
            <w:vAlign w:val="center"/>
          </w:tcPr>
          <w:p w14:paraId="1C693E13" w14:textId="77777777" w:rsidR="0098482B" w:rsidRPr="00FC6FAD" w:rsidRDefault="0098482B" w:rsidP="00E069AD">
            <w:pPr>
              <w:jc w:val="center"/>
              <w:rPr>
                <w:rFonts w:ascii="Times New Roman" w:hAnsi="Times New Roman" w:cs="Times New Roman"/>
                <w:b/>
                <w:bCs/>
                <w:sz w:val="20"/>
                <w:szCs w:val="20"/>
              </w:rPr>
            </w:pPr>
            <w:r w:rsidRPr="00FC6FAD">
              <w:rPr>
                <w:rFonts w:ascii="Times New Roman" w:hAnsi="Times New Roman" w:cs="Times New Roman"/>
                <w:b/>
                <w:bCs/>
                <w:sz w:val="20"/>
                <w:szCs w:val="20"/>
              </w:rPr>
              <w:t>BMDU/BMDL</w:t>
            </w:r>
          </w:p>
          <w:p w14:paraId="268E7209" w14:textId="6B950044" w:rsidR="0098482B" w:rsidRPr="00FC6FAD" w:rsidRDefault="0098482B" w:rsidP="00E069AD">
            <w:pPr>
              <w:jc w:val="center"/>
              <w:rPr>
                <w:rFonts w:ascii="Times New Roman" w:hAnsi="Times New Roman" w:cs="Times New Roman"/>
                <w:b/>
                <w:bCs/>
              </w:rPr>
            </w:pPr>
            <w:r>
              <w:rPr>
                <w:rFonts w:ascii="Times New Roman" w:hAnsi="Times New Roman" w:cs="Times New Roman"/>
                <w:b/>
                <w:bCs/>
                <w:sz w:val="20"/>
                <w:szCs w:val="20"/>
              </w:rPr>
              <w:t>r</w:t>
            </w:r>
            <w:r w:rsidRPr="00FC6FAD">
              <w:rPr>
                <w:rFonts w:ascii="Times New Roman" w:hAnsi="Times New Roman" w:cs="Times New Roman"/>
                <w:b/>
                <w:bCs/>
                <w:sz w:val="20"/>
                <w:szCs w:val="20"/>
              </w:rPr>
              <w:t>atio</w:t>
            </w:r>
          </w:p>
        </w:tc>
      </w:tr>
      <w:tr w:rsidR="0098482B" w:rsidRPr="00FC6FAD" w14:paraId="3A2305B1" w14:textId="77777777" w:rsidTr="00E069AD">
        <w:trPr>
          <w:trHeight w:val="300"/>
        </w:trPr>
        <w:tc>
          <w:tcPr>
            <w:tcW w:w="1440" w:type="dxa"/>
            <w:vMerge/>
            <w:shd w:val="clear" w:color="auto" w:fill="D9D9D9" w:themeFill="background1" w:themeFillShade="D9"/>
            <w:vAlign w:val="center"/>
          </w:tcPr>
          <w:p w14:paraId="2D04AEF2" w14:textId="77777777" w:rsidR="0098482B" w:rsidRPr="00FC6FAD" w:rsidRDefault="0098482B" w:rsidP="00E069AD">
            <w:pPr>
              <w:jc w:val="center"/>
              <w:rPr>
                <w:rFonts w:ascii="Times New Roman" w:hAnsi="Times New Roman" w:cs="Times New Roman"/>
                <w:b/>
                <w:sz w:val="20"/>
                <w:szCs w:val="20"/>
              </w:rPr>
            </w:pPr>
          </w:p>
        </w:tc>
        <w:tc>
          <w:tcPr>
            <w:tcW w:w="1053" w:type="dxa"/>
            <w:vMerge/>
            <w:shd w:val="clear" w:color="auto" w:fill="D9D9D9" w:themeFill="background1" w:themeFillShade="D9"/>
            <w:vAlign w:val="center"/>
          </w:tcPr>
          <w:p w14:paraId="27B83AF4" w14:textId="77777777" w:rsidR="0098482B" w:rsidRPr="00FC6FAD" w:rsidRDefault="0098482B" w:rsidP="00E069AD">
            <w:pPr>
              <w:jc w:val="center"/>
              <w:rPr>
                <w:rFonts w:ascii="Times New Roman" w:hAnsi="Times New Roman" w:cs="Times New Roman"/>
                <w:b/>
                <w:sz w:val="20"/>
                <w:szCs w:val="20"/>
              </w:rPr>
            </w:pPr>
          </w:p>
        </w:tc>
        <w:tc>
          <w:tcPr>
            <w:tcW w:w="1139" w:type="dxa"/>
            <w:vMerge/>
            <w:shd w:val="clear" w:color="auto" w:fill="D9D9D9" w:themeFill="background1" w:themeFillShade="D9"/>
            <w:vAlign w:val="center"/>
          </w:tcPr>
          <w:p w14:paraId="61BA6F97" w14:textId="77777777" w:rsidR="0098482B" w:rsidRPr="00FC6FAD" w:rsidRDefault="0098482B" w:rsidP="00E069AD">
            <w:pPr>
              <w:jc w:val="center"/>
              <w:rPr>
                <w:rFonts w:ascii="Times New Roman" w:hAnsi="Times New Roman" w:cs="Times New Roman"/>
                <w:b/>
                <w:sz w:val="20"/>
                <w:szCs w:val="20"/>
              </w:rPr>
            </w:pPr>
          </w:p>
        </w:tc>
        <w:tc>
          <w:tcPr>
            <w:tcW w:w="1180" w:type="dxa"/>
            <w:vMerge/>
            <w:shd w:val="clear" w:color="auto" w:fill="D9D9D9" w:themeFill="background1" w:themeFillShade="D9"/>
            <w:vAlign w:val="center"/>
          </w:tcPr>
          <w:p w14:paraId="4857E299" w14:textId="77777777" w:rsidR="0098482B" w:rsidRPr="00FC6FAD" w:rsidRDefault="0098482B" w:rsidP="00E069AD">
            <w:pPr>
              <w:jc w:val="center"/>
              <w:rPr>
                <w:rFonts w:ascii="Times New Roman" w:hAnsi="Times New Roman" w:cs="Times New Roman"/>
                <w:b/>
                <w:sz w:val="20"/>
                <w:szCs w:val="20"/>
              </w:rPr>
            </w:pPr>
          </w:p>
        </w:tc>
        <w:tc>
          <w:tcPr>
            <w:tcW w:w="853" w:type="dxa"/>
            <w:shd w:val="clear" w:color="auto" w:fill="D9D9D9" w:themeFill="background1" w:themeFillShade="D9"/>
            <w:vAlign w:val="center"/>
          </w:tcPr>
          <w:p w14:paraId="6E9CF340" w14:textId="36139077" w:rsidR="0098482B" w:rsidRPr="00FC6FAD" w:rsidRDefault="0098482B" w:rsidP="00E069AD">
            <w:pPr>
              <w:jc w:val="center"/>
              <w:rPr>
                <w:rFonts w:ascii="Times New Roman" w:hAnsi="Times New Roman" w:cs="Times New Roman"/>
                <w:b/>
                <w:sz w:val="20"/>
                <w:szCs w:val="20"/>
              </w:rPr>
            </w:pPr>
            <w:r w:rsidRPr="00FC6FAD">
              <w:rPr>
                <w:rFonts w:ascii="Times New Roman" w:hAnsi="Times New Roman" w:cs="Times New Roman"/>
                <w:b/>
                <w:sz w:val="20"/>
                <w:szCs w:val="20"/>
              </w:rPr>
              <w:t>ratio</w:t>
            </w:r>
          </w:p>
        </w:tc>
        <w:tc>
          <w:tcPr>
            <w:tcW w:w="1702" w:type="dxa"/>
            <w:shd w:val="clear" w:color="auto" w:fill="D9D9D9" w:themeFill="background1" w:themeFillShade="D9"/>
            <w:vAlign w:val="center"/>
          </w:tcPr>
          <w:p w14:paraId="162CDF21" w14:textId="54A2A5A6" w:rsidR="0098482B" w:rsidRPr="00FC6FAD" w:rsidRDefault="0098482B" w:rsidP="00E069AD">
            <w:pPr>
              <w:jc w:val="center"/>
              <w:rPr>
                <w:rFonts w:ascii="Times New Roman" w:hAnsi="Times New Roman" w:cs="Times New Roman"/>
                <w:b/>
                <w:sz w:val="20"/>
                <w:szCs w:val="20"/>
              </w:rPr>
            </w:pPr>
            <w:r w:rsidRPr="00FC6FAD">
              <w:rPr>
                <w:rFonts w:ascii="Times New Roman" w:hAnsi="Times New Roman" w:cs="Times New Roman"/>
                <w:b/>
                <w:bCs/>
                <w:sz w:val="20"/>
                <w:szCs w:val="20"/>
              </w:rPr>
              <w:t>EFSA Guidance (flag if ratio&gt;20)</w:t>
            </w:r>
          </w:p>
        </w:tc>
        <w:tc>
          <w:tcPr>
            <w:tcW w:w="850" w:type="dxa"/>
            <w:shd w:val="clear" w:color="auto" w:fill="D9D9D9" w:themeFill="background1" w:themeFillShade="D9"/>
            <w:vAlign w:val="center"/>
          </w:tcPr>
          <w:p w14:paraId="5278B8A6" w14:textId="3BE7A3EC" w:rsidR="0098482B" w:rsidRPr="00FC6FAD" w:rsidRDefault="0098482B" w:rsidP="00E069AD">
            <w:pPr>
              <w:jc w:val="center"/>
              <w:rPr>
                <w:rFonts w:ascii="Times New Roman" w:hAnsi="Times New Roman" w:cs="Times New Roman"/>
                <w:b/>
                <w:sz w:val="20"/>
                <w:szCs w:val="20"/>
              </w:rPr>
            </w:pPr>
            <w:r>
              <w:rPr>
                <w:rFonts w:ascii="Times New Roman" w:hAnsi="Times New Roman" w:cs="Times New Roman"/>
                <w:b/>
                <w:sz w:val="20"/>
                <w:szCs w:val="20"/>
              </w:rPr>
              <w:t>ratio</w:t>
            </w:r>
          </w:p>
        </w:tc>
        <w:tc>
          <w:tcPr>
            <w:tcW w:w="1984" w:type="dxa"/>
            <w:shd w:val="clear" w:color="auto" w:fill="D9D9D9" w:themeFill="background1" w:themeFillShade="D9"/>
            <w:vAlign w:val="center"/>
          </w:tcPr>
          <w:p w14:paraId="357BEEF8" w14:textId="4E381A5A" w:rsidR="0098482B" w:rsidRPr="00FC6FAD" w:rsidRDefault="0098482B" w:rsidP="00E069AD">
            <w:pPr>
              <w:jc w:val="center"/>
              <w:rPr>
                <w:rFonts w:ascii="Times New Roman" w:hAnsi="Times New Roman" w:cs="Times New Roman"/>
                <w:b/>
                <w:bCs/>
                <w:sz w:val="20"/>
                <w:szCs w:val="20"/>
              </w:rPr>
            </w:pPr>
            <w:r w:rsidRPr="00FC6FAD">
              <w:rPr>
                <w:rFonts w:ascii="Times New Roman" w:hAnsi="Times New Roman" w:cs="Times New Roman"/>
                <w:b/>
                <w:bCs/>
                <w:sz w:val="20"/>
                <w:szCs w:val="20"/>
              </w:rPr>
              <w:t>EFSA Guidance</w:t>
            </w:r>
          </w:p>
          <w:p w14:paraId="7C5092F7" w14:textId="6E8B71D7" w:rsidR="0098482B" w:rsidRPr="00FC6FAD" w:rsidRDefault="0098482B" w:rsidP="00E069AD">
            <w:pPr>
              <w:jc w:val="center"/>
              <w:rPr>
                <w:rFonts w:ascii="Times New Roman" w:hAnsi="Times New Roman" w:cs="Times New Roman"/>
                <w:b/>
                <w:sz w:val="20"/>
                <w:szCs w:val="20"/>
              </w:rPr>
            </w:pPr>
            <w:r w:rsidRPr="00FC6FAD">
              <w:rPr>
                <w:rFonts w:ascii="Times New Roman" w:hAnsi="Times New Roman" w:cs="Times New Roman"/>
                <w:b/>
                <w:bCs/>
                <w:sz w:val="20"/>
                <w:szCs w:val="20"/>
              </w:rPr>
              <w:t>(flag if ratio&gt;50)</w:t>
            </w:r>
          </w:p>
        </w:tc>
      </w:tr>
      <w:tr w:rsidR="00AB66CC" w:rsidRPr="00FC6FAD" w14:paraId="6D831C3F" w14:textId="77777777" w:rsidTr="00E069AD">
        <w:trPr>
          <w:trHeight w:val="147"/>
        </w:trPr>
        <w:tc>
          <w:tcPr>
            <w:tcW w:w="1440" w:type="dxa"/>
            <w:vAlign w:val="center"/>
          </w:tcPr>
          <w:p w14:paraId="327249A5" w14:textId="709C8BE3" w:rsidR="00AB66CC" w:rsidRPr="00FC6FAD" w:rsidRDefault="0098482B" w:rsidP="00E069AD">
            <w:pPr>
              <w:jc w:val="center"/>
              <w:rPr>
                <w:rFonts w:ascii="Times New Roman" w:hAnsi="Times New Roman" w:cs="Times New Roman"/>
                <w:b/>
                <w:bCs/>
                <w:sz w:val="20"/>
                <w:szCs w:val="20"/>
              </w:rPr>
            </w:pPr>
            <w:r>
              <w:rPr>
                <w:rFonts w:ascii="Times New Roman" w:eastAsia="Symbol" w:hAnsi="Times New Roman" w:cs="Times New Roman"/>
                <w:sz w:val="20"/>
                <w:szCs w:val="20"/>
              </w:rPr>
              <w:sym w:font="Symbol" w:char="F0B3"/>
            </w:r>
            <w:r w:rsidR="00AB66CC" w:rsidRPr="00FC6FAD">
              <w:rPr>
                <w:rFonts w:ascii="Times New Roman" w:hAnsi="Times New Roman" w:cs="Times New Roman"/>
                <w:sz w:val="20"/>
                <w:szCs w:val="20"/>
              </w:rPr>
              <w:t xml:space="preserve"> 4</w:t>
            </w:r>
          </w:p>
        </w:tc>
        <w:tc>
          <w:tcPr>
            <w:tcW w:w="1053" w:type="dxa"/>
            <w:vAlign w:val="center"/>
          </w:tcPr>
          <w:p w14:paraId="6580054C" w14:textId="61F5C10F" w:rsidR="00AB66CC" w:rsidRPr="00FC6FAD" w:rsidRDefault="00AB66CC" w:rsidP="00E069AD">
            <w:pPr>
              <w:jc w:val="center"/>
              <w:rPr>
                <w:rFonts w:ascii="Times New Roman" w:hAnsi="Times New Roman" w:cs="Times New Roman"/>
                <w:sz w:val="20"/>
                <w:szCs w:val="20"/>
              </w:rPr>
            </w:pPr>
            <w:r w:rsidRPr="00FC6FAD">
              <w:rPr>
                <w:rFonts w:ascii="Times New Roman" w:hAnsi="Times New Roman" w:cs="Times New Roman"/>
                <w:sz w:val="20"/>
                <w:szCs w:val="20"/>
              </w:rPr>
              <w:t>12.9</w:t>
            </w:r>
          </w:p>
        </w:tc>
        <w:tc>
          <w:tcPr>
            <w:tcW w:w="1139" w:type="dxa"/>
            <w:vAlign w:val="center"/>
          </w:tcPr>
          <w:p w14:paraId="2B2C3EFA" w14:textId="0C98C74C" w:rsidR="00AB66CC" w:rsidRPr="00FC6FAD" w:rsidRDefault="00AB66CC" w:rsidP="00E069AD">
            <w:pPr>
              <w:jc w:val="center"/>
              <w:rPr>
                <w:rFonts w:ascii="Times New Roman" w:hAnsi="Times New Roman" w:cs="Times New Roman"/>
                <w:sz w:val="20"/>
                <w:szCs w:val="20"/>
              </w:rPr>
            </w:pPr>
            <w:r w:rsidRPr="00FC6FAD">
              <w:rPr>
                <w:rFonts w:ascii="Times New Roman" w:hAnsi="Times New Roman" w:cs="Times New Roman"/>
                <w:sz w:val="20"/>
                <w:szCs w:val="20"/>
              </w:rPr>
              <w:t>47.2</w:t>
            </w:r>
          </w:p>
        </w:tc>
        <w:tc>
          <w:tcPr>
            <w:tcW w:w="1180" w:type="dxa"/>
            <w:vAlign w:val="center"/>
          </w:tcPr>
          <w:p w14:paraId="7B5823F3" w14:textId="39B649DC" w:rsidR="00AB66CC" w:rsidRPr="00FC6FAD" w:rsidRDefault="00AB66CC" w:rsidP="00E069AD">
            <w:pPr>
              <w:jc w:val="center"/>
              <w:rPr>
                <w:rFonts w:ascii="Times New Roman" w:hAnsi="Times New Roman" w:cs="Times New Roman"/>
                <w:sz w:val="20"/>
                <w:szCs w:val="20"/>
              </w:rPr>
            </w:pPr>
            <w:r w:rsidRPr="00FC6FAD">
              <w:rPr>
                <w:rFonts w:ascii="Times New Roman" w:hAnsi="Times New Roman" w:cs="Times New Roman"/>
                <w:sz w:val="20"/>
                <w:szCs w:val="20"/>
              </w:rPr>
              <w:t>139.7</w:t>
            </w:r>
          </w:p>
        </w:tc>
        <w:tc>
          <w:tcPr>
            <w:tcW w:w="853" w:type="dxa"/>
            <w:vAlign w:val="center"/>
          </w:tcPr>
          <w:p w14:paraId="7F681E54" w14:textId="23942F57" w:rsidR="00AB66CC" w:rsidRPr="00FC6FAD" w:rsidRDefault="00AB66CC" w:rsidP="00E069AD">
            <w:pPr>
              <w:jc w:val="center"/>
              <w:rPr>
                <w:rFonts w:ascii="Times New Roman" w:hAnsi="Times New Roman" w:cs="Times New Roman"/>
                <w:sz w:val="20"/>
                <w:szCs w:val="20"/>
              </w:rPr>
            </w:pPr>
            <w:r w:rsidRPr="00FC6FAD">
              <w:rPr>
                <w:rFonts w:ascii="Times New Roman" w:hAnsi="Times New Roman" w:cs="Times New Roman"/>
                <w:sz w:val="20"/>
                <w:szCs w:val="20"/>
              </w:rPr>
              <w:t>3.7</w:t>
            </w:r>
          </w:p>
        </w:tc>
        <w:tc>
          <w:tcPr>
            <w:tcW w:w="1702" w:type="dxa"/>
            <w:vAlign w:val="center"/>
          </w:tcPr>
          <w:p w14:paraId="6DC9D100" w14:textId="5957CD07" w:rsidR="00AB66CC" w:rsidRPr="00FC6FAD" w:rsidRDefault="00AB66CC" w:rsidP="00E069AD">
            <w:pPr>
              <w:jc w:val="center"/>
              <w:rPr>
                <w:rFonts w:ascii="Times New Roman" w:hAnsi="Times New Roman" w:cs="Times New Roman"/>
                <w:sz w:val="20"/>
                <w:szCs w:val="20"/>
              </w:rPr>
            </w:pPr>
            <w:r w:rsidRPr="00FC6FAD">
              <w:rPr>
                <w:rFonts w:ascii="Times New Roman" w:hAnsi="Times New Roman" w:cs="Times New Roman"/>
                <w:sz w:val="20"/>
                <w:szCs w:val="20"/>
              </w:rPr>
              <w:t>no flag</w:t>
            </w:r>
          </w:p>
        </w:tc>
        <w:tc>
          <w:tcPr>
            <w:tcW w:w="850" w:type="dxa"/>
            <w:vAlign w:val="center"/>
          </w:tcPr>
          <w:p w14:paraId="586082DC" w14:textId="43B765D1" w:rsidR="00AB66CC" w:rsidRPr="00FC6FAD" w:rsidRDefault="00AB66CC" w:rsidP="00E069AD">
            <w:pPr>
              <w:jc w:val="center"/>
              <w:rPr>
                <w:rFonts w:ascii="Times New Roman" w:hAnsi="Times New Roman" w:cs="Times New Roman"/>
                <w:sz w:val="20"/>
                <w:szCs w:val="20"/>
              </w:rPr>
            </w:pPr>
            <w:r w:rsidRPr="00FC6FAD">
              <w:rPr>
                <w:rFonts w:ascii="Times New Roman" w:hAnsi="Times New Roman" w:cs="Times New Roman"/>
                <w:sz w:val="20"/>
                <w:szCs w:val="20"/>
              </w:rPr>
              <w:t>10.8</w:t>
            </w:r>
          </w:p>
        </w:tc>
        <w:tc>
          <w:tcPr>
            <w:tcW w:w="1984" w:type="dxa"/>
            <w:vAlign w:val="center"/>
          </w:tcPr>
          <w:p w14:paraId="5B351405" w14:textId="186179AF" w:rsidR="00AB66CC" w:rsidRPr="00FC6FAD" w:rsidRDefault="00AB66CC" w:rsidP="00E069AD">
            <w:pPr>
              <w:jc w:val="center"/>
              <w:rPr>
                <w:rFonts w:ascii="Times New Roman" w:hAnsi="Times New Roman" w:cs="Times New Roman"/>
              </w:rPr>
            </w:pPr>
            <w:r w:rsidRPr="00FC6FAD">
              <w:rPr>
                <w:rFonts w:ascii="Times New Roman" w:hAnsi="Times New Roman" w:cs="Times New Roman"/>
                <w:sz w:val="20"/>
                <w:szCs w:val="20"/>
              </w:rPr>
              <w:t>no flag</w:t>
            </w:r>
          </w:p>
        </w:tc>
      </w:tr>
      <w:tr w:rsidR="00AB66CC" w:rsidRPr="00FC6FAD" w14:paraId="60F3C29D" w14:textId="77777777" w:rsidTr="00E069AD">
        <w:trPr>
          <w:trHeight w:val="165"/>
        </w:trPr>
        <w:tc>
          <w:tcPr>
            <w:tcW w:w="1440" w:type="dxa"/>
            <w:vAlign w:val="center"/>
          </w:tcPr>
          <w:p w14:paraId="59DF85B6" w14:textId="0BDBB612" w:rsidR="00AB66CC" w:rsidRPr="00FC6FAD" w:rsidRDefault="0098482B" w:rsidP="00E069AD">
            <w:pPr>
              <w:jc w:val="center"/>
              <w:rPr>
                <w:rFonts w:ascii="Times New Roman" w:hAnsi="Times New Roman" w:cs="Times New Roman"/>
                <w:b/>
                <w:bCs/>
                <w:sz w:val="20"/>
                <w:szCs w:val="20"/>
              </w:rPr>
            </w:pPr>
            <w:r>
              <w:rPr>
                <w:rFonts w:ascii="Times New Roman" w:eastAsia="Symbol" w:hAnsi="Times New Roman" w:cs="Times New Roman"/>
                <w:sz w:val="20"/>
                <w:szCs w:val="20"/>
              </w:rPr>
              <w:sym w:font="Symbol" w:char="F0B3"/>
            </w:r>
            <w:r w:rsidR="00AB66CC" w:rsidRPr="00FC6FAD">
              <w:rPr>
                <w:rFonts w:ascii="Times New Roman" w:hAnsi="Times New Roman" w:cs="Times New Roman"/>
                <w:sz w:val="20"/>
                <w:szCs w:val="20"/>
              </w:rPr>
              <w:t xml:space="preserve"> 5</w:t>
            </w:r>
          </w:p>
        </w:tc>
        <w:tc>
          <w:tcPr>
            <w:tcW w:w="1053" w:type="dxa"/>
            <w:vAlign w:val="center"/>
          </w:tcPr>
          <w:p w14:paraId="6F197573" w14:textId="198297B3" w:rsidR="00AB66CC" w:rsidRPr="00FC6FAD" w:rsidRDefault="00AB66CC" w:rsidP="00E069AD">
            <w:pPr>
              <w:jc w:val="center"/>
              <w:rPr>
                <w:rFonts w:ascii="Times New Roman" w:hAnsi="Times New Roman" w:cs="Times New Roman"/>
                <w:sz w:val="20"/>
                <w:szCs w:val="20"/>
              </w:rPr>
            </w:pPr>
            <w:r w:rsidRPr="00FC6FAD">
              <w:rPr>
                <w:rFonts w:ascii="Times New Roman" w:hAnsi="Times New Roman" w:cs="Times New Roman"/>
                <w:sz w:val="20"/>
                <w:szCs w:val="20"/>
              </w:rPr>
              <w:t>17.5</w:t>
            </w:r>
          </w:p>
        </w:tc>
        <w:tc>
          <w:tcPr>
            <w:tcW w:w="1139" w:type="dxa"/>
            <w:vAlign w:val="center"/>
          </w:tcPr>
          <w:p w14:paraId="530D6D82" w14:textId="716617E5" w:rsidR="00AB66CC" w:rsidRPr="00FC6FAD" w:rsidRDefault="00AB66CC" w:rsidP="00E069AD">
            <w:pPr>
              <w:jc w:val="center"/>
              <w:rPr>
                <w:rFonts w:ascii="Times New Roman" w:hAnsi="Times New Roman" w:cs="Times New Roman"/>
                <w:sz w:val="20"/>
                <w:szCs w:val="20"/>
              </w:rPr>
            </w:pPr>
            <w:r w:rsidRPr="00FC6FAD">
              <w:rPr>
                <w:rFonts w:ascii="Times New Roman" w:hAnsi="Times New Roman" w:cs="Times New Roman"/>
                <w:sz w:val="20"/>
                <w:szCs w:val="20"/>
              </w:rPr>
              <w:t>68.6</w:t>
            </w:r>
          </w:p>
        </w:tc>
        <w:tc>
          <w:tcPr>
            <w:tcW w:w="1180" w:type="dxa"/>
            <w:vAlign w:val="center"/>
          </w:tcPr>
          <w:p w14:paraId="3EBBB0EB" w14:textId="16C90145" w:rsidR="00AB66CC" w:rsidRPr="00FC6FAD" w:rsidRDefault="00AB66CC" w:rsidP="00E069AD">
            <w:pPr>
              <w:jc w:val="center"/>
              <w:rPr>
                <w:rFonts w:ascii="Times New Roman" w:hAnsi="Times New Roman" w:cs="Times New Roman"/>
                <w:sz w:val="20"/>
                <w:szCs w:val="20"/>
              </w:rPr>
            </w:pPr>
            <w:r w:rsidRPr="00FC6FAD">
              <w:rPr>
                <w:rFonts w:ascii="Times New Roman" w:hAnsi="Times New Roman" w:cs="Times New Roman"/>
                <w:sz w:val="20"/>
                <w:szCs w:val="20"/>
              </w:rPr>
              <w:t>185.9</w:t>
            </w:r>
          </w:p>
        </w:tc>
        <w:tc>
          <w:tcPr>
            <w:tcW w:w="853" w:type="dxa"/>
            <w:vAlign w:val="center"/>
          </w:tcPr>
          <w:p w14:paraId="417EEFD4" w14:textId="667F1272" w:rsidR="00AB66CC" w:rsidRPr="00FC6FAD" w:rsidRDefault="00AB66CC" w:rsidP="00E069AD">
            <w:pPr>
              <w:jc w:val="center"/>
              <w:rPr>
                <w:rFonts w:ascii="Times New Roman" w:hAnsi="Times New Roman" w:cs="Times New Roman"/>
                <w:sz w:val="20"/>
                <w:szCs w:val="20"/>
              </w:rPr>
            </w:pPr>
            <w:r w:rsidRPr="00FC6FAD">
              <w:rPr>
                <w:rFonts w:ascii="Times New Roman" w:hAnsi="Times New Roman" w:cs="Times New Roman"/>
                <w:sz w:val="20"/>
                <w:szCs w:val="20"/>
              </w:rPr>
              <w:t>3.9</w:t>
            </w:r>
          </w:p>
        </w:tc>
        <w:tc>
          <w:tcPr>
            <w:tcW w:w="1702" w:type="dxa"/>
            <w:vAlign w:val="center"/>
          </w:tcPr>
          <w:p w14:paraId="32199B9E" w14:textId="2CA917CC" w:rsidR="00AB66CC" w:rsidRPr="00FC6FAD" w:rsidRDefault="00AB66CC" w:rsidP="00E069AD">
            <w:pPr>
              <w:jc w:val="center"/>
              <w:rPr>
                <w:rFonts w:ascii="Times New Roman" w:hAnsi="Times New Roman" w:cs="Times New Roman"/>
                <w:sz w:val="20"/>
                <w:szCs w:val="20"/>
              </w:rPr>
            </w:pPr>
            <w:r w:rsidRPr="00FC6FAD">
              <w:rPr>
                <w:rFonts w:ascii="Times New Roman" w:hAnsi="Times New Roman" w:cs="Times New Roman"/>
                <w:sz w:val="20"/>
                <w:szCs w:val="20"/>
              </w:rPr>
              <w:t>no flag</w:t>
            </w:r>
          </w:p>
        </w:tc>
        <w:tc>
          <w:tcPr>
            <w:tcW w:w="850" w:type="dxa"/>
            <w:vAlign w:val="center"/>
          </w:tcPr>
          <w:p w14:paraId="3DC3644B" w14:textId="4F595B8A" w:rsidR="00AB66CC" w:rsidRPr="00FC6FAD" w:rsidRDefault="00AB66CC" w:rsidP="00E069AD">
            <w:pPr>
              <w:jc w:val="center"/>
              <w:rPr>
                <w:rFonts w:ascii="Times New Roman" w:hAnsi="Times New Roman" w:cs="Times New Roman"/>
                <w:sz w:val="20"/>
                <w:szCs w:val="20"/>
              </w:rPr>
            </w:pPr>
            <w:r w:rsidRPr="00FC6FAD">
              <w:rPr>
                <w:rFonts w:ascii="Times New Roman" w:hAnsi="Times New Roman" w:cs="Times New Roman"/>
                <w:sz w:val="20"/>
                <w:szCs w:val="20"/>
              </w:rPr>
              <w:t>10.6</w:t>
            </w:r>
          </w:p>
        </w:tc>
        <w:tc>
          <w:tcPr>
            <w:tcW w:w="1984" w:type="dxa"/>
            <w:vAlign w:val="center"/>
          </w:tcPr>
          <w:p w14:paraId="5DE44F29" w14:textId="40C175A7" w:rsidR="00AB66CC" w:rsidRPr="00FC6FAD" w:rsidRDefault="00AB66CC" w:rsidP="00E069AD">
            <w:pPr>
              <w:jc w:val="center"/>
              <w:rPr>
                <w:rFonts w:ascii="Times New Roman" w:hAnsi="Times New Roman" w:cs="Times New Roman"/>
              </w:rPr>
            </w:pPr>
            <w:r w:rsidRPr="00FC6FAD">
              <w:rPr>
                <w:rFonts w:ascii="Times New Roman" w:hAnsi="Times New Roman" w:cs="Times New Roman"/>
                <w:sz w:val="20"/>
                <w:szCs w:val="20"/>
              </w:rPr>
              <w:t>no flag</w:t>
            </w:r>
          </w:p>
        </w:tc>
      </w:tr>
    </w:tbl>
    <w:p w14:paraId="301C6C6F" w14:textId="6BF8B9D3" w:rsidR="005832CC" w:rsidRDefault="00D76B17" w:rsidP="004C39FB">
      <w:r>
        <w:rPr>
          <w:b/>
          <w:bCs w:val="0"/>
        </w:rPr>
        <w:t xml:space="preserve"> </w:t>
      </w:r>
    </w:p>
    <w:p w14:paraId="111D7A26" w14:textId="77777777" w:rsidR="00FD15E4" w:rsidRDefault="00FD15E4">
      <w:r>
        <w:rPr>
          <w:b/>
          <w:bCs w:val="0"/>
        </w:rPr>
        <w:t>References</w:t>
      </w:r>
    </w:p>
    <w:p w14:paraId="309236FD" w14:textId="77777777" w:rsidR="00FD15E4" w:rsidRDefault="00FD15E4"/>
    <w:p w14:paraId="3ECA15A4" w14:textId="4586F395" w:rsidR="004B01E8" w:rsidRPr="004B01E8" w:rsidRDefault="00FD15E4" w:rsidP="004B01E8">
      <w:pPr>
        <w:widowControl w:val="0"/>
        <w:autoSpaceDE w:val="0"/>
        <w:autoSpaceDN w:val="0"/>
        <w:adjustRightInd w:val="0"/>
        <w:ind w:left="480" w:hanging="480"/>
        <w:rPr>
          <w:noProof/>
          <w:kern w:val="0"/>
        </w:rPr>
      </w:pPr>
      <w:r>
        <w:fldChar w:fldCharType="begin" w:fldLock="1"/>
      </w:r>
      <w:r>
        <w:instrText xml:space="preserve">ADDIN Mendeley Bibliography CSL_BIBLIOGRAPHY </w:instrText>
      </w:r>
      <w:r>
        <w:fldChar w:fldCharType="separate"/>
      </w:r>
      <w:r w:rsidR="004B01E8" w:rsidRPr="004B01E8">
        <w:rPr>
          <w:noProof/>
          <w:kern w:val="0"/>
        </w:rPr>
        <w:t xml:space="preserve">EFSA. (2022). </w:t>
      </w:r>
      <w:r w:rsidR="004B01E8" w:rsidRPr="004B01E8">
        <w:rPr>
          <w:i/>
          <w:iCs/>
          <w:noProof/>
          <w:kern w:val="0"/>
        </w:rPr>
        <w:t>Guidance on the use of the benchmark dose approach in risk assessment. (Published 25 October 2022)</w:t>
      </w:r>
      <w:r w:rsidR="004B01E8" w:rsidRPr="004B01E8">
        <w:rPr>
          <w:noProof/>
          <w:kern w:val="0"/>
        </w:rPr>
        <w:t>. https://efsa.onlinelibrary.wiley.com/doi/epdf/10.2903/j.efsa.2022.7584</w:t>
      </w:r>
    </w:p>
    <w:p w14:paraId="69AD129C" w14:textId="77777777" w:rsidR="004B01E8" w:rsidRPr="004B01E8" w:rsidRDefault="004B01E8" w:rsidP="004B01E8">
      <w:pPr>
        <w:widowControl w:val="0"/>
        <w:autoSpaceDE w:val="0"/>
        <w:autoSpaceDN w:val="0"/>
        <w:adjustRightInd w:val="0"/>
        <w:ind w:left="480" w:hanging="480"/>
        <w:rPr>
          <w:noProof/>
          <w:kern w:val="0"/>
        </w:rPr>
      </w:pPr>
      <w:r w:rsidRPr="004B01E8">
        <w:rPr>
          <w:noProof/>
          <w:kern w:val="0"/>
        </w:rPr>
        <w:t xml:space="preserve">Marsh, D. O., Clarkson, T. W., Cox, C., Myers, G. J., Amin Zaki, L., &amp; Tikriti, S. (1987). Fetal methylmercury poisoning: Relationship between concentration in single strands of maternal hair and child effects. </w:t>
      </w:r>
      <w:r w:rsidRPr="004B01E8">
        <w:rPr>
          <w:i/>
          <w:iCs/>
          <w:noProof/>
          <w:kern w:val="0"/>
        </w:rPr>
        <w:t>Archives of Neurology</w:t>
      </w:r>
      <w:r w:rsidRPr="004B01E8">
        <w:rPr>
          <w:noProof/>
          <w:kern w:val="0"/>
        </w:rPr>
        <w:t xml:space="preserve">, </w:t>
      </w:r>
      <w:r w:rsidRPr="004B01E8">
        <w:rPr>
          <w:i/>
          <w:iCs/>
          <w:noProof/>
          <w:kern w:val="0"/>
        </w:rPr>
        <w:t>44</w:t>
      </w:r>
      <w:r w:rsidRPr="004B01E8">
        <w:rPr>
          <w:noProof/>
          <w:kern w:val="0"/>
        </w:rPr>
        <w:t>(10), 1017–1022. https://doi.org/10.1001/archneur.1987.00520220023010</w:t>
      </w:r>
    </w:p>
    <w:p w14:paraId="2FAFE94D" w14:textId="77777777" w:rsidR="004B01E8" w:rsidRPr="004B01E8" w:rsidRDefault="004B01E8" w:rsidP="004B01E8">
      <w:pPr>
        <w:widowControl w:val="0"/>
        <w:autoSpaceDE w:val="0"/>
        <w:autoSpaceDN w:val="0"/>
        <w:adjustRightInd w:val="0"/>
        <w:ind w:left="480" w:hanging="480"/>
        <w:rPr>
          <w:noProof/>
          <w:kern w:val="0"/>
        </w:rPr>
      </w:pPr>
      <w:r w:rsidRPr="004B01E8">
        <w:rPr>
          <w:noProof/>
          <w:kern w:val="0"/>
        </w:rPr>
        <w:t xml:space="preserve">Marsh, D. O., Myers, G. J., Clarkson, T. W., Amin-Zaki, L., Tikriti, S., Majeed, M. A., &amp; Dabbagh, A. R. (1981). Dose-response relationship for human fetal exposure to methylmercury. </w:t>
      </w:r>
      <w:r w:rsidRPr="004B01E8">
        <w:rPr>
          <w:i/>
          <w:iCs/>
          <w:noProof/>
          <w:kern w:val="0"/>
        </w:rPr>
        <w:t>Clinical Toxicology</w:t>
      </w:r>
      <w:r w:rsidRPr="004B01E8">
        <w:rPr>
          <w:noProof/>
          <w:kern w:val="0"/>
        </w:rPr>
        <w:t xml:space="preserve">, </w:t>
      </w:r>
      <w:r w:rsidRPr="004B01E8">
        <w:rPr>
          <w:i/>
          <w:iCs/>
          <w:noProof/>
          <w:kern w:val="0"/>
        </w:rPr>
        <w:t>18</w:t>
      </w:r>
      <w:r w:rsidRPr="004B01E8">
        <w:rPr>
          <w:noProof/>
          <w:kern w:val="0"/>
        </w:rPr>
        <w:t>(11), 1311–1318. https://doi.org/10.3109/00099308109035071</w:t>
      </w:r>
    </w:p>
    <w:p w14:paraId="0A9607C4" w14:textId="77777777" w:rsidR="004B01E8" w:rsidRPr="004B01E8" w:rsidRDefault="004B01E8" w:rsidP="004B01E8">
      <w:pPr>
        <w:widowControl w:val="0"/>
        <w:autoSpaceDE w:val="0"/>
        <w:autoSpaceDN w:val="0"/>
        <w:adjustRightInd w:val="0"/>
        <w:ind w:left="480" w:hanging="480"/>
        <w:rPr>
          <w:noProof/>
          <w:kern w:val="0"/>
        </w:rPr>
      </w:pPr>
      <w:r w:rsidRPr="004B01E8">
        <w:rPr>
          <w:noProof/>
          <w:kern w:val="0"/>
        </w:rPr>
        <w:t xml:space="preserve">NAS. (1991). </w:t>
      </w:r>
      <w:r w:rsidRPr="004B01E8">
        <w:rPr>
          <w:i/>
          <w:iCs/>
          <w:noProof/>
          <w:kern w:val="0"/>
        </w:rPr>
        <w:t xml:space="preserve">Methylmercury (p196-219). Chapter 6. Critique of Risk Assessments Used in Formulating Contaminant Guidelines/Tolerances for Specific Chemicals and Suggestions for Improvement. In: Seafood Safety. Committee on Evaluation of the Safety of Fishery Products. </w:t>
      </w:r>
      <w:r w:rsidRPr="004B01E8">
        <w:rPr>
          <w:noProof/>
          <w:kern w:val="0"/>
        </w:rPr>
        <w:t>. The National Academies Press. https://doi.org/10.17226/1612</w:t>
      </w:r>
    </w:p>
    <w:p w14:paraId="38B4A70C" w14:textId="77777777" w:rsidR="004B01E8" w:rsidRPr="004B01E8" w:rsidRDefault="004B01E8" w:rsidP="004B01E8">
      <w:pPr>
        <w:widowControl w:val="0"/>
        <w:autoSpaceDE w:val="0"/>
        <w:autoSpaceDN w:val="0"/>
        <w:adjustRightInd w:val="0"/>
        <w:ind w:left="480" w:hanging="480"/>
        <w:rPr>
          <w:noProof/>
          <w:kern w:val="0"/>
        </w:rPr>
      </w:pPr>
      <w:r w:rsidRPr="004B01E8">
        <w:rPr>
          <w:noProof/>
          <w:kern w:val="0"/>
        </w:rPr>
        <w:t xml:space="preserve">US EPA. (n.d.). </w:t>
      </w:r>
      <w:r w:rsidRPr="004B01E8">
        <w:rPr>
          <w:i/>
          <w:iCs/>
          <w:noProof/>
          <w:kern w:val="0"/>
        </w:rPr>
        <w:t>Benchmark Dose Modeling Software (BMDS Online)</w:t>
      </w:r>
      <w:r w:rsidRPr="004B01E8">
        <w:rPr>
          <w:noProof/>
          <w:kern w:val="0"/>
        </w:rPr>
        <w:t>. https://bmdsonline.epa.gov/</w:t>
      </w:r>
    </w:p>
    <w:p w14:paraId="05793DB9" w14:textId="77777777" w:rsidR="004B01E8" w:rsidRPr="004B01E8" w:rsidRDefault="004B01E8" w:rsidP="004B01E8">
      <w:pPr>
        <w:widowControl w:val="0"/>
        <w:autoSpaceDE w:val="0"/>
        <w:autoSpaceDN w:val="0"/>
        <w:adjustRightInd w:val="0"/>
        <w:ind w:left="480" w:hanging="480"/>
        <w:rPr>
          <w:noProof/>
          <w:kern w:val="0"/>
        </w:rPr>
      </w:pPr>
      <w:r w:rsidRPr="004B01E8">
        <w:rPr>
          <w:noProof/>
          <w:kern w:val="0"/>
        </w:rPr>
        <w:t xml:space="preserve">US EPA. (1997). Volume V: Health Effects of Mercury and Mercury Compounds. Mercury Study Report to Congress. December 1997 (EPA-452/R-97-003) Office of Air Quality Planning and Standards, Office of Research and Development, U.S. Environmental Protection Agency. In </w:t>
      </w:r>
      <w:r w:rsidRPr="004B01E8">
        <w:rPr>
          <w:i/>
          <w:iCs/>
          <w:noProof/>
          <w:kern w:val="0"/>
        </w:rPr>
        <w:t>Mercury Study Report to Congress</w:t>
      </w:r>
      <w:r w:rsidRPr="004B01E8">
        <w:rPr>
          <w:noProof/>
          <w:kern w:val="0"/>
        </w:rPr>
        <w:t>. https://www.epa.gov/mercury/mercury-study-report-congress</w:t>
      </w:r>
    </w:p>
    <w:p w14:paraId="174184D4" w14:textId="77777777" w:rsidR="004B01E8" w:rsidRPr="004B01E8" w:rsidRDefault="004B01E8" w:rsidP="004B01E8">
      <w:pPr>
        <w:widowControl w:val="0"/>
        <w:autoSpaceDE w:val="0"/>
        <w:autoSpaceDN w:val="0"/>
        <w:adjustRightInd w:val="0"/>
        <w:ind w:left="480" w:hanging="480"/>
        <w:rPr>
          <w:noProof/>
        </w:rPr>
      </w:pPr>
      <w:r w:rsidRPr="004B01E8">
        <w:rPr>
          <w:noProof/>
          <w:kern w:val="0"/>
        </w:rPr>
        <w:t xml:space="preserve">US EPA. (2001). </w:t>
      </w:r>
      <w:r w:rsidRPr="004B01E8">
        <w:rPr>
          <w:i/>
          <w:iCs/>
          <w:noProof/>
          <w:kern w:val="0"/>
        </w:rPr>
        <w:t>Water Quality Criterion for the Protection of Human Health: Methylmercury. Final. (January 2001, EPA 823-R-01-001). Office of Science and Technology Office of Water U.S. Environmental Protection Agency Washington, DC 20460</w:t>
      </w:r>
      <w:r w:rsidRPr="004B01E8">
        <w:rPr>
          <w:noProof/>
          <w:kern w:val="0"/>
        </w:rPr>
        <w:t>. https://doi.org/https://www.epa.gov/sites/default/files/2020-01/documents/methylmercury-criterion-2001.pdf</w:t>
      </w:r>
    </w:p>
    <w:p w14:paraId="4B6DD3FF" w14:textId="7CB30E34" w:rsidR="00C55F37" w:rsidRDefault="00FD15E4">
      <w:r>
        <w:fldChar w:fldCharType="end"/>
      </w:r>
      <w:r w:rsidR="00C30A65">
        <w:br w:type="page"/>
      </w:r>
      <w:r w:rsidR="00C30A65" w:rsidRPr="00847903">
        <w:rPr>
          <w:b/>
          <w:bCs w:val="0"/>
        </w:rPr>
        <w:lastRenderedPageBreak/>
        <w:t xml:space="preserve">Appendix </w:t>
      </w:r>
      <w:r w:rsidR="00EE3C66">
        <w:rPr>
          <w:b/>
          <w:bCs w:val="0"/>
        </w:rPr>
        <w:t>S6</w:t>
      </w:r>
      <w:r w:rsidR="00847903" w:rsidRPr="00847903">
        <w:rPr>
          <w:b/>
          <w:bCs w:val="0"/>
        </w:rPr>
        <w:t>A.A</w:t>
      </w:r>
      <w:r w:rsidR="008E1BB5">
        <w:rPr>
          <w:b/>
          <w:bCs w:val="0"/>
        </w:rPr>
        <w:t xml:space="preserve"> US EPA Bayesian Model Average BMDS Output for Abnormal Neurological Score </w:t>
      </w:r>
      <w:r w:rsidR="008E1BB5">
        <w:rPr>
          <w:rFonts w:ascii="Symbol" w:eastAsia="Symbol" w:hAnsi="Symbol" w:cs="Symbol"/>
          <w:b/>
          <w:bCs w:val="0"/>
        </w:rPr>
        <w:t>³</w:t>
      </w:r>
      <w:r w:rsidR="008E1BB5">
        <w:rPr>
          <w:b/>
          <w:bCs w:val="0"/>
        </w:rPr>
        <w:t>4</w:t>
      </w:r>
    </w:p>
    <w:p w14:paraId="6E4554D1" w14:textId="77777777" w:rsidR="00C55F37" w:rsidRDefault="00C55F37"/>
    <w:p w14:paraId="4173FF41" w14:textId="77777777" w:rsidR="00334870" w:rsidRDefault="00334870" w:rsidP="00334870">
      <w:r>
        <w:rPr>
          <w:b/>
        </w:rPr>
        <w:t xml:space="preserve">Report Generated: </w:t>
      </w:r>
      <w:r>
        <w:t>2025-Mar-24 01:03 UTC</w:t>
      </w:r>
    </w:p>
    <w:p w14:paraId="16103A6F" w14:textId="77777777" w:rsidR="00334870" w:rsidRDefault="00334870" w:rsidP="00334870">
      <w:r>
        <w:rPr>
          <w:b/>
        </w:rPr>
        <w:t xml:space="preserve">BMDS Online Version: </w:t>
      </w:r>
      <w:r>
        <w:t>24.1 (pybmds 24.1; bmdscore 24.1)</w:t>
      </w:r>
    </w:p>
    <w:p w14:paraId="4AD1D62D" w14:textId="77777777" w:rsidR="00DE1399" w:rsidRDefault="00DE1399"/>
    <w:p w14:paraId="415C0110" w14:textId="77777777" w:rsidR="00DE1399" w:rsidRPr="0028164D" w:rsidRDefault="00DE1399" w:rsidP="00385DE9">
      <w:pPr>
        <w:rPr>
          <w:b/>
          <w:bCs w:val="0"/>
          <w:sz w:val="24"/>
          <w:szCs w:val="24"/>
        </w:rPr>
      </w:pPr>
      <w:r w:rsidRPr="0028164D">
        <w:rPr>
          <w:b/>
          <w:bCs w:val="0"/>
          <w:sz w:val="24"/>
          <w:szCs w:val="24"/>
        </w:rPr>
        <w:t>Session for outcome: abnormal score &gt;=4</w:t>
      </w:r>
    </w:p>
    <w:p w14:paraId="01A197DC" w14:textId="77777777" w:rsidR="00DE1399" w:rsidRPr="0028164D" w:rsidRDefault="00DE1399" w:rsidP="00385DE9">
      <w:pPr>
        <w:pStyle w:val="bmdsTblHeader"/>
        <w:rPr>
          <w:sz w:val="24"/>
        </w:rPr>
      </w:pPr>
      <w:r w:rsidRPr="0028164D">
        <w:rPr>
          <w:sz w:val="24"/>
        </w:rPr>
        <w:t>Dataset</w:t>
      </w:r>
    </w:p>
    <w:p w14:paraId="2F4B8C9E" w14:textId="77777777" w:rsidR="00DE1399" w:rsidRDefault="00DE1399" w:rsidP="00DE1399">
      <w:r>
        <w:rPr>
          <w:b/>
        </w:rPr>
        <w:t xml:space="preserve">Name: </w:t>
      </w:r>
      <w:r>
        <w:t>outcome: abnormal score &gt;=4</w:t>
      </w:r>
    </w:p>
    <w:tbl>
      <w:tblPr>
        <w:tblStyle w:val="bmdsTbl"/>
        <w:tblW w:w="0" w:type="auto"/>
        <w:tblLook w:val="04A0" w:firstRow="1" w:lastRow="0" w:firstColumn="1" w:lastColumn="0" w:noHBand="0" w:noVBand="1"/>
      </w:tblPr>
      <w:tblGrid>
        <w:gridCol w:w="3120"/>
        <w:gridCol w:w="3120"/>
        <w:gridCol w:w="3120"/>
      </w:tblGrid>
      <w:tr w:rsidR="00DE1399" w14:paraId="752E7229" w14:textId="77777777" w:rsidTr="000C69E9">
        <w:trPr>
          <w:cnfStyle w:val="100000000000" w:firstRow="1" w:lastRow="0" w:firstColumn="0" w:lastColumn="0" w:oddVBand="0" w:evenVBand="0" w:oddHBand="0" w:evenHBand="0" w:firstRowFirstColumn="0" w:firstRowLastColumn="0" w:lastRowFirstColumn="0" w:lastRowLastColumn="0"/>
        </w:trPr>
        <w:tc>
          <w:tcPr>
            <w:tcW w:w="3120" w:type="dxa"/>
          </w:tcPr>
          <w:p w14:paraId="005E5DFF" w14:textId="77777777" w:rsidR="00DE1399" w:rsidRDefault="00DE1399" w:rsidP="000C69E9">
            <w:pPr>
              <w:pStyle w:val="bmdsTblHeader"/>
            </w:pPr>
            <w:r>
              <w:t>Dose (ug/g hair THg)</w:t>
            </w:r>
          </w:p>
        </w:tc>
        <w:tc>
          <w:tcPr>
            <w:tcW w:w="3120" w:type="dxa"/>
          </w:tcPr>
          <w:p w14:paraId="3F48C163" w14:textId="77777777" w:rsidR="00DE1399" w:rsidRDefault="00DE1399" w:rsidP="000C69E9">
            <w:pPr>
              <w:pStyle w:val="bmdsTblHeader"/>
            </w:pPr>
            <w:r>
              <w:t>N</w:t>
            </w:r>
          </w:p>
        </w:tc>
        <w:tc>
          <w:tcPr>
            <w:tcW w:w="3120" w:type="dxa"/>
          </w:tcPr>
          <w:p w14:paraId="652FC892" w14:textId="77777777" w:rsidR="00DE1399" w:rsidRDefault="00DE1399" w:rsidP="000C69E9">
            <w:pPr>
              <w:pStyle w:val="bmdsTblHeader"/>
            </w:pPr>
            <w:r>
              <w:t>Incidence</w:t>
            </w:r>
          </w:p>
        </w:tc>
      </w:tr>
      <w:tr w:rsidR="00DE1399" w14:paraId="7E540271" w14:textId="77777777" w:rsidTr="000C69E9">
        <w:tc>
          <w:tcPr>
            <w:tcW w:w="3120" w:type="dxa"/>
          </w:tcPr>
          <w:p w14:paraId="11DE8908" w14:textId="77777777" w:rsidR="00DE1399" w:rsidRDefault="00DE1399" w:rsidP="000C69E9">
            <w:pPr>
              <w:pStyle w:val="bmdsTblBody"/>
            </w:pPr>
            <w:r>
              <w:t>1.37</w:t>
            </w:r>
          </w:p>
        </w:tc>
        <w:tc>
          <w:tcPr>
            <w:tcW w:w="3120" w:type="dxa"/>
          </w:tcPr>
          <w:p w14:paraId="213BAE62" w14:textId="77777777" w:rsidR="00DE1399" w:rsidRDefault="00DE1399" w:rsidP="000C69E9">
            <w:pPr>
              <w:pStyle w:val="bmdsTblBody"/>
            </w:pPr>
            <w:r>
              <w:t>27</w:t>
            </w:r>
          </w:p>
        </w:tc>
        <w:tc>
          <w:tcPr>
            <w:tcW w:w="3120" w:type="dxa"/>
          </w:tcPr>
          <w:p w14:paraId="099D9B1B" w14:textId="77777777" w:rsidR="00DE1399" w:rsidRDefault="00DE1399" w:rsidP="000C69E9">
            <w:pPr>
              <w:pStyle w:val="bmdsTblBody"/>
            </w:pPr>
            <w:r>
              <w:t>3</w:t>
            </w:r>
          </w:p>
        </w:tc>
      </w:tr>
      <w:tr w:rsidR="00DE1399" w14:paraId="43114ADD" w14:textId="77777777" w:rsidTr="000C69E9">
        <w:tc>
          <w:tcPr>
            <w:tcW w:w="3120" w:type="dxa"/>
          </w:tcPr>
          <w:p w14:paraId="77EEAC9F" w14:textId="77777777" w:rsidR="00DE1399" w:rsidRDefault="00DE1399" w:rsidP="000C69E9">
            <w:pPr>
              <w:pStyle w:val="bmdsTblBody"/>
            </w:pPr>
            <w:r>
              <w:t>10</w:t>
            </w:r>
          </w:p>
        </w:tc>
        <w:tc>
          <w:tcPr>
            <w:tcW w:w="3120" w:type="dxa"/>
          </w:tcPr>
          <w:p w14:paraId="1A614E78" w14:textId="77777777" w:rsidR="00DE1399" w:rsidRDefault="00DE1399" w:rsidP="000C69E9">
            <w:pPr>
              <w:pStyle w:val="bmdsTblBody"/>
            </w:pPr>
            <w:r>
              <w:t>14</w:t>
            </w:r>
          </w:p>
        </w:tc>
        <w:tc>
          <w:tcPr>
            <w:tcW w:w="3120" w:type="dxa"/>
          </w:tcPr>
          <w:p w14:paraId="220C0B11" w14:textId="77777777" w:rsidR="00DE1399" w:rsidRDefault="00DE1399" w:rsidP="000C69E9">
            <w:pPr>
              <w:pStyle w:val="bmdsTblBody"/>
            </w:pPr>
            <w:r>
              <w:t>1</w:t>
            </w:r>
          </w:p>
        </w:tc>
      </w:tr>
      <w:tr w:rsidR="00DE1399" w14:paraId="5A66C742" w14:textId="77777777" w:rsidTr="000C69E9">
        <w:tc>
          <w:tcPr>
            <w:tcW w:w="3120" w:type="dxa"/>
          </w:tcPr>
          <w:p w14:paraId="0971E943" w14:textId="77777777" w:rsidR="00DE1399" w:rsidRDefault="00DE1399" w:rsidP="000C69E9">
            <w:pPr>
              <w:pStyle w:val="bmdsTblBody"/>
            </w:pPr>
            <w:r>
              <w:t>52.53</w:t>
            </w:r>
          </w:p>
        </w:tc>
        <w:tc>
          <w:tcPr>
            <w:tcW w:w="3120" w:type="dxa"/>
          </w:tcPr>
          <w:p w14:paraId="720E752C" w14:textId="77777777" w:rsidR="00DE1399" w:rsidRDefault="00DE1399" w:rsidP="000C69E9">
            <w:pPr>
              <w:pStyle w:val="bmdsTblBody"/>
            </w:pPr>
            <w:r>
              <w:t>13</w:t>
            </w:r>
          </w:p>
        </w:tc>
        <w:tc>
          <w:tcPr>
            <w:tcW w:w="3120" w:type="dxa"/>
          </w:tcPr>
          <w:p w14:paraId="2FB1FDEA" w14:textId="77777777" w:rsidR="00DE1399" w:rsidRDefault="00DE1399" w:rsidP="000C69E9">
            <w:pPr>
              <w:pStyle w:val="bmdsTblBody"/>
            </w:pPr>
            <w:r>
              <w:t>4</w:t>
            </w:r>
          </w:p>
        </w:tc>
      </w:tr>
      <w:tr w:rsidR="00DE1399" w14:paraId="33963BDE" w14:textId="77777777" w:rsidTr="000C69E9">
        <w:tc>
          <w:tcPr>
            <w:tcW w:w="3120" w:type="dxa"/>
          </w:tcPr>
          <w:p w14:paraId="33F7133B" w14:textId="77777777" w:rsidR="00DE1399" w:rsidRDefault="00DE1399" w:rsidP="000C69E9">
            <w:pPr>
              <w:pStyle w:val="bmdsTblBody"/>
            </w:pPr>
            <w:r>
              <w:t>163.38</w:t>
            </w:r>
          </w:p>
        </w:tc>
        <w:tc>
          <w:tcPr>
            <w:tcW w:w="3120" w:type="dxa"/>
          </w:tcPr>
          <w:p w14:paraId="28A999A0" w14:textId="77777777" w:rsidR="00DE1399" w:rsidRDefault="00DE1399" w:rsidP="000C69E9">
            <w:pPr>
              <w:pStyle w:val="bmdsTblBody"/>
            </w:pPr>
            <w:r>
              <w:t>12</w:t>
            </w:r>
          </w:p>
        </w:tc>
        <w:tc>
          <w:tcPr>
            <w:tcW w:w="3120" w:type="dxa"/>
          </w:tcPr>
          <w:p w14:paraId="0D7744C7" w14:textId="77777777" w:rsidR="00DE1399" w:rsidRDefault="00DE1399" w:rsidP="000C69E9">
            <w:pPr>
              <w:pStyle w:val="bmdsTblBody"/>
            </w:pPr>
            <w:r>
              <w:t>3</w:t>
            </w:r>
          </w:p>
        </w:tc>
      </w:tr>
      <w:tr w:rsidR="00DE1399" w14:paraId="7BEF49DC" w14:textId="77777777" w:rsidTr="000C69E9">
        <w:tc>
          <w:tcPr>
            <w:tcW w:w="3120" w:type="dxa"/>
          </w:tcPr>
          <w:p w14:paraId="2583889E" w14:textId="77777777" w:rsidR="00DE1399" w:rsidRDefault="00DE1399" w:rsidP="000C69E9">
            <w:pPr>
              <w:pStyle w:val="bmdsTblBody"/>
            </w:pPr>
            <w:r>
              <w:t>436.6</w:t>
            </w:r>
          </w:p>
        </w:tc>
        <w:tc>
          <w:tcPr>
            <w:tcW w:w="3120" w:type="dxa"/>
          </w:tcPr>
          <w:p w14:paraId="421CEE7D" w14:textId="77777777" w:rsidR="00DE1399" w:rsidRDefault="00DE1399" w:rsidP="000C69E9">
            <w:pPr>
              <w:pStyle w:val="bmdsTblBody"/>
            </w:pPr>
            <w:r>
              <w:t>15</w:t>
            </w:r>
          </w:p>
        </w:tc>
        <w:tc>
          <w:tcPr>
            <w:tcW w:w="3120" w:type="dxa"/>
          </w:tcPr>
          <w:p w14:paraId="6AF60A1F" w14:textId="77777777" w:rsidR="00DE1399" w:rsidRDefault="00DE1399" w:rsidP="000C69E9">
            <w:pPr>
              <w:pStyle w:val="bmdsTblBody"/>
            </w:pPr>
            <w:r>
              <w:t>9</w:t>
            </w:r>
          </w:p>
        </w:tc>
      </w:tr>
    </w:tbl>
    <w:p w14:paraId="25F16DD7" w14:textId="77777777" w:rsidR="00DE1399" w:rsidRPr="0028164D" w:rsidRDefault="00DE1399" w:rsidP="00385DE9">
      <w:pPr>
        <w:pStyle w:val="bmdsTblHeader"/>
        <w:rPr>
          <w:sz w:val="24"/>
        </w:rPr>
      </w:pPr>
      <w:r w:rsidRPr="0028164D">
        <w:rPr>
          <w:sz w:val="24"/>
        </w:rPr>
        <w:t>Settings</w:t>
      </w:r>
    </w:p>
    <w:tbl>
      <w:tblPr>
        <w:tblStyle w:val="bmdsTbl"/>
        <w:tblW w:w="0" w:type="auto"/>
        <w:tblLook w:val="04A0" w:firstRow="1" w:lastRow="0" w:firstColumn="1" w:lastColumn="0" w:noHBand="0" w:noVBand="1"/>
      </w:tblPr>
      <w:tblGrid>
        <w:gridCol w:w="4680"/>
        <w:gridCol w:w="4680"/>
      </w:tblGrid>
      <w:tr w:rsidR="00DE1399" w14:paraId="2C7C2DC1" w14:textId="77777777" w:rsidTr="000C69E9">
        <w:trPr>
          <w:cnfStyle w:val="100000000000" w:firstRow="1" w:lastRow="0" w:firstColumn="0" w:lastColumn="0" w:oddVBand="0" w:evenVBand="0" w:oddHBand="0" w:evenHBand="0" w:firstRowFirstColumn="0" w:firstRowLastColumn="0" w:lastRowFirstColumn="0" w:lastRowLastColumn="0"/>
        </w:trPr>
        <w:tc>
          <w:tcPr>
            <w:tcW w:w="4680" w:type="dxa"/>
          </w:tcPr>
          <w:p w14:paraId="3A0FA0C1" w14:textId="77777777" w:rsidR="00DE1399" w:rsidRDefault="00DE1399" w:rsidP="000C69E9">
            <w:pPr>
              <w:pStyle w:val="bmdsTblHeader"/>
            </w:pPr>
            <w:r>
              <w:t>Setting</w:t>
            </w:r>
          </w:p>
        </w:tc>
        <w:tc>
          <w:tcPr>
            <w:tcW w:w="4680" w:type="dxa"/>
          </w:tcPr>
          <w:p w14:paraId="0496E92E" w14:textId="77777777" w:rsidR="00DE1399" w:rsidRDefault="00DE1399" w:rsidP="000C69E9">
            <w:pPr>
              <w:pStyle w:val="bmdsTblHeader"/>
            </w:pPr>
            <w:r>
              <w:t>Value</w:t>
            </w:r>
          </w:p>
        </w:tc>
      </w:tr>
      <w:tr w:rsidR="00DE1399" w14:paraId="4B8F63C4" w14:textId="77777777" w:rsidTr="000C69E9">
        <w:tc>
          <w:tcPr>
            <w:tcW w:w="4680" w:type="dxa"/>
          </w:tcPr>
          <w:p w14:paraId="32F406C0" w14:textId="77777777" w:rsidR="00DE1399" w:rsidRDefault="00DE1399" w:rsidP="000C69E9">
            <w:pPr>
              <w:pStyle w:val="bmdsTblHeader"/>
            </w:pPr>
            <w:r>
              <w:t>BMR</w:t>
            </w:r>
          </w:p>
        </w:tc>
        <w:tc>
          <w:tcPr>
            <w:tcW w:w="4680" w:type="dxa"/>
          </w:tcPr>
          <w:p w14:paraId="56B3D215" w14:textId="77777777" w:rsidR="00DE1399" w:rsidRDefault="00DE1399" w:rsidP="000C69E9">
            <w:pPr>
              <w:pStyle w:val="bmdsTblBody"/>
            </w:pPr>
            <w:r>
              <w:t>5% Extra Risk</w:t>
            </w:r>
          </w:p>
        </w:tc>
      </w:tr>
      <w:tr w:rsidR="00DE1399" w14:paraId="74E9621D" w14:textId="77777777" w:rsidTr="000C69E9">
        <w:tc>
          <w:tcPr>
            <w:tcW w:w="4680" w:type="dxa"/>
          </w:tcPr>
          <w:p w14:paraId="56F344DF" w14:textId="77777777" w:rsidR="00DE1399" w:rsidRDefault="00DE1399" w:rsidP="000C69E9">
            <w:pPr>
              <w:pStyle w:val="bmdsTblHeader"/>
            </w:pPr>
            <w:r>
              <w:t>Confidence Level (one sided)</w:t>
            </w:r>
          </w:p>
        </w:tc>
        <w:tc>
          <w:tcPr>
            <w:tcW w:w="4680" w:type="dxa"/>
          </w:tcPr>
          <w:p w14:paraId="4DA603B7" w14:textId="77777777" w:rsidR="00DE1399" w:rsidRDefault="00DE1399" w:rsidP="000C69E9">
            <w:pPr>
              <w:pStyle w:val="bmdsTblBody"/>
            </w:pPr>
            <w:r>
              <w:t>0.95</w:t>
            </w:r>
          </w:p>
        </w:tc>
      </w:tr>
      <w:tr w:rsidR="00DE1399" w14:paraId="0553EAED" w14:textId="77777777" w:rsidTr="000C69E9">
        <w:tc>
          <w:tcPr>
            <w:tcW w:w="4680" w:type="dxa"/>
          </w:tcPr>
          <w:p w14:paraId="3865DC2F" w14:textId="77777777" w:rsidR="00DE1399" w:rsidRDefault="00DE1399" w:rsidP="000C69E9">
            <w:pPr>
              <w:pStyle w:val="bmdsTblHeader"/>
            </w:pPr>
            <w:r>
              <w:t>Maximum Multistage Degree</w:t>
            </w:r>
          </w:p>
        </w:tc>
        <w:tc>
          <w:tcPr>
            <w:tcW w:w="4680" w:type="dxa"/>
          </w:tcPr>
          <w:p w14:paraId="36BCD569" w14:textId="77777777" w:rsidR="00DE1399" w:rsidRDefault="00DE1399" w:rsidP="000C69E9">
            <w:pPr>
              <w:pStyle w:val="bmdsTblBody"/>
            </w:pPr>
            <w:r>
              <w:t>2</w:t>
            </w:r>
          </w:p>
        </w:tc>
      </w:tr>
      <w:tr w:rsidR="00DE1399" w14:paraId="587B7DE0" w14:textId="77777777" w:rsidTr="000C69E9">
        <w:tc>
          <w:tcPr>
            <w:tcW w:w="4680" w:type="dxa"/>
          </w:tcPr>
          <w:p w14:paraId="7F682809" w14:textId="77777777" w:rsidR="00DE1399" w:rsidRDefault="00DE1399" w:rsidP="000C69E9">
            <w:pPr>
              <w:pStyle w:val="bmdsTblHeader"/>
            </w:pPr>
            <w:r>
              <w:t>Samples</w:t>
            </w:r>
          </w:p>
        </w:tc>
        <w:tc>
          <w:tcPr>
            <w:tcW w:w="4680" w:type="dxa"/>
          </w:tcPr>
          <w:p w14:paraId="59D4EC56" w14:textId="77777777" w:rsidR="00DE1399" w:rsidRDefault="00DE1399" w:rsidP="000C69E9">
            <w:pPr>
              <w:pStyle w:val="bmdsTblBody"/>
            </w:pPr>
            <w:r>
              <w:t>100</w:t>
            </w:r>
          </w:p>
        </w:tc>
      </w:tr>
      <w:tr w:rsidR="00DE1399" w14:paraId="22920DFD" w14:textId="77777777" w:rsidTr="000C69E9">
        <w:tc>
          <w:tcPr>
            <w:tcW w:w="4680" w:type="dxa"/>
          </w:tcPr>
          <w:p w14:paraId="1498E407" w14:textId="77777777" w:rsidR="00DE1399" w:rsidRDefault="00DE1399" w:rsidP="000C69E9">
            <w:pPr>
              <w:pStyle w:val="bmdsTblHeader"/>
            </w:pPr>
            <w:r>
              <w:t>Burn-in</w:t>
            </w:r>
          </w:p>
        </w:tc>
        <w:tc>
          <w:tcPr>
            <w:tcW w:w="4680" w:type="dxa"/>
          </w:tcPr>
          <w:p w14:paraId="4870985D" w14:textId="77777777" w:rsidR="00DE1399" w:rsidRDefault="00DE1399" w:rsidP="000C69E9">
            <w:pPr>
              <w:pStyle w:val="bmdsTblBody"/>
            </w:pPr>
            <w:r>
              <w:t>20</w:t>
            </w:r>
          </w:p>
        </w:tc>
      </w:tr>
    </w:tbl>
    <w:p w14:paraId="582F7375" w14:textId="77777777" w:rsidR="00DE1399" w:rsidRDefault="00DE1399" w:rsidP="00385DE9">
      <w:pPr>
        <w:pStyle w:val="Heading2"/>
        <w:numPr>
          <w:ilvl w:val="0"/>
          <w:numId w:val="0"/>
        </w:numPr>
        <w:ind w:left="576" w:hanging="576"/>
      </w:pPr>
    </w:p>
    <w:p w14:paraId="0B5BF52F" w14:textId="77777777" w:rsidR="00DE1399" w:rsidRPr="0028164D" w:rsidRDefault="00DE1399" w:rsidP="0028164D">
      <w:pPr>
        <w:pStyle w:val="bmdsTblHeader"/>
        <w:rPr>
          <w:sz w:val="24"/>
        </w:rPr>
      </w:pPr>
      <w:r w:rsidRPr="0028164D">
        <w:rPr>
          <w:sz w:val="24"/>
        </w:rPr>
        <w:t>Bayesian Summary</w:t>
      </w:r>
    </w:p>
    <w:p w14:paraId="61D9D235" w14:textId="77777777" w:rsidR="00DE1399" w:rsidRDefault="00DE1399" w:rsidP="00DE1399"/>
    <w:tbl>
      <w:tblPr>
        <w:tblStyle w:val="bmdsTbl"/>
        <w:tblW w:w="0" w:type="auto"/>
        <w:tblLook w:val="04A0" w:firstRow="1" w:lastRow="0" w:firstColumn="1" w:lastColumn="0" w:noHBand="0" w:noVBand="1"/>
      </w:tblPr>
      <w:tblGrid>
        <w:gridCol w:w="1197"/>
        <w:gridCol w:w="980"/>
        <w:gridCol w:w="980"/>
        <w:gridCol w:w="980"/>
        <w:gridCol w:w="980"/>
        <w:gridCol w:w="980"/>
        <w:gridCol w:w="1216"/>
        <w:gridCol w:w="1088"/>
        <w:gridCol w:w="1088"/>
      </w:tblGrid>
      <w:tr w:rsidR="00DE1399" w14:paraId="6215AD2A" w14:textId="77777777" w:rsidTr="000C69E9">
        <w:trPr>
          <w:cnfStyle w:val="100000000000" w:firstRow="1" w:lastRow="0" w:firstColumn="0" w:lastColumn="0" w:oddVBand="0" w:evenVBand="0" w:oddHBand="0" w:evenHBand="0" w:firstRowFirstColumn="0" w:firstRowLastColumn="0" w:lastRowFirstColumn="0" w:lastRowLastColumn="0"/>
        </w:trPr>
        <w:tc>
          <w:tcPr>
            <w:tcW w:w="1197" w:type="dxa"/>
          </w:tcPr>
          <w:p w14:paraId="7C6215B0" w14:textId="77777777" w:rsidR="00DE1399" w:rsidRDefault="00DE1399" w:rsidP="000C69E9">
            <w:pPr>
              <w:pStyle w:val="bmdsTblHeader"/>
            </w:pPr>
            <w:r>
              <w:t>Model</w:t>
            </w:r>
          </w:p>
        </w:tc>
        <w:tc>
          <w:tcPr>
            <w:tcW w:w="980" w:type="dxa"/>
          </w:tcPr>
          <w:p w14:paraId="59E70A5B" w14:textId="77777777" w:rsidR="00DE1399" w:rsidRDefault="00DE1399" w:rsidP="000C69E9">
            <w:pPr>
              <w:pStyle w:val="bmdsTblHeader"/>
            </w:pPr>
            <w:r>
              <w:t>Prior Weights</w:t>
            </w:r>
          </w:p>
        </w:tc>
        <w:tc>
          <w:tcPr>
            <w:tcW w:w="980" w:type="dxa"/>
          </w:tcPr>
          <w:p w14:paraId="0F8523FF" w14:textId="77777777" w:rsidR="00DE1399" w:rsidRDefault="00DE1399" w:rsidP="000C69E9">
            <w:pPr>
              <w:pStyle w:val="bmdsTblHeader"/>
            </w:pPr>
            <w:r>
              <w:t>Posterior Weights</w:t>
            </w:r>
          </w:p>
        </w:tc>
        <w:tc>
          <w:tcPr>
            <w:tcW w:w="980" w:type="dxa"/>
          </w:tcPr>
          <w:p w14:paraId="01C2A670" w14:textId="77777777" w:rsidR="00DE1399" w:rsidRDefault="00DE1399" w:rsidP="000C69E9">
            <w:pPr>
              <w:pStyle w:val="bmdsTblHeader"/>
            </w:pPr>
            <w:r>
              <w:t>BMDL</w:t>
            </w:r>
          </w:p>
        </w:tc>
        <w:tc>
          <w:tcPr>
            <w:tcW w:w="980" w:type="dxa"/>
          </w:tcPr>
          <w:p w14:paraId="2377BE07" w14:textId="77777777" w:rsidR="00DE1399" w:rsidRDefault="00DE1399" w:rsidP="000C69E9">
            <w:pPr>
              <w:pStyle w:val="bmdsTblHeader"/>
            </w:pPr>
            <w:r>
              <w:t>BMD</w:t>
            </w:r>
          </w:p>
        </w:tc>
        <w:tc>
          <w:tcPr>
            <w:tcW w:w="980" w:type="dxa"/>
          </w:tcPr>
          <w:p w14:paraId="43C1D3E2" w14:textId="77777777" w:rsidR="00DE1399" w:rsidRDefault="00DE1399" w:rsidP="000C69E9">
            <w:pPr>
              <w:pStyle w:val="bmdsTblHeader"/>
            </w:pPr>
            <w:r>
              <w:t>BMDU</w:t>
            </w:r>
          </w:p>
        </w:tc>
        <w:tc>
          <w:tcPr>
            <w:tcW w:w="1088" w:type="dxa"/>
          </w:tcPr>
          <w:p w14:paraId="7DEA5E90" w14:textId="77777777" w:rsidR="00DE1399" w:rsidRDefault="00DE1399" w:rsidP="000C69E9">
            <w:pPr>
              <w:pStyle w:val="bmdsTblHeader"/>
            </w:pPr>
            <w:r>
              <w:t>Unnormalized Log Posterior Probability</w:t>
            </w:r>
          </w:p>
        </w:tc>
        <w:tc>
          <w:tcPr>
            <w:tcW w:w="1088" w:type="dxa"/>
          </w:tcPr>
          <w:p w14:paraId="233AB5DF" w14:textId="77777777" w:rsidR="00DE1399" w:rsidRDefault="00DE1399" w:rsidP="000C69E9">
            <w:pPr>
              <w:pStyle w:val="bmdsTblHeader"/>
            </w:pPr>
            <w:r>
              <w:t>Scaled Residual near BMD</w:t>
            </w:r>
          </w:p>
        </w:tc>
        <w:tc>
          <w:tcPr>
            <w:tcW w:w="1088" w:type="dxa"/>
          </w:tcPr>
          <w:p w14:paraId="1E5FF3B8" w14:textId="77777777" w:rsidR="00DE1399" w:rsidRDefault="00DE1399" w:rsidP="000C69E9">
            <w:pPr>
              <w:pStyle w:val="bmdsTblHeader"/>
            </w:pPr>
            <w:r>
              <w:t>Scaled Residual at Control</w:t>
            </w:r>
          </w:p>
        </w:tc>
      </w:tr>
      <w:tr w:rsidR="00DE1399" w14:paraId="3DAD4064" w14:textId="77777777" w:rsidTr="000C69E9">
        <w:tc>
          <w:tcPr>
            <w:tcW w:w="1197" w:type="dxa"/>
          </w:tcPr>
          <w:p w14:paraId="74A0FD7F" w14:textId="77777777" w:rsidR="00DE1399" w:rsidRDefault="00DE1399" w:rsidP="000C69E9">
            <w:pPr>
              <w:pStyle w:val="bmdsTblBody"/>
            </w:pPr>
            <w:r>
              <w:t>Hill</w:t>
            </w:r>
          </w:p>
        </w:tc>
        <w:tc>
          <w:tcPr>
            <w:tcW w:w="980" w:type="dxa"/>
          </w:tcPr>
          <w:p w14:paraId="5F29D7C9" w14:textId="77777777" w:rsidR="00DE1399" w:rsidRDefault="00DE1399" w:rsidP="000C69E9">
            <w:pPr>
              <w:pStyle w:val="bmdsTblBody"/>
            </w:pPr>
            <w:r>
              <w:t>0.111</w:t>
            </w:r>
          </w:p>
        </w:tc>
        <w:tc>
          <w:tcPr>
            <w:tcW w:w="980" w:type="dxa"/>
          </w:tcPr>
          <w:p w14:paraId="63483487" w14:textId="77777777" w:rsidR="00DE1399" w:rsidRDefault="00DE1399" w:rsidP="000C69E9">
            <w:pPr>
              <w:pStyle w:val="bmdsTblBody"/>
            </w:pPr>
            <w:r>
              <w:t>0.05</w:t>
            </w:r>
          </w:p>
        </w:tc>
        <w:tc>
          <w:tcPr>
            <w:tcW w:w="980" w:type="dxa"/>
          </w:tcPr>
          <w:p w14:paraId="6413F835" w14:textId="77777777" w:rsidR="00DE1399" w:rsidRDefault="00DE1399" w:rsidP="000C69E9">
            <w:pPr>
              <w:pStyle w:val="bmdsTblBody"/>
            </w:pPr>
            <w:r>
              <w:t>5.377</w:t>
            </w:r>
          </w:p>
        </w:tc>
        <w:tc>
          <w:tcPr>
            <w:tcW w:w="980" w:type="dxa"/>
          </w:tcPr>
          <w:p w14:paraId="6D25E8EF" w14:textId="77777777" w:rsidR="00DE1399" w:rsidRDefault="00DE1399" w:rsidP="000C69E9">
            <w:pPr>
              <w:pStyle w:val="bmdsTblBody"/>
            </w:pPr>
            <w:r>
              <w:t>41.621</w:t>
            </w:r>
          </w:p>
        </w:tc>
        <w:tc>
          <w:tcPr>
            <w:tcW w:w="980" w:type="dxa"/>
          </w:tcPr>
          <w:p w14:paraId="6266174D" w14:textId="77777777" w:rsidR="00DE1399" w:rsidRDefault="00DE1399" w:rsidP="000C69E9">
            <w:pPr>
              <w:pStyle w:val="bmdsTblBody"/>
            </w:pPr>
            <w:r>
              <w:t>168.125</w:t>
            </w:r>
          </w:p>
        </w:tc>
        <w:tc>
          <w:tcPr>
            <w:tcW w:w="1088" w:type="dxa"/>
          </w:tcPr>
          <w:p w14:paraId="0198D632" w14:textId="77777777" w:rsidR="00DE1399" w:rsidRDefault="00DE1399" w:rsidP="000C69E9">
            <w:pPr>
              <w:pStyle w:val="bmdsTblBody"/>
            </w:pPr>
            <w:r>
              <w:t>-48.766</w:t>
            </w:r>
          </w:p>
        </w:tc>
        <w:tc>
          <w:tcPr>
            <w:tcW w:w="1088" w:type="dxa"/>
          </w:tcPr>
          <w:p w14:paraId="5F5DDAE2" w14:textId="77777777" w:rsidR="00DE1399" w:rsidRDefault="00DE1399" w:rsidP="000C69E9">
            <w:pPr>
              <w:pStyle w:val="bmdsTblBody"/>
            </w:pPr>
            <w:r>
              <w:t>-0.201</w:t>
            </w:r>
          </w:p>
        </w:tc>
        <w:tc>
          <w:tcPr>
            <w:tcW w:w="1088" w:type="dxa"/>
          </w:tcPr>
          <w:p w14:paraId="2EA2FC13" w14:textId="77777777" w:rsidR="00DE1399" w:rsidRDefault="00DE1399" w:rsidP="000C69E9">
            <w:pPr>
              <w:pStyle w:val="bmdsTblBody"/>
            </w:pPr>
            <w:r>
              <w:t>1.173</w:t>
            </w:r>
          </w:p>
        </w:tc>
      </w:tr>
      <w:tr w:rsidR="00DE1399" w14:paraId="0C7A06E8" w14:textId="77777777" w:rsidTr="000C69E9">
        <w:tc>
          <w:tcPr>
            <w:tcW w:w="1197" w:type="dxa"/>
          </w:tcPr>
          <w:p w14:paraId="3A8C0DDA" w14:textId="77777777" w:rsidR="00DE1399" w:rsidRDefault="00DE1399" w:rsidP="000C69E9">
            <w:pPr>
              <w:pStyle w:val="bmdsTblBody"/>
            </w:pPr>
            <w:r>
              <w:t>Gamma</w:t>
            </w:r>
          </w:p>
        </w:tc>
        <w:tc>
          <w:tcPr>
            <w:tcW w:w="980" w:type="dxa"/>
          </w:tcPr>
          <w:p w14:paraId="29FC2FA6" w14:textId="77777777" w:rsidR="00DE1399" w:rsidRDefault="00DE1399" w:rsidP="000C69E9">
            <w:pPr>
              <w:pStyle w:val="bmdsTblBody"/>
            </w:pPr>
            <w:r>
              <w:t>0.111</w:t>
            </w:r>
          </w:p>
        </w:tc>
        <w:tc>
          <w:tcPr>
            <w:tcW w:w="980" w:type="dxa"/>
          </w:tcPr>
          <w:p w14:paraId="4ABCC9C6" w14:textId="77777777" w:rsidR="00DE1399" w:rsidRDefault="00DE1399" w:rsidP="000C69E9">
            <w:pPr>
              <w:pStyle w:val="bmdsTblBody"/>
            </w:pPr>
            <w:r>
              <w:t>0.056</w:t>
            </w:r>
          </w:p>
        </w:tc>
        <w:tc>
          <w:tcPr>
            <w:tcW w:w="980" w:type="dxa"/>
          </w:tcPr>
          <w:p w14:paraId="47957BEF" w14:textId="77777777" w:rsidR="00DE1399" w:rsidRDefault="00DE1399" w:rsidP="000C69E9">
            <w:pPr>
              <w:pStyle w:val="bmdsTblBody"/>
            </w:pPr>
            <w:r>
              <w:t>11.882</w:t>
            </w:r>
          </w:p>
        </w:tc>
        <w:tc>
          <w:tcPr>
            <w:tcW w:w="980" w:type="dxa"/>
          </w:tcPr>
          <w:p w14:paraId="4CC052D8" w14:textId="77777777" w:rsidR="00DE1399" w:rsidRDefault="00DE1399" w:rsidP="000C69E9">
            <w:pPr>
              <w:pStyle w:val="bmdsTblBody"/>
            </w:pPr>
            <w:r>
              <w:t>50.27</w:t>
            </w:r>
          </w:p>
        </w:tc>
        <w:tc>
          <w:tcPr>
            <w:tcW w:w="980" w:type="dxa"/>
          </w:tcPr>
          <w:p w14:paraId="09370C34" w14:textId="77777777" w:rsidR="00DE1399" w:rsidRDefault="00DE1399" w:rsidP="000C69E9">
            <w:pPr>
              <w:pStyle w:val="bmdsTblBody"/>
            </w:pPr>
            <w:r>
              <w:t>139.793</w:t>
            </w:r>
          </w:p>
        </w:tc>
        <w:tc>
          <w:tcPr>
            <w:tcW w:w="1088" w:type="dxa"/>
          </w:tcPr>
          <w:p w14:paraId="1FDBD14D" w14:textId="77777777" w:rsidR="00DE1399" w:rsidRDefault="00DE1399" w:rsidP="000C69E9">
            <w:pPr>
              <w:pStyle w:val="bmdsTblBody"/>
            </w:pPr>
            <w:r>
              <w:t>-36.618</w:t>
            </w:r>
          </w:p>
        </w:tc>
        <w:tc>
          <w:tcPr>
            <w:tcW w:w="1088" w:type="dxa"/>
          </w:tcPr>
          <w:p w14:paraId="4EF94978" w14:textId="77777777" w:rsidR="00DE1399" w:rsidRDefault="00DE1399" w:rsidP="000C69E9">
            <w:pPr>
              <w:pStyle w:val="bmdsTblBody"/>
            </w:pPr>
            <w:r>
              <w:t>-0.368</w:t>
            </w:r>
          </w:p>
        </w:tc>
        <w:tc>
          <w:tcPr>
            <w:tcW w:w="1088" w:type="dxa"/>
          </w:tcPr>
          <w:p w14:paraId="4C8459E8" w14:textId="77777777" w:rsidR="00DE1399" w:rsidRDefault="00DE1399" w:rsidP="000C69E9">
            <w:pPr>
              <w:pStyle w:val="bmdsTblBody"/>
            </w:pPr>
            <w:r>
              <w:t>1.194</w:t>
            </w:r>
          </w:p>
        </w:tc>
      </w:tr>
      <w:tr w:rsidR="00DE1399" w14:paraId="2CCD190C" w14:textId="77777777" w:rsidTr="000C69E9">
        <w:tc>
          <w:tcPr>
            <w:tcW w:w="1197" w:type="dxa"/>
          </w:tcPr>
          <w:p w14:paraId="40679BCB" w14:textId="77777777" w:rsidR="00DE1399" w:rsidRDefault="00DE1399" w:rsidP="000C69E9">
            <w:pPr>
              <w:pStyle w:val="bmdsTblBody"/>
            </w:pPr>
            <w:r>
              <w:t>Logistic</w:t>
            </w:r>
          </w:p>
        </w:tc>
        <w:tc>
          <w:tcPr>
            <w:tcW w:w="980" w:type="dxa"/>
          </w:tcPr>
          <w:p w14:paraId="61D08659" w14:textId="77777777" w:rsidR="00DE1399" w:rsidRDefault="00DE1399" w:rsidP="000C69E9">
            <w:pPr>
              <w:pStyle w:val="bmdsTblBody"/>
            </w:pPr>
            <w:r>
              <w:t>0.111</w:t>
            </w:r>
          </w:p>
        </w:tc>
        <w:tc>
          <w:tcPr>
            <w:tcW w:w="980" w:type="dxa"/>
          </w:tcPr>
          <w:p w14:paraId="17BEE8BD" w14:textId="77777777" w:rsidR="00DE1399" w:rsidRDefault="00DE1399" w:rsidP="000C69E9">
            <w:pPr>
              <w:pStyle w:val="bmdsTblBody"/>
            </w:pPr>
            <w:r>
              <w:t>0.092</w:t>
            </w:r>
          </w:p>
        </w:tc>
        <w:tc>
          <w:tcPr>
            <w:tcW w:w="980" w:type="dxa"/>
          </w:tcPr>
          <w:p w14:paraId="11F35D6D" w14:textId="77777777" w:rsidR="00DE1399" w:rsidRDefault="00DE1399" w:rsidP="000C69E9">
            <w:pPr>
              <w:pStyle w:val="bmdsTblBody"/>
            </w:pPr>
            <w:r>
              <w:t>44.482</w:t>
            </w:r>
          </w:p>
        </w:tc>
        <w:tc>
          <w:tcPr>
            <w:tcW w:w="980" w:type="dxa"/>
          </w:tcPr>
          <w:p w14:paraId="4053CC01" w14:textId="77777777" w:rsidR="00DE1399" w:rsidRDefault="00DE1399" w:rsidP="000C69E9">
            <w:pPr>
              <w:pStyle w:val="bmdsTblBody"/>
            </w:pPr>
            <w:r>
              <w:t>65.686</w:t>
            </w:r>
          </w:p>
        </w:tc>
        <w:tc>
          <w:tcPr>
            <w:tcW w:w="980" w:type="dxa"/>
          </w:tcPr>
          <w:p w14:paraId="69C61F0C" w14:textId="77777777" w:rsidR="00DE1399" w:rsidRDefault="00DE1399" w:rsidP="000C69E9">
            <w:pPr>
              <w:pStyle w:val="bmdsTblBody"/>
            </w:pPr>
            <w:r>
              <w:t>123.339</w:t>
            </w:r>
          </w:p>
        </w:tc>
        <w:tc>
          <w:tcPr>
            <w:tcW w:w="1088" w:type="dxa"/>
          </w:tcPr>
          <w:p w14:paraId="70A203A5" w14:textId="77777777" w:rsidR="00DE1399" w:rsidRDefault="00DE1399" w:rsidP="000C69E9">
            <w:pPr>
              <w:pStyle w:val="bmdsTblBody"/>
            </w:pPr>
            <w:r>
              <w:t>-37.605</w:t>
            </w:r>
          </w:p>
        </w:tc>
        <w:tc>
          <w:tcPr>
            <w:tcW w:w="1088" w:type="dxa"/>
          </w:tcPr>
          <w:p w14:paraId="1272CD8D" w14:textId="77777777" w:rsidR="00DE1399" w:rsidRDefault="00DE1399" w:rsidP="000C69E9">
            <w:pPr>
              <w:pStyle w:val="bmdsTblBody"/>
            </w:pPr>
            <w:r>
              <w:t>-0.589</w:t>
            </w:r>
          </w:p>
        </w:tc>
        <w:tc>
          <w:tcPr>
            <w:tcW w:w="1088" w:type="dxa"/>
          </w:tcPr>
          <w:p w14:paraId="59445065" w14:textId="77777777" w:rsidR="00DE1399" w:rsidRDefault="00DE1399" w:rsidP="000C69E9">
            <w:pPr>
              <w:pStyle w:val="bmdsTblBody"/>
            </w:pPr>
            <w:r>
              <w:t>1.148</w:t>
            </w:r>
          </w:p>
        </w:tc>
      </w:tr>
      <w:tr w:rsidR="00DE1399" w14:paraId="1AE196A5" w14:textId="77777777" w:rsidTr="000C69E9">
        <w:tc>
          <w:tcPr>
            <w:tcW w:w="1197" w:type="dxa"/>
          </w:tcPr>
          <w:p w14:paraId="5346997B" w14:textId="77777777" w:rsidR="00DE1399" w:rsidRDefault="00DE1399" w:rsidP="000C69E9">
            <w:pPr>
              <w:pStyle w:val="bmdsTblBody"/>
            </w:pPr>
            <w:r>
              <w:t>LogLogistic</w:t>
            </w:r>
          </w:p>
        </w:tc>
        <w:tc>
          <w:tcPr>
            <w:tcW w:w="980" w:type="dxa"/>
          </w:tcPr>
          <w:p w14:paraId="567ADF65" w14:textId="77777777" w:rsidR="00DE1399" w:rsidRDefault="00DE1399" w:rsidP="000C69E9">
            <w:pPr>
              <w:pStyle w:val="bmdsTblBody"/>
            </w:pPr>
            <w:r>
              <w:t>0.111</w:t>
            </w:r>
          </w:p>
        </w:tc>
        <w:tc>
          <w:tcPr>
            <w:tcW w:w="980" w:type="dxa"/>
          </w:tcPr>
          <w:p w14:paraId="42D90C1E" w14:textId="77777777" w:rsidR="00DE1399" w:rsidRDefault="00DE1399" w:rsidP="000C69E9">
            <w:pPr>
              <w:pStyle w:val="bmdsTblBody"/>
            </w:pPr>
            <w:r>
              <w:t>0.11</w:t>
            </w:r>
          </w:p>
        </w:tc>
        <w:tc>
          <w:tcPr>
            <w:tcW w:w="980" w:type="dxa"/>
          </w:tcPr>
          <w:p w14:paraId="1BB2C05B" w14:textId="77777777" w:rsidR="00DE1399" w:rsidRDefault="00DE1399" w:rsidP="000C69E9">
            <w:pPr>
              <w:pStyle w:val="bmdsTblBody"/>
            </w:pPr>
            <w:r>
              <w:t>6.891</w:t>
            </w:r>
          </w:p>
        </w:tc>
        <w:tc>
          <w:tcPr>
            <w:tcW w:w="980" w:type="dxa"/>
          </w:tcPr>
          <w:p w14:paraId="338A144A" w14:textId="77777777" w:rsidR="00DE1399" w:rsidRDefault="00DE1399" w:rsidP="000C69E9">
            <w:pPr>
              <w:pStyle w:val="bmdsTblBody"/>
            </w:pPr>
            <w:r>
              <w:t>47.976</w:t>
            </w:r>
          </w:p>
        </w:tc>
        <w:tc>
          <w:tcPr>
            <w:tcW w:w="980" w:type="dxa"/>
          </w:tcPr>
          <w:p w14:paraId="53391B52" w14:textId="77777777" w:rsidR="00DE1399" w:rsidRDefault="00DE1399" w:rsidP="000C69E9">
            <w:pPr>
              <w:pStyle w:val="bmdsTblBody"/>
            </w:pPr>
            <w:r>
              <w:t>170.254</w:t>
            </w:r>
          </w:p>
        </w:tc>
        <w:tc>
          <w:tcPr>
            <w:tcW w:w="1088" w:type="dxa"/>
          </w:tcPr>
          <w:p w14:paraId="50D9FAB8" w14:textId="77777777" w:rsidR="00DE1399" w:rsidRDefault="00DE1399" w:rsidP="000C69E9">
            <w:pPr>
              <w:pStyle w:val="bmdsTblBody"/>
            </w:pPr>
            <w:r>
              <w:t>-43.394</w:t>
            </w:r>
          </w:p>
        </w:tc>
        <w:tc>
          <w:tcPr>
            <w:tcW w:w="1088" w:type="dxa"/>
          </w:tcPr>
          <w:p w14:paraId="55744E31" w14:textId="77777777" w:rsidR="00DE1399" w:rsidRDefault="00DE1399" w:rsidP="000C69E9">
            <w:pPr>
              <w:pStyle w:val="bmdsTblBody"/>
            </w:pPr>
            <w:r>
              <w:t>-0.301</w:t>
            </w:r>
          </w:p>
        </w:tc>
        <w:tc>
          <w:tcPr>
            <w:tcW w:w="1088" w:type="dxa"/>
          </w:tcPr>
          <w:p w14:paraId="69E89679" w14:textId="77777777" w:rsidR="00DE1399" w:rsidRDefault="00DE1399" w:rsidP="000C69E9">
            <w:pPr>
              <w:pStyle w:val="bmdsTblBody"/>
            </w:pPr>
            <w:r>
              <w:t>1.208</w:t>
            </w:r>
          </w:p>
        </w:tc>
      </w:tr>
      <w:tr w:rsidR="00DE1399" w14:paraId="7797ED1F" w14:textId="77777777" w:rsidTr="000C69E9">
        <w:tc>
          <w:tcPr>
            <w:tcW w:w="1197" w:type="dxa"/>
          </w:tcPr>
          <w:p w14:paraId="5B5D06FD" w14:textId="77777777" w:rsidR="00DE1399" w:rsidRDefault="00DE1399" w:rsidP="000C69E9">
            <w:pPr>
              <w:pStyle w:val="bmdsTblBody"/>
            </w:pPr>
            <w:r>
              <w:t>LogProbit</w:t>
            </w:r>
          </w:p>
        </w:tc>
        <w:tc>
          <w:tcPr>
            <w:tcW w:w="980" w:type="dxa"/>
          </w:tcPr>
          <w:p w14:paraId="1AE209F4" w14:textId="77777777" w:rsidR="00DE1399" w:rsidRDefault="00DE1399" w:rsidP="000C69E9">
            <w:pPr>
              <w:pStyle w:val="bmdsTblBody"/>
            </w:pPr>
            <w:r>
              <w:t>0.111</w:t>
            </w:r>
          </w:p>
        </w:tc>
        <w:tc>
          <w:tcPr>
            <w:tcW w:w="980" w:type="dxa"/>
          </w:tcPr>
          <w:p w14:paraId="6CA49AA6" w14:textId="77777777" w:rsidR="00DE1399" w:rsidRDefault="00DE1399" w:rsidP="000C69E9">
            <w:pPr>
              <w:pStyle w:val="bmdsTblBody"/>
            </w:pPr>
            <w:r>
              <w:t>0.054</w:t>
            </w:r>
          </w:p>
        </w:tc>
        <w:tc>
          <w:tcPr>
            <w:tcW w:w="980" w:type="dxa"/>
          </w:tcPr>
          <w:p w14:paraId="01CDB750" w14:textId="77777777" w:rsidR="00DE1399" w:rsidRDefault="00DE1399" w:rsidP="000C69E9">
            <w:pPr>
              <w:pStyle w:val="bmdsTblBody"/>
            </w:pPr>
            <w:r>
              <w:t>23.477</w:t>
            </w:r>
          </w:p>
        </w:tc>
        <w:tc>
          <w:tcPr>
            <w:tcW w:w="980" w:type="dxa"/>
          </w:tcPr>
          <w:p w14:paraId="4BFE25D8" w14:textId="77777777" w:rsidR="00DE1399" w:rsidRDefault="00DE1399" w:rsidP="000C69E9">
            <w:pPr>
              <w:pStyle w:val="bmdsTblBody"/>
            </w:pPr>
            <w:r>
              <w:t>129.077</w:t>
            </w:r>
          </w:p>
        </w:tc>
        <w:tc>
          <w:tcPr>
            <w:tcW w:w="980" w:type="dxa"/>
          </w:tcPr>
          <w:p w14:paraId="6FFEA8A2" w14:textId="77777777" w:rsidR="00DE1399" w:rsidRDefault="00DE1399" w:rsidP="000C69E9">
            <w:pPr>
              <w:pStyle w:val="bmdsTblBody"/>
            </w:pPr>
            <w:r>
              <w:t>270.707</w:t>
            </w:r>
          </w:p>
        </w:tc>
        <w:tc>
          <w:tcPr>
            <w:tcW w:w="1088" w:type="dxa"/>
          </w:tcPr>
          <w:p w14:paraId="1798458A" w14:textId="77777777" w:rsidR="00DE1399" w:rsidRDefault="00DE1399" w:rsidP="000C69E9">
            <w:pPr>
              <w:pStyle w:val="bmdsTblBody"/>
            </w:pPr>
            <w:r>
              <w:t>-43.418</w:t>
            </w:r>
          </w:p>
        </w:tc>
        <w:tc>
          <w:tcPr>
            <w:tcW w:w="1088" w:type="dxa"/>
          </w:tcPr>
          <w:p w14:paraId="47B08E2F" w14:textId="77777777" w:rsidR="00DE1399" w:rsidRDefault="00DE1399" w:rsidP="000C69E9">
            <w:pPr>
              <w:pStyle w:val="bmdsTblBody"/>
            </w:pPr>
            <w:r>
              <w:t>-0.653</w:t>
            </w:r>
          </w:p>
        </w:tc>
        <w:tc>
          <w:tcPr>
            <w:tcW w:w="1088" w:type="dxa"/>
          </w:tcPr>
          <w:p w14:paraId="5B4B6CC0" w14:textId="77777777" w:rsidR="00DE1399" w:rsidRDefault="00DE1399" w:rsidP="000C69E9">
            <w:pPr>
              <w:pStyle w:val="bmdsTblBody"/>
            </w:pPr>
            <w:r>
              <w:t>0.107</w:t>
            </w:r>
          </w:p>
        </w:tc>
      </w:tr>
      <w:tr w:rsidR="00DE1399" w14:paraId="309004D0" w14:textId="77777777" w:rsidTr="000C69E9">
        <w:tc>
          <w:tcPr>
            <w:tcW w:w="1197" w:type="dxa"/>
          </w:tcPr>
          <w:p w14:paraId="1A70A345" w14:textId="77777777" w:rsidR="00DE1399" w:rsidRDefault="00DE1399" w:rsidP="000C69E9">
            <w:pPr>
              <w:pStyle w:val="bmdsTblBody"/>
            </w:pPr>
            <w:r>
              <w:t>Multistage 2</w:t>
            </w:r>
          </w:p>
        </w:tc>
        <w:tc>
          <w:tcPr>
            <w:tcW w:w="980" w:type="dxa"/>
          </w:tcPr>
          <w:p w14:paraId="6E343BD8" w14:textId="77777777" w:rsidR="00DE1399" w:rsidRDefault="00DE1399" w:rsidP="000C69E9">
            <w:pPr>
              <w:pStyle w:val="bmdsTblBody"/>
            </w:pPr>
            <w:r>
              <w:t>0.111</w:t>
            </w:r>
          </w:p>
        </w:tc>
        <w:tc>
          <w:tcPr>
            <w:tcW w:w="980" w:type="dxa"/>
          </w:tcPr>
          <w:p w14:paraId="64E8CCFF" w14:textId="77777777" w:rsidR="00DE1399" w:rsidRDefault="00DE1399" w:rsidP="000C69E9">
            <w:pPr>
              <w:pStyle w:val="bmdsTblBody"/>
            </w:pPr>
            <w:r>
              <w:t>0.071</w:t>
            </w:r>
          </w:p>
        </w:tc>
        <w:tc>
          <w:tcPr>
            <w:tcW w:w="980" w:type="dxa"/>
          </w:tcPr>
          <w:p w14:paraId="520D3278" w14:textId="77777777" w:rsidR="00DE1399" w:rsidRDefault="00DE1399" w:rsidP="000C69E9">
            <w:pPr>
              <w:pStyle w:val="bmdsTblBody"/>
            </w:pPr>
            <w:r>
              <w:t>22.88</w:t>
            </w:r>
          </w:p>
        </w:tc>
        <w:tc>
          <w:tcPr>
            <w:tcW w:w="980" w:type="dxa"/>
          </w:tcPr>
          <w:p w14:paraId="5F560BA5" w14:textId="77777777" w:rsidR="00DE1399" w:rsidRDefault="00DE1399" w:rsidP="000C69E9">
            <w:pPr>
              <w:pStyle w:val="bmdsTblBody"/>
            </w:pPr>
            <w:r>
              <w:t>48.821</w:t>
            </w:r>
          </w:p>
        </w:tc>
        <w:tc>
          <w:tcPr>
            <w:tcW w:w="980" w:type="dxa"/>
          </w:tcPr>
          <w:p w14:paraId="0309A1EC" w14:textId="77777777" w:rsidR="00DE1399" w:rsidRDefault="00DE1399" w:rsidP="000C69E9">
            <w:pPr>
              <w:pStyle w:val="bmdsTblBody"/>
            </w:pPr>
            <w:r>
              <w:t>108.098</w:t>
            </w:r>
          </w:p>
        </w:tc>
        <w:tc>
          <w:tcPr>
            <w:tcW w:w="1088" w:type="dxa"/>
          </w:tcPr>
          <w:p w14:paraId="23957A35" w14:textId="77777777" w:rsidR="00DE1399" w:rsidRDefault="00DE1399" w:rsidP="000C69E9">
            <w:pPr>
              <w:pStyle w:val="bmdsTblBody"/>
            </w:pPr>
            <w:r>
              <w:t>-41.04</w:t>
            </w:r>
          </w:p>
        </w:tc>
        <w:tc>
          <w:tcPr>
            <w:tcW w:w="1088" w:type="dxa"/>
          </w:tcPr>
          <w:p w14:paraId="387E01D2" w14:textId="77777777" w:rsidR="00DE1399" w:rsidRDefault="00DE1399" w:rsidP="000C69E9">
            <w:pPr>
              <w:pStyle w:val="bmdsTblBody"/>
            </w:pPr>
            <w:r>
              <w:t>-0.33</w:t>
            </w:r>
          </w:p>
        </w:tc>
        <w:tc>
          <w:tcPr>
            <w:tcW w:w="1088" w:type="dxa"/>
          </w:tcPr>
          <w:p w14:paraId="5518B978" w14:textId="77777777" w:rsidR="00DE1399" w:rsidRDefault="00DE1399" w:rsidP="000C69E9">
            <w:pPr>
              <w:pStyle w:val="bmdsTblBody"/>
            </w:pPr>
            <w:r>
              <w:t>1.217</w:t>
            </w:r>
          </w:p>
        </w:tc>
      </w:tr>
      <w:tr w:rsidR="00DE1399" w14:paraId="0B909C10" w14:textId="77777777" w:rsidTr="000C69E9">
        <w:tc>
          <w:tcPr>
            <w:tcW w:w="1197" w:type="dxa"/>
          </w:tcPr>
          <w:p w14:paraId="20157FB3" w14:textId="77777777" w:rsidR="00DE1399" w:rsidRDefault="00DE1399" w:rsidP="000C69E9">
            <w:pPr>
              <w:pStyle w:val="bmdsTblBody"/>
            </w:pPr>
            <w:r>
              <w:t>Probit</w:t>
            </w:r>
          </w:p>
        </w:tc>
        <w:tc>
          <w:tcPr>
            <w:tcW w:w="980" w:type="dxa"/>
          </w:tcPr>
          <w:p w14:paraId="73D0AB39" w14:textId="77777777" w:rsidR="00DE1399" w:rsidRDefault="00DE1399" w:rsidP="000C69E9">
            <w:pPr>
              <w:pStyle w:val="bmdsTblBody"/>
            </w:pPr>
            <w:r>
              <w:t>0.111</w:t>
            </w:r>
          </w:p>
        </w:tc>
        <w:tc>
          <w:tcPr>
            <w:tcW w:w="980" w:type="dxa"/>
          </w:tcPr>
          <w:p w14:paraId="2745A890" w14:textId="77777777" w:rsidR="00DE1399" w:rsidRDefault="00DE1399" w:rsidP="000C69E9">
            <w:pPr>
              <w:pStyle w:val="bmdsTblBody"/>
            </w:pPr>
            <w:r>
              <w:t>0.144</w:t>
            </w:r>
          </w:p>
        </w:tc>
        <w:tc>
          <w:tcPr>
            <w:tcW w:w="980" w:type="dxa"/>
          </w:tcPr>
          <w:p w14:paraId="366063B8" w14:textId="77777777" w:rsidR="00DE1399" w:rsidRDefault="00DE1399" w:rsidP="000C69E9">
            <w:pPr>
              <w:pStyle w:val="bmdsTblBody"/>
            </w:pPr>
            <w:r>
              <w:t>42.367</w:t>
            </w:r>
          </w:p>
        </w:tc>
        <w:tc>
          <w:tcPr>
            <w:tcW w:w="980" w:type="dxa"/>
          </w:tcPr>
          <w:p w14:paraId="2ADE67A8" w14:textId="77777777" w:rsidR="00DE1399" w:rsidRDefault="00DE1399" w:rsidP="000C69E9">
            <w:pPr>
              <w:pStyle w:val="bmdsTblBody"/>
            </w:pPr>
            <w:r>
              <w:t>61.602</w:t>
            </w:r>
          </w:p>
        </w:tc>
        <w:tc>
          <w:tcPr>
            <w:tcW w:w="980" w:type="dxa"/>
          </w:tcPr>
          <w:p w14:paraId="313B5B65" w14:textId="77777777" w:rsidR="00DE1399" w:rsidRDefault="00DE1399" w:rsidP="000C69E9">
            <w:pPr>
              <w:pStyle w:val="bmdsTblBody"/>
            </w:pPr>
            <w:r>
              <w:t>108.357</w:t>
            </w:r>
          </w:p>
        </w:tc>
        <w:tc>
          <w:tcPr>
            <w:tcW w:w="1088" w:type="dxa"/>
          </w:tcPr>
          <w:p w14:paraId="4D2DF07B" w14:textId="77777777" w:rsidR="00DE1399" w:rsidRDefault="00DE1399" w:rsidP="000C69E9">
            <w:pPr>
              <w:pStyle w:val="bmdsTblBody"/>
            </w:pPr>
            <w:r>
              <w:t>-35.022</w:t>
            </w:r>
          </w:p>
        </w:tc>
        <w:tc>
          <w:tcPr>
            <w:tcW w:w="1088" w:type="dxa"/>
          </w:tcPr>
          <w:p w14:paraId="766F80C3" w14:textId="77777777" w:rsidR="00DE1399" w:rsidRDefault="00DE1399" w:rsidP="000C69E9">
            <w:pPr>
              <w:pStyle w:val="bmdsTblBody"/>
            </w:pPr>
            <w:r>
              <w:t>-0.486</w:t>
            </w:r>
          </w:p>
        </w:tc>
        <w:tc>
          <w:tcPr>
            <w:tcW w:w="1088" w:type="dxa"/>
          </w:tcPr>
          <w:p w14:paraId="2EABB021" w14:textId="77777777" w:rsidR="00DE1399" w:rsidRDefault="00DE1399" w:rsidP="000C69E9">
            <w:pPr>
              <w:pStyle w:val="bmdsTblBody"/>
            </w:pPr>
            <w:r>
              <w:t>1.208</w:t>
            </w:r>
          </w:p>
        </w:tc>
      </w:tr>
      <w:tr w:rsidR="00DE1399" w14:paraId="7123C950" w14:textId="77777777" w:rsidTr="000C69E9">
        <w:tc>
          <w:tcPr>
            <w:tcW w:w="1197" w:type="dxa"/>
          </w:tcPr>
          <w:p w14:paraId="45BFBC86" w14:textId="77777777" w:rsidR="00DE1399" w:rsidRDefault="00DE1399" w:rsidP="000C69E9">
            <w:pPr>
              <w:pStyle w:val="bmdsTblBody"/>
            </w:pPr>
            <w:r>
              <w:t>Quantal Linear</w:t>
            </w:r>
          </w:p>
        </w:tc>
        <w:tc>
          <w:tcPr>
            <w:tcW w:w="980" w:type="dxa"/>
          </w:tcPr>
          <w:p w14:paraId="67B028AF" w14:textId="77777777" w:rsidR="00DE1399" w:rsidRDefault="00DE1399" w:rsidP="000C69E9">
            <w:pPr>
              <w:pStyle w:val="bmdsTblBody"/>
            </w:pPr>
            <w:r>
              <w:t>0.111</w:t>
            </w:r>
          </w:p>
        </w:tc>
        <w:tc>
          <w:tcPr>
            <w:tcW w:w="980" w:type="dxa"/>
          </w:tcPr>
          <w:p w14:paraId="6C15B0C4" w14:textId="77777777" w:rsidR="00DE1399" w:rsidRDefault="00DE1399" w:rsidP="000C69E9">
            <w:pPr>
              <w:pStyle w:val="bmdsTblBody"/>
            </w:pPr>
            <w:r>
              <w:t>0.357</w:t>
            </w:r>
          </w:p>
        </w:tc>
        <w:tc>
          <w:tcPr>
            <w:tcW w:w="980" w:type="dxa"/>
          </w:tcPr>
          <w:p w14:paraId="172B3E53" w14:textId="77777777" w:rsidR="00DE1399" w:rsidRDefault="00DE1399" w:rsidP="000C69E9">
            <w:pPr>
              <w:pStyle w:val="bmdsTblBody"/>
            </w:pPr>
            <w:r>
              <w:t>19.069</w:t>
            </w:r>
          </w:p>
        </w:tc>
        <w:tc>
          <w:tcPr>
            <w:tcW w:w="980" w:type="dxa"/>
          </w:tcPr>
          <w:p w14:paraId="7102B803" w14:textId="77777777" w:rsidR="00DE1399" w:rsidRDefault="00DE1399" w:rsidP="000C69E9">
            <w:pPr>
              <w:pStyle w:val="bmdsTblBody"/>
            </w:pPr>
            <w:r>
              <w:t>32.848</w:t>
            </w:r>
          </w:p>
        </w:tc>
        <w:tc>
          <w:tcPr>
            <w:tcW w:w="980" w:type="dxa"/>
          </w:tcPr>
          <w:p w14:paraId="105A3E55" w14:textId="77777777" w:rsidR="00DE1399" w:rsidRDefault="00DE1399" w:rsidP="000C69E9">
            <w:pPr>
              <w:pStyle w:val="bmdsTblBody"/>
            </w:pPr>
            <w:r>
              <w:t>70.62</w:t>
            </w:r>
          </w:p>
        </w:tc>
        <w:tc>
          <w:tcPr>
            <w:tcW w:w="1088" w:type="dxa"/>
          </w:tcPr>
          <w:p w14:paraId="71160470" w14:textId="77777777" w:rsidR="00DE1399" w:rsidRDefault="00DE1399" w:rsidP="000C69E9">
            <w:pPr>
              <w:pStyle w:val="bmdsTblBody"/>
            </w:pPr>
            <w:r>
              <w:t>-35.142</w:t>
            </w:r>
          </w:p>
        </w:tc>
        <w:tc>
          <w:tcPr>
            <w:tcW w:w="1088" w:type="dxa"/>
          </w:tcPr>
          <w:p w14:paraId="74B53A6A" w14:textId="77777777" w:rsidR="00DE1399" w:rsidRDefault="00DE1399" w:rsidP="000C69E9">
            <w:pPr>
              <w:pStyle w:val="bmdsTblBody"/>
            </w:pPr>
            <w:r>
              <w:t>-0.241</w:t>
            </w:r>
          </w:p>
        </w:tc>
        <w:tc>
          <w:tcPr>
            <w:tcW w:w="1088" w:type="dxa"/>
          </w:tcPr>
          <w:p w14:paraId="678EECEA" w14:textId="77777777" w:rsidR="00DE1399" w:rsidRDefault="00DE1399" w:rsidP="000C69E9">
            <w:pPr>
              <w:pStyle w:val="bmdsTblBody"/>
            </w:pPr>
            <w:r>
              <w:t>1.041</w:t>
            </w:r>
          </w:p>
        </w:tc>
      </w:tr>
      <w:tr w:rsidR="00DE1399" w14:paraId="6E303B79" w14:textId="77777777" w:rsidTr="000C69E9">
        <w:tc>
          <w:tcPr>
            <w:tcW w:w="1197" w:type="dxa"/>
          </w:tcPr>
          <w:p w14:paraId="04EEE905" w14:textId="77777777" w:rsidR="00DE1399" w:rsidRDefault="00DE1399" w:rsidP="000C69E9">
            <w:pPr>
              <w:pStyle w:val="bmdsTblBody"/>
            </w:pPr>
            <w:r>
              <w:t>Weibull</w:t>
            </w:r>
          </w:p>
        </w:tc>
        <w:tc>
          <w:tcPr>
            <w:tcW w:w="980" w:type="dxa"/>
          </w:tcPr>
          <w:p w14:paraId="5C6E081B" w14:textId="77777777" w:rsidR="00DE1399" w:rsidRDefault="00DE1399" w:rsidP="000C69E9">
            <w:pPr>
              <w:pStyle w:val="bmdsTblBody"/>
            </w:pPr>
            <w:r>
              <w:t>0.111</w:t>
            </w:r>
          </w:p>
        </w:tc>
        <w:tc>
          <w:tcPr>
            <w:tcW w:w="980" w:type="dxa"/>
          </w:tcPr>
          <w:p w14:paraId="0439E2DB" w14:textId="77777777" w:rsidR="00DE1399" w:rsidRDefault="00DE1399" w:rsidP="000C69E9">
            <w:pPr>
              <w:pStyle w:val="bmdsTblBody"/>
            </w:pPr>
            <w:r>
              <w:t>0.066</w:t>
            </w:r>
          </w:p>
        </w:tc>
        <w:tc>
          <w:tcPr>
            <w:tcW w:w="980" w:type="dxa"/>
          </w:tcPr>
          <w:p w14:paraId="3BC0A661" w14:textId="77777777" w:rsidR="00DE1399" w:rsidRDefault="00DE1399" w:rsidP="000C69E9">
            <w:pPr>
              <w:pStyle w:val="bmdsTblBody"/>
            </w:pPr>
            <w:r>
              <w:t>4.717</w:t>
            </w:r>
          </w:p>
        </w:tc>
        <w:tc>
          <w:tcPr>
            <w:tcW w:w="980" w:type="dxa"/>
          </w:tcPr>
          <w:p w14:paraId="68BBA144" w14:textId="77777777" w:rsidR="00DE1399" w:rsidRDefault="00DE1399" w:rsidP="000C69E9">
            <w:pPr>
              <w:pStyle w:val="bmdsTblBody"/>
            </w:pPr>
            <w:r>
              <w:t>40.794</w:t>
            </w:r>
          </w:p>
        </w:tc>
        <w:tc>
          <w:tcPr>
            <w:tcW w:w="980" w:type="dxa"/>
          </w:tcPr>
          <w:p w14:paraId="0126993B" w14:textId="77777777" w:rsidR="00DE1399" w:rsidRDefault="00DE1399" w:rsidP="000C69E9">
            <w:pPr>
              <w:pStyle w:val="bmdsTblBody"/>
            </w:pPr>
            <w:r>
              <w:t>158.145</w:t>
            </w:r>
          </w:p>
        </w:tc>
        <w:tc>
          <w:tcPr>
            <w:tcW w:w="1088" w:type="dxa"/>
          </w:tcPr>
          <w:p w14:paraId="40D112A6" w14:textId="77777777" w:rsidR="00DE1399" w:rsidRDefault="00DE1399" w:rsidP="000C69E9">
            <w:pPr>
              <w:pStyle w:val="bmdsTblBody"/>
            </w:pPr>
            <w:r>
              <w:t>-42.31</w:t>
            </w:r>
          </w:p>
        </w:tc>
        <w:tc>
          <w:tcPr>
            <w:tcW w:w="1088" w:type="dxa"/>
          </w:tcPr>
          <w:p w14:paraId="2FC53636" w14:textId="77777777" w:rsidR="00DE1399" w:rsidRDefault="00DE1399" w:rsidP="000C69E9">
            <w:pPr>
              <w:pStyle w:val="bmdsTblBody"/>
            </w:pPr>
            <w:r>
              <w:t>-0.313</w:t>
            </w:r>
          </w:p>
        </w:tc>
        <w:tc>
          <w:tcPr>
            <w:tcW w:w="1088" w:type="dxa"/>
          </w:tcPr>
          <w:p w14:paraId="3BBD74A2" w14:textId="77777777" w:rsidR="00DE1399" w:rsidRDefault="00DE1399" w:rsidP="000C69E9">
            <w:pPr>
              <w:pStyle w:val="bmdsTblBody"/>
            </w:pPr>
            <w:r>
              <w:t>1.116</w:t>
            </w:r>
          </w:p>
        </w:tc>
      </w:tr>
      <w:tr w:rsidR="00DE1399" w14:paraId="726C9C79" w14:textId="77777777" w:rsidTr="00DA1275">
        <w:tc>
          <w:tcPr>
            <w:tcW w:w="1197" w:type="dxa"/>
            <w:shd w:val="clear" w:color="auto" w:fill="FFFF00"/>
          </w:tcPr>
          <w:p w14:paraId="4B667BE1" w14:textId="77777777" w:rsidR="00DE1399" w:rsidRDefault="00DE1399" w:rsidP="000C69E9">
            <w:pPr>
              <w:pStyle w:val="bmdsTblBody"/>
            </w:pPr>
            <w:r>
              <w:t>Model Average</w:t>
            </w:r>
          </w:p>
        </w:tc>
        <w:tc>
          <w:tcPr>
            <w:tcW w:w="980" w:type="dxa"/>
            <w:shd w:val="clear" w:color="auto" w:fill="FFFF00"/>
          </w:tcPr>
          <w:p w14:paraId="35AB485F" w14:textId="77777777" w:rsidR="00DE1399" w:rsidRDefault="00DE1399" w:rsidP="000C69E9">
            <w:pPr>
              <w:pStyle w:val="bmdsTblBody"/>
            </w:pPr>
            <w:r>
              <w:t>-</w:t>
            </w:r>
          </w:p>
        </w:tc>
        <w:tc>
          <w:tcPr>
            <w:tcW w:w="980" w:type="dxa"/>
            <w:shd w:val="clear" w:color="auto" w:fill="FFFF00"/>
          </w:tcPr>
          <w:p w14:paraId="070431FE" w14:textId="77777777" w:rsidR="00DE1399" w:rsidRDefault="00DE1399" w:rsidP="000C69E9">
            <w:pPr>
              <w:pStyle w:val="bmdsTblBody"/>
            </w:pPr>
            <w:r>
              <w:t>-</w:t>
            </w:r>
          </w:p>
        </w:tc>
        <w:tc>
          <w:tcPr>
            <w:tcW w:w="980" w:type="dxa"/>
            <w:shd w:val="clear" w:color="auto" w:fill="FFFF00"/>
          </w:tcPr>
          <w:p w14:paraId="46FE89B5" w14:textId="77777777" w:rsidR="00DE1399" w:rsidRDefault="00DE1399" w:rsidP="000C69E9">
            <w:pPr>
              <w:pStyle w:val="bmdsTblBody"/>
            </w:pPr>
            <w:r>
              <w:t>12.863</w:t>
            </w:r>
          </w:p>
        </w:tc>
        <w:tc>
          <w:tcPr>
            <w:tcW w:w="980" w:type="dxa"/>
            <w:shd w:val="clear" w:color="auto" w:fill="FFFF00"/>
          </w:tcPr>
          <w:p w14:paraId="2DF5B394" w14:textId="77777777" w:rsidR="00DE1399" w:rsidRDefault="00DE1399" w:rsidP="000C69E9">
            <w:pPr>
              <w:pStyle w:val="bmdsTblBody"/>
            </w:pPr>
            <w:r>
              <w:t>47.192</w:t>
            </w:r>
          </w:p>
        </w:tc>
        <w:tc>
          <w:tcPr>
            <w:tcW w:w="980" w:type="dxa"/>
            <w:shd w:val="clear" w:color="auto" w:fill="FFFF00"/>
          </w:tcPr>
          <w:p w14:paraId="45F711E7" w14:textId="77777777" w:rsidR="00DE1399" w:rsidRDefault="00DE1399" w:rsidP="000C69E9">
            <w:pPr>
              <w:pStyle w:val="bmdsTblBody"/>
            </w:pPr>
            <w:r>
              <w:t>139.746</w:t>
            </w:r>
          </w:p>
        </w:tc>
        <w:tc>
          <w:tcPr>
            <w:tcW w:w="1088" w:type="dxa"/>
          </w:tcPr>
          <w:p w14:paraId="32769C4B" w14:textId="77777777" w:rsidR="00DE1399" w:rsidRDefault="00DE1399" w:rsidP="000C69E9">
            <w:pPr>
              <w:pStyle w:val="bmdsTblBody"/>
            </w:pPr>
            <w:r>
              <w:t>-</w:t>
            </w:r>
          </w:p>
        </w:tc>
        <w:tc>
          <w:tcPr>
            <w:tcW w:w="1088" w:type="dxa"/>
          </w:tcPr>
          <w:p w14:paraId="0B56A6C4" w14:textId="77777777" w:rsidR="00DE1399" w:rsidRDefault="00DE1399" w:rsidP="000C69E9">
            <w:pPr>
              <w:pStyle w:val="bmdsTblBody"/>
            </w:pPr>
            <w:r>
              <w:t>-</w:t>
            </w:r>
          </w:p>
        </w:tc>
        <w:tc>
          <w:tcPr>
            <w:tcW w:w="1088" w:type="dxa"/>
          </w:tcPr>
          <w:p w14:paraId="1648658D" w14:textId="77777777" w:rsidR="00DE1399" w:rsidRDefault="00DE1399" w:rsidP="000C69E9">
            <w:pPr>
              <w:pStyle w:val="bmdsTblBody"/>
            </w:pPr>
            <w:r>
              <w:t>-</w:t>
            </w:r>
          </w:p>
        </w:tc>
      </w:tr>
    </w:tbl>
    <w:p w14:paraId="4BBBCE62" w14:textId="5E112DBE" w:rsidR="00DE1399" w:rsidRDefault="00DE1399" w:rsidP="00DE1399">
      <w:pPr>
        <w:rPr>
          <w:noProof/>
        </w:rPr>
      </w:pPr>
    </w:p>
    <w:p w14:paraId="7E207E4B" w14:textId="10A087ED" w:rsidR="00DE1399" w:rsidRDefault="00DE1399" w:rsidP="00DE1399">
      <w:r>
        <w:rPr>
          <w:noProof/>
        </w:rPr>
        <w:drawing>
          <wp:inline distT="0" distB="0" distL="0" distR="0" wp14:anchorId="798B3E60" wp14:editId="0E987A42">
            <wp:extent cx="4572000" cy="2857500"/>
            <wp:effectExtent l="0" t="0" r="0" b="0"/>
            <wp:docPr id="20" name="Picture 20" descr="A graph showing the average of a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aph showing the average of a model&#10;&#10;AI-generated content may be incorrect."/>
                    <pic:cNvPicPr/>
                  </pic:nvPicPr>
                  <pic:blipFill>
                    <a:blip r:embed="rId9"/>
                    <a:stretch>
                      <a:fillRect/>
                    </a:stretch>
                  </pic:blipFill>
                  <pic:spPr>
                    <a:xfrm>
                      <a:off x="0" y="0"/>
                      <a:ext cx="4576141" cy="2860088"/>
                    </a:xfrm>
                    <a:prstGeom prst="rect">
                      <a:avLst/>
                    </a:prstGeom>
                  </pic:spPr>
                </pic:pic>
              </a:graphicData>
            </a:graphic>
          </wp:inline>
        </w:drawing>
      </w:r>
    </w:p>
    <w:p w14:paraId="11BAB579" w14:textId="1202BA9C" w:rsidR="007057F9" w:rsidRDefault="00C55F37">
      <w:r w:rsidRPr="00847903">
        <w:rPr>
          <w:b/>
          <w:bCs w:val="0"/>
        </w:rPr>
        <w:t xml:space="preserve">Appendix </w:t>
      </w:r>
      <w:r w:rsidR="00EE3C66">
        <w:rPr>
          <w:b/>
          <w:bCs w:val="0"/>
        </w:rPr>
        <w:t>S6</w:t>
      </w:r>
      <w:r w:rsidRPr="00847903">
        <w:rPr>
          <w:b/>
          <w:bCs w:val="0"/>
        </w:rPr>
        <w:t>A.</w:t>
      </w:r>
      <w:r w:rsidR="003230A7">
        <w:rPr>
          <w:b/>
          <w:bCs w:val="0"/>
        </w:rPr>
        <w:t>5</w:t>
      </w:r>
      <w:r>
        <w:rPr>
          <w:b/>
          <w:bCs w:val="0"/>
        </w:rPr>
        <w:t xml:space="preserve"> US EPA Bayesian Model Average BMDS Output for Abnormal Neurological Score </w:t>
      </w:r>
      <w:r>
        <w:rPr>
          <w:rFonts w:ascii="Symbol" w:eastAsia="Symbol" w:hAnsi="Symbol" w:cs="Symbol"/>
          <w:b/>
          <w:bCs w:val="0"/>
        </w:rPr>
        <w:t>³</w:t>
      </w:r>
      <w:r>
        <w:rPr>
          <w:b/>
          <w:bCs w:val="0"/>
        </w:rPr>
        <w:t>5</w:t>
      </w:r>
    </w:p>
    <w:p w14:paraId="7F68AF1A" w14:textId="77777777" w:rsidR="007057F9" w:rsidRDefault="007057F9"/>
    <w:p w14:paraId="30B61E89" w14:textId="77777777" w:rsidR="006C5881" w:rsidRDefault="006C5881" w:rsidP="006C5881">
      <w:r>
        <w:rPr>
          <w:b/>
        </w:rPr>
        <w:t xml:space="preserve">Report Generated: </w:t>
      </w:r>
      <w:r>
        <w:t>2025-Mar-24 02:03 UTC</w:t>
      </w:r>
    </w:p>
    <w:p w14:paraId="7CF6BE0F" w14:textId="77777777" w:rsidR="006C5881" w:rsidRDefault="006C5881" w:rsidP="006C5881">
      <w:r>
        <w:rPr>
          <w:b/>
        </w:rPr>
        <w:t xml:space="preserve">BMDS Online Version: </w:t>
      </w:r>
      <w:r>
        <w:t>24.1 (pybmds 24.1; bmdscore 24.1)</w:t>
      </w:r>
    </w:p>
    <w:p w14:paraId="5D49259F" w14:textId="77777777" w:rsidR="006C5881" w:rsidRDefault="006C5881">
      <w:pPr>
        <w:rPr>
          <w:b/>
          <w:bCs w:val="0"/>
        </w:rPr>
      </w:pPr>
    </w:p>
    <w:p w14:paraId="32AC960E" w14:textId="77777777" w:rsidR="007C4001" w:rsidRPr="008D1642" w:rsidRDefault="007C4001" w:rsidP="007C4001">
      <w:pPr>
        <w:pStyle w:val="bmdsTblHeader"/>
        <w:rPr>
          <w:sz w:val="24"/>
        </w:rPr>
      </w:pPr>
      <w:r w:rsidRPr="008D1642">
        <w:rPr>
          <w:sz w:val="24"/>
        </w:rPr>
        <w:t>Session for outcome: abnormal score &gt;=5</w:t>
      </w:r>
    </w:p>
    <w:p w14:paraId="76655553" w14:textId="77777777" w:rsidR="00850285" w:rsidRPr="00850285" w:rsidRDefault="00850285" w:rsidP="00850285">
      <w:pPr>
        <w:pStyle w:val="bmdsTblHeader"/>
        <w:rPr>
          <w:sz w:val="24"/>
        </w:rPr>
      </w:pPr>
      <w:r w:rsidRPr="00850285">
        <w:rPr>
          <w:sz w:val="24"/>
        </w:rPr>
        <w:t>Dataset</w:t>
      </w:r>
    </w:p>
    <w:p w14:paraId="288746B7" w14:textId="77777777" w:rsidR="00850285" w:rsidRDefault="00850285" w:rsidP="00850285">
      <w:r>
        <w:rPr>
          <w:b/>
        </w:rPr>
        <w:t xml:space="preserve">Name: </w:t>
      </w:r>
      <w:r>
        <w:t>outcome: abnormal score &gt;=5</w:t>
      </w:r>
    </w:p>
    <w:tbl>
      <w:tblPr>
        <w:tblStyle w:val="bmdsTbl"/>
        <w:tblW w:w="0" w:type="auto"/>
        <w:tblLook w:val="04A0" w:firstRow="1" w:lastRow="0" w:firstColumn="1" w:lastColumn="0" w:noHBand="0" w:noVBand="1"/>
      </w:tblPr>
      <w:tblGrid>
        <w:gridCol w:w="3120"/>
        <w:gridCol w:w="3120"/>
        <w:gridCol w:w="3120"/>
      </w:tblGrid>
      <w:tr w:rsidR="00850285" w14:paraId="5F7E30CB" w14:textId="77777777" w:rsidTr="000C69E9">
        <w:trPr>
          <w:cnfStyle w:val="100000000000" w:firstRow="1" w:lastRow="0" w:firstColumn="0" w:lastColumn="0" w:oddVBand="0" w:evenVBand="0" w:oddHBand="0" w:evenHBand="0" w:firstRowFirstColumn="0" w:firstRowLastColumn="0" w:lastRowFirstColumn="0" w:lastRowLastColumn="0"/>
        </w:trPr>
        <w:tc>
          <w:tcPr>
            <w:tcW w:w="3120" w:type="dxa"/>
          </w:tcPr>
          <w:p w14:paraId="68B0B42B" w14:textId="77777777" w:rsidR="00850285" w:rsidRDefault="00850285" w:rsidP="000C69E9">
            <w:pPr>
              <w:pStyle w:val="bmdsTblHeader"/>
            </w:pPr>
            <w:r>
              <w:t>Dose (ug/g hair THg)</w:t>
            </w:r>
          </w:p>
        </w:tc>
        <w:tc>
          <w:tcPr>
            <w:tcW w:w="3120" w:type="dxa"/>
          </w:tcPr>
          <w:p w14:paraId="5DFCBFB8" w14:textId="77777777" w:rsidR="00850285" w:rsidRDefault="00850285" w:rsidP="000C69E9">
            <w:pPr>
              <w:pStyle w:val="bmdsTblHeader"/>
            </w:pPr>
            <w:r>
              <w:t>N</w:t>
            </w:r>
          </w:p>
        </w:tc>
        <w:tc>
          <w:tcPr>
            <w:tcW w:w="3120" w:type="dxa"/>
          </w:tcPr>
          <w:p w14:paraId="4453D77A" w14:textId="77777777" w:rsidR="00850285" w:rsidRDefault="00850285" w:rsidP="000C69E9">
            <w:pPr>
              <w:pStyle w:val="bmdsTblHeader"/>
            </w:pPr>
            <w:r>
              <w:t>Incidence</w:t>
            </w:r>
          </w:p>
        </w:tc>
      </w:tr>
      <w:tr w:rsidR="00850285" w14:paraId="2CF4EC4A" w14:textId="77777777" w:rsidTr="000C69E9">
        <w:tc>
          <w:tcPr>
            <w:tcW w:w="3120" w:type="dxa"/>
          </w:tcPr>
          <w:p w14:paraId="0722D4E9" w14:textId="77777777" w:rsidR="00850285" w:rsidRDefault="00850285" w:rsidP="000C69E9">
            <w:pPr>
              <w:pStyle w:val="bmdsTblBody"/>
            </w:pPr>
            <w:r>
              <w:t>1.37</w:t>
            </w:r>
          </w:p>
        </w:tc>
        <w:tc>
          <w:tcPr>
            <w:tcW w:w="3120" w:type="dxa"/>
          </w:tcPr>
          <w:p w14:paraId="5E4E971B" w14:textId="77777777" w:rsidR="00850285" w:rsidRDefault="00850285" w:rsidP="000C69E9">
            <w:pPr>
              <w:pStyle w:val="bmdsTblBody"/>
            </w:pPr>
            <w:r>
              <w:t>27</w:t>
            </w:r>
          </w:p>
        </w:tc>
        <w:tc>
          <w:tcPr>
            <w:tcW w:w="3120" w:type="dxa"/>
          </w:tcPr>
          <w:p w14:paraId="0807C3F3" w14:textId="77777777" w:rsidR="00850285" w:rsidRDefault="00850285" w:rsidP="000C69E9">
            <w:pPr>
              <w:pStyle w:val="bmdsTblBody"/>
            </w:pPr>
            <w:r>
              <w:t>0</w:t>
            </w:r>
          </w:p>
        </w:tc>
      </w:tr>
      <w:tr w:rsidR="00850285" w14:paraId="066AB692" w14:textId="77777777" w:rsidTr="000C69E9">
        <w:tc>
          <w:tcPr>
            <w:tcW w:w="3120" w:type="dxa"/>
          </w:tcPr>
          <w:p w14:paraId="4B199066" w14:textId="77777777" w:rsidR="00850285" w:rsidRDefault="00850285" w:rsidP="000C69E9">
            <w:pPr>
              <w:pStyle w:val="bmdsTblBody"/>
            </w:pPr>
            <w:r>
              <w:t>10</w:t>
            </w:r>
          </w:p>
        </w:tc>
        <w:tc>
          <w:tcPr>
            <w:tcW w:w="3120" w:type="dxa"/>
          </w:tcPr>
          <w:p w14:paraId="2EC577C4" w14:textId="77777777" w:rsidR="00850285" w:rsidRDefault="00850285" w:rsidP="000C69E9">
            <w:pPr>
              <w:pStyle w:val="bmdsTblBody"/>
            </w:pPr>
            <w:r>
              <w:t>14</w:t>
            </w:r>
          </w:p>
        </w:tc>
        <w:tc>
          <w:tcPr>
            <w:tcW w:w="3120" w:type="dxa"/>
          </w:tcPr>
          <w:p w14:paraId="68906474" w14:textId="77777777" w:rsidR="00850285" w:rsidRDefault="00850285" w:rsidP="000C69E9">
            <w:pPr>
              <w:pStyle w:val="bmdsTblBody"/>
            </w:pPr>
            <w:r>
              <w:t>1</w:t>
            </w:r>
          </w:p>
        </w:tc>
      </w:tr>
      <w:tr w:rsidR="00850285" w14:paraId="17B31AA7" w14:textId="77777777" w:rsidTr="000C69E9">
        <w:tc>
          <w:tcPr>
            <w:tcW w:w="3120" w:type="dxa"/>
          </w:tcPr>
          <w:p w14:paraId="46EABF41" w14:textId="77777777" w:rsidR="00850285" w:rsidRDefault="00850285" w:rsidP="000C69E9">
            <w:pPr>
              <w:pStyle w:val="bmdsTblBody"/>
            </w:pPr>
            <w:r>
              <w:t>52.53</w:t>
            </w:r>
          </w:p>
        </w:tc>
        <w:tc>
          <w:tcPr>
            <w:tcW w:w="3120" w:type="dxa"/>
          </w:tcPr>
          <w:p w14:paraId="36B7EDA4" w14:textId="77777777" w:rsidR="00850285" w:rsidRDefault="00850285" w:rsidP="000C69E9">
            <w:pPr>
              <w:pStyle w:val="bmdsTblBody"/>
            </w:pPr>
            <w:r>
              <w:t>13</w:t>
            </w:r>
          </w:p>
        </w:tc>
        <w:tc>
          <w:tcPr>
            <w:tcW w:w="3120" w:type="dxa"/>
          </w:tcPr>
          <w:p w14:paraId="49247BED" w14:textId="77777777" w:rsidR="00850285" w:rsidRDefault="00850285" w:rsidP="000C69E9">
            <w:pPr>
              <w:pStyle w:val="bmdsTblBody"/>
            </w:pPr>
            <w:r>
              <w:t>2</w:t>
            </w:r>
          </w:p>
        </w:tc>
      </w:tr>
      <w:tr w:rsidR="00850285" w14:paraId="56B06329" w14:textId="77777777" w:rsidTr="000C69E9">
        <w:tc>
          <w:tcPr>
            <w:tcW w:w="3120" w:type="dxa"/>
          </w:tcPr>
          <w:p w14:paraId="4D122D31" w14:textId="77777777" w:rsidR="00850285" w:rsidRDefault="00850285" w:rsidP="000C69E9">
            <w:pPr>
              <w:pStyle w:val="bmdsTblBody"/>
            </w:pPr>
            <w:r>
              <w:t>163.38</w:t>
            </w:r>
          </w:p>
        </w:tc>
        <w:tc>
          <w:tcPr>
            <w:tcW w:w="3120" w:type="dxa"/>
          </w:tcPr>
          <w:p w14:paraId="4D5C974D" w14:textId="77777777" w:rsidR="00850285" w:rsidRDefault="00850285" w:rsidP="000C69E9">
            <w:pPr>
              <w:pStyle w:val="bmdsTblBody"/>
            </w:pPr>
            <w:r>
              <w:t>12</w:t>
            </w:r>
          </w:p>
        </w:tc>
        <w:tc>
          <w:tcPr>
            <w:tcW w:w="3120" w:type="dxa"/>
          </w:tcPr>
          <w:p w14:paraId="74255164" w14:textId="77777777" w:rsidR="00850285" w:rsidRDefault="00850285" w:rsidP="000C69E9">
            <w:pPr>
              <w:pStyle w:val="bmdsTblBody"/>
            </w:pPr>
            <w:r>
              <w:t>2</w:t>
            </w:r>
          </w:p>
        </w:tc>
      </w:tr>
      <w:tr w:rsidR="00850285" w14:paraId="69014CD8" w14:textId="77777777" w:rsidTr="000C69E9">
        <w:tc>
          <w:tcPr>
            <w:tcW w:w="3120" w:type="dxa"/>
          </w:tcPr>
          <w:p w14:paraId="47D90338" w14:textId="77777777" w:rsidR="00850285" w:rsidRDefault="00850285" w:rsidP="000C69E9">
            <w:pPr>
              <w:pStyle w:val="bmdsTblBody"/>
            </w:pPr>
            <w:r>
              <w:t>436.6</w:t>
            </w:r>
          </w:p>
        </w:tc>
        <w:tc>
          <w:tcPr>
            <w:tcW w:w="3120" w:type="dxa"/>
          </w:tcPr>
          <w:p w14:paraId="6B5D67B0" w14:textId="77777777" w:rsidR="00850285" w:rsidRDefault="00850285" w:rsidP="000C69E9">
            <w:pPr>
              <w:pStyle w:val="bmdsTblBody"/>
            </w:pPr>
            <w:r>
              <w:t>15</w:t>
            </w:r>
          </w:p>
        </w:tc>
        <w:tc>
          <w:tcPr>
            <w:tcW w:w="3120" w:type="dxa"/>
          </w:tcPr>
          <w:p w14:paraId="795FBDCD" w14:textId="77777777" w:rsidR="00850285" w:rsidRDefault="00850285" w:rsidP="000C69E9">
            <w:pPr>
              <w:pStyle w:val="bmdsTblBody"/>
            </w:pPr>
            <w:r>
              <w:t>6</w:t>
            </w:r>
          </w:p>
        </w:tc>
      </w:tr>
    </w:tbl>
    <w:p w14:paraId="71EDDF8B" w14:textId="77777777" w:rsidR="00850285" w:rsidRPr="00850285" w:rsidRDefault="00850285" w:rsidP="00850285">
      <w:pPr>
        <w:pStyle w:val="bmdsTblHeader"/>
        <w:rPr>
          <w:sz w:val="24"/>
        </w:rPr>
      </w:pPr>
      <w:r w:rsidRPr="00850285">
        <w:rPr>
          <w:sz w:val="24"/>
        </w:rPr>
        <w:t>Settings</w:t>
      </w:r>
    </w:p>
    <w:tbl>
      <w:tblPr>
        <w:tblStyle w:val="bmdsTbl"/>
        <w:tblW w:w="0" w:type="auto"/>
        <w:tblLook w:val="04A0" w:firstRow="1" w:lastRow="0" w:firstColumn="1" w:lastColumn="0" w:noHBand="0" w:noVBand="1"/>
      </w:tblPr>
      <w:tblGrid>
        <w:gridCol w:w="4680"/>
        <w:gridCol w:w="4680"/>
      </w:tblGrid>
      <w:tr w:rsidR="00850285" w14:paraId="7D84178E" w14:textId="77777777" w:rsidTr="000C69E9">
        <w:trPr>
          <w:cnfStyle w:val="100000000000" w:firstRow="1" w:lastRow="0" w:firstColumn="0" w:lastColumn="0" w:oddVBand="0" w:evenVBand="0" w:oddHBand="0" w:evenHBand="0" w:firstRowFirstColumn="0" w:firstRowLastColumn="0" w:lastRowFirstColumn="0" w:lastRowLastColumn="0"/>
        </w:trPr>
        <w:tc>
          <w:tcPr>
            <w:tcW w:w="4680" w:type="dxa"/>
          </w:tcPr>
          <w:p w14:paraId="4DA5D8F9" w14:textId="77777777" w:rsidR="00850285" w:rsidRDefault="00850285" w:rsidP="000C69E9">
            <w:pPr>
              <w:pStyle w:val="bmdsTblHeader"/>
            </w:pPr>
            <w:r>
              <w:t>Setting</w:t>
            </w:r>
          </w:p>
        </w:tc>
        <w:tc>
          <w:tcPr>
            <w:tcW w:w="4680" w:type="dxa"/>
          </w:tcPr>
          <w:p w14:paraId="6E819D80" w14:textId="77777777" w:rsidR="00850285" w:rsidRDefault="00850285" w:rsidP="000C69E9">
            <w:pPr>
              <w:pStyle w:val="bmdsTblHeader"/>
            </w:pPr>
            <w:r>
              <w:t>Value</w:t>
            </w:r>
          </w:p>
        </w:tc>
      </w:tr>
      <w:tr w:rsidR="00850285" w14:paraId="44503EC8" w14:textId="77777777" w:rsidTr="000C69E9">
        <w:tc>
          <w:tcPr>
            <w:tcW w:w="4680" w:type="dxa"/>
          </w:tcPr>
          <w:p w14:paraId="4F889DB1" w14:textId="77777777" w:rsidR="00850285" w:rsidRDefault="00850285" w:rsidP="000C69E9">
            <w:pPr>
              <w:pStyle w:val="bmdsTblHeader"/>
            </w:pPr>
            <w:r>
              <w:t>BMR</w:t>
            </w:r>
          </w:p>
        </w:tc>
        <w:tc>
          <w:tcPr>
            <w:tcW w:w="4680" w:type="dxa"/>
          </w:tcPr>
          <w:p w14:paraId="471679EC" w14:textId="77777777" w:rsidR="00850285" w:rsidRDefault="00850285" w:rsidP="000C69E9">
            <w:pPr>
              <w:pStyle w:val="bmdsTblBody"/>
            </w:pPr>
            <w:r>
              <w:t>5% Extra Risk</w:t>
            </w:r>
          </w:p>
        </w:tc>
      </w:tr>
      <w:tr w:rsidR="00850285" w14:paraId="112A13BF" w14:textId="77777777" w:rsidTr="000C69E9">
        <w:tc>
          <w:tcPr>
            <w:tcW w:w="4680" w:type="dxa"/>
          </w:tcPr>
          <w:p w14:paraId="558555A6" w14:textId="77777777" w:rsidR="00850285" w:rsidRDefault="00850285" w:rsidP="000C69E9">
            <w:pPr>
              <w:pStyle w:val="bmdsTblHeader"/>
            </w:pPr>
            <w:r>
              <w:t>Confidence Level (one sided)</w:t>
            </w:r>
          </w:p>
        </w:tc>
        <w:tc>
          <w:tcPr>
            <w:tcW w:w="4680" w:type="dxa"/>
          </w:tcPr>
          <w:p w14:paraId="773396B8" w14:textId="77777777" w:rsidR="00850285" w:rsidRDefault="00850285" w:rsidP="000C69E9">
            <w:pPr>
              <w:pStyle w:val="bmdsTblBody"/>
            </w:pPr>
            <w:r>
              <w:t>0.95</w:t>
            </w:r>
          </w:p>
        </w:tc>
      </w:tr>
      <w:tr w:rsidR="00850285" w14:paraId="0B36A207" w14:textId="77777777" w:rsidTr="000C69E9">
        <w:tc>
          <w:tcPr>
            <w:tcW w:w="4680" w:type="dxa"/>
          </w:tcPr>
          <w:p w14:paraId="16444674" w14:textId="77777777" w:rsidR="00850285" w:rsidRDefault="00850285" w:rsidP="000C69E9">
            <w:pPr>
              <w:pStyle w:val="bmdsTblHeader"/>
            </w:pPr>
            <w:r>
              <w:t>Maximum Multistage Degree</w:t>
            </w:r>
          </w:p>
        </w:tc>
        <w:tc>
          <w:tcPr>
            <w:tcW w:w="4680" w:type="dxa"/>
          </w:tcPr>
          <w:p w14:paraId="544F8F3B" w14:textId="77777777" w:rsidR="00850285" w:rsidRDefault="00850285" w:rsidP="000C69E9">
            <w:pPr>
              <w:pStyle w:val="bmdsTblBody"/>
            </w:pPr>
            <w:r>
              <w:t>2</w:t>
            </w:r>
          </w:p>
        </w:tc>
      </w:tr>
      <w:tr w:rsidR="00850285" w14:paraId="0955BAE3" w14:textId="77777777" w:rsidTr="000C69E9">
        <w:tc>
          <w:tcPr>
            <w:tcW w:w="4680" w:type="dxa"/>
          </w:tcPr>
          <w:p w14:paraId="49F2A6FB" w14:textId="77777777" w:rsidR="00850285" w:rsidRDefault="00850285" w:rsidP="000C69E9">
            <w:pPr>
              <w:pStyle w:val="bmdsTblHeader"/>
            </w:pPr>
            <w:r>
              <w:t>Samples</w:t>
            </w:r>
          </w:p>
        </w:tc>
        <w:tc>
          <w:tcPr>
            <w:tcW w:w="4680" w:type="dxa"/>
          </w:tcPr>
          <w:p w14:paraId="7CFCCD1D" w14:textId="77777777" w:rsidR="00850285" w:rsidRDefault="00850285" w:rsidP="000C69E9">
            <w:pPr>
              <w:pStyle w:val="bmdsTblBody"/>
            </w:pPr>
            <w:r>
              <w:t>100</w:t>
            </w:r>
          </w:p>
        </w:tc>
      </w:tr>
      <w:tr w:rsidR="00850285" w14:paraId="3A1E423B" w14:textId="77777777" w:rsidTr="000C69E9">
        <w:tc>
          <w:tcPr>
            <w:tcW w:w="4680" w:type="dxa"/>
          </w:tcPr>
          <w:p w14:paraId="38EF58ED" w14:textId="77777777" w:rsidR="00850285" w:rsidRDefault="00850285" w:rsidP="000C69E9">
            <w:pPr>
              <w:pStyle w:val="bmdsTblHeader"/>
            </w:pPr>
            <w:r>
              <w:t>Burn-in</w:t>
            </w:r>
          </w:p>
        </w:tc>
        <w:tc>
          <w:tcPr>
            <w:tcW w:w="4680" w:type="dxa"/>
          </w:tcPr>
          <w:p w14:paraId="51335A5B" w14:textId="77777777" w:rsidR="00850285" w:rsidRDefault="00850285" w:rsidP="000C69E9">
            <w:pPr>
              <w:pStyle w:val="bmdsTblBody"/>
            </w:pPr>
            <w:r>
              <w:t>20</w:t>
            </w:r>
          </w:p>
        </w:tc>
      </w:tr>
    </w:tbl>
    <w:p w14:paraId="22E62F35" w14:textId="77777777" w:rsidR="00850285" w:rsidRDefault="00850285" w:rsidP="00850285">
      <w:pPr>
        <w:pStyle w:val="Heading2"/>
        <w:numPr>
          <w:ilvl w:val="0"/>
          <w:numId w:val="0"/>
        </w:numPr>
      </w:pPr>
    </w:p>
    <w:p w14:paraId="35DF9DDD" w14:textId="3CCD1688" w:rsidR="00850285" w:rsidRDefault="00850285" w:rsidP="00850285">
      <w:pPr>
        <w:pStyle w:val="Heading2"/>
        <w:numPr>
          <w:ilvl w:val="0"/>
          <w:numId w:val="0"/>
        </w:numPr>
      </w:pPr>
      <w:r>
        <w:t>Bayesian Summary</w:t>
      </w:r>
    </w:p>
    <w:p w14:paraId="5EB7E540" w14:textId="77777777" w:rsidR="00850285" w:rsidRDefault="00850285" w:rsidP="00850285"/>
    <w:tbl>
      <w:tblPr>
        <w:tblStyle w:val="bmdsTbl"/>
        <w:tblW w:w="0" w:type="auto"/>
        <w:tblLook w:val="04A0" w:firstRow="1" w:lastRow="0" w:firstColumn="1" w:lastColumn="0" w:noHBand="0" w:noVBand="1"/>
      </w:tblPr>
      <w:tblGrid>
        <w:gridCol w:w="1197"/>
        <w:gridCol w:w="980"/>
        <w:gridCol w:w="980"/>
        <w:gridCol w:w="980"/>
        <w:gridCol w:w="980"/>
        <w:gridCol w:w="980"/>
        <w:gridCol w:w="1216"/>
        <w:gridCol w:w="1088"/>
        <w:gridCol w:w="1088"/>
      </w:tblGrid>
      <w:tr w:rsidR="00850285" w14:paraId="738FCAAD" w14:textId="77777777" w:rsidTr="000C69E9">
        <w:trPr>
          <w:cnfStyle w:val="100000000000" w:firstRow="1" w:lastRow="0" w:firstColumn="0" w:lastColumn="0" w:oddVBand="0" w:evenVBand="0" w:oddHBand="0" w:evenHBand="0" w:firstRowFirstColumn="0" w:firstRowLastColumn="0" w:lastRowFirstColumn="0" w:lastRowLastColumn="0"/>
        </w:trPr>
        <w:tc>
          <w:tcPr>
            <w:tcW w:w="1197" w:type="dxa"/>
          </w:tcPr>
          <w:p w14:paraId="4FE2AA68" w14:textId="77777777" w:rsidR="00850285" w:rsidRDefault="00850285" w:rsidP="000C69E9">
            <w:pPr>
              <w:pStyle w:val="bmdsTblHeader"/>
            </w:pPr>
            <w:r>
              <w:t>Model</w:t>
            </w:r>
          </w:p>
        </w:tc>
        <w:tc>
          <w:tcPr>
            <w:tcW w:w="980" w:type="dxa"/>
          </w:tcPr>
          <w:p w14:paraId="45B02FAC" w14:textId="77777777" w:rsidR="00850285" w:rsidRDefault="00850285" w:rsidP="000C69E9">
            <w:pPr>
              <w:pStyle w:val="bmdsTblHeader"/>
            </w:pPr>
            <w:r>
              <w:t>Prior Weights</w:t>
            </w:r>
          </w:p>
        </w:tc>
        <w:tc>
          <w:tcPr>
            <w:tcW w:w="980" w:type="dxa"/>
          </w:tcPr>
          <w:p w14:paraId="1321B5CD" w14:textId="77777777" w:rsidR="00850285" w:rsidRDefault="00850285" w:rsidP="000C69E9">
            <w:pPr>
              <w:pStyle w:val="bmdsTblHeader"/>
            </w:pPr>
            <w:r>
              <w:t>Posterior Weights</w:t>
            </w:r>
          </w:p>
        </w:tc>
        <w:tc>
          <w:tcPr>
            <w:tcW w:w="980" w:type="dxa"/>
          </w:tcPr>
          <w:p w14:paraId="0F48248F" w14:textId="77777777" w:rsidR="00850285" w:rsidRDefault="00850285" w:rsidP="000C69E9">
            <w:pPr>
              <w:pStyle w:val="bmdsTblHeader"/>
            </w:pPr>
            <w:r>
              <w:t>BMDL</w:t>
            </w:r>
          </w:p>
        </w:tc>
        <w:tc>
          <w:tcPr>
            <w:tcW w:w="980" w:type="dxa"/>
          </w:tcPr>
          <w:p w14:paraId="5DAF466F" w14:textId="77777777" w:rsidR="00850285" w:rsidRDefault="00850285" w:rsidP="000C69E9">
            <w:pPr>
              <w:pStyle w:val="bmdsTblHeader"/>
            </w:pPr>
            <w:r>
              <w:t>BMD</w:t>
            </w:r>
          </w:p>
        </w:tc>
        <w:tc>
          <w:tcPr>
            <w:tcW w:w="980" w:type="dxa"/>
          </w:tcPr>
          <w:p w14:paraId="282DEAEA" w14:textId="77777777" w:rsidR="00850285" w:rsidRDefault="00850285" w:rsidP="000C69E9">
            <w:pPr>
              <w:pStyle w:val="bmdsTblHeader"/>
            </w:pPr>
            <w:r>
              <w:t>BMDU</w:t>
            </w:r>
          </w:p>
        </w:tc>
        <w:tc>
          <w:tcPr>
            <w:tcW w:w="1088" w:type="dxa"/>
          </w:tcPr>
          <w:p w14:paraId="0499DDA4" w14:textId="77777777" w:rsidR="00850285" w:rsidRDefault="00850285" w:rsidP="000C69E9">
            <w:pPr>
              <w:pStyle w:val="bmdsTblHeader"/>
            </w:pPr>
            <w:r>
              <w:t>Unnormalized Log Posterior Probability</w:t>
            </w:r>
          </w:p>
        </w:tc>
        <w:tc>
          <w:tcPr>
            <w:tcW w:w="1088" w:type="dxa"/>
          </w:tcPr>
          <w:p w14:paraId="1DD88CC2" w14:textId="77777777" w:rsidR="00850285" w:rsidRDefault="00850285" w:rsidP="000C69E9">
            <w:pPr>
              <w:pStyle w:val="bmdsTblHeader"/>
            </w:pPr>
            <w:r>
              <w:t>Scaled Residual near BMD</w:t>
            </w:r>
          </w:p>
        </w:tc>
        <w:tc>
          <w:tcPr>
            <w:tcW w:w="1088" w:type="dxa"/>
          </w:tcPr>
          <w:p w14:paraId="179CC073" w14:textId="77777777" w:rsidR="00850285" w:rsidRDefault="00850285" w:rsidP="000C69E9">
            <w:pPr>
              <w:pStyle w:val="bmdsTblHeader"/>
            </w:pPr>
            <w:r>
              <w:t>Scaled Residual at Control</w:t>
            </w:r>
          </w:p>
        </w:tc>
      </w:tr>
      <w:tr w:rsidR="00850285" w14:paraId="01FDCCAC" w14:textId="77777777" w:rsidTr="000C69E9">
        <w:tc>
          <w:tcPr>
            <w:tcW w:w="1197" w:type="dxa"/>
          </w:tcPr>
          <w:p w14:paraId="6E5F32F3" w14:textId="77777777" w:rsidR="00850285" w:rsidRDefault="00850285" w:rsidP="000C69E9">
            <w:pPr>
              <w:pStyle w:val="bmdsTblBody"/>
            </w:pPr>
            <w:r>
              <w:t>Hill</w:t>
            </w:r>
          </w:p>
        </w:tc>
        <w:tc>
          <w:tcPr>
            <w:tcW w:w="980" w:type="dxa"/>
          </w:tcPr>
          <w:p w14:paraId="553287E4" w14:textId="77777777" w:rsidR="00850285" w:rsidRDefault="00850285" w:rsidP="000C69E9">
            <w:pPr>
              <w:pStyle w:val="bmdsTblBody"/>
            </w:pPr>
            <w:r>
              <w:t>0.111</w:t>
            </w:r>
          </w:p>
        </w:tc>
        <w:tc>
          <w:tcPr>
            <w:tcW w:w="980" w:type="dxa"/>
          </w:tcPr>
          <w:p w14:paraId="0E941A29" w14:textId="77777777" w:rsidR="00850285" w:rsidRDefault="00850285" w:rsidP="000C69E9">
            <w:pPr>
              <w:pStyle w:val="bmdsTblBody"/>
            </w:pPr>
            <w:r>
              <w:t>0.086</w:t>
            </w:r>
          </w:p>
        </w:tc>
        <w:tc>
          <w:tcPr>
            <w:tcW w:w="980" w:type="dxa"/>
          </w:tcPr>
          <w:p w14:paraId="62BC52AF" w14:textId="77777777" w:rsidR="00850285" w:rsidRDefault="00850285" w:rsidP="000C69E9">
            <w:pPr>
              <w:pStyle w:val="bmdsTblBody"/>
            </w:pPr>
            <w:r>
              <w:t>8.314</w:t>
            </w:r>
          </w:p>
        </w:tc>
        <w:tc>
          <w:tcPr>
            <w:tcW w:w="980" w:type="dxa"/>
          </w:tcPr>
          <w:p w14:paraId="6DBD01D3" w14:textId="77777777" w:rsidR="00850285" w:rsidRDefault="00850285" w:rsidP="000C69E9">
            <w:pPr>
              <w:pStyle w:val="bmdsTblBody"/>
            </w:pPr>
            <w:r>
              <w:t>52.963</w:t>
            </w:r>
          </w:p>
        </w:tc>
        <w:tc>
          <w:tcPr>
            <w:tcW w:w="980" w:type="dxa"/>
          </w:tcPr>
          <w:p w14:paraId="06FBFE55" w14:textId="77777777" w:rsidR="00850285" w:rsidRDefault="00850285" w:rsidP="000C69E9">
            <w:pPr>
              <w:pStyle w:val="bmdsTblBody"/>
            </w:pPr>
            <w:r>
              <w:t>199.666</w:t>
            </w:r>
          </w:p>
        </w:tc>
        <w:tc>
          <w:tcPr>
            <w:tcW w:w="1088" w:type="dxa"/>
          </w:tcPr>
          <w:p w14:paraId="0C58ADF7" w14:textId="77777777" w:rsidR="00850285" w:rsidRDefault="00850285" w:rsidP="000C69E9">
            <w:pPr>
              <w:pStyle w:val="bmdsTblBody"/>
            </w:pPr>
            <w:r>
              <w:t>-36.668</w:t>
            </w:r>
          </w:p>
        </w:tc>
        <w:tc>
          <w:tcPr>
            <w:tcW w:w="1088" w:type="dxa"/>
          </w:tcPr>
          <w:p w14:paraId="4116A137" w14:textId="77777777" w:rsidR="00850285" w:rsidRDefault="00850285" w:rsidP="000C69E9">
            <w:pPr>
              <w:pStyle w:val="bmdsTblBody"/>
            </w:pPr>
            <w:r>
              <w:t>-1.095</w:t>
            </w:r>
          </w:p>
        </w:tc>
        <w:tc>
          <w:tcPr>
            <w:tcW w:w="1088" w:type="dxa"/>
          </w:tcPr>
          <w:p w14:paraId="1C339592" w14:textId="77777777" w:rsidR="00850285" w:rsidRDefault="00850285" w:rsidP="000C69E9">
            <w:pPr>
              <w:pStyle w:val="bmdsTblBody"/>
            </w:pPr>
            <w:r>
              <w:t>0.814</w:t>
            </w:r>
          </w:p>
        </w:tc>
      </w:tr>
      <w:tr w:rsidR="00850285" w14:paraId="34FA21CD" w14:textId="77777777" w:rsidTr="000C69E9">
        <w:tc>
          <w:tcPr>
            <w:tcW w:w="1197" w:type="dxa"/>
          </w:tcPr>
          <w:p w14:paraId="00A192AB" w14:textId="77777777" w:rsidR="00850285" w:rsidRDefault="00850285" w:rsidP="000C69E9">
            <w:pPr>
              <w:pStyle w:val="bmdsTblBody"/>
            </w:pPr>
            <w:r>
              <w:t>Gamma</w:t>
            </w:r>
          </w:p>
        </w:tc>
        <w:tc>
          <w:tcPr>
            <w:tcW w:w="980" w:type="dxa"/>
          </w:tcPr>
          <w:p w14:paraId="518455BB" w14:textId="77777777" w:rsidR="00850285" w:rsidRDefault="00850285" w:rsidP="000C69E9">
            <w:pPr>
              <w:pStyle w:val="bmdsTblBody"/>
            </w:pPr>
            <w:r>
              <w:t>0.111</w:t>
            </w:r>
          </w:p>
        </w:tc>
        <w:tc>
          <w:tcPr>
            <w:tcW w:w="980" w:type="dxa"/>
          </w:tcPr>
          <w:p w14:paraId="5CD9CCD4" w14:textId="77777777" w:rsidR="00850285" w:rsidRDefault="00850285" w:rsidP="000C69E9">
            <w:pPr>
              <w:pStyle w:val="bmdsTblBody"/>
            </w:pPr>
            <w:r>
              <w:t>0.061</w:t>
            </w:r>
          </w:p>
        </w:tc>
        <w:tc>
          <w:tcPr>
            <w:tcW w:w="980" w:type="dxa"/>
          </w:tcPr>
          <w:p w14:paraId="2A93CF50" w14:textId="77777777" w:rsidR="00850285" w:rsidRDefault="00850285" w:rsidP="000C69E9">
            <w:pPr>
              <w:pStyle w:val="bmdsTblBody"/>
            </w:pPr>
            <w:r>
              <w:t>20.882</w:t>
            </w:r>
          </w:p>
        </w:tc>
        <w:tc>
          <w:tcPr>
            <w:tcW w:w="980" w:type="dxa"/>
          </w:tcPr>
          <w:p w14:paraId="0384F1EE" w14:textId="77777777" w:rsidR="00850285" w:rsidRDefault="00850285" w:rsidP="000C69E9">
            <w:pPr>
              <w:pStyle w:val="bmdsTblBody"/>
            </w:pPr>
            <w:r>
              <w:t>73.875</w:t>
            </w:r>
          </w:p>
        </w:tc>
        <w:tc>
          <w:tcPr>
            <w:tcW w:w="980" w:type="dxa"/>
          </w:tcPr>
          <w:p w14:paraId="1E41DDFA" w14:textId="77777777" w:rsidR="00850285" w:rsidRDefault="00850285" w:rsidP="000C69E9">
            <w:pPr>
              <w:pStyle w:val="bmdsTblBody"/>
            </w:pPr>
            <w:r>
              <w:t>198.193</w:t>
            </w:r>
          </w:p>
        </w:tc>
        <w:tc>
          <w:tcPr>
            <w:tcW w:w="1088" w:type="dxa"/>
          </w:tcPr>
          <w:p w14:paraId="5FED813B" w14:textId="77777777" w:rsidR="00850285" w:rsidRDefault="00850285" w:rsidP="000C69E9">
            <w:pPr>
              <w:pStyle w:val="bmdsTblBody"/>
            </w:pPr>
            <w:r>
              <w:t>-24.567</w:t>
            </w:r>
          </w:p>
        </w:tc>
        <w:tc>
          <w:tcPr>
            <w:tcW w:w="1088" w:type="dxa"/>
          </w:tcPr>
          <w:p w14:paraId="3583A43A" w14:textId="77777777" w:rsidR="00850285" w:rsidRDefault="00850285" w:rsidP="000C69E9">
            <w:pPr>
              <w:pStyle w:val="bmdsTblBody"/>
            </w:pPr>
            <w:r>
              <w:t>-1.243</w:t>
            </w:r>
          </w:p>
        </w:tc>
        <w:tc>
          <w:tcPr>
            <w:tcW w:w="1088" w:type="dxa"/>
          </w:tcPr>
          <w:p w14:paraId="16401F36" w14:textId="77777777" w:rsidR="00850285" w:rsidRDefault="00850285" w:rsidP="000C69E9">
            <w:pPr>
              <w:pStyle w:val="bmdsTblBody"/>
            </w:pPr>
            <w:r>
              <w:t>0.888</w:t>
            </w:r>
          </w:p>
        </w:tc>
      </w:tr>
      <w:tr w:rsidR="00850285" w14:paraId="3E944B4C" w14:textId="77777777" w:rsidTr="000C69E9">
        <w:tc>
          <w:tcPr>
            <w:tcW w:w="1197" w:type="dxa"/>
          </w:tcPr>
          <w:p w14:paraId="7AEF7E60" w14:textId="77777777" w:rsidR="00850285" w:rsidRDefault="00850285" w:rsidP="000C69E9">
            <w:pPr>
              <w:pStyle w:val="bmdsTblBody"/>
            </w:pPr>
            <w:r>
              <w:t>Logistic</w:t>
            </w:r>
          </w:p>
        </w:tc>
        <w:tc>
          <w:tcPr>
            <w:tcW w:w="980" w:type="dxa"/>
          </w:tcPr>
          <w:p w14:paraId="50D01EF6" w14:textId="77777777" w:rsidR="00850285" w:rsidRDefault="00850285" w:rsidP="000C69E9">
            <w:pPr>
              <w:pStyle w:val="bmdsTblBody"/>
            </w:pPr>
            <w:r>
              <w:t>0.111</w:t>
            </w:r>
          </w:p>
        </w:tc>
        <w:tc>
          <w:tcPr>
            <w:tcW w:w="980" w:type="dxa"/>
          </w:tcPr>
          <w:p w14:paraId="5B40A765" w14:textId="77777777" w:rsidR="00850285" w:rsidRDefault="00850285" w:rsidP="000C69E9">
            <w:pPr>
              <w:pStyle w:val="bmdsTblBody"/>
            </w:pPr>
            <w:r>
              <w:t>0.074</w:t>
            </w:r>
          </w:p>
        </w:tc>
        <w:tc>
          <w:tcPr>
            <w:tcW w:w="980" w:type="dxa"/>
          </w:tcPr>
          <w:p w14:paraId="5A62BA56" w14:textId="77777777" w:rsidR="00850285" w:rsidRDefault="00850285" w:rsidP="000C69E9">
            <w:pPr>
              <w:pStyle w:val="bmdsTblBody"/>
            </w:pPr>
            <w:r>
              <w:t>77.382</w:t>
            </w:r>
          </w:p>
        </w:tc>
        <w:tc>
          <w:tcPr>
            <w:tcW w:w="980" w:type="dxa"/>
          </w:tcPr>
          <w:p w14:paraId="18935D9F" w14:textId="77777777" w:rsidR="00850285" w:rsidRDefault="00850285" w:rsidP="000C69E9">
            <w:pPr>
              <w:pStyle w:val="bmdsTblBody"/>
            </w:pPr>
            <w:r>
              <w:t>116.739</w:t>
            </w:r>
          </w:p>
        </w:tc>
        <w:tc>
          <w:tcPr>
            <w:tcW w:w="980" w:type="dxa"/>
          </w:tcPr>
          <w:p w14:paraId="687B5136" w14:textId="77777777" w:rsidR="00850285" w:rsidRDefault="00850285" w:rsidP="000C69E9">
            <w:pPr>
              <w:pStyle w:val="bmdsTblBody"/>
            </w:pPr>
            <w:r>
              <w:t>266.819</w:t>
            </w:r>
          </w:p>
        </w:tc>
        <w:tc>
          <w:tcPr>
            <w:tcW w:w="1088" w:type="dxa"/>
          </w:tcPr>
          <w:p w14:paraId="5DE76426" w14:textId="77777777" w:rsidR="00850285" w:rsidRDefault="00850285" w:rsidP="000C69E9">
            <w:pPr>
              <w:pStyle w:val="bmdsTblBody"/>
            </w:pPr>
            <w:r>
              <w:t>-26.278</w:t>
            </w:r>
          </w:p>
        </w:tc>
        <w:tc>
          <w:tcPr>
            <w:tcW w:w="1088" w:type="dxa"/>
          </w:tcPr>
          <w:p w14:paraId="10F9F65A" w14:textId="77777777" w:rsidR="00850285" w:rsidRDefault="00850285" w:rsidP="000C69E9">
            <w:pPr>
              <w:pStyle w:val="bmdsTblBody"/>
            </w:pPr>
            <w:r>
              <w:t>-1.474</w:t>
            </w:r>
          </w:p>
        </w:tc>
        <w:tc>
          <w:tcPr>
            <w:tcW w:w="1088" w:type="dxa"/>
          </w:tcPr>
          <w:p w14:paraId="606C876D" w14:textId="77777777" w:rsidR="00850285" w:rsidRDefault="00850285" w:rsidP="000C69E9">
            <w:pPr>
              <w:pStyle w:val="bmdsTblBody"/>
            </w:pPr>
            <w:r>
              <w:t>0.214</w:t>
            </w:r>
          </w:p>
        </w:tc>
      </w:tr>
      <w:tr w:rsidR="00850285" w14:paraId="79D939C5" w14:textId="77777777" w:rsidTr="000C69E9">
        <w:tc>
          <w:tcPr>
            <w:tcW w:w="1197" w:type="dxa"/>
          </w:tcPr>
          <w:p w14:paraId="5A196F42" w14:textId="77777777" w:rsidR="00850285" w:rsidRDefault="00850285" w:rsidP="000C69E9">
            <w:pPr>
              <w:pStyle w:val="bmdsTblBody"/>
            </w:pPr>
            <w:r>
              <w:t>LogLogistic</w:t>
            </w:r>
          </w:p>
        </w:tc>
        <w:tc>
          <w:tcPr>
            <w:tcW w:w="980" w:type="dxa"/>
          </w:tcPr>
          <w:p w14:paraId="1CCE3037" w14:textId="77777777" w:rsidR="00850285" w:rsidRDefault="00850285" w:rsidP="000C69E9">
            <w:pPr>
              <w:pStyle w:val="bmdsTblBody"/>
            </w:pPr>
            <w:r>
              <w:t>0.111</w:t>
            </w:r>
          </w:p>
        </w:tc>
        <w:tc>
          <w:tcPr>
            <w:tcW w:w="980" w:type="dxa"/>
          </w:tcPr>
          <w:p w14:paraId="2D1C5D69" w14:textId="77777777" w:rsidR="00850285" w:rsidRDefault="00850285" w:rsidP="000C69E9">
            <w:pPr>
              <w:pStyle w:val="bmdsTblBody"/>
            </w:pPr>
            <w:r>
              <w:t>0.104</w:t>
            </w:r>
          </w:p>
        </w:tc>
        <w:tc>
          <w:tcPr>
            <w:tcW w:w="980" w:type="dxa"/>
          </w:tcPr>
          <w:p w14:paraId="34385E29" w14:textId="77777777" w:rsidR="00850285" w:rsidRDefault="00850285" w:rsidP="000C69E9">
            <w:pPr>
              <w:pStyle w:val="bmdsTblBody"/>
            </w:pPr>
            <w:r>
              <w:t>11.536</w:t>
            </w:r>
          </w:p>
        </w:tc>
        <w:tc>
          <w:tcPr>
            <w:tcW w:w="980" w:type="dxa"/>
          </w:tcPr>
          <w:p w14:paraId="71811CA3" w14:textId="77777777" w:rsidR="00850285" w:rsidRDefault="00850285" w:rsidP="000C69E9">
            <w:pPr>
              <w:pStyle w:val="bmdsTblBody"/>
            </w:pPr>
            <w:r>
              <w:t>60.111</w:t>
            </w:r>
          </w:p>
        </w:tc>
        <w:tc>
          <w:tcPr>
            <w:tcW w:w="980" w:type="dxa"/>
          </w:tcPr>
          <w:p w14:paraId="01349FF1" w14:textId="77777777" w:rsidR="00850285" w:rsidRDefault="00850285" w:rsidP="000C69E9">
            <w:pPr>
              <w:pStyle w:val="bmdsTblBody"/>
            </w:pPr>
            <w:r>
              <w:t>188.852</w:t>
            </w:r>
          </w:p>
        </w:tc>
        <w:tc>
          <w:tcPr>
            <w:tcW w:w="1088" w:type="dxa"/>
          </w:tcPr>
          <w:p w14:paraId="5AE88471" w14:textId="77777777" w:rsidR="00850285" w:rsidRDefault="00850285" w:rsidP="000C69E9">
            <w:pPr>
              <w:pStyle w:val="bmdsTblBody"/>
            </w:pPr>
            <w:r>
              <w:t>-31.957</w:t>
            </w:r>
          </w:p>
        </w:tc>
        <w:tc>
          <w:tcPr>
            <w:tcW w:w="1088" w:type="dxa"/>
          </w:tcPr>
          <w:p w14:paraId="252DBD1E" w14:textId="77777777" w:rsidR="00850285" w:rsidRDefault="00850285" w:rsidP="000C69E9">
            <w:pPr>
              <w:pStyle w:val="bmdsTblBody"/>
            </w:pPr>
            <w:r>
              <w:t>-1.17</w:t>
            </w:r>
          </w:p>
        </w:tc>
        <w:tc>
          <w:tcPr>
            <w:tcW w:w="1088" w:type="dxa"/>
          </w:tcPr>
          <w:p w14:paraId="66BCF393" w14:textId="77777777" w:rsidR="00850285" w:rsidRDefault="00850285" w:rsidP="000C69E9">
            <w:pPr>
              <w:pStyle w:val="bmdsTblBody"/>
            </w:pPr>
            <w:r>
              <w:t>0.835</w:t>
            </w:r>
          </w:p>
        </w:tc>
      </w:tr>
      <w:tr w:rsidR="00850285" w14:paraId="52B0FBEC" w14:textId="77777777" w:rsidTr="000C69E9">
        <w:tc>
          <w:tcPr>
            <w:tcW w:w="1197" w:type="dxa"/>
          </w:tcPr>
          <w:p w14:paraId="1D8A45EF" w14:textId="77777777" w:rsidR="00850285" w:rsidRDefault="00850285" w:rsidP="000C69E9">
            <w:pPr>
              <w:pStyle w:val="bmdsTblBody"/>
            </w:pPr>
            <w:r>
              <w:t>LogProbit</w:t>
            </w:r>
          </w:p>
        </w:tc>
        <w:tc>
          <w:tcPr>
            <w:tcW w:w="980" w:type="dxa"/>
          </w:tcPr>
          <w:p w14:paraId="5CA9B5F8" w14:textId="77777777" w:rsidR="00850285" w:rsidRDefault="00850285" w:rsidP="000C69E9">
            <w:pPr>
              <w:pStyle w:val="bmdsTblBody"/>
            </w:pPr>
            <w:r>
              <w:t>0.111</w:t>
            </w:r>
          </w:p>
        </w:tc>
        <w:tc>
          <w:tcPr>
            <w:tcW w:w="980" w:type="dxa"/>
          </w:tcPr>
          <w:p w14:paraId="75B6C441" w14:textId="77777777" w:rsidR="00850285" w:rsidRDefault="00850285" w:rsidP="000C69E9">
            <w:pPr>
              <w:pStyle w:val="bmdsTblBody"/>
            </w:pPr>
            <w:r>
              <w:t>0.038</w:t>
            </w:r>
          </w:p>
        </w:tc>
        <w:tc>
          <w:tcPr>
            <w:tcW w:w="980" w:type="dxa"/>
          </w:tcPr>
          <w:p w14:paraId="7F93F7A8" w14:textId="77777777" w:rsidR="00850285" w:rsidRDefault="00850285" w:rsidP="000C69E9">
            <w:pPr>
              <w:pStyle w:val="bmdsTblBody"/>
            </w:pPr>
            <w:r>
              <w:t>33.659</w:t>
            </w:r>
          </w:p>
        </w:tc>
        <w:tc>
          <w:tcPr>
            <w:tcW w:w="980" w:type="dxa"/>
          </w:tcPr>
          <w:p w14:paraId="6A90E695" w14:textId="77777777" w:rsidR="00850285" w:rsidRDefault="00850285" w:rsidP="000C69E9">
            <w:pPr>
              <w:pStyle w:val="bmdsTblBody"/>
            </w:pPr>
            <w:r>
              <w:t>148.863</w:t>
            </w:r>
          </w:p>
        </w:tc>
        <w:tc>
          <w:tcPr>
            <w:tcW w:w="980" w:type="dxa"/>
          </w:tcPr>
          <w:p w14:paraId="53EADA63" w14:textId="77777777" w:rsidR="00850285" w:rsidRDefault="00850285" w:rsidP="000C69E9">
            <w:pPr>
              <w:pStyle w:val="bmdsTblBody"/>
            </w:pPr>
            <w:r>
              <w:t>302.865</w:t>
            </w:r>
          </w:p>
        </w:tc>
        <w:tc>
          <w:tcPr>
            <w:tcW w:w="1088" w:type="dxa"/>
          </w:tcPr>
          <w:p w14:paraId="73C8F642" w14:textId="77777777" w:rsidR="00850285" w:rsidRDefault="00850285" w:rsidP="000C69E9">
            <w:pPr>
              <w:pStyle w:val="bmdsTblBody"/>
            </w:pPr>
            <w:r>
              <w:t>-31.999</w:t>
            </w:r>
          </w:p>
        </w:tc>
        <w:tc>
          <w:tcPr>
            <w:tcW w:w="1088" w:type="dxa"/>
          </w:tcPr>
          <w:p w14:paraId="7F9C2A33" w14:textId="77777777" w:rsidR="00850285" w:rsidRDefault="00850285" w:rsidP="000C69E9">
            <w:pPr>
              <w:pStyle w:val="bmdsTblBody"/>
            </w:pPr>
            <w:r>
              <w:t>-1.423</w:t>
            </w:r>
          </w:p>
        </w:tc>
        <w:tc>
          <w:tcPr>
            <w:tcW w:w="1088" w:type="dxa"/>
          </w:tcPr>
          <w:p w14:paraId="250BD9D8" w14:textId="77777777" w:rsidR="00850285" w:rsidRDefault="00850285" w:rsidP="000C69E9">
            <w:pPr>
              <w:pStyle w:val="bmdsTblBody"/>
            </w:pPr>
            <w:r>
              <w:t>0.391</w:t>
            </w:r>
          </w:p>
        </w:tc>
      </w:tr>
      <w:tr w:rsidR="00850285" w14:paraId="712BB9FB" w14:textId="77777777" w:rsidTr="000C69E9">
        <w:tc>
          <w:tcPr>
            <w:tcW w:w="1197" w:type="dxa"/>
          </w:tcPr>
          <w:p w14:paraId="6ABD7F5F" w14:textId="77777777" w:rsidR="00850285" w:rsidRDefault="00850285" w:rsidP="000C69E9">
            <w:pPr>
              <w:pStyle w:val="bmdsTblBody"/>
            </w:pPr>
            <w:r>
              <w:t>Multistage 2</w:t>
            </w:r>
          </w:p>
        </w:tc>
        <w:tc>
          <w:tcPr>
            <w:tcW w:w="980" w:type="dxa"/>
          </w:tcPr>
          <w:p w14:paraId="02CC5C45" w14:textId="77777777" w:rsidR="00850285" w:rsidRDefault="00850285" w:rsidP="000C69E9">
            <w:pPr>
              <w:pStyle w:val="bmdsTblBody"/>
            </w:pPr>
            <w:r>
              <w:t>0.111</w:t>
            </w:r>
          </w:p>
        </w:tc>
        <w:tc>
          <w:tcPr>
            <w:tcW w:w="980" w:type="dxa"/>
          </w:tcPr>
          <w:p w14:paraId="74FC8719" w14:textId="77777777" w:rsidR="00850285" w:rsidRDefault="00850285" w:rsidP="000C69E9">
            <w:pPr>
              <w:pStyle w:val="bmdsTblBody"/>
            </w:pPr>
            <w:r>
              <w:t>0.03</w:t>
            </w:r>
          </w:p>
        </w:tc>
        <w:tc>
          <w:tcPr>
            <w:tcW w:w="980" w:type="dxa"/>
          </w:tcPr>
          <w:p w14:paraId="16D7C798" w14:textId="77777777" w:rsidR="00850285" w:rsidRDefault="00850285" w:rsidP="000C69E9">
            <w:pPr>
              <w:pStyle w:val="bmdsTblBody"/>
            </w:pPr>
            <w:r>
              <w:t>33.029</w:t>
            </w:r>
          </w:p>
        </w:tc>
        <w:tc>
          <w:tcPr>
            <w:tcW w:w="980" w:type="dxa"/>
          </w:tcPr>
          <w:p w14:paraId="6F10BFD9" w14:textId="77777777" w:rsidR="00850285" w:rsidRDefault="00850285" w:rsidP="000C69E9">
            <w:pPr>
              <w:pStyle w:val="bmdsTblBody"/>
            </w:pPr>
            <w:r>
              <w:t>66.546</w:t>
            </w:r>
          </w:p>
        </w:tc>
        <w:tc>
          <w:tcPr>
            <w:tcW w:w="980" w:type="dxa"/>
          </w:tcPr>
          <w:p w14:paraId="709CD96C" w14:textId="77777777" w:rsidR="00850285" w:rsidRDefault="00850285" w:rsidP="000C69E9">
            <w:pPr>
              <w:pStyle w:val="bmdsTblBody"/>
            </w:pPr>
            <w:r>
              <w:t>133.592</w:t>
            </w:r>
          </w:p>
        </w:tc>
        <w:tc>
          <w:tcPr>
            <w:tcW w:w="1088" w:type="dxa"/>
          </w:tcPr>
          <w:p w14:paraId="4C4DEC29" w14:textId="77777777" w:rsidR="00850285" w:rsidRDefault="00850285" w:rsidP="000C69E9">
            <w:pPr>
              <w:pStyle w:val="bmdsTblBody"/>
            </w:pPr>
            <w:r>
              <w:t>-28.95</w:t>
            </w:r>
          </w:p>
        </w:tc>
        <w:tc>
          <w:tcPr>
            <w:tcW w:w="1088" w:type="dxa"/>
          </w:tcPr>
          <w:p w14:paraId="6469B855" w14:textId="77777777" w:rsidR="00850285" w:rsidRDefault="00850285" w:rsidP="000C69E9">
            <w:pPr>
              <w:pStyle w:val="bmdsTblBody"/>
            </w:pPr>
            <w:r>
              <w:t>-1.19</w:t>
            </w:r>
          </w:p>
        </w:tc>
        <w:tc>
          <w:tcPr>
            <w:tcW w:w="1088" w:type="dxa"/>
          </w:tcPr>
          <w:p w14:paraId="46D1941B" w14:textId="77777777" w:rsidR="00850285" w:rsidRDefault="00850285" w:rsidP="000C69E9">
            <w:pPr>
              <w:pStyle w:val="bmdsTblBody"/>
            </w:pPr>
            <w:r>
              <w:t>0.875</w:t>
            </w:r>
          </w:p>
        </w:tc>
      </w:tr>
      <w:tr w:rsidR="00850285" w14:paraId="5C6DF0E9" w14:textId="77777777" w:rsidTr="000C69E9">
        <w:tc>
          <w:tcPr>
            <w:tcW w:w="1197" w:type="dxa"/>
          </w:tcPr>
          <w:p w14:paraId="358ABAC9" w14:textId="77777777" w:rsidR="00850285" w:rsidRDefault="00850285" w:rsidP="000C69E9">
            <w:pPr>
              <w:pStyle w:val="bmdsTblBody"/>
            </w:pPr>
            <w:r>
              <w:t>Probit</w:t>
            </w:r>
          </w:p>
        </w:tc>
        <w:tc>
          <w:tcPr>
            <w:tcW w:w="980" w:type="dxa"/>
          </w:tcPr>
          <w:p w14:paraId="262C7A60" w14:textId="77777777" w:rsidR="00850285" w:rsidRDefault="00850285" w:rsidP="000C69E9">
            <w:pPr>
              <w:pStyle w:val="bmdsTblBody"/>
            </w:pPr>
            <w:r>
              <w:t>0.111</w:t>
            </w:r>
          </w:p>
        </w:tc>
        <w:tc>
          <w:tcPr>
            <w:tcW w:w="980" w:type="dxa"/>
          </w:tcPr>
          <w:p w14:paraId="135F880C" w14:textId="77777777" w:rsidR="00850285" w:rsidRDefault="00850285" w:rsidP="000C69E9">
            <w:pPr>
              <w:pStyle w:val="bmdsTblBody"/>
            </w:pPr>
            <w:r>
              <w:t>0.165</w:t>
            </w:r>
          </w:p>
        </w:tc>
        <w:tc>
          <w:tcPr>
            <w:tcW w:w="980" w:type="dxa"/>
          </w:tcPr>
          <w:p w14:paraId="52F2FFA9" w14:textId="77777777" w:rsidR="00850285" w:rsidRDefault="00850285" w:rsidP="000C69E9">
            <w:pPr>
              <w:pStyle w:val="bmdsTblBody"/>
            </w:pPr>
            <w:r>
              <w:t>72.37</w:t>
            </w:r>
          </w:p>
        </w:tc>
        <w:tc>
          <w:tcPr>
            <w:tcW w:w="980" w:type="dxa"/>
          </w:tcPr>
          <w:p w14:paraId="4F46E54A" w14:textId="77777777" w:rsidR="00850285" w:rsidRDefault="00850285" w:rsidP="000C69E9">
            <w:pPr>
              <w:pStyle w:val="bmdsTblBody"/>
            </w:pPr>
            <w:r>
              <w:t>108.83</w:t>
            </w:r>
          </w:p>
        </w:tc>
        <w:tc>
          <w:tcPr>
            <w:tcW w:w="980" w:type="dxa"/>
          </w:tcPr>
          <w:p w14:paraId="6DD71B20" w14:textId="77777777" w:rsidR="00850285" w:rsidRDefault="00850285" w:rsidP="000C69E9">
            <w:pPr>
              <w:pStyle w:val="bmdsTblBody"/>
            </w:pPr>
            <w:r>
              <w:t>197.75</w:t>
            </w:r>
          </w:p>
        </w:tc>
        <w:tc>
          <w:tcPr>
            <w:tcW w:w="1088" w:type="dxa"/>
          </w:tcPr>
          <w:p w14:paraId="70389342" w14:textId="77777777" w:rsidR="00850285" w:rsidRDefault="00850285" w:rsidP="000C69E9">
            <w:pPr>
              <w:pStyle w:val="bmdsTblBody"/>
            </w:pPr>
            <w:r>
              <w:t>-23.16</w:t>
            </w:r>
          </w:p>
        </w:tc>
        <w:tc>
          <w:tcPr>
            <w:tcW w:w="1088" w:type="dxa"/>
          </w:tcPr>
          <w:p w14:paraId="457635E6" w14:textId="77777777" w:rsidR="00850285" w:rsidRDefault="00850285" w:rsidP="000C69E9">
            <w:pPr>
              <w:pStyle w:val="bmdsTblBody"/>
            </w:pPr>
            <w:r>
              <w:t>-1.343</w:t>
            </w:r>
          </w:p>
        </w:tc>
        <w:tc>
          <w:tcPr>
            <w:tcW w:w="1088" w:type="dxa"/>
          </w:tcPr>
          <w:p w14:paraId="62FE9A2F" w14:textId="77777777" w:rsidR="00850285" w:rsidRDefault="00850285" w:rsidP="000C69E9">
            <w:pPr>
              <w:pStyle w:val="bmdsTblBody"/>
            </w:pPr>
            <w:r>
              <w:t>0.262</w:t>
            </w:r>
          </w:p>
        </w:tc>
      </w:tr>
      <w:tr w:rsidR="00850285" w14:paraId="1BA3EB73" w14:textId="77777777" w:rsidTr="000C69E9">
        <w:tc>
          <w:tcPr>
            <w:tcW w:w="1197" w:type="dxa"/>
          </w:tcPr>
          <w:p w14:paraId="00C013CF" w14:textId="77777777" w:rsidR="00850285" w:rsidRDefault="00850285" w:rsidP="000C69E9">
            <w:pPr>
              <w:pStyle w:val="bmdsTblBody"/>
            </w:pPr>
            <w:r>
              <w:t>Quantal Linear</w:t>
            </w:r>
          </w:p>
        </w:tc>
        <w:tc>
          <w:tcPr>
            <w:tcW w:w="980" w:type="dxa"/>
          </w:tcPr>
          <w:p w14:paraId="63C494A9" w14:textId="77777777" w:rsidR="00850285" w:rsidRDefault="00850285" w:rsidP="000C69E9">
            <w:pPr>
              <w:pStyle w:val="bmdsTblBody"/>
            </w:pPr>
            <w:r>
              <w:t>0.111</w:t>
            </w:r>
          </w:p>
        </w:tc>
        <w:tc>
          <w:tcPr>
            <w:tcW w:w="980" w:type="dxa"/>
          </w:tcPr>
          <w:p w14:paraId="0787F489" w14:textId="77777777" w:rsidR="00850285" w:rsidRDefault="00850285" w:rsidP="000C69E9">
            <w:pPr>
              <w:pStyle w:val="bmdsTblBody"/>
            </w:pPr>
            <w:r>
              <w:t>0.371</w:t>
            </w:r>
          </w:p>
        </w:tc>
        <w:tc>
          <w:tcPr>
            <w:tcW w:w="980" w:type="dxa"/>
          </w:tcPr>
          <w:p w14:paraId="05BCE23F" w14:textId="77777777" w:rsidR="00850285" w:rsidRDefault="00850285" w:rsidP="000C69E9">
            <w:pPr>
              <w:pStyle w:val="bmdsTblBody"/>
            </w:pPr>
            <w:r>
              <w:t>27.904</w:t>
            </w:r>
          </w:p>
        </w:tc>
        <w:tc>
          <w:tcPr>
            <w:tcW w:w="980" w:type="dxa"/>
          </w:tcPr>
          <w:p w14:paraId="3A404063" w14:textId="77777777" w:rsidR="00850285" w:rsidRDefault="00850285" w:rsidP="000C69E9">
            <w:pPr>
              <w:pStyle w:val="bmdsTblBody"/>
            </w:pPr>
            <w:r>
              <w:t>49.098</w:t>
            </w:r>
          </w:p>
        </w:tc>
        <w:tc>
          <w:tcPr>
            <w:tcW w:w="980" w:type="dxa"/>
          </w:tcPr>
          <w:p w14:paraId="4DF2E3F7" w14:textId="77777777" w:rsidR="00850285" w:rsidRDefault="00850285" w:rsidP="000C69E9">
            <w:pPr>
              <w:pStyle w:val="bmdsTblBody"/>
            </w:pPr>
            <w:r>
              <w:t>106.801</w:t>
            </w:r>
          </w:p>
        </w:tc>
        <w:tc>
          <w:tcPr>
            <w:tcW w:w="1088" w:type="dxa"/>
          </w:tcPr>
          <w:p w14:paraId="7A2057F0" w14:textId="77777777" w:rsidR="00850285" w:rsidRDefault="00850285" w:rsidP="000C69E9">
            <w:pPr>
              <w:pStyle w:val="bmdsTblBody"/>
            </w:pPr>
            <w:r>
              <w:t>-23.125</w:t>
            </w:r>
          </w:p>
        </w:tc>
        <w:tc>
          <w:tcPr>
            <w:tcW w:w="1088" w:type="dxa"/>
          </w:tcPr>
          <w:p w14:paraId="45DA90E4" w14:textId="77777777" w:rsidR="00850285" w:rsidRDefault="00850285" w:rsidP="000C69E9">
            <w:pPr>
              <w:pStyle w:val="bmdsTblBody"/>
            </w:pPr>
            <w:r>
              <w:t>-1.151</w:t>
            </w:r>
          </w:p>
        </w:tc>
        <w:tc>
          <w:tcPr>
            <w:tcW w:w="1088" w:type="dxa"/>
          </w:tcPr>
          <w:p w14:paraId="6CF55AA9" w14:textId="77777777" w:rsidR="00850285" w:rsidRDefault="00850285" w:rsidP="000C69E9">
            <w:pPr>
              <w:pStyle w:val="bmdsTblBody"/>
            </w:pPr>
            <w:r>
              <w:t>0.702</w:t>
            </w:r>
          </w:p>
        </w:tc>
      </w:tr>
      <w:tr w:rsidR="00850285" w14:paraId="7DFD2D65" w14:textId="77777777" w:rsidTr="000C69E9">
        <w:tc>
          <w:tcPr>
            <w:tcW w:w="1197" w:type="dxa"/>
          </w:tcPr>
          <w:p w14:paraId="7A8C5D89" w14:textId="77777777" w:rsidR="00850285" w:rsidRDefault="00850285" w:rsidP="000C69E9">
            <w:pPr>
              <w:pStyle w:val="bmdsTblBody"/>
            </w:pPr>
            <w:r>
              <w:t>Weibull</w:t>
            </w:r>
          </w:p>
        </w:tc>
        <w:tc>
          <w:tcPr>
            <w:tcW w:w="980" w:type="dxa"/>
          </w:tcPr>
          <w:p w14:paraId="75ED4AE6" w14:textId="77777777" w:rsidR="00850285" w:rsidRDefault="00850285" w:rsidP="000C69E9">
            <w:pPr>
              <w:pStyle w:val="bmdsTblBody"/>
            </w:pPr>
            <w:r>
              <w:t>0.111</w:t>
            </w:r>
          </w:p>
        </w:tc>
        <w:tc>
          <w:tcPr>
            <w:tcW w:w="980" w:type="dxa"/>
          </w:tcPr>
          <w:p w14:paraId="2B5F5CC1" w14:textId="77777777" w:rsidR="00850285" w:rsidRDefault="00850285" w:rsidP="000C69E9">
            <w:pPr>
              <w:pStyle w:val="bmdsTblBody"/>
            </w:pPr>
            <w:r>
              <w:t>0.071</w:t>
            </w:r>
          </w:p>
        </w:tc>
        <w:tc>
          <w:tcPr>
            <w:tcW w:w="980" w:type="dxa"/>
          </w:tcPr>
          <w:p w14:paraId="0476340E" w14:textId="77777777" w:rsidR="00850285" w:rsidRDefault="00850285" w:rsidP="000C69E9">
            <w:pPr>
              <w:pStyle w:val="bmdsTblBody"/>
            </w:pPr>
            <w:r>
              <w:t>9.497</w:t>
            </w:r>
          </w:p>
        </w:tc>
        <w:tc>
          <w:tcPr>
            <w:tcW w:w="980" w:type="dxa"/>
          </w:tcPr>
          <w:p w14:paraId="45B7ABB1" w14:textId="77777777" w:rsidR="00850285" w:rsidRDefault="00850285" w:rsidP="000C69E9">
            <w:pPr>
              <w:pStyle w:val="bmdsTblBody"/>
            </w:pPr>
            <w:r>
              <w:t>55.043</w:t>
            </w:r>
          </w:p>
        </w:tc>
        <w:tc>
          <w:tcPr>
            <w:tcW w:w="980" w:type="dxa"/>
          </w:tcPr>
          <w:p w14:paraId="32427E64" w14:textId="77777777" w:rsidR="00850285" w:rsidRDefault="00850285" w:rsidP="000C69E9">
            <w:pPr>
              <w:pStyle w:val="bmdsTblBody"/>
            </w:pPr>
            <w:r>
              <w:t>193.518</w:t>
            </w:r>
          </w:p>
        </w:tc>
        <w:tc>
          <w:tcPr>
            <w:tcW w:w="1088" w:type="dxa"/>
          </w:tcPr>
          <w:p w14:paraId="3BF79B0B" w14:textId="77777777" w:rsidR="00850285" w:rsidRDefault="00850285" w:rsidP="000C69E9">
            <w:pPr>
              <w:pStyle w:val="bmdsTblBody"/>
            </w:pPr>
            <w:r>
              <w:t>-30.072</w:t>
            </w:r>
          </w:p>
        </w:tc>
        <w:tc>
          <w:tcPr>
            <w:tcW w:w="1088" w:type="dxa"/>
          </w:tcPr>
          <w:p w14:paraId="2503D13C" w14:textId="77777777" w:rsidR="00850285" w:rsidRDefault="00850285" w:rsidP="000C69E9">
            <w:pPr>
              <w:pStyle w:val="bmdsTblBody"/>
            </w:pPr>
            <w:r>
              <w:t>-1.186</w:t>
            </w:r>
          </w:p>
        </w:tc>
        <w:tc>
          <w:tcPr>
            <w:tcW w:w="1088" w:type="dxa"/>
          </w:tcPr>
          <w:p w14:paraId="1E7EB547" w14:textId="77777777" w:rsidR="00850285" w:rsidRDefault="00850285" w:rsidP="000C69E9">
            <w:pPr>
              <w:pStyle w:val="bmdsTblBody"/>
            </w:pPr>
            <w:r>
              <w:t>0.742</w:t>
            </w:r>
          </w:p>
        </w:tc>
      </w:tr>
      <w:tr w:rsidR="00850285" w14:paraId="7D1376CA" w14:textId="77777777" w:rsidTr="00850285">
        <w:tc>
          <w:tcPr>
            <w:tcW w:w="1197" w:type="dxa"/>
            <w:shd w:val="clear" w:color="auto" w:fill="FFFF00"/>
          </w:tcPr>
          <w:p w14:paraId="74C37C44" w14:textId="77777777" w:rsidR="00850285" w:rsidRDefault="00850285" w:rsidP="000C69E9">
            <w:pPr>
              <w:pStyle w:val="bmdsTblBody"/>
            </w:pPr>
            <w:r>
              <w:t>Model Average</w:t>
            </w:r>
          </w:p>
        </w:tc>
        <w:tc>
          <w:tcPr>
            <w:tcW w:w="980" w:type="dxa"/>
            <w:shd w:val="clear" w:color="auto" w:fill="FFFF00"/>
          </w:tcPr>
          <w:p w14:paraId="0A833138" w14:textId="77777777" w:rsidR="00850285" w:rsidRDefault="00850285" w:rsidP="000C69E9">
            <w:pPr>
              <w:pStyle w:val="bmdsTblBody"/>
            </w:pPr>
            <w:r>
              <w:t>-</w:t>
            </w:r>
          </w:p>
        </w:tc>
        <w:tc>
          <w:tcPr>
            <w:tcW w:w="980" w:type="dxa"/>
            <w:shd w:val="clear" w:color="auto" w:fill="FFFF00"/>
          </w:tcPr>
          <w:p w14:paraId="6603F633" w14:textId="77777777" w:rsidR="00850285" w:rsidRDefault="00850285" w:rsidP="000C69E9">
            <w:pPr>
              <w:pStyle w:val="bmdsTblBody"/>
            </w:pPr>
            <w:r>
              <w:t>-</w:t>
            </w:r>
          </w:p>
        </w:tc>
        <w:tc>
          <w:tcPr>
            <w:tcW w:w="980" w:type="dxa"/>
            <w:shd w:val="clear" w:color="auto" w:fill="FFFF00"/>
          </w:tcPr>
          <w:p w14:paraId="4108FFF5" w14:textId="77777777" w:rsidR="00850285" w:rsidRDefault="00850285" w:rsidP="000C69E9">
            <w:pPr>
              <w:pStyle w:val="bmdsTblBody"/>
            </w:pPr>
            <w:r>
              <w:t>17.548</w:t>
            </w:r>
          </w:p>
        </w:tc>
        <w:tc>
          <w:tcPr>
            <w:tcW w:w="980" w:type="dxa"/>
            <w:shd w:val="clear" w:color="auto" w:fill="FFFF00"/>
          </w:tcPr>
          <w:p w14:paraId="11503665" w14:textId="77777777" w:rsidR="00850285" w:rsidRDefault="00850285" w:rsidP="000C69E9">
            <w:pPr>
              <w:pStyle w:val="bmdsTblBody"/>
            </w:pPr>
            <w:r>
              <w:t>68.649</w:t>
            </w:r>
          </w:p>
        </w:tc>
        <w:tc>
          <w:tcPr>
            <w:tcW w:w="980" w:type="dxa"/>
            <w:shd w:val="clear" w:color="auto" w:fill="FFFF00"/>
          </w:tcPr>
          <w:p w14:paraId="4D4372BE" w14:textId="77777777" w:rsidR="00850285" w:rsidRDefault="00850285" w:rsidP="000C69E9">
            <w:pPr>
              <w:pStyle w:val="bmdsTblBody"/>
            </w:pPr>
            <w:r>
              <w:t>185.86</w:t>
            </w:r>
          </w:p>
        </w:tc>
        <w:tc>
          <w:tcPr>
            <w:tcW w:w="1088" w:type="dxa"/>
          </w:tcPr>
          <w:p w14:paraId="2F95C9C0" w14:textId="77777777" w:rsidR="00850285" w:rsidRDefault="00850285" w:rsidP="000C69E9">
            <w:pPr>
              <w:pStyle w:val="bmdsTblBody"/>
            </w:pPr>
            <w:r>
              <w:t>-</w:t>
            </w:r>
          </w:p>
        </w:tc>
        <w:tc>
          <w:tcPr>
            <w:tcW w:w="1088" w:type="dxa"/>
          </w:tcPr>
          <w:p w14:paraId="2069A5B7" w14:textId="77777777" w:rsidR="00850285" w:rsidRDefault="00850285" w:rsidP="000C69E9">
            <w:pPr>
              <w:pStyle w:val="bmdsTblBody"/>
            </w:pPr>
            <w:r>
              <w:t>-</w:t>
            </w:r>
          </w:p>
        </w:tc>
        <w:tc>
          <w:tcPr>
            <w:tcW w:w="1088" w:type="dxa"/>
          </w:tcPr>
          <w:p w14:paraId="10072497" w14:textId="77777777" w:rsidR="00850285" w:rsidRDefault="00850285" w:rsidP="000C69E9">
            <w:pPr>
              <w:pStyle w:val="bmdsTblBody"/>
            </w:pPr>
            <w:r>
              <w:t>-</w:t>
            </w:r>
          </w:p>
        </w:tc>
      </w:tr>
    </w:tbl>
    <w:p w14:paraId="7A90AC13" w14:textId="77777777" w:rsidR="00850285" w:rsidRDefault="00850285">
      <w:pPr>
        <w:rPr>
          <w:b/>
          <w:bCs w:val="0"/>
        </w:rPr>
      </w:pPr>
    </w:p>
    <w:p w14:paraId="1AF69F72" w14:textId="3889C487" w:rsidR="003B445C" w:rsidRPr="00847903" w:rsidRDefault="003230A7">
      <w:pPr>
        <w:rPr>
          <w:b/>
          <w:bCs w:val="0"/>
        </w:rPr>
      </w:pPr>
      <w:r>
        <w:rPr>
          <w:noProof/>
        </w:rPr>
        <w:drawing>
          <wp:inline distT="0" distB="0" distL="0" distR="0" wp14:anchorId="647D8AF2" wp14:editId="3192B2F2">
            <wp:extent cx="4769611" cy="2981007"/>
            <wp:effectExtent l="0" t="0" r="0" b="0"/>
            <wp:docPr id="1393456450" name="Picture 1393456450" descr="A graph of a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56450" name="Picture 1393456450" descr="A graph of a model&#10;&#10;AI-generated content may be incorrect."/>
                    <pic:cNvPicPr/>
                  </pic:nvPicPr>
                  <pic:blipFill>
                    <a:blip r:embed="rId10"/>
                    <a:stretch>
                      <a:fillRect/>
                    </a:stretch>
                  </pic:blipFill>
                  <pic:spPr>
                    <a:xfrm>
                      <a:off x="0" y="0"/>
                      <a:ext cx="4776088" cy="2985055"/>
                    </a:xfrm>
                    <a:prstGeom prst="rect">
                      <a:avLst/>
                    </a:prstGeom>
                  </pic:spPr>
                </pic:pic>
              </a:graphicData>
            </a:graphic>
          </wp:inline>
        </w:drawing>
      </w:r>
    </w:p>
    <w:sectPr w:rsidR="003B445C" w:rsidRPr="00847903" w:rsidSect="008F72CB">
      <w:headerReference w:type="even" r:id="rId11"/>
      <w:headerReference w:type="default" r:id="rId12"/>
      <w:footerReference w:type="default" r:id="rId13"/>
      <w:headerReference w:type="first" r:id="rId14"/>
      <w:pgSz w:w="12240" w:h="15840"/>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E0EC0" w14:textId="77777777" w:rsidR="003B43C9" w:rsidRDefault="003B43C9" w:rsidP="00CA5837">
      <w:r>
        <w:separator/>
      </w:r>
    </w:p>
  </w:endnote>
  <w:endnote w:type="continuationSeparator" w:id="0">
    <w:p w14:paraId="486C72C0" w14:textId="77777777" w:rsidR="003B43C9" w:rsidRDefault="003B43C9" w:rsidP="00CA5837">
      <w:r>
        <w:continuationSeparator/>
      </w:r>
    </w:p>
  </w:endnote>
  <w:endnote w:type="continuationNotice" w:id="1">
    <w:p w14:paraId="2425A0C5" w14:textId="77777777" w:rsidR="003B43C9" w:rsidRDefault="003B43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roid Sans Fallback">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79289"/>
      <w:docPartObj>
        <w:docPartGallery w:val="Page Numbers (Bottom of Page)"/>
        <w:docPartUnique/>
      </w:docPartObj>
    </w:sdtPr>
    <w:sdtEndPr>
      <w:rPr>
        <w:noProof/>
      </w:rPr>
    </w:sdtEndPr>
    <w:sdtContent>
      <w:p w14:paraId="6A98A0BA" w14:textId="3766C54F" w:rsidR="00CA5837" w:rsidRDefault="00CA58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B73A9F" w14:textId="77777777" w:rsidR="00CA5837" w:rsidRDefault="00CA5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3B88F" w14:textId="77777777" w:rsidR="003B43C9" w:rsidRDefault="003B43C9" w:rsidP="00CA5837">
      <w:r>
        <w:separator/>
      </w:r>
    </w:p>
  </w:footnote>
  <w:footnote w:type="continuationSeparator" w:id="0">
    <w:p w14:paraId="0316F77D" w14:textId="77777777" w:rsidR="003B43C9" w:rsidRDefault="003B43C9" w:rsidP="00CA5837">
      <w:r>
        <w:continuationSeparator/>
      </w:r>
    </w:p>
  </w:footnote>
  <w:footnote w:type="continuationNotice" w:id="1">
    <w:p w14:paraId="4A64DA3C" w14:textId="77777777" w:rsidR="003B43C9" w:rsidRDefault="003B43C9"/>
  </w:footnote>
  <w:footnote w:id="2">
    <w:p w14:paraId="6781AF22" w14:textId="325425B0" w:rsidR="00ED6D7F" w:rsidRPr="00B22BFE" w:rsidRDefault="00ED6D7F" w:rsidP="00ED6D7F">
      <w:pPr>
        <w:pStyle w:val="FootnoteText"/>
        <w:rPr>
          <w:szCs w:val="16"/>
        </w:rPr>
      </w:pPr>
      <w:r w:rsidRPr="00EE3C66">
        <w:rPr>
          <w:rStyle w:val="FootnoteReference"/>
        </w:rPr>
        <w:footnoteRef/>
      </w:r>
      <w:r w:rsidRPr="00B22BFE">
        <w:rPr>
          <w:szCs w:val="16"/>
        </w:rPr>
        <w:t xml:space="preserve"> </w:t>
      </w:r>
      <w:r w:rsidR="00C8158A">
        <w:rPr>
          <w:szCs w:val="16"/>
        </w:rPr>
        <w:t>T</w:t>
      </w:r>
      <w:r w:rsidRPr="00B22BFE">
        <w:rPr>
          <w:szCs w:val="16"/>
        </w:rPr>
        <w:t xml:space="preserve">he BMRs in Table 2 were for a binary BMR of 5% added-risk </w:t>
      </w:r>
      <w:r>
        <w:rPr>
          <w:szCs w:val="16"/>
        </w:rPr>
        <w:t>and not % extra-risk as modelled for the Iraq</w:t>
      </w:r>
      <w:r w:rsidR="00C8158A">
        <w:rPr>
          <w:szCs w:val="16"/>
        </w:rPr>
        <w:t>i</w:t>
      </w:r>
      <w:r>
        <w:rPr>
          <w:szCs w:val="16"/>
        </w:rPr>
        <w:t xml:space="preserve"> </w:t>
      </w:r>
      <w:r w:rsidR="00A858AE">
        <w:rPr>
          <w:szCs w:val="16"/>
        </w:rPr>
        <w:t>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61E4" w14:textId="3D5D9951" w:rsidR="00AF6C40" w:rsidRDefault="005D74BE">
    <w:pPr>
      <w:pStyle w:val="Header"/>
    </w:pPr>
    <w:r>
      <w:rPr>
        <w:noProof/>
      </w:rPr>
      <mc:AlternateContent>
        <mc:Choice Requires="wps">
          <w:drawing>
            <wp:anchor distT="0" distB="0" distL="0" distR="0" simplePos="0" relativeHeight="251659264" behindDoc="0" locked="0" layoutInCell="1" allowOverlap="1" wp14:anchorId="4ACF9290" wp14:editId="23AC51C8">
              <wp:simplePos x="635" y="635"/>
              <wp:positionH relativeFrom="page">
                <wp:align>right</wp:align>
              </wp:positionH>
              <wp:positionV relativeFrom="page">
                <wp:align>top</wp:align>
              </wp:positionV>
              <wp:extent cx="2037080" cy="376555"/>
              <wp:effectExtent l="0" t="0" r="0" b="4445"/>
              <wp:wrapNone/>
              <wp:docPr id="1459123414"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37080" cy="376555"/>
                      </a:xfrm>
                      <a:prstGeom prst="rect">
                        <a:avLst/>
                      </a:prstGeom>
                      <a:noFill/>
                      <a:ln>
                        <a:noFill/>
                      </a:ln>
                    </wps:spPr>
                    <wps:txbx>
                      <w:txbxContent>
                        <w:p w14:paraId="7FA03FD3" w14:textId="41BD77BD" w:rsidR="005D74BE" w:rsidRPr="005D74BE" w:rsidRDefault="005D74BE" w:rsidP="005D74BE">
                          <w:pPr>
                            <w:rPr>
                              <w:rFonts w:ascii="Aptos" w:eastAsia="Aptos" w:hAnsi="Aptos" w:cs="Aptos"/>
                              <w:noProof/>
                              <w:color w:val="000000"/>
                              <w:sz w:val="24"/>
                              <w:szCs w:val="24"/>
                            </w:rPr>
                          </w:pPr>
                          <w:r w:rsidRPr="005D74BE">
                            <w:rPr>
                              <w:rFonts w:ascii="Aptos" w:eastAsia="Aptos" w:hAnsi="Aptos" w:cs="Aptos"/>
                              <w:noProof/>
                              <w:color w:val="000000"/>
                              <w:sz w:val="24"/>
                              <w:szCs w:val="24"/>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ACF9290" id="_x0000_t202" coordsize="21600,21600" o:spt="202" path="m,l,21600r21600,l21600,xe">
              <v:stroke joinstyle="miter"/>
              <v:path gradientshapeok="t" o:connecttype="rect"/>
            </v:shapetype>
            <v:shape id="Text Box 2" o:spid="_x0000_s1026" type="#_x0000_t202" alt="Unclassified / Non classifié" style="position:absolute;margin-left:120.4pt;margin-top:0;width:160.4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" filled="f" stroked="f">
              <v:fill o:detectmouseclick="t"/>
              <v:textbox style="mso-fit-shape-to-text:t" inset="0,15pt,20pt,0">
                <w:txbxContent>
                  <w:p w14:paraId="7FA03FD3" w14:textId="41BD77BD" w:rsidR="005D74BE" w:rsidRPr="005D74BE" w:rsidRDefault="005D74BE" w:rsidP="005D74BE">
                    <w:pPr>
                      <w:rPr>
                        <w:rFonts w:ascii="Aptos" w:eastAsia="Aptos" w:hAnsi="Aptos" w:cs="Aptos"/>
                        <w:noProof/>
                        <w:color w:val="000000"/>
                        <w:sz w:val="24"/>
                        <w:szCs w:val="24"/>
                      </w:rPr>
                    </w:pPr>
                    <w:r w:rsidRPr="005D74BE">
                      <w:rPr>
                        <w:rFonts w:ascii="Aptos" w:eastAsia="Aptos" w:hAnsi="Aptos" w:cs="Aptos"/>
                        <w:noProof/>
                        <w:color w:val="000000"/>
                        <w:sz w:val="24"/>
                        <w:szCs w:val="24"/>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B0E6" w14:textId="19A3054B" w:rsidR="005D74BE" w:rsidRDefault="005D74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D6E7B" w14:textId="70F2CB5B" w:rsidR="00AF6C40" w:rsidRDefault="005D74BE">
    <w:pPr>
      <w:pStyle w:val="Header"/>
    </w:pPr>
    <w:r>
      <w:rPr>
        <w:noProof/>
      </w:rPr>
      <mc:AlternateContent>
        <mc:Choice Requires="wps">
          <w:drawing>
            <wp:anchor distT="0" distB="0" distL="0" distR="0" simplePos="0" relativeHeight="251658240" behindDoc="0" locked="0" layoutInCell="1" allowOverlap="1" wp14:anchorId="2D705227" wp14:editId="078DE9D9">
              <wp:simplePos x="635" y="635"/>
              <wp:positionH relativeFrom="page">
                <wp:align>right</wp:align>
              </wp:positionH>
              <wp:positionV relativeFrom="page">
                <wp:align>top</wp:align>
              </wp:positionV>
              <wp:extent cx="2037080" cy="376555"/>
              <wp:effectExtent l="0" t="0" r="0" b="4445"/>
              <wp:wrapNone/>
              <wp:docPr id="1260052542"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37080" cy="376555"/>
                      </a:xfrm>
                      <a:prstGeom prst="rect">
                        <a:avLst/>
                      </a:prstGeom>
                      <a:noFill/>
                      <a:ln>
                        <a:noFill/>
                      </a:ln>
                    </wps:spPr>
                    <wps:txbx>
                      <w:txbxContent>
                        <w:p w14:paraId="7D773BFC" w14:textId="62452350" w:rsidR="005D74BE" w:rsidRPr="005D74BE" w:rsidRDefault="005D74BE" w:rsidP="005D74BE">
                          <w:pPr>
                            <w:rPr>
                              <w:rFonts w:ascii="Aptos" w:eastAsia="Aptos" w:hAnsi="Aptos" w:cs="Aptos"/>
                              <w:noProof/>
                              <w:color w:val="000000"/>
                              <w:sz w:val="24"/>
                              <w:szCs w:val="24"/>
                            </w:rPr>
                          </w:pPr>
                          <w:r w:rsidRPr="005D74BE">
                            <w:rPr>
                              <w:rFonts w:ascii="Aptos" w:eastAsia="Aptos" w:hAnsi="Aptos" w:cs="Aptos"/>
                              <w:noProof/>
                              <w:color w:val="000000"/>
                              <w:sz w:val="24"/>
                              <w:szCs w:val="24"/>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D705227" id="_x0000_t202" coordsize="21600,21600" o:spt="202" path="m,l,21600r21600,l21600,xe">
              <v:stroke joinstyle="miter"/>
              <v:path gradientshapeok="t" o:connecttype="rect"/>
            </v:shapetype>
            <v:shape id="Text Box 1" o:spid="_x0000_s1027" type="#_x0000_t202" alt="Unclassified / Non classifié" style="position:absolute;margin-left:120.4pt;margin-top:0;width:160.4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" filled="f" stroked="f">
              <v:fill o:detectmouseclick="t"/>
              <v:textbox style="mso-fit-shape-to-text:t" inset="0,15pt,20pt,0">
                <w:txbxContent>
                  <w:p w14:paraId="7D773BFC" w14:textId="62452350" w:rsidR="005D74BE" w:rsidRPr="005D74BE" w:rsidRDefault="005D74BE" w:rsidP="005D74BE">
                    <w:pPr>
                      <w:rPr>
                        <w:rFonts w:ascii="Aptos" w:eastAsia="Aptos" w:hAnsi="Aptos" w:cs="Aptos"/>
                        <w:noProof/>
                        <w:color w:val="000000"/>
                        <w:sz w:val="24"/>
                        <w:szCs w:val="24"/>
                      </w:rPr>
                    </w:pPr>
                    <w:r w:rsidRPr="005D74BE">
                      <w:rPr>
                        <w:rFonts w:ascii="Aptos" w:eastAsia="Aptos" w:hAnsi="Aptos" w:cs="Aptos"/>
                        <w:noProof/>
                        <w:color w:val="000000"/>
                        <w:sz w:val="24"/>
                        <w:szCs w:val="24"/>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1D0DD36"/>
    <w:lvl w:ilvl="0">
      <w:start w:val="1"/>
      <w:numFmt w:val="decimal"/>
      <w:lvlText w:val="%1."/>
      <w:lvlJc w:val="left"/>
      <w:pPr>
        <w:tabs>
          <w:tab w:val="num" w:pos="1080"/>
        </w:tabs>
        <w:ind w:left="1080" w:hanging="360"/>
      </w:pPr>
    </w:lvl>
  </w:abstractNum>
  <w:abstractNum w:abstractNumId="1" w15:restartNumberingAfterBreak="0">
    <w:nsid w:val="005F5C0F"/>
    <w:multiLevelType w:val="hybridMultilevel"/>
    <w:tmpl w:val="26AE511E"/>
    <w:lvl w:ilvl="0" w:tplc="C6EE3E90">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117E39A0"/>
    <w:multiLevelType w:val="hybridMultilevel"/>
    <w:tmpl w:val="B55E6E96"/>
    <w:lvl w:ilvl="0" w:tplc="010C74BE">
      <w:start w:val="1"/>
      <w:numFmt w:val="bullet"/>
      <w:lvlText w:val=""/>
      <w:lvlJc w:val="left"/>
      <w:pPr>
        <w:ind w:left="720" w:hanging="360"/>
      </w:pPr>
      <w:rPr>
        <w:rFonts w:ascii="Symbol" w:hAnsi="Symbol"/>
      </w:rPr>
    </w:lvl>
    <w:lvl w:ilvl="1" w:tplc="FE1AE0DE">
      <w:start w:val="1"/>
      <w:numFmt w:val="bullet"/>
      <w:lvlText w:val=""/>
      <w:lvlJc w:val="left"/>
      <w:pPr>
        <w:ind w:left="720" w:hanging="360"/>
      </w:pPr>
      <w:rPr>
        <w:rFonts w:ascii="Symbol" w:hAnsi="Symbol"/>
      </w:rPr>
    </w:lvl>
    <w:lvl w:ilvl="2" w:tplc="6826071A">
      <w:start w:val="1"/>
      <w:numFmt w:val="bullet"/>
      <w:lvlText w:val=""/>
      <w:lvlJc w:val="left"/>
      <w:pPr>
        <w:ind w:left="720" w:hanging="360"/>
      </w:pPr>
      <w:rPr>
        <w:rFonts w:ascii="Symbol" w:hAnsi="Symbol"/>
      </w:rPr>
    </w:lvl>
    <w:lvl w:ilvl="3" w:tplc="D586F65E">
      <w:start w:val="1"/>
      <w:numFmt w:val="bullet"/>
      <w:lvlText w:val=""/>
      <w:lvlJc w:val="left"/>
      <w:pPr>
        <w:ind w:left="720" w:hanging="360"/>
      </w:pPr>
      <w:rPr>
        <w:rFonts w:ascii="Symbol" w:hAnsi="Symbol"/>
      </w:rPr>
    </w:lvl>
    <w:lvl w:ilvl="4" w:tplc="15AA5A00">
      <w:start w:val="1"/>
      <w:numFmt w:val="bullet"/>
      <w:lvlText w:val=""/>
      <w:lvlJc w:val="left"/>
      <w:pPr>
        <w:ind w:left="720" w:hanging="360"/>
      </w:pPr>
      <w:rPr>
        <w:rFonts w:ascii="Symbol" w:hAnsi="Symbol"/>
      </w:rPr>
    </w:lvl>
    <w:lvl w:ilvl="5" w:tplc="4D9CAF98">
      <w:start w:val="1"/>
      <w:numFmt w:val="bullet"/>
      <w:lvlText w:val=""/>
      <w:lvlJc w:val="left"/>
      <w:pPr>
        <w:ind w:left="720" w:hanging="360"/>
      </w:pPr>
      <w:rPr>
        <w:rFonts w:ascii="Symbol" w:hAnsi="Symbol"/>
      </w:rPr>
    </w:lvl>
    <w:lvl w:ilvl="6" w:tplc="E9AC3156">
      <w:start w:val="1"/>
      <w:numFmt w:val="bullet"/>
      <w:lvlText w:val=""/>
      <w:lvlJc w:val="left"/>
      <w:pPr>
        <w:ind w:left="720" w:hanging="360"/>
      </w:pPr>
      <w:rPr>
        <w:rFonts w:ascii="Symbol" w:hAnsi="Symbol"/>
      </w:rPr>
    </w:lvl>
    <w:lvl w:ilvl="7" w:tplc="36908E5E">
      <w:start w:val="1"/>
      <w:numFmt w:val="bullet"/>
      <w:lvlText w:val=""/>
      <w:lvlJc w:val="left"/>
      <w:pPr>
        <w:ind w:left="720" w:hanging="360"/>
      </w:pPr>
      <w:rPr>
        <w:rFonts w:ascii="Symbol" w:hAnsi="Symbol"/>
      </w:rPr>
    </w:lvl>
    <w:lvl w:ilvl="8" w:tplc="1AF46502">
      <w:start w:val="1"/>
      <w:numFmt w:val="bullet"/>
      <w:lvlText w:val=""/>
      <w:lvlJc w:val="left"/>
      <w:pPr>
        <w:ind w:left="720" w:hanging="360"/>
      </w:pPr>
      <w:rPr>
        <w:rFonts w:ascii="Symbol" w:hAnsi="Symbol"/>
      </w:rPr>
    </w:lvl>
  </w:abstractNum>
  <w:abstractNum w:abstractNumId="3" w15:restartNumberingAfterBreak="0">
    <w:nsid w:val="152863CB"/>
    <w:multiLevelType w:val="hybridMultilevel"/>
    <w:tmpl w:val="47C851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A5009A3"/>
    <w:multiLevelType w:val="hybridMultilevel"/>
    <w:tmpl w:val="5E4E5ED8"/>
    <w:lvl w:ilvl="0" w:tplc="10090011">
      <w:start w:val="1"/>
      <w:numFmt w:val="decimal"/>
      <w:lvlText w:val="%1)"/>
      <w:lvlJc w:val="left"/>
      <w:pPr>
        <w:ind w:left="766" w:hanging="360"/>
      </w:pPr>
      <w:rPr>
        <w:rFonts w:hint="default"/>
      </w:rPr>
    </w:lvl>
    <w:lvl w:ilvl="1" w:tplc="10090003">
      <w:start w:val="1"/>
      <w:numFmt w:val="bullet"/>
      <w:lvlText w:val="o"/>
      <w:lvlJc w:val="left"/>
      <w:pPr>
        <w:ind w:left="1486" w:hanging="360"/>
      </w:pPr>
      <w:rPr>
        <w:rFonts w:ascii="Courier New" w:hAnsi="Courier New" w:cs="Courier New" w:hint="default"/>
      </w:rPr>
    </w:lvl>
    <w:lvl w:ilvl="2" w:tplc="10090005" w:tentative="1">
      <w:start w:val="1"/>
      <w:numFmt w:val="bullet"/>
      <w:lvlText w:val=""/>
      <w:lvlJc w:val="left"/>
      <w:pPr>
        <w:ind w:left="2206" w:hanging="360"/>
      </w:pPr>
      <w:rPr>
        <w:rFonts w:ascii="Wingdings" w:hAnsi="Wingdings" w:hint="default"/>
      </w:rPr>
    </w:lvl>
    <w:lvl w:ilvl="3" w:tplc="10090001" w:tentative="1">
      <w:start w:val="1"/>
      <w:numFmt w:val="bullet"/>
      <w:lvlText w:val=""/>
      <w:lvlJc w:val="left"/>
      <w:pPr>
        <w:ind w:left="2926" w:hanging="360"/>
      </w:pPr>
      <w:rPr>
        <w:rFonts w:ascii="Symbol" w:hAnsi="Symbol" w:hint="default"/>
      </w:rPr>
    </w:lvl>
    <w:lvl w:ilvl="4" w:tplc="10090003" w:tentative="1">
      <w:start w:val="1"/>
      <w:numFmt w:val="bullet"/>
      <w:lvlText w:val="o"/>
      <w:lvlJc w:val="left"/>
      <w:pPr>
        <w:ind w:left="3646" w:hanging="360"/>
      </w:pPr>
      <w:rPr>
        <w:rFonts w:ascii="Courier New" w:hAnsi="Courier New" w:cs="Courier New" w:hint="default"/>
      </w:rPr>
    </w:lvl>
    <w:lvl w:ilvl="5" w:tplc="10090005" w:tentative="1">
      <w:start w:val="1"/>
      <w:numFmt w:val="bullet"/>
      <w:lvlText w:val=""/>
      <w:lvlJc w:val="left"/>
      <w:pPr>
        <w:ind w:left="4366" w:hanging="360"/>
      </w:pPr>
      <w:rPr>
        <w:rFonts w:ascii="Wingdings" w:hAnsi="Wingdings" w:hint="default"/>
      </w:rPr>
    </w:lvl>
    <w:lvl w:ilvl="6" w:tplc="10090001" w:tentative="1">
      <w:start w:val="1"/>
      <w:numFmt w:val="bullet"/>
      <w:lvlText w:val=""/>
      <w:lvlJc w:val="left"/>
      <w:pPr>
        <w:ind w:left="5086" w:hanging="360"/>
      </w:pPr>
      <w:rPr>
        <w:rFonts w:ascii="Symbol" w:hAnsi="Symbol" w:hint="default"/>
      </w:rPr>
    </w:lvl>
    <w:lvl w:ilvl="7" w:tplc="10090003" w:tentative="1">
      <w:start w:val="1"/>
      <w:numFmt w:val="bullet"/>
      <w:lvlText w:val="o"/>
      <w:lvlJc w:val="left"/>
      <w:pPr>
        <w:ind w:left="5806" w:hanging="360"/>
      </w:pPr>
      <w:rPr>
        <w:rFonts w:ascii="Courier New" w:hAnsi="Courier New" w:cs="Courier New" w:hint="default"/>
      </w:rPr>
    </w:lvl>
    <w:lvl w:ilvl="8" w:tplc="10090005" w:tentative="1">
      <w:start w:val="1"/>
      <w:numFmt w:val="bullet"/>
      <w:lvlText w:val=""/>
      <w:lvlJc w:val="left"/>
      <w:pPr>
        <w:ind w:left="6526" w:hanging="360"/>
      </w:pPr>
      <w:rPr>
        <w:rFonts w:ascii="Wingdings" w:hAnsi="Wingdings" w:hint="default"/>
      </w:rPr>
    </w:lvl>
  </w:abstractNum>
  <w:abstractNum w:abstractNumId="5" w15:restartNumberingAfterBreak="0">
    <w:nsid w:val="2CE51407"/>
    <w:multiLevelType w:val="hybridMultilevel"/>
    <w:tmpl w:val="104CAE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C7E76E9"/>
    <w:multiLevelType w:val="multilevel"/>
    <w:tmpl w:val="8E0855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38F0BD6"/>
    <w:multiLevelType w:val="hybridMultilevel"/>
    <w:tmpl w:val="596CEB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89669AA"/>
    <w:multiLevelType w:val="hybridMultilevel"/>
    <w:tmpl w:val="DF08F8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CB57E40"/>
    <w:multiLevelType w:val="hybridMultilevel"/>
    <w:tmpl w:val="5E4299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D290AC8"/>
    <w:multiLevelType w:val="hybridMultilevel"/>
    <w:tmpl w:val="9D3A32E2"/>
    <w:lvl w:ilvl="0" w:tplc="714ABED4">
      <w:start w:val="1"/>
      <w:numFmt w:val="bullet"/>
      <w:lvlText w:val=""/>
      <w:lvlJc w:val="left"/>
      <w:pPr>
        <w:ind w:left="720" w:hanging="360"/>
      </w:pPr>
      <w:rPr>
        <w:rFonts w:ascii="Symbol" w:hAnsi="Symbol"/>
      </w:rPr>
    </w:lvl>
    <w:lvl w:ilvl="1" w:tplc="65AE4D04">
      <w:start w:val="1"/>
      <w:numFmt w:val="bullet"/>
      <w:lvlText w:val=""/>
      <w:lvlJc w:val="left"/>
      <w:pPr>
        <w:ind w:left="720" w:hanging="360"/>
      </w:pPr>
      <w:rPr>
        <w:rFonts w:ascii="Symbol" w:hAnsi="Symbol"/>
      </w:rPr>
    </w:lvl>
    <w:lvl w:ilvl="2" w:tplc="016021F4">
      <w:start w:val="1"/>
      <w:numFmt w:val="bullet"/>
      <w:lvlText w:val=""/>
      <w:lvlJc w:val="left"/>
      <w:pPr>
        <w:ind w:left="720" w:hanging="360"/>
      </w:pPr>
      <w:rPr>
        <w:rFonts w:ascii="Symbol" w:hAnsi="Symbol"/>
      </w:rPr>
    </w:lvl>
    <w:lvl w:ilvl="3" w:tplc="D3D2A1FC">
      <w:start w:val="1"/>
      <w:numFmt w:val="bullet"/>
      <w:lvlText w:val=""/>
      <w:lvlJc w:val="left"/>
      <w:pPr>
        <w:ind w:left="720" w:hanging="360"/>
      </w:pPr>
      <w:rPr>
        <w:rFonts w:ascii="Symbol" w:hAnsi="Symbol"/>
      </w:rPr>
    </w:lvl>
    <w:lvl w:ilvl="4" w:tplc="DD2A1DAA">
      <w:start w:val="1"/>
      <w:numFmt w:val="bullet"/>
      <w:lvlText w:val=""/>
      <w:lvlJc w:val="left"/>
      <w:pPr>
        <w:ind w:left="720" w:hanging="360"/>
      </w:pPr>
      <w:rPr>
        <w:rFonts w:ascii="Symbol" w:hAnsi="Symbol"/>
      </w:rPr>
    </w:lvl>
    <w:lvl w:ilvl="5" w:tplc="8D7EBDE6">
      <w:start w:val="1"/>
      <w:numFmt w:val="bullet"/>
      <w:lvlText w:val=""/>
      <w:lvlJc w:val="left"/>
      <w:pPr>
        <w:ind w:left="720" w:hanging="360"/>
      </w:pPr>
      <w:rPr>
        <w:rFonts w:ascii="Symbol" w:hAnsi="Symbol"/>
      </w:rPr>
    </w:lvl>
    <w:lvl w:ilvl="6" w:tplc="9FC497DC">
      <w:start w:val="1"/>
      <w:numFmt w:val="bullet"/>
      <w:lvlText w:val=""/>
      <w:lvlJc w:val="left"/>
      <w:pPr>
        <w:ind w:left="720" w:hanging="360"/>
      </w:pPr>
      <w:rPr>
        <w:rFonts w:ascii="Symbol" w:hAnsi="Symbol"/>
      </w:rPr>
    </w:lvl>
    <w:lvl w:ilvl="7" w:tplc="816200B8">
      <w:start w:val="1"/>
      <w:numFmt w:val="bullet"/>
      <w:lvlText w:val=""/>
      <w:lvlJc w:val="left"/>
      <w:pPr>
        <w:ind w:left="720" w:hanging="360"/>
      </w:pPr>
      <w:rPr>
        <w:rFonts w:ascii="Symbol" w:hAnsi="Symbol"/>
      </w:rPr>
    </w:lvl>
    <w:lvl w:ilvl="8" w:tplc="F1E6A36C">
      <w:start w:val="1"/>
      <w:numFmt w:val="bullet"/>
      <w:lvlText w:val=""/>
      <w:lvlJc w:val="left"/>
      <w:pPr>
        <w:ind w:left="720" w:hanging="360"/>
      </w:pPr>
      <w:rPr>
        <w:rFonts w:ascii="Symbol" w:hAnsi="Symbol"/>
      </w:rPr>
    </w:lvl>
  </w:abstractNum>
  <w:abstractNum w:abstractNumId="11" w15:restartNumberingAfterBreak="0">
    <w:nsid w:val="6E130E3E"/>
    <w:multiLevelType w:val="hybridMultilevel"/>
    <w:tmpl w:val="91E8E574"/>
    <w:lvl w:ilvl="0" w:tplc="10090001">
      <w:start w:val="1"/>
      <w:numFmt w:val="bullet"/>
      <w:lvlText w:val=""/>
      <w:lvlJc w:val="left"/>
      <w:pPr>
        <w:ind w:left="766" w:hanging="360"/>
      </w:pPr>
      <w:rPr>
        <w:rFonts w:ascii="Symbol" w:hAnsi="Symbol" w:hint="default"/>
      </w:rPr>
    </w:lvl>
    <w:lvl w:ilvl="1" w:tplc="FFFFFFFF">
      <w:start w:val="1"/>
      <w:numFmt w:val="bullet"/>
      <w:lvlText w:val="o"/>
      <w:lvlJc w:val="left"/>
      <w:pPr>
        <w:ind w:left="1486" w:hanging="360"/>
      </w:pPr>
      <w:rPr>
        <w:rFonts w:ascii="Courier New" w:hAnsi="Courier New" w:cs="Courier New" w:hint="default"/>
      </w:rPr>
    </w:lvl>
    <w:lvl w:ilvl="2" w:tplc="FFFFFFFF" w:tentative="1">
      <w:start w:val="1"/>
      <w:numFmt w:val="bullet"/>
      <w:lvlText w:val=""/>
      <w:lvlJc w:val="left"/>
      <w:pPr>
        <w:ind w:left="2206" w:hanging="360"/>
      </w:pPr>
      <w:rPr>
        <w:rFonts w:ascii="Wingdings" w:hAnsi="Wingdings" w:hint="default"/>
      </w:rPr>
    </w:lvl>
    <w:lvl w:ilvl="3" w:tplc="FFFFFFFF" w:tentative="1">
      <w:start w:val="1"/>
      <w:numFmt w:val="bullet"/>
      <w:lvlText w:val=""/>
      <w:lvlJc w:val="left"/>
      <w:pPr>
        <w:ind w:left="2926" w:hanging="360"/>
      </w:pPr>
      <w:rPr>
        <w:rFonts w:ascii="Symbol" w:hAnsi="Symbol" w:hint="default"/>
      </w:rPr>
    </w:lvl>
    <w:lvl w:ilvl="4" w:tplc="FFFFFFFF" w:tentative="1">
      <w:start w:val="1"/>
      <w:numFmt w:val="bullet"/>
      <w:lvlText w:val="o"/>
      <w:lvlJc w:val="left"/>
      <w:pPr>
        <w:ind w:left="3646" w:hanging="360"/>
      </w:pPr>
      <w:rPr>
        <w:rFonts w:ascii="Courier New" w:hAnsi="Courier New" w:cs="Courier New" w:hint="default"/>
      </w:rPr>
    </w:lvl>
    <w:lvl w:ilvl="5" w:tplc="FFFFFFFF" w:tentative="1">
      <w:start w:val="1"/>
      <w:numFmt w:val="bullet"/>
      <w:lvlText w:val=""/>
      <w:lvlJc w:val="left"/>
      <w:pPr>
        <w:ind w:left="4366" w:hanging="360"/>
      </w:pPr>
      <w:rPr>
        <w:rFonts w:ascii="Wingdings" w:hAnsi="Wingdings" w:hint="default"/>
      </w:rPr>
    </w:lvl>
    <w:lvl w:ilvl="6" w:tplc="FFFFFFFF" w:tentative="1">
      <w:start w:val="1"/>
      <w:numFmt w:val="bullet"/>
      <w:lvlText w:val=""/>
      <w:lvlJc w:val="left"/>
      <w:pPr>
        <w:ind w:left="5086" w:hanging="360"/>
      </w:pPr>
      <w:rPr>
        <w:rFonts w:ascii="Symbol" w:hAnsi="Symbol" w:hint="default"/>
      </w:rPr>
    </w:lvl>
    <w:lvl w:ilvl="7" w:tplc="FFFFFFFF" w:tentative="1">
      <w:start w:val="1"/>
      <w:numFmt w:val="bullet"/>
      <w:lvlText w:val="o"/>
      <w:lvlJc w:val="left"/>
      <w:pPr>
        <w:ind w:left="5806" w:hanging="360"/>
      </w:pPr>
      <w:rPr>
        <w:rFonts w:ascii="Courier New" w:hAnsi="Courier New" w:cs="Courier New" w:hint="default"/>
      </w:rPr>
    </w:lvl>
    <w:lvl w:ilvl="8" w:tplc="FFFFFFFF" w:tentative="1">
      <w:start w:val="1"/>
      <w:numFmt w:val="bullet"/>
      <w:lvlText w:val=""/>
      <w:lvlJc w:val="left"/>
      <w:pPr>
        <w:ind w:left="6526" w:hanging="360"/>
      </w:pPr>
      <w:rPr>
        <w:rFonts w:ascii="Wingdings" w:hAnsi="Wingdings" w:hint="default"/>
      </w:rPr>
    </w:lvl>
  </w:abstractNum>
  <w:abstractNum w:abstractNumId="12" w15:restartNumberingAfterBreak="0">
    <w:nsid w:val="712723DC"/>
    <w:multiLevelType w:val="hybridMultilevel"/>
    <w:tmpl w:val="E3FA90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4B92753"/>
    <w:multiLevelType w:val="hybridMultilevel"/>
    <w:tmpl w:val="B004252C"/>
    <w:lvl w:ilvl="0" w:tplc="7D7C85B2">
      <w:start w:val="1"/>
      <w:numFmt w:val="bullet"/>
      <w:lvlText w:val=""/>
      <w:lvlJc w:val="left"/>
      <w:pPr>
        <w:ind w:left="720" w:hanging="360"/>
      </w:pPr>
      <w:rPr>
        <w:rFonts w:ascii="Symbol" w:hAnsi="Symbol"/>
      </w:rPr>
    </w:lvl>
    <w:lvl w:ilvl="1" w:tplc="93F23818">
      <w:start w:val="1"/>
      <w:numFmt w:val="bullet"/>
      <w:lvlText w:val=""/>
      <w:lvlJc w:val="left"/>
      <w:pPr>
        <w:ind w:left="720" w:hanging="360"/>
      </w:pPr>
      <w:rPr>
        <w:rFonts w:ascii="Symbol" w:hAnsi="Symbol"/>
      </w:rPr>
    </w:lvl>
    <w:lvl w:ilvl="2" w:tplc="5AA60BC6">
      <w:start w:val="1"/>
      <w:numFmt w:val="bullet"/>
      <w:lvlText w:val=""/>
      <w:lvlJc w:val="left"/>
      <w:pPr>
        <w:ind w:left="720" w:hanging="360"/>
      </w:pPr>
      <w:rPr>
        <w:rFonts w:ascii="Symbol" w:hAnsi="Symbol"/>
      </w:rPr>
    </w:lvl>
    <w:lvl w:ilvl="3" w:tplc="FB720B32">
      <w:start w:val="1"/>
      <w:numFmt w:val="bullet"/>
      <w:lvlText w:val=""/>
      <w:lvlJc w:val="left"/>
      <w:pPr>
        <w:ind w:left="720" w:hanging="360"/>
      </w:pPr>
      <w:rPr>
        <w:rFonts w:ascii="Symbol" w:hAnsi="Symbol"/>
      </w:rPr>
    </w:lvl>
    <w:lvl w:ilvl="4" w:tplc="015EAB10">
      <w:start w:val="1"/>
      <w:numFmt w:val="bullet"/>
      <w:lvlText w:val=""/>
      <w:lvlJc w:val="left"/>
      <w:pPr>
        <w:ind w:left="720" w:hanging="360"/>
      </w:pPr>
      <w:rPr>
        <w:rFonts w:ascii="Symbol" w:hAnsi="Symbol"/>
      </w:rPr>
    </w:lvl>
    <w:lvl w:ilvl="5" w:tplc="F80A3B94">
      <w:start w:val="1"/>
      <w:numFmt w:val="bullet"/>
      <w:lvlText w:val=""/>
      <w:lvlJc w:val="left"/>
      <w:pPr>
        <w:ind w:left="720" w:hanging="360"/>
      </w:pPr>
      <w:rPr>
        <w:rFonts w:ascii="Symbol" w:hAnsi="Symbol"/>
      </w:rPr>
    </w:lvl>
    <w:lvl w:ilvl="6" w:tplc="0C5A149E">
      <w:start w:val="1"/>
      <w:numFmt w:val="bullet"/>
      <w:lvlText w:val=""/>
      <w:lvlJc w:val="left"/>
      <w:pPr>
        <w:ind w:left="720" w:hanging="360"/>
      </w:pPr>
      <w:rPr>
        <w:rFonts w:ascii="Symbol" w:hAnsi="Symbol"/>
      </w:rPr>
    </w:lvl>
    <w:lvl w:ilvl="7" w:tplc="42FE66F4">
      <w:start w:val="1"/>
      <w:numFmt w:val="bullet"/>
      <w:lvlText w:val=""/>
      <w:lvlJc w:val="left"/>
      <w:pPr>
        <w:ind w:left="720" w:hanging="360"/>
      </w:pPr>
      <w:rPr>
        <w:rFonts w:ascii="Symbol" w:hAnsi="Symbol"/>
      </w:rPr>
    </w:lvl>
    <w:lvl w:ilvl="8" w:tplc="F898AC2C">
      <w:start w:val="1"/>
      <w:numFmt w:val="bullet"/>
      <w:lvlText w:val=""/>
      <w:lvlJc w:val="left"/>
      <w:pPr>
        <w:ind w:left="720" w:hanging="360"/>
      </w:pPr>
      <w:rPr>
        <w:rFonts w:ascii="Symbol" w:hAnsi="Symbol"/>
      </w:rPr>
    </w:lvl>
  </w:abstractNum>
  <w:num w:numId="1" w16cid:durableId="816382936">
    <w:abstractNumId w:val="2"/>
  </w:num>
  <w:num w:numId="2" w16cid:durableId="25445695">
    <w:abstractNumId w:val="10"/>
  </w:num>
  <w:num w:numId="3" w16cid:durableId="845634265">
    <w:abstractNumId w:val="1"/>
  </w:num>
  <w:num w:numId="4" w16cid:durableId="405953596">
    <w:abstractNumId w:val="6"/>
  </w:num>
  <w:num w:numId="5" w16cid:durableId="1185747441">
    <w:abstractNumId w:val="13"/>
  </w:num>
  <w:num w:numId="6" w16cid:durableId="1274285253">
    <w:abstractNumId w:val="9"/>
  </w:num>
  <w:num w:numId="7" w16cid:durableId="796878628">
    <w:abstractNumId w:val="12"/>
  </w:num>
  <w:num w:numId="8" w16cid:durableId="1478298383">
    <w:abstractNumId w:val="5"/>
  </w:num>
  <w:num w:numId="9" w16cid:durableId="845555431">
    <w:abstractNumId w:val="4"/>
  </w:num>
  <w:num w:numId="10" w16cid:durableId="192350279">
    <w:abstractNumId w:val="11"/>
  </w:num>
  <w:num w:numId="11" w16cid:durableId="25521666">
    <w:abstractNumId w:val="3"/>
  </w:num>
  <w:num w:numId="12" w16cid:durableId="615216649">
    <w:abstractNumId w:val="7"/>
  </w:num>
  <w:num w:numId="13" w16cid:durableId="482160514">
    <w:abstractNumId w:val="8"/>
  </w:num>
  <w:num w:numId="14" w16cid:durableId="1033769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5A4"/>
    <w:rsid w:val="00001092"/>
    <w:rsid w:val="00002714"/>
    <w:rsid w:val="00003252"/>
    <w:rsid w:val="0000378E"/>
    <w:rsid w:val="00003AA1"/>
    <w:rsid w:val="00003BBE"/>
    <w:rsid w:val="000045EA"/>
    <w:rsid w:val="00004729"/>
    <w:rsid w:val="000047F2"/>
    <w:rsid w:val="00004DAA"/>
    <w:rsid w:val="00005702"/>
    <w:rsid w:val="00005A09"/>
    <w:rsid w:val="00006E24"/>
    <w:rsid w:val="00007AB2"/>
    <w:rsid w:val="000109F2"/>
    <w:rsid w:val="00012194"/>
    <w:rsid w:val="000138AC"/>
    <w:rsid w:val="00014027"/>
    <w:rsid w:val="00014D13"/>
    <w:rsid w:val="000157B2"/>
    <w:rsid w:val="00017480"/>
    <w:rsid w:val="00020FCA"/>
    <w:rsid w:val="00023489"/>
    <w:rsid w:val="00023F98"/>
    <w:rsid w:val="00024330"/>
    <w:rsid w:val="00024C47"/>
    <w:rsid w:val="00024ECB"/>
    <w:rsid w:val="00025FE9"/>
    <w:rsid w:val="0002613C"/>
    <w:rsid w:val="000267D6"/>
    <w:rsid w:val="00026F0A"/>
    <w:rsid w:val="00031028"/>
    <w:rsid w:val="0003386B"/>
    <w:rsid w:val="0003430F"/>
    <w:rsid w:val="00035DE2"/>
    <w:rsid w:val="000364FE"/>
    <w:rsid w:val="00037BB8"/>
    <w:rsid w:val="000410A2"/>
    <w:rsid w:val="0004195B"/>
    <w:rsid w:val="00043093"/>
    <w:rsid w:val="00043396"/>
    <w:rsid w:val="00043829"/>
    <w:rsid w:val="00043863"/>
    <w:rsid w:val="000449E7"/>
    <w:rsid w:val="00044B15"/>
    <w:rsid w:val="00045ACC"/>
    <w:rsid w:val="00045DAC"/>
    <w:rsid w:val="00046862"/>
    <w:rsid w:val="000471C8"/>
    <w:rsid w:val="00050B04"/>
    <w:rsid w:val="000515A5"/>
    <w:rsid w:val="0005438E"/>
    <w:rsid w:val="0005508E"/>
    <w:rsid w:val="00055B50"/>
    <w:rsid w:val="00057A86"/>
    <w:rsid w:val="00057D0B"/>
    <w:rsid w:val="0005EA87"/>
    <w:rsid w:val="00061156"/>
    <w:rsid w:val="000617F5"/>
    <w:rsid w:val="000619E8"/>
    <w:rsid w:val="00061A18"/>
    <w:rsid w:val="000627A5"/>
    <w:rsid w:val="00063EB0"/>
    <w:rsid w:val="00064D53"/>
    <w:rsid w:val="0006589A"/>
    <w:rsid w:val="0006679C"/>
    <w:rsid w:val="00066C08"/>
    <w:rsid w:val="00066D63"/>
    <w:rsid w:val="00067105"/>
    <w:rsid w:val="0007105E"/>
    <w:rsid w:val="00071241"/>
    <w:rsid w:val="0007159C"/>
    <w:rsid w:val="00071D79"/>
    <w:rsid w:val="00072E53"/>
    <w:rsid w:val="00073CB1"/>
    <w:rsid w:val="00074C0F"/>
    <w:rsid w:val="000752D2"/>
    <w:rsid w:val="0007588F"/>
    <w:rsid w:val="00076A1F"/>
    <w:rsid w:val="00077096"/>
    <w:rsid w:val="000829AD"/>
    <w:rsid w:val="000860AA"/>
    <w:rsid w:val="00087091"/>
    <w:rsid w:val="0009006C"/>
    <w:rsid w:val="0009009D"/>
    <w:rsid w:val="000904CB"/>
    <w:rsid w:val="000920E7"/>
    <w:rsid w:val="00094246"/>
    <w:rsid w:val="000945A4"/>
    <w:rsid w:val="0009560C"/>
    <w:rsid w:val="00095F1E"/>
    <w:rsid w:val="000A06B4"/>
    <w:rsid w:val="000A0814"/>
    <w:rsid w:val="000A0A5E"/>
    <w:rsid w:val="000A0AB0"/>
    <w:rsid w:val="000A10B4"/>
    <w:rsid w:val="000A1801"/>
    <w:rsid w:val="000A18EC"/>
    <w:rsid w:val="000A1CEE"/>
    <w:rsid w:val="000A4CA5"/>
    <w:rsid w:val="000A4F27"/>
    <w:rsid w:val="000A5599"/>
    <w:rsid w:val="000A5CDA"/>
    <w:rsid w:val="000A6B99"/>
    <w:rsid w:val="000A6BE2"/>
    <w:rsid w:val="000A70C6"/>
    <w:rsid w:val="000A7701"/>
    <w:rsid w:val="000A7C63"/>
    <w:rsid w:val="000B0207"/>
    <w:rsid w:val="000B04CE"/>
    <w:rsid w:val="000B20D8"/>
    <w:rsid w:val="000B2796"/>
    <w:rsid w:val="000B28DA"/>
    <w:rsid w:val="000B595A"/>
    <w:rsid w:val="000B667B"/>
    <w:rsid w:val="000C0308"/>
    <w:rsid w:val="000C1332"/>
    <w:rsid w:val="000C20B9"/>
    <w:rsid w:val="000C370E"/>
    <w:rsid w:val="000C3E0A"/>
    <w:rsid w:val="000C42C8"/>
    <w:rsid w:val="000C43DA"/>
    <w:rsid w:val="000C4548"/>
    <w:rsid w:val="000C6139"/>
    <w:rsid w:val="000C6F39"/>
    <w:rsid w:val="000C74FA"/>
    <w:rsid w:val="000C7D08"/>
    <w:rsid w:val="000D0EC3"/>
    <w:rsid w:val="000D0F83"/>
    <w:rsid w:val="000D1522"/>
    <w:rsid w:val="000D18BE"/>
    <w:rsid w:val="000D4055"/>
    <w:rsid w:val="000D407D"/>
    <w:rsid w:val="000D5953"/>
    <w:rsid w:val="000D5BAA"/>
    <w:rsid w:val="000D5D56"/>
    <w:rsid w:val="000D6DB3"/>
    <w:rsid w:val="000D7DAF"/>
    <w:rsid w:val="000E0284"/>
    <w:rsid w:val="000E09E4"/>
    <w:rsid w:val="000E0D11"/>
    <w:rsid w:val="000E0DD9"/>
    <w:rsid w:val="000E1F78"/>
    <w:rsid w:val="000E285F"/>
    <w:rsid w:val="000E3A36"/>
    <w:rsid w:val="000E46E0"/>
    <w:rsid w:val="000E59CA"/>
    <w:rsid w:val="000E7077"/>
    <w:rsid w:val="000E70D9"/>
    <w:rsid w:val="000E76ED"/>
    <w:rsid w:val="000F00A5"/>
    <w:rsid w:val="000F0B3B"/>
    <w:rsid w:val="000F0ED6"/>
    <w:rsid w:val="000F1F89"/>
    <w:rsid w:val="000F3B4B"/>
    <w:rsid w:val="000F3BDD"/>
    <w:rsid w:val="000F3C89"/>
    <w:rsid w:val="000F54F7"/>
    <w:rsid w:val="000F66E3"/>
    <w:rsid w:val="00101131"/>
    <w:rsid w:val="001016E2"/>
    <w:rsid w:val="001017F5"/>
    <w:rsid w:val="00102E2D"/>
    <w:rsid w:val="0010434C"/>
    <w:rsid w:val="00105E18"/>
    <w:rsid w:val="001060C5"/>
    <w:rsid w:val="00106137"/>
    <w:rsid w:val="001101C5"/>
    <w:rsid w:val="001107EA"/>
    <w:rsid w:val="00111521"/>
    <w:rsid w:val="001118C9"/>
    <w:rsid w:val="00111D0F"/>
    <w:rsid w:val="00111EE0"/>
    <w:rsid w:val="001120CC"/>
    <w:rsid w:val="00113884"/>
    <w:rsid w:val="00113B9C"/>
    <w:rsid w:val="00113F36"/>
    <w:rsid w:val="00114329"/>
    <w:rsid w:val="00114A12"/>
    <w:rsid w:val="00115D9F"/>
    <w:rsid w:val="00115F2B"/>
    <w:rsid w:val="001160DE"/>
    <w:rsid w:val="0011666C"/>
    <w:rsid w:val="0011726D"/>
    <w:rsid w:val="00120A5D"/>
    <w:rsid w:val="001228FC"/>
    <w:rsid w:val="00122DDD"/>
    <w:rsid w:val="0012457C"/>
    <w:rsid w:val="00126275"/>
    <w:rsid w:val="00126D48"/>
    <w:rsid w:val="00126E09"/>
    <w:rsid w:val="00127C2D"/>
    <w:rsid w:val="00130E29"/>
    <w:rsid w:val="00131323"/>
    <w:rsid w:val="001316FD"/>
    <w:rsid w:val="001318B9"/>
    <w:rsid w:val="001320DD"/>
    <w:rsid w:val="001370E4"/>
    <w:rsid w:val="001406B1"/>
    <w:rsid w:val="0014157D"/>
    <w:rsid w:val="001415AC"/>
    <w:rsid w:val="001444DD"/>
    <w:rsid w:val="00145451"/>
    <w:rsid w:val="001468AD"/>
    <w:rsid w:val="00146C70"/>
    <w:rsid w:val="00146CA4"/>
    <w:rsid w:val="0015155A"/>
    <w:rsid w:val="00151F7A"/>
    <w:rsid w:val="001522EB"/>
    <w:rsid w:val="001539BF"/>
    <w:rsid w:val="00153F61"/>
    <w:rsid w:val="00154353"/>
    <w:rsid w:val="001543FE"/>
    <w:rsid w:val="00154625"/>
    <w:rsid w:val="001563D5"/>
    <w:rsid w:val="0016087F"/>
    <w:rsid w:val="0016105B"/>
    <w:rsid w:val="00161B16"/>
    <w:rsid w:val="00161B9C"/>
    <w:rsid w:val="0016391D"/>
    <w:rsid w:val="00163B75"/>
    <w:rsid w:val="00163C33"/>
    <w:rsid w:val="001648B9"/>
    <w:rsid w:val="00164B8E"/>
    <w:rsid w:val="00164DF0"/>
    <w:rsid w:val="001664BC"/>
    <w:rsid w:val="0017054C"/>
    <w:rsid w:val="00171CAE"/>
    <w:rsid w:val="00172458"/>
    <w:rsid w:val="001724D3"/>
    <w:rsid w:val="00172D68"/>
    <w:rsid w:val="00173B9D"/>
    <w:rsid w:val="001753D4"/>
    <w:rsid w:val="00176834"/>
    <w:rsid w:val="00176EB8"/>
    <w:rsid w:val="00176F36"/>
    <w:rsid w:val="001770F7"/>
    <w:rsid w:val="00177274"/>
    <w:rsid w:val="0017792E"/>
    <w:rsid w:val="001818E1"/>
    <w:rsid w:val="00182D49"/>
    <w:rsid w:val="00183A0B"/>
    <w:rsid w:val="00183AD3"/>
    <w:rsid w:val="00183CA8"/>
    <w:rsid w:val="00183D34"/>
    <w:rsid w:val="00184A47"/>
    <w:rsid w:val="00186D3E"/>
    <w:rsid w:val="00187012"/>
    <w:rsid w:val="00191430"/>
    <w:rsid w:val="0019181A"/>
    <w:rsid w:val="001924E1"/>
    <w:rsid w:val="0019265C"/>
    <w:rsid w:val="00193104"/>
    <w:rsid w:val="00193C80"/>
    <w:rsid w:val="00194227"/>
    <w:rsid w:val="001951AD"/>
    <w:rsid w:val="001953BA"/>
    <w:rsid w:val="00195482"/>
    <w:rsid w:val="00195B55"/>
    <w:rsid w:val="0019675C"/>
    <w:rsid w:val="00196EC2"/>
    <w:rsid w:val="001976B6"/>
    <w:rsid w:val="00197828"/>
    <w:rsid w:val="001A0D16"/>
    <w:rsid w:val="001A1009"/>
    <w:rsid w:val="001A18AD"/>
    <w:rsid w:val="001A3BB6"/>
    <w:rsid w:val="001A3CF2"/>
    <w:rsid w:val="001A4690"/>
    <w:rsid w:val="001A5E24"/>
    <w:rsid w:val="001A6042"/>
    <w:rsid w:val="001A6D2C"/>
    <w:rsid w:val="001A6FED"/>
    <w:rsid w:val="001B050B"/>
    <w:rsid w:val="001B09B9"/>
    <w:rsid w:val="001B0A45"/>
    <w:rsid w:val="001B0E6D"/>
    <w:rsid w:val="001B37E9"/>
    <w:rsid w:val="001B43F6"/>
    <w:rsid w:val="001B4704"/>
    <w:rsid w:val="001B7150"/>
    <w:rsid w:val="001C062D"/>
    <w:rsid w:val="001C07A2"/>
    <w:rsid w:val="001C0D53"/>
    <w:rsid w:val="001C0D91"/>
    <w:rsid w:val="001C19D9"/>
    <w:rsid w:val="001C23D7"/>
    <w:rsid w:val="001C56E7"/>
    <w:rsid w:val="001C5CE5"/>
    <w:rsid w:val="001C5F34"/>
    <w:rsid w:val="001C714B"/>
    <w:rsid w:val="001C79FE"/>
    <w:rsid w:val="001C7C3C"/>
    <w:rsid w:val="001D1D20"/>
    <w:rsid w:val="001D2413"/>
    <w:rsid w:val="001D3193"/>
    <w:rsid w:val="001D4D76"/>
    <w:rsid w:val="001D6F48"/>
    <w:rsid w:val="001E08E3"/>
    <w:rsid w:val="001E1D84"/>
    <w:rsid w:val="001E2061"/>
    <w:rsid w:val="001E2EF3"/>
    <w:rsid w:val="001E3C66"/>
    <w:rsid w:val="001E46F0"/>
    <w:rsid w:val="001E4CE2"/>
    <w:rsid w:val="001E5393"/>
    <w:rsid w:val="001E669A"/>
    <w:rsid w:val="001E6B5F"/>
    <w:rsid w:val="001E7168"/>
    <w:rsid w:val="001E792A"/>
    <w:rsid w:val="001F13B1"/>
    <w:rsid w:val="001F1A9A"/>
    <w:rsid w:val="001F1AF2"/>
    <w:rsid w:val="001F2108"/>
    <w:rsid w:val="001F2855"/>
    <w:rsid w:val="001F3057"/>
    <w:rsid w:val="001F374E"/>
    <w:rsid w:val="001F4613"/>
    <w:rsid w:val="001F54C5"/>
    <w:rsid w:val="001F592E"/>
    <w:rsid w:val="001F613A"/>
    <w:rsid w:val="001F6BD6"/>
    <w:rsid w:val="001F75D5"/>
    <w:rsid w:val="00200245"/>
    <w:rsid w:val="00200354"/>
    <w:rsid w:val="002003D1"/>
    <w:rsid w:val="002008DB"/>
    <w:rsid w:val="00200A5D"/>
    <w:rsid w:val="00200DA6"/>
    <w:rsid w:val="00204BD3"/>
    <w:rsid w:val="00204DCE"/>
    <w:rsid w:val="00205D7C"/>
    <w:rsid w:val="00205EF7"/>
    <w:rsid w:val="00206D73"/>
    <w:rsid w:val="0020709D"/>
    <w:rsid w:val="00207318"/>
    <w:rsid w:val="0020765A"/>
    <w:rsid w:val="002147F0"/>
    <w:rsid w:val="00214E60"/>
    <w:rsid w:val="002152C2"/>
    <w:rsid w:val="00215ABF"/>
    <w:rsid w:val="00215BDE"/>
    <w:rsid w:val="0021665E"/>
    <w:rsid w:val="0021686F"/>
    <w:rsid w:val="002168E7"/>
    <w:rsid w:val="002202A6"/>
    <w:rsid w:val="0022096A"/>
    <w:rsid w:val="00220BC4"/>
    <w:rsid w:val="002222A2"/>
    <w:rsid w:val="00223BF6"/>
    <w:rsid w:val="00223DB6"/>
    <w:rsid w:val="00223F94"/>
    <w:rsid w:val="002258DD"/>
    <w:rsid w:val="00227F19"/>
    <w:rsid w:val="00230C60"/>
    <w:rsid w:val="002312A2"/>
    <w:rsid w:val="00231F6F"/>
    <w:rsid w:val="00232177"/>
    <w:rsid w:val="0023241B"/>
    <w:rsid w:val="0023286E"/>
    <w:rsid w:val="00232F34"/>
    <w:rsid w:val="002341E6"/>
    <w:rsid w:val="0023457E"/>
    <w:rsid w:val="00235633"/>
    <w:rsid w:val="00235E52"/>
    <w:rsid w:val="002360AF"/>
    <w:rsid w:val="00237AE2"/>
    <w:rsid w:val="00237B0D"/>
    <w:rsid w:val="00240057"/>
    <w:rsid w:val="00243FF8"/>
    <w:rsid w:val="00244465"/>
    <w:rsid w:val="002448CF"/>
    <w:rsid w:val="00244DA9"/>
    <w:rsid w:val="002453A3"/>
    <w:rsid w:val="00245D12"/>
    <w:rsid w:val="00246793"/>
    <w:rsid w:val="00247EE2"/>
    <w:rsid w:val="002507A2"/>
    <w:rsid w:val="00251DCC"/>
    <w:rsid w:val="002521CF"/>
    <w:rsid w:val="0025248E"/>
    <w:rsid w:val="0025379E"/>
    <w:rsid w:val="00254E7B"/>
    <w:rsid w:val="00255EA5"/>
    <w:rsid w:val="00256B15"/>
    <w:rsid w:val="00257A87"/>
    <w:rsid w:val="00261DE5"/>
    <w:rsid w:val="00262A11"/>
    <w:rsid w:val="00262A15"/>
    <w:rsid w:val="00262CAA"/>
    <w:rsid w:val="00262FB2"/>
    <w:rsid w:val="0026349F"/>
    <w:rsid w:val="00263D7F"/>
    <w:rsid w:val="00264B84"/>
    <w:rsid w:val="00264BA7"/>
    <w:rsid w:val="00266B25"/>
    <w:rsid w:val="00266C15"/>
    <w:rsid w:val="00266D4B"/>
    <w:rsid w:val="00270705"/>
    <w:rsid w:val="002716E4"/>
    <w:rsid w:val="00271A89"/>
    <w:rsid w:val="00271D9A"/>
    <w:rsid w:val="00274B84"/>
    <w:rsid w:val="002755C0"/>
    <w:rsid w:val="002762D7"/>
    <w:rsid w:val="00276A28"/>
    <w:rsid w:val="00276CB7"/>
    <w:rsid w:val="00276EF3"/>
    <w:rsid w:val="0027736F"/>
    <w:rsid w:val="0027778E"/>
    <w:rsid w:val="002779DF"/>
    <w:rsid w:val="002807AC"/>
    <w:rsid w:val="00280EDB"/>
    <w:rsid w:val="002815AE"/>
    <w:rsid w:val="0028164D"/>
    <w:rsid w:val="002817FB"/>
    <w:rsid w:val="00282B6F"/>
    <w:rsid w:val="00282E13"/>
    <w:rsid w:val="00284166"/>
    <w:rsid w:val="0028441D"/>
    <w:rsid w:val="0028499C"/>
    <w:rsid w:val="00284A34"/>
    <w:rsid w:val="00285351"/>
    <w:rsid w:val="00285800"/>
    <w:rsid w:val="00290995"/>
    <w:rsid w:val="002910FF"/>
    <w:rsid w:val="002928FE"/>
    <w:rsid w:val="002931FD"/>
    <w:rsid w:val="00293B82"/>
    <w:rsid w:val="002943CD"/>
    <w:rsid w:val="00295A91"/>
    <w:rsid w:val="00297B85"/>
    <w:rsid w:val="002A13DA"/>
    <w:rsid w:val="002A1976"/>
    <w:rsid w:val="002A31C3"/>
    <w:rsid w:val="002A326A"/>
    <w:rsid w:val="002A63C6"/>
    <w:rsid w:val="002A6EA8"/>
    <w:rsid w:val="002A714C"/>
    <w:rsid w:val="002A7A6B"/>
    <w:rsid w:val="002B011C"/>
    <w:rsid w:val="002B0A35"/>
    <w:rsid w:val="002B1336"/>
    <w:rsid w:val="002B20F4"/>
    <w:rsid w:val="002B2580"/>
    <w:rsid w:val="002B40EF"/>
    <w:rsid w:val="002B410C"/>
    <w:rsid w:val="002B415F"/>
    <w:rsid w:val="002B7B7D"/>
    <w:rsid w:val="002B7D0C"/>
    <w:rsid w:val="002C03A6"/>
    <w:rsid w:val="002C0507"/>
    <w:rsid w:val="002C19B5"/>
    <w:rsid w:val="002C1A45"/>
    <w:rsid w:val="002C2072"/>
    <w:rsid w:val="002C2F67"/>
    <w:rsid w:val="002C3131"/>
    <w:rsid w:val="002C3355"/>
    <w:rsid w:val="002C43A5"/>
    <w:rsid w:val="002C43E2"/>
    <w:rsid w:val="002C64CA"/>
    <w:rsid w:val="002C7579"/>
    <w:rsid w:val="002C763B"/>
    <w:rsid w:val="002C76AD"/>
    <w:rsid w:val="002D0D0B"/>
    <w:rsid w:val="002D0E0F"/>
    <w:rsid w:val="002D2B08"/>
    <w:rsid w:val="002D3064"/>
    <w:rsid w:val="002D3781"/>
    <w:rsid w:val="002D3933"/>
    <w:rsid w:val="002D39B7"/>
    <w:rsid w:val="002D4FE7"/>
    <w:rsid w:val="002D5887"/>
    <w:rsid w:val="002D7C4E"/>
    <w:rsid w:val="002E0D42"/>
    <w:rsid w:val="002E0D70"/>
    <w:rsid w:val="002E0DBC"/>
    <w:rsid w:val="002E0DE5"/>
    <w:rsid w:val="002E2154"/>
    <w:rsid w:val="002E2692"/>
    <w:rsid w:val="002E2CC1"/>
    <w:rsid w:val="002E32F3"/>
    <w:rsid w:val="002E43A9"/>
    <w:rsid w:val="002E4B2D"/>
    <w:rsid w:val="002F1D65"/>
    <w:rsid w:val="002F33DE"/>
    <w:rsid w:val="002F3B99"/>
    <w:rsid w:val="002F49ED"/>
    <w:rsid w:val="002F4CD0"/>
    <w:rsid w:val="002F4F46"/>
    <w:rsid w:val="002F5B4D"/>
    <w:rsid w:val="002F671B"/>
    <w:rsid w:val="002F68E5"/>
    <w:rsid w:val="002F757C"/>
    <w:rsid w:val="002F7BB6"/>
    <w:rsid w:val="0030056B"/>
    <w:rsid w:val="0030098B"/>
    <w:rsid w:val="00302F56"/>
    <w:rsid w:val="00303901"/>
    <w:rsid w:val="003039E5"/>
    <w:rsid w:val="00303EC8"/>
    <w:rsid w:val="003042E0"/>
    <w:rsid w:val="003042F3"/>
    <w:rsid w:val="00304715"/>
    <w:rsid w:val="00305F61"/>
    <w:rsid w:val="0030732E"/>
    <w:rsid w:val="0030749E"/>
    <w:rsid w:val="003102C8"/>
    <w:rsid w:val="00310A01"/>
    <w:rsid w:val="0031323E"/>
    <w:rsid w:val="00314FF9"/>
    <w:rsid w:val="003163A6"/>
    <w:rsid w:val="00316D14"/>
    <w:rsid w:val="00320BCA"/>
    <w:rsid w:val="0032199F"/>
    <w:rsid w:val="00322207"/>
    <w:rsid w:val="00322B3C"/>
    <w:rsid w:val="003230A7"/>
    <w:rsid w:val="00323C91"/>
    <w:rsid w:val="00324502"/>
    <w:rsid w:val="003248B3"/>
    <w:rsid w:val="00324933"/>
    <w:rsid w:val="00325004"/>
    <w:rsid w:val="0032592C"/>
    <w:rsid w:val="003263CB"/>
    <w:rsid w:val="003269B9"/>
    <w:rsid w:val="00327EEA"/>
    <w:rsid w:val="003301E2"/>
    <w:rsid w:val="0033134C"/>
    <w:rsid w:val="00331B3F"/>
    <w:rsid w:val="003333EC"/>
    <w:rsid w:val="0033372A"/>
    <w:rsid w:val="00333959"/>
    <w:rsid w:val="003343DA"/>
    <w:rsid w:val="00334870"/>
    <w:rsid w:val="00334DB8"/>
    <w:rsid w:val="003351A3"/>
    <w:rsid w:val="00337735"/>
    <w:rsid w:val="0034088A"/>
    <w:rsid w:val="00340ADC"/>
    <w:rsid w:val="00340B08"/>
    <w:rsid w:val="00340BC6"/>
    <w:rsid w:val="00340C2B"/>
    <w:rsid w:val="003412AC"/>
    <w:rsid w:val="0034135B"/>
    <w:rsid w:val="0034141B"/>
    <w:rsid w:val="00341A68"/>
    <w:rsid w:val="00342542"/>
    <w:rsid w:val="00342755"/>
    <w:rsid w:val="00342797"/>
    <w:rsid w:val="003427D6"/>
    <w:rsid w:val="00344C81"/>
    <w:rsid w:val="003465CA"/>
    <w:rsid w:val="00346914"/>
    <w:rsid w:val="0034780B"/>
    <w:rsid w:val="00347A8F"/>
    <w:rsid w:val="003501C0"/>
    <w:rsid w:val="003511D1"/>
    <w:rsid w:val="00352C28"/>
    <w:rsid w:val="00353122"/>
    <w:rsid w:val="0035368F"/>
    <w:rsid w:val="00353D64"/>
    <w:rsid w:val="00354177"/>
    <w:rsid w:val="003548F8"/>
    <w:rsid w:val="003549C2"/>
    <w:rsid w:val="003558EE"/>
    <w:rsid w:val="003569A1"/>
    <w:rsid w:val="00356A49"/>
    <w:rsid w:val="00360C03"/>
    <w:rsid w:val="00360CD0"/>
    <w:rsid w:val="00361677"/>
    <w:rsid w:val="00362692"/>
    <w:rsid w:val="00362801"/>
    <w:rsid w:val="003663A6"/>
    <w:rsid w:val="00367326"/>
    <w:rsid w:val="0037001B"/>
    <w:rsid w:val="003704A8"/>
    <w:rsid w:val="00370AE1"/>
    <w:rsid w:val="00370CB6"/>
    <w:rsid w:val="0037134C"/>
    <w:rsid w:val="00372C81"/>
    <w:rsid w:val="00374964"/>
    <w:rsid w:val="0037590E"/>
    <w:rsid w:val="00375E9D"/>
    <w:rsid w:val="00375FAD"/>
    <w:rsid w:val="00377757"/>
    <w:rsid w:val="003825FC"/>
    <w:rsid w:val="00382C16"/>
    <w:rsid w:val="00382F26"/>
    <w:rsid w:val="0038468A"/>
    <w:rsid w:val="00385637"/>
    <w:rsid w:val="003858EF"/>
    <w:rsid w:val="00385DE9"/>
    <w:rsid w:val="00386F02"/>
    <w:rsid w:val="00387259"/>
    <w:rsid w:val="00390092"/>
    <w:rsid w:val="00390A70"/>
    <w:rsid w:val="00390D54"/>
    <w:rsid w:val="0039143D"/>
    <w:rsid w:val="00391D68"/>
    <w:rsid w:val="0039264A"/>
    <w:rsid w:val="00392884"/>
    <w:rsid w:val="00392F33"/>
    <w:rsid w:val="0039507E"/>
    <w:rsid w:val="00397A68"/>
    <w:rsid w:val="00397DC3"/>
    <w:rsid w:val="003A0521"/>
    <w:rsid w:val="003A0578"/>
    <w:rsid w:val="003A112F"/>
    <w:rsid w:val="003A1384"/>
    <w:rsid w:val="003A1F0D"/>
    <w:rsid w:val="003A21F8"/>
    <w:rsid w:val="003A2777"/>
    <w:rsid w:val="003A3189"/>
    <w:rsid w:val="003A40CF"/>
    <w:rsid w:val="003A41F9"/>
    <w:rsid w:val="003A43BD"/>
    <w:rsid w:val="003A4ACD"/>
    <w:rsid w:val="003A59F2"/>
    <w:rsid w:val="003A6221"/>
    <w:rsid w:val="003A7163"/>
    <w:rsid w:val="003B0DCF"/>
    <w:rsid w:val="003B226A"/>
    <w:rsid w:val="003B26C1"/>
    <w:rsid w:val="003B2AC7"/>
    <w:rsid w:val="003B43C9"/>
    <w:rsid w:val="003B445C"/>
    <w:rsid w:val="003B4DBA"/>
    <w:rsid w:val="003B4FB9"/>
    <w:rsid w:val="003B5192"/>
    <w:rsid w:val="003B6319"/>
    <w:rsid w:val="003B6C78"/>
    <w:rsid w:val="003B6C9B"/>
    <w:rsid w:val="003B6E47"/>
    <w:rsid w:val="003B6F1F"/>
    <w:rsid w:val="003B782F"/>
    <w:rsid w:val="003C0420"/>
    <w:rsid w:val="003C0792"/>
    <w:rsid w:val="003C13EE"/>
    <w:rsid w:val="003C2337"/>
    <w:rsid w:val="003C269B"/>
    <w:rsid w:val="003C325F"/>
    <w:rsid w:val="003C54EF"/>
    <w:rsid w:val="003C561B"/>
    <w:rsid w:val="003C5D72"/>
    <w:rsid w:val="003C6958"/>
    <w:rsid w:val="003D0EF7"/>
    <w:rsid w:val="003D16DE"/>
    <w:rsid w:val="003D215D"/>
    <w:rsid w:val="003D2240"/>
    <w:rsid w:val="003D260E"/>
    <w:rsid w:val="003D383B"/>
    <w:rsid w:val="003D38F1"/>
    <w:rsid w:val="003D3D11"/>
    <w:rsid w:val="003D4303"/>
    <w:rsid w:val="003D5DA3"/>
    <w:rsid w:val="003D638E"/>
    <w:rsid w:val="003D743B"/>
    <w:rsid w:val="003E03E9"/>
    <w:rsid w:val="003E1649"/>
    <w:rsid w:val="003E2B3B"/>
    <w:rsid w:val="003E38FA"/>
    <w:rsid w:val="003E43AD"/>
    <w:rsid w:val="003E4650"/>
    <w:rsid w:val="003E662B"/>
    <w:rsid w:val="003E6D94"/>
    <w:rsid w:val="003F03D9"/>
    <w:rsid w:val="003F07BC"/>
    <w:rsid w:val="003F11DF"/>
    <w:rsid w:val="003F5C0D"/>
    <w:rsid w:val="003F683C"/>
    <w:rsid w:val="0040039D"/>
    <w:rsid w:val="00401290"/>
    <w:rsid w:val="004012F0"/>
    <w:rsid w:val="00401343"/>
    <w:rsid w:val="00401696"/>
    <w:rsid w:val="00401F60"/>
    <w:rsid w:val="0040216A"/>
    <w:rsid w:val="00402207"/>
    <w:rsid w:val="004022BB"/>
    <w:rsid w:val="00402966"/>
    <w:rsid w:val="00402B77"/>
    <w:rsid w:val="00403CB4"/>
    <w:rsid w:val="004047A7"/>
    <w:rsid w:val="0040512D"/>
    <w:rsid w:val="00405970"/>
    <w:rsid w:val="00405E5F"/>
    <w:rsid w:val="00406FF1"/>
    <w:rsid w:val="0040739B"/>
    <w:rsid w:val="004100E0"/>
    <w:rsid w:val="00410A58"/>
    <w:rsid w:val="00411867"/>
    <w:rsid w:val="00411FCD"/>
    <w:rsid w:val="0041219F"/>
    <w:rsid w:val="00412C69"/>
    <w:rsid w:val="00412DD5"/>
    <w:rsid w:val="00413286"/>
    <w:rsid w:val="0041413F"/>
    <w:rsid w:val="00416003"/>
    <w:rsid w:val="00420470"/>
    <w:rsid w:val="004243AF"/>
    <w:rsid w:val="00424484"/>
    <w:rsid w:val="00424A2A"/>
    <w:rsid w:val="00426065"/>
    <w:rsid w:val="00430290"/>
    <w:rsid w:val="004314E1"/>
    <w:rsid w:val="00431DCF"/>
    <w:rsid w:val="0043452C"/>
    <w:rsid w:val="00436491"/>
    <w:rsid w:val="004372D2"/>
    <w:rsid w:val="00437954"/>
    <w:rsid w:val="00437EA4"/>
    <w:rsid w:val="0044043F"/>
    <w:rsid w:val="00440851"/>
    <w:rsid w:val="0044154D"/>
    <w:rsid w:val="00442481"/>
    <w:rsid w:val="00442D8D"/>
    <w:rsid w:val="00445492"/>
    <w:rsid w:val="00446BF2"/>
    <w:rsid w:val="00446DAC"/>
    <w:rsid w:val="00450297"/>
    <w:rsid w:val="004513BB"/>
    <w:rsid w:val="004519BB"/>
    <w:rsid w:val="00451BEB"/>
    <w:rsid w:val="004525EB"/>
    <w:rsid w:val="00453A2C"/>
    <w:rsid w:val="00454841"/>
    <w:rsid w:val="0045621B"/>
    <w:rsid w:val="00456521"/>
    <w:rsid w:val="00456D89"/>
    <w:rsid w:val="00461057"/>
    <w:rsid w:val="004612BE"/>
    <w:rsid w:val="0046135B"/>
    <w:rsid w:val="00461412"/>
    <w:rsid w:val="00461A6E"/>
    <w:rsid w:val="004622F9"/>
    <w:rsid w:val="00462CA3"/>
    <w:rsid w:val="00462D1E"/>
    <w:rsid w:val="00463704"/>
    <w:rsid w:val="0046460D"/>
    <w:rsid w:val="004646D4"/>
    <w:rsid w:val="00465DD6"/>
    <w:rsid w:val="00466A30"/>
    <w:rsid w:val="0046709A"/>
    <w:rsid w:val="004702AA"/>
    <w:rsid w:val="00471154"/>
    <w:rsid w:val="00472581"/>
    <w:rsid w:val="00472D22"/>
    <w:rsid w:val="00473083"/>
    <w:rsid w:val="004735BC"/>
    <w:rsid w:val="00473EDC"/>
    <w:rsid w:val="00474425"/>
    <w:rsid w:val="00474E78"/>
    <w:rsid w:val="004766F5"/>
    <w:rsid w:val="00480145"/>
    <w:rsid w:val="0048095F"/>
    <w:rsid w:val="004810EE"/>
    <w:rsid w:val="0048610D"/>
    <w:rsid w:val="004864F0"/>
    <w:rsid w:val="00486964"/>
    <w:rsid w:val="00486D55"/>
    <w:rsid w:val="004879DB"/>
    <w:rsid w:val="00490105"/>
    <w:rsid w:val="004902B1"/>
    <w:rsid w:val="00490C94"/>
    <w:rsid w:val="004912D4"/>
    <w:rsid w:val="00491590"/>
    <w:rsid w:val="00491610"/>
    <w:rsid w:val="00492821"/>
    <w:rsid w:val="00492B3B"/>
    <w:rsid w:val="00493CE6"/>
    <w:rsid w:val="00494A5E"/>
    <w:rsid w:val="00496BA8"/>
    <w:rsid w:val="00497351"/>
    <w:rsid w:val="00497F54"/>
    <w:rsid w:val="004A01D7"/>
    <w:rsid w:val="004A0246"/>
    <w:rsid w:val="004A04D7"/>
    <w:rsid w:val="004A0509"/>
    <w:rsid w:val="004A0606"/>
    <w:rsid w:val="004A0EFE"/>
    <w:rsid w:val="004A1360"/>
    <w:rsid w:val="004A1ADC"/>
    <w:rsid w:val="004A2236"/>
    <w:rsid w:val="004A251D"/>
    <w:rsid w:val="004A282E"/>
    <w:rsid w:val="004A284A"/>
    <w:rsid w:val="004A2BA9"/>
    <w:rsid w:val="004A41C6"/>
    <w:rsid w:val="004A5BB7"/>
    <w:rsid w:val="004A5C09"/>
    <w:rsid w:val="004A68D6"/>
    <w:rsid w:val="004A6E10"/>
    <w:rsid w:val="004A72EA"/>
    <w:rsid w:val="004A7B7E"/>
    <w:rsid w:val="004B01E8"/>
    <w:rsid w:val="004B2438"/>
    <w:rsid w:val="004B31AB"/>
    <w:rsid w:val="004B3EF5"/>
    <w:rsid w:val="004B5421"/>
    <w:rsid w:val="004B5634"/>
    <w:rsid w:val="004B56A8"/>
    <w:rsid w:val="004B72F8"/>
    <w:rsid w:val="004B77F5"/>
    <w:rsid w:val="004B7826"/>
    <w:rsid w:val="004B7CEF"/>
    <w:rsid w:val="004C05DC"/>
    <w:rsid w:val="004C2485"/>
    <w:rsid w:val="004C34B3"/>
    <w:rsid w:val="004C36A6"/>
    <w:rsid w:val="004C39FB"/>
    <w:rsid w:val="004C3BC6"/>
    <w:rsid w:val="004C512E"/>
    <w:rsid w:val="004C5FF7"/>
    <w:rsid w:val="004C7CAB"/>
    <w:rsid w:val="004D00E0"/>
    <w:rsid w:val="004D048B"/>
    <w:rsid w:val="004D0531"/>
    <w:rsid w:val="004D058D"/>
    <w:rsid w:val="004D1D5C"/>
    <w:rsid w:val="004D3492"/>
    <w:rsid w:val="004D45EA"/>
    <w:rsid w:val="004D55F4"/>
    <w:rsid w:val="004D6C15"/>
    <w:rsid w:val="004E0802"/>
    <w:rsid w:val="004E2748"/>
    <w:rsid w:val="004E2B7E"/>
    <w:rsid w:val="004E2C03"/>
    <w:rsid w:val="004E370B"/>
    <w:rsid w:val="004E39AA"/>
    <w:rsid w:val="004E42E0"/>
    <w:rsid w:val="004E4804"/>
    <w:rsid w:val="004E482F"/>
    <w:rsid w:val="004E4835"/>
    <w:rsid w:val="004E6EB4"/>
    <w:rsid w:val="004F0183"/>
    <w:rsid w:val="004F03EB"/>
    <w:rsid w:val="004F107C"/>
    <w:rsid w:val="004F14BC"/>
    <w:rsid w:val="004F29D7"/>
    <w:rsid w:val="004F2A30"/>
    <w:rsid w:val="004F341C"/>
    <w:rsid w:val="004F3679"/>
    <w:rsid w:val="004F52EB"/>
    <w:rsid w:val="004F57DB"/>
    <w:rsid w:val="004F5CEA"/>
    <w:rsid w:val="004F7477"/>
    <w:rsid w:val="004F7B28"/>
    <w:rsid w:val="004F7E12"/>
    <w:rsid w:val="00500AF5"/>
    <w:rsid w:val="00501870"/>
    <w:rsid w:val="00502F93"/>
    <w:rsid w:val="00503D13"/>
    <w:rsid w:val="005041B7"/>
    <w:rsid w:val="005044D5"/>
    <w:rsid w:val="00505006"/>
    <w:rsid w:val="005055FA"/>
    <w:rsid w:val="00505826"/>
    <w:rsid w:val="005063FC"/>
    <w:rsid w:val="00506A10"/>
    <w:rsid w:val="00507A47"/>
    <w:rsid w:val="00507F13"/>
    <w:rsid w:val="00510D94"/>
    <w:rsid w:val="00512C3F"/>
    <w:rsid w:val="00512D83"/>
    <w:rsid w:val="00512DE0"/>
    <w:rsid w:val="00514FD3"/>
    <w:rsid w:val="00517F63"/>
    <w:rsid w:val="00520845"/>
    <w:rsid w:val="0052122C"/>
    <w:rsid w:val="00521428"/>
    <w:rsid w:val="0052162C"/>
    <w:rsid w:val="00522619"/>
    <w:rsid w:val="00522C7B"/>
    <w:rsid w:val="00524D06"/>
    <w:rsid w:val="00525EF9"/>
    <w:rsid w:val="0052623C"/>
    <w:rsid w:val="00526C56"/>
    <w:rsid w:val="00527279"/>
    <w:rsid w:val="0052759B"/>
    <w:rsid w:val="005301AC"/>
    <w:rsid w:val="005302ED"/>
    <w:rsid w:val="00530DFF"/>
    <w:rsid w:val="00531A31"/>
    <w:rsid w:val="0053264E"/>
    <w:rsid w:val="00533BAC"/>
    <w:rsid w:val="00533C4E"/>
    <w:rsid w:val="00533F37"/>
    <w:rsid w:val="005343DE"/>
    <w:rsid w:val="00534EB9"/>
    <w:rsid w:val="00535AD0"/>
    <w:rsid w:val="00535EDB"/>
    <w:rsid w:val="00535F37"/>
    <w:rsid w:val="0053600A"/>
    <w:rsid w:val="005402CB"/>
    <w:rsid w:val="0054181B"/>
    <w:rsid w:val="00541F7C"/>
    <w:rsid w:val="0054208B"/>
    <w:rsid w:val="0054362E"/>
    <w:rsid w:val="00543ABB"/>
    <w:rsid w:val="0054449A"/>
    <w:rsid w:val="00544874"/>
    <w:rsid w:val="00545597"/>
    <w:rsid w:val="005465C0"/>
    <w:rsid w:val="005466A9"/>
    <w:rsid w:val="005466E8"/>
    <w:rsid w:val="005477A4"/>
    <w:rsid w:val="00550369"/>
    <w:rsid w:val="005507B5"/>
    <w:rsid w:val="00553124"/>
    <w:rsid w:val="0055381E"/>
    <w:rsid w:val="005545DC"/>
    <w:rsid w:val="00554D21"/>
    <w:rsid w:val="0055679A"/>
    <w:rsid w:val="005600C5"/>
    <w:rsid w:val="0056013B"/>
    <w:rsid w:val="0056137E"/>
    <w:rsid w:val="00561DE5"/>
    <w:rsid w:val="00562868"/>
    <w:rsid w:val="005635AD"/>
    <w:rsid w:val="005639FA"/>
    <w:rsid w:val="00564D10"/>
    <w:rsid w:val="00565CE4"/>
    <w:rsid w:val="0056653C"/>
    <w:rsid w:val="005668F2"/>
    <w:rsid w:val="005671B0"/>
    <w:rsid w:val="005677FF"/>
    <w:rsid w:val="005700AE"/>
    <w:rsid w:val="005707E9"/>
    <w:rsid w:val="005711E1"/>
    <w:rsid w:val="00572810"/>
    <w:rsid w:val="00572A21"/>
    <w:rsid w:val="00574090"/>
    <w:rsid w:val="00575E70"/>
    <w:rsid w:val="0057678C"/>
    <w:rsid w:val="00580CB9"/>
    <w:rsid w:val="0058277C"/>
    <w:rsid w:val="00582F31"/>
    <w:rsid w:val="005832CC"/>
    <w:rsid w:val="00583F19"/>
    <w:rsid w:val="00585288"/>
    <w:rsid w:val="00585988"/>
    <w:rsid w:val="0058660A"/>
    <w:rsid w:val="00587ACE"/>
    <w:rsid w:val="00590C06"/>
    <w:rsid w:val="00590C75"/>
    <w:rsid w:val="0059120D"/>
    <w:rsid w:val="00592E6E"/>
    <w:rsid w:val="00592FEB"/>
    <w:rsid w:val="0059620A"/>
    <w:rsid w:val="00597E4E"/>
    <w:rsid w:val="005A037A"/>
    <w:rsid w:val="005A08DC"/>
    <w:rsid w:val="005A0B9B"/>
    <w:rsid w:val="005A168D"/>
    <w:rsid w:val="005A191D"/>
    <w:rsid w:val="005A1FBC"/>
    <w:rsid w:val="005A2FA7"/>
    <w:rsid w:val="005A3A8C"/>
    <w:rsid w:val="005A3CA5"/>
    <w:rsid w:val="005A5BF4"/>
    <w:rsid w:val="005A6322"/>
    <w:rsid w:val="005A79C1"/>
    <w:rsid w:val="005A7F46"/>
    <w:rsid w:val="005B0100"/>
    <w:rsid w:val="005B0122"/>
    <w:rsid w:val="005B0541"/>
    <w:rsid w:val="005B0BF6"/>
    <w:rsid w:val="005B279C"/>
    <w:rsid w:val="005B51E7"/>
    <w:rsid w:val="005B6957"/>
    <w:rsid w:val="005B79BA"/>
    <w:rsid w:val="005B7CE3"/>
    <w:rsid w:val="005C1D8C"/>
    <w:rsid w:val="005C3DC2"/>
    <w:rsid w:val="005C6316"/>
    <w:rsid w:val="005C7849"/>
    <w:rsid w:val="005D5D24"/>
    <w:rsid w:val="005D74BE"/>
    <w:rsid w:val="005E1567"/>
    <w:rsid w:val="005E1AAB"/>
    <w:rsid w:val="005E2C66"/>
    <w:rsid w:val="005E3BD0"/>
    <w:rsid w:val="005E3D01"/>
    <w:rsid w:val="005E3FD2"/>
    <w:rsid w:val="005E400D"/>
    <w:rsid w:val="005E4076"/>
    <w:rsid w:val="005E50B4"/>
    <w:rsid w:val="005E50F6"/>
    <w:rsid w:val="005E7740"/>
    <w:rsid w:val="005E7B41"/>
    <w:rsid w:val="005F01F5"/>
    <w:rsid w:val="005F0D36"/>
    <w:rsid w:val="005F163B"/>
    <w:rsid w:val="005F202B"/>
    <w:rsid w:val="005F22B9"/>
    <w:rsid w:val="005F2915"/>
    <w:rsid w:val="005F2F34"/>
    <w:rsid w:val="005F3DB7"/>
    <w:rsid w:val="005F43BD"/>
    <w:rsid w:val="005F4500"/>
    <w:rsid w:val="005F5196"/>
    <w:rsid w:val="005F6E57"/>
    <w:rsid w:val="005F7D92"/>
    <w:rsid w:val="005F7F46"/>
    <w:rsid w:val="006000B3"/>
    <w:rsid w:val="006048A5"/>
    <w:rsid w:val="0060625D"/>
    <w:rsid w:val="00606609"/>
    <w:rsid w:val="00606A46"/>
    <w:rsid w:val="006072F3"/>
    <w:rsid w:val="006100A4"/>
    <w:rsid w:val="0061395A"/>
    <w:rsid w:val="00614E4C"/>
    <w:rsid w:val="0061555E"/>
    <w:rsid w:val="00617051"/>
    <w:rsid w:val="006204E8"/>
    <w:rsid w:val="00621572"/>
    <w:rsid w:val="006217C2"/>
    <w:rsid w:val="0062238C"/>
    <w:rsid w:val="0062257E"/>
    <w:rsid w:val="006231D1"/>
    <w:rsid w:val="0062396C"/>
    <w:rsid w:val="00623C8B"/>
    <w:rsid w:val="00623CCD"/>
    <w:rsid w:val="006242BD"/>
    <w:rsid w:val="00626132"/>
    <w:rsid w:val="006275E4"/>
    <w:rsid w:val="006279CA"/>
    <w:rsid w:val="00627FB9"/>
    <w:rsid w:val="006302B8"/>
    <w:rsid w:val="00632759"/>
    <w:rsid w:val="00632F18"/>
    <w:rsid w:val="00633064"/>
    <w:rsid w:val="00634276"/>
    <w:rsid w:val="006344FD"/>
    <w:rsid w:val="006352AA"/>
    <w:rsid w:val="00635A1E"/>
    <w:rsid w:val="00636BFB"/>
    <w:rsid w:val="00636CF5"/>
    <w:rsid w:val="006406C5"/>
    <w:rsid w:val="00640A85"/>
    <w:rsid w:val="00642111"/>
    <w:rsid w:val="006431C9"/>
    <w:rsid w:val="00643C1F"/>
    <w:rsid w:val="00645128"/>
    <w:rsid w:val="00645474"/>
    <w:rsid w:val="006506C6"/>
    <w:rsid w:val="0065229A"/>
    <w:rsid w:val="006528AA"/>
    <w:rsid w:val="006529C8"/>
    <w:rsid w:val="00652A84"/>
    <w:rsid w:val="00653052"/>
    <w:rsid w:val="00653516"/>
    <w:rsid w:val="00654EF7"/>
    <w:rsid w:val="00656743"/>
    <w:rsid w:val="00660B92"/>
    <w:rsid w:val="00660E66"/>
    <w:rsid w:val="00661AA3"/>
    <w:rsid w:val="00661C0E"/>
    <w:rsid w:val="00662139"/>
    <w:rsid w:val="00662173"/>
    <w:rsid w:val="00662FF4"/>
    <w:rsid w:val="00665C0C"/>
    <w:rsid w:val="006667B3"/>
    <w:rsid w:val="00667614"/>
    <w:rsid w:val="0066771C"/>
    <w:rsid w:val="00667DA4"/>
    <w:rsid w:val="006705DE"/>
    <w:rsid w:val="006716AE"/>
    <w:rsid w:val="00671F04"/>
    <w:rsid w:val="00672C2D"/>
    <w:rsid w:val="006738F3"/>
    <w:rsid w:val="00673F32"/>
    <w:rsid w:val="006743C2"/>
    <w:rsid w:val="00675520"/>
    <w:rsid w:val="00675F15"/>
    <w:rsid w:val="00677209"/>
    <w:rsid w:val="006813E0"/>
    <w:rsid w:val="00682FE6"/>
    <w:rsid w:val="006830BA"/>
    <w:rsid w:val="00684B7D"/>
    <w:rsid w:val="0068500B"/>
    <w:rsid w:val="00690A37"/>
    <w:rsid w:val="00692F2E"/>
    <w:rsid w:val="006953D4"/>
    <w:rsid w:val="00695BDE"/>
    <w:rsid w:val="0069663D"/>
    <w:rsid w:val="00696657"/>
    <w:rsid w:val="0069669F"/>
    <w:rsid w:val="00697EAC"/>
    <w:rsid w:val="006A0301"/>
    <w:rsid w:val="006A0FCE"/>
    <w:rsid w:val="006A1586"/>
    <w:rsid w:val="006A2037"/>
    <w:rsid w:val="006A58CD"/>
    <w:rsid w:val="006A73AB"/>
    <w:rsid w:val="006A7457"/>
    <w:rsid w:val="006A762C"/>
    <w:rsid w:val="006A7799"/>
    <w:rsid w:val="006B0345"/>
    <w:rsid w:val="006B035E"/>
    <w:rsid w:val="006B045E"/>
    <w:rsid w:val="006B15E2"/>
    <w:rsid w:val="006B1B19"/>
    <w:rsid w:val="006B24B9"/>
    <w:rsid w:val="006B32A3"/>
    <w:rsid w:val="006B41BB"/>
    <w:rsid w:val="006B492E"/>
    <w:rsid w:val="006B538F"/>
    <w:rsid w:val="006B650E"/>
    <w:rsid w:val="006B73DC"/>
    <w:rsid w:val="006C0A0E"/>
    <w:rsid w:val="006C10A3"/>
    <w:rsid w:val="006C15A8"/>
    <w:rsid w:val="006C2365"/>
    <w:rsid w:val="006C313D"/>
    <w:rsid w:val="006C36CE"/>
    <w:rsid w:val="006C376C"/>
    <w:rsid w:val="006C4016"/>
    <w:rsid w:val="006C49AF"/>
    <w:rsid w:val="006C4C98"/>
    <w:rsid w:val="006C5881"/>
    <w:rsid w:val="006C59A7"/>
    <w:rsid w:val="006C74DF"/>
    <w:rsid w:val="006D101A"/>
    <w:rsid w:val="006D13A2"/>
    <w:rsid w:val="006D14BB"/>
    <w:rsid w:val="006D1B96"/>
    <w:rsid w:val="006D28B6"/>
    <w:rsid w:val="006D2B98"/>
    <w:rsid w:val="006D3027"/>
    <w:rsid w:val="006D3331"/>
    <w:rsid w:val="006D373B"/>
    <w:rsid w:val="006D3951"/>
    <w:rsid w:val="006D3CB5"/>
    <w:rsid w:val="006D50A8"/>
    <w:rsid w:val="006D5892"/>
    <w:rsid w:val="006D611E"/>
    <w:rsid w:val="006D6DF8"/>
    <w:rsid w:val="006D7D0A"/>
    <w:rsid w:val="006E188B"/>
    <w:rsid w:val="006E2AC4"/>
    <w:rsid w:val="006E3446"/>
    <w:rsid w:val="006E3952"/>
    <w:rsid w:val="006E3B8C"/>
    <w:rsid w:val="006E41FE"/>
    <w:rsid w:val="006E4F3C"/>
    <w:rsid w:val="006E6EEB"/>
    <w:rsid w:val="006F0649"/>
    <w:rsid w:val="006F0B0F"/>
    <w:rsid w:val="006F0E02"/>
    <w:rsid w:val="006F1236"/>
    <w:rsid w:val="006F451E"/>
    <w:rsid w:val="006F4C5A"/>
    <w:rsid w:val="006F5526"/>
    <w:rsid w:val="006F6C7A"/>
    <w:rsid w:val="006F7156"/>
    <w:rsid w:val="006F7164"/>
    <w:rsid w:val="006F7C6E"/>
    <w:rsid w:val="00701245"/>
    <w:rsid w:val="00701248"/>
    <w:rsid w:val="00702C01"/>
    <w:rsid w:val="00702C59"/>
    <w:rsid w:val="0070329C"/>
    <w:rsid w:val="00703A51"/>
    <w:rsid w:val="007057F9"/>
    <w:rsid w:val="00705D9D"/>
    <w:rsid w:val="007068F1"/>
    <w:rsid w:val="007072A2"/>
    <w:rsid w:val="00707BA1"/>
    <w:rsid w:val="00710C6E"/>
    <w:rsid w:val="00711517"/>
    <w:rsid w:val="007123FE"/>
    <w:rsid w:val="00713175"/>
    <w:rsid w:val="00715F9D"/>
    <w:rsid w:val="007170F1"/>
    <w:rsid w:val="007209B0"/>
    <w:rsid w:val="00722028"/>
    <w:rsid w:val="00722D66"/>
    <w:rsid w:val="0072437B"/>
    <w:rsid w:val="00725397"/>
    <w:rsid w:val="007255D8"/>
    <w:rsid w:val="00725766"/>
    <w:rsid w:val="0072591D"/>
    <w:rsid w:val="007263C5"/>
    <w:rsid w:val="0072725A"/>
    <w:rsid w:val="00727955"/>
    <w:rsid w:val="0073189E"/>
    <w:rsid w:val="00732086"/>
    <w:rsid w:val="007325E1"/>
    <w:rsid w:val="007332CD"/>
    <w:rsid w:val="007338D2"/>
    <w:rsid w:val="00734A40"/>
    <w:rsid w:val="00734FB2"/>
    <w:rsid w:val="00735A60"/>
    <w:rsid w:val="0073603E"/>
    <w:rsid w:val="0073635E"/>
    <w:rsid w:val="00741216"/>
    <w:rsid w:val="0074289C"/>
    <w:rsid w:val="00745645"/>
    <w:rsid w:val="0074628D"/>
    <w:rsid w:val="00746DB7"/>
    <w:rsid w:val="00746E31"/>
    <w:rsid w:val="007500F1"/>
    <w:rsid w:val="0075228E"/>
    <w:rsid w:val="00752521"/>
    <w:rsid w:val="00752FB2"/>
    <w:rsid w:val="00754950"/>
    <w:rsid w:val="00755FA2"/>
    <w:rsid w:val="0075665F"/>
    <w:rsid w:val="00757CE3"/>
    <w:rsid w:val="00760928"/>
    <w:rsid w:val="00761985"/>
    <w:rsid w:val="007624E8"/>
    <w:rsid w:val="007625D2"/>
    <w:rsid w:val="007628D9"/>
    <w:rsid w:val="00764A5A"/>
    <w:rsid w:val="007650E7"/>
    <w:rsid w:val="0076530F"/>
    <w:rsid w:val="007661BC"/>
    <w:rsid w:val="00766672"/>
    <w:rsid w:val="007667E7"/>
    <w:rsid w:val="00766FE3"/>
    <w:rsid w:val="00767884"/>
    <w:rsid w:val="007704C1"/>
    <w:rsid w:val="00771EDE"/>
    <w:rsid w:val="00771EED"/>
    <w:rsid w:val="00772DD9"/>
    <w:rsid w:val="00772E0B"/>
    <w:rsid w:val="007733CA"/>
    <w:rsid w:val="00773F2A"/>
    <w:rsid w:val="00776156"/>
    <w:rsid w:val="00776165"/>
    <w:rsid w:val="00777099"/>
    <w:rsid w:val="00777D92"/>
    <w:rsid w:val="00780787"/>
    <w:rsid w:val="00780F24"/>
    <w:rsid w:val="00782DB0"/>
    <w:rsid w:val="0078437F"/>
    <w:rsid w:val="007846BD"/>
    <w:rsid w:val="00784E92"/>
    <w:rsid w:val="00785848"/>
    <w:rsid w:val="00787B5C"/>
    <w:rsid w:val="0079011C"/>
    <w:rsid w:val="00791110"/>
    <w:rsid w:val="00791CF3"/>
    <w:rsid w:val="007929D0"/>
    <w:rsid w:val="0079465C"/>
    <w:rsid w:val="007966B1"/>
    <w:rsid w:val="007970F3"/>
    <w:rsid w:val="00797E2C"/>
    <w:rsid w:val="007A04C3"/>
    <w:rsid w:val="007A21C6"/>
    <w:rsid w:val="007A3090"/>
    <w:rsid w:val="007A35D4"/>
    <w:rsid w:val="007A3DC2"/>
    <w:rsid w:val="007A3F57"/>
    <w:rsid w:val="007A6521"/>
    <w:rsid w:val="007A653A"/>
    <w:rsid w:val="007A666F"/>
    <w:rsid w:val="007A7C38"/>
    <w:rsid w:val="007B036A"/>
    <w:rsid w:val="007B1150"/>
    <w:rsid w:val="007B1960"/>
    <w:rsid w:val="007B1978"/>
    <w:rsid w:val="007B3A20"/>
    <w:rsid w:val="007B4B65"/>
    <w:rsid w:val="007B5847"/>
    <w:rsid w:val="007B614B"/>
    <w:rsid w:val="007B6777"/>
    <w:rsid w:val="007B6929"/>
    <w:rsid w:val="007B6CCC"/>
    <w:rsid w:val="007C0D8F"/>
    <w:rsid w:val="007C133A"/>
    <w:rsid w:val="007C2EBD"/>
    <w:rsid w:val="007C3272"/>
    <w:rsid w:val="007C3729"/>
    <w:rsid w:val="007C37CA"/>
    <w:rsid w:val="007C4001"/>
    <w:rsid w:val="007C5019"/>
    <w:rsid w:val="007C5D09"/>
    <w:rsid w:val="007C7590"/>
    <w:rsid w:val="007C7DDB"/>
    <w:rsid w:val="007D22B1"/>
    <w:rsid w:val="007D26E8"/>
    <w:rsid w:val="007D276B"/>
    <w:rsid w:val="007D38A9"/>
    <w:rsid w:val="007D505A"/>
    <w:rsid w:val="007D5536"/>
    <w:rsid w:val="007D606E"/>
    <w:rsid w:val="007D6CBE"/>
    <w:rsid w:val="007D75FA"/>
    <w:rsid w:val="007E0091"/>
    <w:rsid w:val="007E080B"/>
    <w:rsid w:val="007E23B3"/>
    <w:rsid w:val="007E2747"/>
    <w:rsid w:val="007E2AE2"/>
    <w:rsid w:val="007E2BDC"/>
    <w:rsid w:val="007E3B8D"/>
    <w:rsid w:val="007E3EC5"/>
    <w:rsid w:val="007E430F"/>
    <w:rsid w:val="007E4979"/>
    <w:rsid w:val="007E51BE"/>
    <w:rsid w:val="007E62EC"/>
    <w:rsid w:val="007E62FD"/>
    <w:rsid w:val="007E7398"/>
    <w:rsid w:val="007E7AEF"/>
    <w:rsid w:val="007F0379"/>
    <w:rsid w:val="007F35AD"/>
    <w:rsid w:val="007F3A72"/>
    <w:rsid w:val="007F4147"/>
    <w:rsid w:val="007F4B3B"/>
    <w:rsid w:val="007F4C03"/>
    <w:rsid w:val="007F5873"/>
    <w:rsid w:val="007F6601"/>
    <w:rsid w:val="007F6904"/>
    <w:rsid w:val="007F6B30"/>
    <w:rsid w:val="007F6F29"/>
    <w:rsid w:val="007F7CCE"/>
    <w:rsid w:val="008007E9"/>
    <w:rsid w:val="00801348"/>
    <w:rsid w:val="00802846"/>
    <w:rsid w:val="00803226"/>
    <w:rsid w:val="0080351F"/>
    <w:rsid w:val="00803852"/>
    <w:rsid w:val="008070AE"/>
    <w:rsid w:val="00807352"/>
    <w:rsid w:val="00807F7B"/>
    <w:rsid w:val="00810213"/>
    <w:rsid w:val="00812C74"/>
    <w:rsid w:val="00812F0D"/>
    <w:rsid w:val="00812FC3"/>
    <w:rsid w:val="00813598"/>
    <w:rsid w:val="00820173"/>
    <w:rsid w:val="00821B44"/>
    <w:rsid w:val="00821E12"/>
    <w:rsid w:val="0082229C"/>
    <w:rsid w:val="008239FD"/>
    <w:rsid w:val="00824CAF"/>
    <w:rsid w:val="00826086"/>
    <w:rsid w:val="00826AEA"/>
    <w:rsid w:val="0082732E"/>
    <w:rsid w:val="00827EA1"/>
    <w:rsid w:val="00830E42"/>
    <w:rsid w:val="00833FCA"/>
    <w:rsid w:val="00834433"/>
    <w:rsid w:val="0083450B"/>
    <w:rsid w:val="00834B1C"/>
    <w:rsid w:val="008422E3"/>
    <w:rsid w:val="00844902"/>
    <w:rsid w:val="00844D44"/>
    <w:rsid w:val="008451C5"/>
    <w:rsid w:val="008455CC"/>
    <w:rsid w:val="008461FE"/>
    <w:rsid w:val="00846691"/>
    <w:rsid w:val="008471E7"/>
    <w:rsid w:val="0084736A"/>
    <w:rsid w:val="008474E8"/>
    <w:rsid w:val="00847903"/>
    <w:rsid w:val="00850285"/>
    <w:rsid w:val="00850676"/>
    <w:rsid w:val="0085102D"/>
    <w:rsid w:val="008519E1"/>
    <w:rsid w:val="00851B23"/>
    <w:rsid w:val="0085205D"/>
    <w:rsid w:val="0085263C"/>
    <w:rsid w:val="008540AE"/>
    <w:rsid w:val="00855342"/>
    <w:rsid w:val="008558D8"/>
    <w:rsid w:val="0085791D"/>
    <w:rsid w:val="00860A68"/>
    <w:rsid w:val="00862262"/>
    <w:rsid w:val="0086297D"/>
    <w:rsid w:val="00862E5B"/>
    <w:rsid w:val="008631CA"/>
    <w:rsid w:val="0086373E"/>
    <w:rsid w:val="008660E3"/>
    <w:rsid w:val="00870068"/>
    <w:rsid w:val="008707A6"/>
    <w:rsid w:val="008718B7"/>
    <w:rsid w:val="00871901"/>
    <w:rsid w:val="00872F7E"/>
    <w:rsid w:val="00874008"/>
    <w:rsid w:val="00874E34"/>
    <w:rsid w:val="00875487"/>
    <w:rsid w:val="0087566C"/>
    <w:rsid w:val="00875775"/>
    <w:rsid w:val="008761A8"/>
    <w:rsid w:val="00876DC3"/>
    <w:rsid w:val="00877490"/>
    <w:rsid w:val="00877C40"/>
    <w:rsid w:val="00880C79"/>
    <w:rsid w:val="00880F05"/>
    <w:rsid w:val="00882485"/>
    <w:rsid w:val="008825A1"/>
    <w:rsid w:val="00883FEC"/>
    <w:rsid w:val="00885126"/>
    <w:rsid w:val="008861D8"/>
    <w:rsid w:val="008874A3"/>
    <w:rsid w:val="00890CF4"/>
    <w:rsid w:val="00890D13"/>
    <w:rsid w:val="00892562"/>
    <w:rsid w:val="0089264E"/>
    <w:rsid w:val="0089348E"/>
    <w:rsid w:val="00894936"/>
    <w:rsid w:val="008950E3"/>
    <w:rsid w:val="00895616"/>
    <w:rsid w:val="00895F11"/>
    <w:rsid w:val="00896B18"/>
    <w:rsid w:val="008971B1"/>
    <w:rsid w:val="00897B73"/>
    <w:rsid w:val="008A0C12"/>
    <w:rsid w:val="008A2153"/>
    <w:rsid w:val="008A47EE"/>
    <w:rsid w:val="008A521F"/>
    <w:rsid w:val="008A5B15"/>
    <w:rsid w:val="008A613D"/>
    <w:rsid w:val="008B1EA6"/>
    <w:rsid w:val="008B28BC"/>
    <w:rsid w:val="008B325D"/>
    <w:rsid w:val="008B441D"/>
    <w:rsid w:val="008B63B3"/>
    <w:rsid w:val="008B717C"/>
    <w:rsid w:val="008C03BD"/>
    <w:rsid w:val="008C0A9B"/>
    <w:rsid w:val="008C2327"/>
    <w:rsid w:val="008C278D"/>
    <w:rsid w:val="008C2BB8"/>
    <w:rsid w:val="008C3A44"/>
    <w:rsid w:val="008C4B5D"/>
    <w:rsid w:val="008C707D"/>
    <w:rsid w:val="008D05E8"/>
    <w:rsid w:val="008D0D80"/>
    <w:rsid w:val="008D1642"/>
    <w:rsid w:val="008D1DBC"/>
    <w:rsid w:val="008D1E53"/>
    <w:rsid w:val="008D21DF"/>
    <w:rsid w:val="008D2BD1"/>
    <w:rsid w:val="008D3C37"/>
    <w:rsid w:val="008D462C"/>
    <w:rsid w:val="008D50FE"/>
    <w:rsid w:val="008D5719"/>
    <w:rsid w:val="008D5743"/>
    <w:rsid w:val="008D605C"/>
    <w:rsid w:val="008D60AD"/>
    <w:rsid w:val="008D6863"/>
    <w:rsid w:val="008D6DE6"/>
    <w:rsid w:val="008D79AB"/>
    <w:rsid w:val="008E0CFA"/>
    <w:rsid w:val="008E110B"/>
    <w:rsid w:val="008E1BB5"/>
    <w:rsid w:val="008E2DBB"/>
    <w:rsid w:val="008E3710"/>
    <w:rsid w:val="008E3EA4"/>
    <w:rsid w:val="008E40F4"/>
    <w:rsid w:val="008E4D25"/>
    <w:rsid w:val="008E515E"/>
    <w:rsid w:val="008E6050"/>
    <w:rsid w:val="008E620F"/>
    <w:rsid w:val="008E6C4A"/>
    <w:rsid w:val="008F1CCF"/>
    <w:rsid w:val="008F2DF9"/>
    <w:rsid w:val="008F326A"/>
    <w:rsid w:val="008F3B0E"/>
    <w:rsid w:val="008F4A00"/>
    <w:rsid w:val="008F56D9"/>
    <w:rsid w:val="008F5F3F"/>
    <w:rsid w:val="008F72CB"/>
    <w:rsid w:val="00901CB6"/>
    <w:rsid w:val="009023A8"/>
    <w:rsid w:val="0090291B"/>
    <w:rsid w:val="0090313E"/>
    <w:rsid w:val="00903E64"/>
    <w:rsid w:val="00904281"/>
    <w:rsid w:val="009046C7"/>
    <w:rsid w:val="0090493F"/>
    <w:rsid w:val="00905230"/>
    <w:rsid w:val="00906170"/>
    <w:rsid w:val="0090639B"/>
    <w:rsid w:val="009074D1"/>
    <w:rsid w:val="00907FFD"/>
    <w:rsid w:val="00911839"/>
    <w:rsid w:val="00911961"/>
    <w:rsid w:val="00911E72"/>
    <w:rsid w:val="0091262C"/>
    <w:rsid w:val="00915D98"/>
    <w:rsid w:val="00916520"/>
    <w:rsid w:val="00916B8E"/>
    <w:rsid w:val="0092052B"/>
    <w:rsid w:val="00920732"/>
    <w:rsid w:val="00920A6D"/>
    <w:rsid w:val="00920D60"/>
    <w:rsid w:val="00921B88"/>
    <w:rsid w:val="00922821"/>
    <w:rsid w:val="009228DE"/>
    <w:rsid w:val="00922B58"/>
    <w:rsid w:val="00923C10"/>
    <w:rsid w:val="00924BFD"/>
    <w:rsid w:val="009252CE"/>
    <w:rsid w:val="00925731"/>
    <w:rsid w:val="0092588A"/>
    <w:rsid w:val="009260E0"/>
    <w:rsid w:val="00926874"/>
    <w:rsid w:val="00926D62"/>
    <w:rsid w:val="00927D5E"/>
    <w:rsid w:val="0093024C"/>
    <w:rsid w:val="00931FE6"/>
    <w:rsid w:val="00932555"/>
    <w:rsid w:val="00933043"/>
    <w:rsid w:val="00933D31"/>
    <w:rsid w:val="00934E37"/>
    <w:rsid w:val="009357B8"/>
    <w:rsid w:val="009362BE"/>
    <w:rsid w:val="009364A4"/>
    <w:rsid w:val="00936B49"/>
    <w:rsid w:val="00936F75"/>
    <w:rsid w:val="009373E4"/>
    <w:rsid w:val="009379CB"/>
    <w:rsid w:val="00941DD7"/>
    <w:rsid w:val="009421A9"/>
    <w:rsid w:val="00942BF4"/>
    <w:rsid w:val="00944347"/>
    <w:rsid w:val="0094635C"/>
    <w:rsid w:val="00947889"/>
    <w:rsid w:val="00950E00"/>
    <w:rsid w:val="009516E7"/>
    <w:rsid w:val="00952CA5"/>
    <w:rsid w:val="00954747"/>
    <w:rsid w:val="009552D8"/>
    <w:rsid w:val="0095549A"/>
    <w:rsid w:val="00955D3E"/>
    <w:rsid w:val="00956614"/>
    <w:rsid w:val="00956A09"/>
    <w:rsid w:val="00956CE1"/>
    <w:rsid w:val="00957B4C"/>
    <w:rsid w:val="00957D7A"/>
    <w:rsid w:val="00957DEA"/>
    <w:rsid w:val="009601AC"/>
    <w:rsid w:val="00962BA1"/>
    <w:rsid w:val="00963203"/>
    <w:rsid w:val="00964413"/>
    <w:rsid w:val="00964A8A"/>
    <w:rsid w:val="00965A9A"/>
    <w:rsid w:val="00965C0C"/>
    <w:rsid w:val="00965E1E"/>
    <w:rsid w:val="009669D7"/>
    <w:rsid w:val="009726B3"/>
    <w:rsid w:val="009726FC"/>
    <w:rsid w:val="009734F4"/>
    <w:rsid w:val="00973C5D"/>
    <w:rsid w:val="009759D4"/>
    <w:rsid w:val="00975E43"/>
    <w:rsid w:val="00976650"/>
    <w:rsid w:val="00976B81"/>
    <w:rsid w:val="00976FA5"/>
    <w:rsid w:val="00977706"/>
    <w:rsid w:val="009814DC"/>
    <w:rsid w:val="00981EF8"/>
    <w:rsid w:val="0098202F"/>
    <w:rsid w:val="00984177"/>
    <w:rsid w:val="0098482B"/>
    <w:rsid w:val="0098560B"/>
    <w:rsid w:val="00985AED"/>
    <w:rsid w:val="0098781A"/>
    <w:rsid w:val="00987EA9"/>
    <w:rsid w:val="00990FA3"/>
    <w:rsid w:val="00991295"/>
    <w:rsid w:val="0099242A"/>
    <w:rsid w:val="009939D7"/>
    <w:rsid w:val="009959F5"/>
    <w:rsid w:val="00997BA4"/>
    <w:rsid w:val="00997BB2"/>
    <w:rsid w:val="009A02A2"/>
    <w:rsid w:val="009A1C3E"/>
    <w:rsid w:val="009A20D5"/>
    <w:rsid w:val="009A392D"/>
    <w:rsid w:val="009A44AB"/>
    <w:rsid w:val="009A6B0A"/>
    <w:rsid w:val="009A7D7D"/>
    <w:rsid w:val="009B0995"/>
    <w:rsid w:val="009B12B1"/>
    <w:rsid w:val="009B1EE7"/>
    <w:rsid w:val="009B21A1"/>
    <w:rsid w:val="009B224C"/>
    <w:rsid w:val="009B28B3"/>
    <w:rsid w:val="009B2A9D"/>
    <w:rsid w:val="009B70A7"/>
    <w:rsid w:val="009B70BB"/>
    <w:rsid w:val="009B71BF"/>
    <w:rsid w:val="009C0475"/>
    <w:rsid w:val="009C0654"/>
    <w:rsid w:val="009C1F2E"/>
    <w:rsid w:val="009C2868"/>
    <w:rsid w:val="009C3319"/>
    <w:rsid w:val="009C419E"/>
    <w:rsid w:val="009C4890"/>
    <w:rsid w:val="009C523F"/>
    <w:rsid w:val="009C5D3C"/>
    <w:rsid w:val="009C5FC1"/>
    <w:rsid w:val="009C6544"/>
    <w:rsid w:val="009C72B3"/>
    <w:rsid w:val="009C7931"/>
    <w:rsid w:val="009C7ABE"/>
    <w:rsid w:val="009D0422"/>
    <w:rsid w:val="009D08F4"/>
    <w:rsid w:val="009D6FAE"/>
    <w:rsid w:val="009E0A2A"/>
    <w:rsid w:val="009E1514"/>
    <w:rsid w:val="009E1C27"/>
    <w:rsid w:val="009E2AFC"/>
    <w:rsid w:val="009E4379"/>
    <w:rsid w:val="009E549A"/>
    <w:rsid w:val="009E5BBE"/>
    <w:rsid w:val="009E6BAC"/>
    <w:rsid w:val="009E6BFE"/>
    <w:rsid w:val="009F0588"/>
    <w:rsid w:val="009F10F3"/>
    <w:rsid w:val="009F32F7"/>
    <w:rsid w:val="009F452C"/>
    <w:rsid w:val="009F653F"/>
    <w:rsid w:val="009F7C54"/>
    <w:rsid w:val="009F7F85"/>
    <w:rsid w:val="00A0046F"/>
    <w:rsid w:val="00A01AFD"/>
    <w:rsid w:val="00A025F2"/>
    <w:rsid w:val="00A0327A"/>
    <w:rsid w:val="00A03A41"/>
    <w:rsid w:val="00A03A9E"/>
    <w:rsid w:val="00A04918"/>
    <w:rsid w:val="00A04B2A"/>
    <w:rsid w:val="00A04C53"/>
    <w:rsid w:val="00A05A38"/>
    <w:rsid w:val="00A05C6C"/>
    <w:rsid w:val="00A07D85"/>
    <w:rsid w:val="00A10A8D"/>
    <w:rsid w:val="00A10BF7"/>
    <w:rsid w:val="00A1242F"/>
    <w:rsid w:val="00A146E7"/>
    <w:rsid w:val="00A14FC1"/>
    <w:rsid w:val="00A1652D"/>
    <w:rsid w:val="00A167B5"/>
    <w:rsid w:val="00A22035"/>
    <w:rsid w:val="00A22497"/>
    <w:rsid w:val="00A22698"/>
    <w:rsid w:val="00A22DB3"/>
    <w:rsid w:val="00A230DD"/>
    <w:rsid w:val="00A23B68"/>
    <w:rsid w:val="00A2422C"/>
    <w:rsid w:val="00A24DE9"/>
    <w:rsid w:val="00A25D8C"/>
    <w:rsid w:val="00A26176"/>
    <w:rsid w:val="00A26A6D"/>
    <w:rsid w:val="00A26E47"/>
    <w:rsid w:val="00A27BEA"/>
    <w:rsid w:val="00A32D64"/>
    <w:rsid w:val="00A32D8F"/>
    <w:rsid w:val="00A337F5"/>
    <w:rsid w:val="00A343F7"/>
    <w:rsid w:val="00A35C7D"/>
    <w:rsid w:val="00A364B0"/>
    <w:rsid w:val="00A36D50"/>
    <w:rsid w:val="00A36DD2"/>
    <w:rsid w:val="00A40441"/>
    <w:rsid w:val="00A41279"/>
    <w:rsid w:val="00A41D5B"/>
    <w:rsid w:val="00A424D5"/>
    <w:rsid w:val="00A4323B"/>
    <w:rsid w:val="00A43FC1"/>
    <w:rsid w:val="00A45876"/>
    <w:rsid w:val="00A45980"/>
    <w:rsid w:val="00A46536"/>
    <w:rsid w:val="00A47D3B"/>
    <w:rsid w:val="00A532D5"/>
    <w:rsid w:val="00A539FA"/>
    <w:rsid w:val="00A56929"/>
    <w:rsid w:val="00A57161"/>
    <w:rsid w:val="00A573D5"/>
    <w:rsid w:val="00A574AE"/>
    <w:rsid w:val="00A607DF"/>
    <w:rsid w:val="00A61CA5"/>
    <w:rsid w:val="00A62297"/>
    <w:rsid w:val="00A63821"/>
    <w:rsid w:val="00A64051"/>
    <w:rsid w:val="00A64116"/>
    <w:rsid w:val="00A64729"/>
    <w:rsid w:val="00A65AD7"/>
    <w:rsid w:val="00A65B41"/>
    <w:rsid w:val="00A664AC"/>
    <w:rsid w:val="00A6742E"/>
    <w:rsid w:val="00A67EB9"/>
    <w:rsid w:val="00A71CA6"/>
    <w:rsid w:val="00A73934"/>
    <w:rsid w:val="00A73D39"/>
    <w:rsid w:val="00A73E71"/>
    <w:rsid w:val="00A74F6B"/>
    <w:rsid w:val="00A75CB6"/>
    <w:rsid w:val="00A764AA"/>
    <w:rsid w:val="00A76923"/>
    <w:rsid w:val="00A76E85"/>
    <w:rsid w:val="00A77A69"/>
    <w:rsid w:val="00A77C24"/>
    <w:rsid w:val="00A80069"/>
    <w:rsid w:val="00A80587"/>
    <w:rsid w:val="00A80761"/>
    <w:rsid w:val="00A80A97"/>
    <w:rsid w:val="00A80AAB"/>
    <w:rsid w:val="00A82F4A"/>
    <w:rsid w:val="00A8516F"/>
    <w:rsid w:val="00A858AE"/>
    <w:rsid w:val="00A85F66"/>
    <w:rsid w:val="00A87875"/>
    <w:rsid w:val="00A87911"/>
    <w:rsid w:val="00A93DF5"/>
    <w:rsid w:val="00A946C6"/>
    <w:rsid w:val="00A94F95"/>
    <w:rsid w:val="00A963FB"/>
    <w:rsid w:val="00A967E3"/>
    <w:rsid w:val="00A96DB5"/>
    <w:rsid w:val="00A97AD9"/>
    <w:rsid w:val="00AA00BF"/>
    <w:rsid w:val="00AA0B19"/>
    <w:rsid w:val="00AA0DB2"/>
    <w:rsid w:val="00AA1EDA"/>
    <w:rsid w:val="00AA3203"/>
    <w:rsid w:val="00AA3693"/>
    <w:rsid w:val="00AA36A2"/>
    <w:rsid w:val="00AA3F4F"/>
    <w:rsid w:val="00AA405C"/>
    <w:rsid w:val="00AA55EE"/>
    <w:rsid w:val="00AA5BAE"/>
    <w:rsid w:val="00AA7E63"/>
    <w:rsid w:val="00AB1498"/>
    <w:rsid w:val="00AB22B1"/>
    <w:rsid w:val="00AB2E70"/>
    <w:rsid w:val="00AB32C9"/>
    <w:rsid w:val="00AB4B6D"/>
    <w:rsid w:val="00AB66CC"/>
    <w:rsid w:val="00AB6AC9"/>
    <w:rsid w:val="00AB7579"/>
    <w:rsid w:val="00AB75B1"/>
    <w:rsid w:val="00AC0DD1"/>
    <w:rsid w:val="00AC17E9"/>
    <w:rsid w:val="00AC1DF9"/>
    <w:rsid w:val="00AC309B"/>
    <w:rsid w:val="00AC410E"/>
    <w:rsid w:val="00AC4D17"/>
    <w:rsid w:val="00AC6673"/>
    <w:rsid w:val="00AC6A19"/>
    <w:rsid w:val="00AC7211"/>
    <w:rsid w:val="00AC775E"/>
    <w:rsid w:val="00AC7B4B"/>
    <w:rsid w:val="00AC7E7C"/>
    <w:rsid w:val="00AD104F"/>
    <w:rsid w:val="00AD259A"/>
    <w:rsid w:val="00AD2748"/>
    <w:rsid w:val="00AD3770"/>
    <w:rsid w:val="00AD3805"/>
    <w:rsid w:val="00AD423E"/>
    <w:rsid w:val="00AD55E6"/>
    <w:rsid w:val="00AD714F"/>
    <w:rsid w:val="00AD740B"/>
    <w:rsid w:val="00AD7ECE"/>
    <w:rsid w:val="00AE0E1D"/>
    <w:rsid w:val="00AE15E7"/>
    <w:rsid w:val="00AE18DD"/>
    <w:rsid w:val="00AE3CE7"/>
    <w:rsid w:val="00AE4EE7"/>
    <w:rsid w:val="00AE5D24"/>
    <w:rsid w:val="00AE6218"/>
    <w:rsid w:val="00AE7990"/>
    <w:rsid w:val="00AE79BA"/>
    <w:rsid w:val="00AF0641"/>
    <w:rsid w:val="00AF0B03"/>
    <w:rsid w:val="00AF0B28"/>
    <w:rsid w:val="00AF22E2"/>
    <w:rsid w:val="00AF2535"/>
    <w:rsid w:val="00AF3BFD"/>
    <w:rsid w:val="00AF46C5"/>
    <w:rsid w:val="00AF4F22"/>
    <w:rsid w:val="00AF5A99"/>
    <w:rsid w:val="00AF6C40"/>
    <w:rsid w:val="00B0007E"/>
    <w:rsid w:val="00B0089E"/>
    <w:rsid w:val="00B008D7"/>
    <w:rsid w:val="00B017DB"/>
    <w:rsid w:val="00B020FF"/>
    <w:rsid w:val="00B02DDA"/>
    <w:rsid w:val="00B02FD5"/>
    <w:rsid w:val="00B0328D"/>
    <w:rsid w:val="00B04661"/>
    <w:rsid w:val="00B04ACD"/>
    <w:rsid w:val="00B05150"/>
    <w:rsid w:val="00B06DD4"/>
    <w:rsid w:val="00B11EA9"/>
    <w:rsid w:val="00B123E0"/>
    <w:rsid w:val="00B14C2B"/>
    <w:rsid w:val="00B15343"/>
    <w:rsid w:val="00B15696"/>
    <w:rsid w:val="00B170A9"/>
    <w:rsid w:val="00B17610"/>
    <w:rsid w:val="00B201AB"/>
    <w:rsid w:val="00B20539"/>
    <w:rsid w:val="00B2216B"/>
    <w:rsid w:val="00B226F2"/>
    <w:rsid w:val="00B23275"/>
    <w:rsid w:val="00B23313"/>
    <w:rsid w:val="00B234CE"/>
    <w:rsid w:val="00B244D6"/>
    <w:rsid w:val="00B247F7"/>
    <w:rsid w:val="00B250F2"/>
    <w:rsid w:val="00B2579D"/>
    <w:rsid w:val="00B25ADC"/>
    <w:rsid w:val="00B25E61"/>
    <w:rsid w:val="00B26030"/>
    <w:rsid w:val="00B272D7"/>
    <w:rsid w:val="00B273A1"/>
    <w:rsid w:val="00B27CC0"/>
    <w:rsid w:val="00B31AE1"/>
    <w:rsid w:val="00B33BA7"/>
    <w:rsid w:val="00B34FE0"/>
    <w:rsid w:val="00B415C3"/>
    <w:rsid w:val="00B41B80"/>
    <w:rsid w:val="00B428EA"/>
    <w:rsid w:val="00B452F2"/>
    <w:rsid w:val="00B45741"/>
    <w:rsid w:val="00B46A6E"/>
    <w:rsid w:val="00B47736"/>
    <w:rsid w:val="00B502AF"/>
    <w:rsid w:val="00B50CD7"/>
    <w:rsid w:val="00B51A08"/>
    <w:rsid w:val="00B52602"/>
    <w:rsid w:val="00B52A83"/>
    <w:rsid w:val="00B53511"/>
    <w:rsid w:val="00B54B7B"/>
    <w:rsid w:val="00B5578E"/>
    <w:rsid w:val="00B56087"/>
    <w:rsid w:val="00B56D9B"/>
    <w:rsid w:val="00B62CAE"/>
    <w:rsid w:val="00B64788"/>
    <w:rsid w:val="00B65211"/>
    <w:rsid w:val="00B65548"/>
    <w:rsid w:val="00B6629F"/>
    <w:rsid w:val="00B66CFB"/>
    <w:rsid w:val="00B678FC"/>
    <w:rsid w:val="00B67D79"/>
    <w:rsid w:val="00B7022A"/>
    <w:rsid w:val="00B70B82"/>
    <w:rsid w:val="00B73E1A"/>
    <w:rsid w:val="00B73F17"/>
    <w:rsid w:val="00B740D7"/>
    <w:rsid w:val="00B76C60"/>
    <w:rsid w:val="00B80F58"/>
    <w:rsid w:val="00B8158B"/>
    <w:rsid w:val="00B84675"/>
    <w:rsid w:val="00B849B6"/>
    <w:rsid w:val="00B84BA1"/>
    <w:rsid w:val="00B85681"/>
    <w:rsid w:val="00B85C60"/>
    <w:rsid w:val="00B85ED8"/>
    <w:rsid w:val="00B8675D"/>
    <w:rsid w:val="00B870EF"/>
    <w:rsid w:val="00B90824"/>
    <w:rsid w:val="00B90F70"/>
    <w:rsid w:val="00B9274C"/>
    <w:rsid w:val="00B92BEA"/>
    <w:rsid w:val="00B94B4C"/>
    <w:rsid w:val="00B94CB6"/>
    <w:rsid w:val="00B94DAB"/>
    <w:rsid w:val="00B95C1C"/>
    <w:rsid w:val="00B95D93"/>
    <w:rsid w:val="00B96815"/>
    <w:rsid w:val="00B96CB6"/>
    <w:rsid w:val="00B96F3B"/>
    <w:rsid w:val="00BA0488"/>
    <w:rsid w:val="00BA0AED"/>
    <w:rsid w:val="00BA0E6E"/>
    <w:rsid w:val="00BA1285"/>
    <w:rsid w:val="00BA13D9"/>
    <w:rsid w:val="00BA1AFE"/>
    <w:rsid w:val="00BA5DBB"/>
    <w:rsid w:val="00BA5E5E"/>
    <w:rsid w:val="00BA6094"/>
    <w:rsid w:val="00BA74F7"/>
    <w:rsid w:val="00BB41A4"/>
    <w:rsid w:val="00BB461D"/>
    <w:rsid w:val="00BB682E"/>
    <w:rsid w:val="00BC0220"/>
    <w:rsid w:val="00BC4269"/>
    <w:rsid w:val="00BC674D"/>
    <w:rsid w:val="00BD0273"/>
    <w:rsid w:val="00BD0D2F"/>
    <w:rsid w:val="00BD21BD"/>
    <w:rsid w:val="00BD2BD2"/>
    <w:rsid w:val="00BD3243"/>
    <w:rsid w:val="00BD38BD"/>
    <w:rsid w:val="00BD3DA4"/>
    <w:rsid w:val="00BD44AC"/>
    <w:rsid w:val="00BD5308"/>
    <w:rsid w:val="00BD5A31"/>
    <w:rsid w:val="00BD5E82"/>
    <w:rsid w:val="00BD62E5"/>
    <w:rsid w:val="00BD69B0"/>
    <w:rsid w:val="00BD7544"/>
    <w:rsid w:val="00BE0344"/>
    <w:rsid w:val="00BE2BA3"/>
    <w:rsid w:val="00BE3127"/>
    <w:rsid w:val="00BE347D"/>
    <w:rsid w:val="00BE5084"/>
    <w:rsid w:val="00BE53CA"/>
    <w:rsid w:val="00BE546A"/>
    <w:rsid w:val="00BE5CC5"/>
    <w:rsid w:val="00BF094E"/>
    <w:rsid w:val="00BF1090"/>
    <w:rsid w:val="00BF1429"/>
    <w:rsid w:val="00BF14BD"/>
    <w:rsid w:val="00BF15C0"/>
    <w:rsid w:val="00BF1D72"/>
    <w:rsid w:val="00BF33FA"/>
    <w:rsid w:val="00BF454C"/>
    <w:rsid w:val="00BF5EA0"/>
    <w:rsid w:val="00BF5F41"/>
    <w:rsid w:val="00BF645F"/>
    <w:rsid w:val="00BF6471"/>
    <w:rsid w:val="00BF7B4C"/>
    <w:rsid w:val="00C00AF7"/>
    <w:rsid w:val="00C00CF8"/>
    <w:rsid w:val="00C00F85"/>
    <w:rsid w:val="00C02FAD"/>
    <w:rsid w:val="00C03BB6"/>
    <w:rsid w:val="00C05B63"/>
    <w:rsid w:val="00C06E65"/>
    <w:rsid w:val="00C10259"/>
    <w:rsid w:val="00C10B95"/>
    <w:rsid w:val="00C12171"/>
    <w:rsid w:val="00C124E4"/>
    <w:rsid w:val="00C12988"/>
    <w:rsid w:val="00C140AE"/>
    <w:rsid w:val="00C140B6"/>
    <w:rsid w:val="00C14903"/>
    <w:rsid w:val="00C154AF"/>
    <w:rsid w:val="00C15EC6"/>
    <w:rsid w:val="00C16C27"/>
    <w:rsid w:val="00C17297"/>
    <w:rsid w:val="00C178AA"/>
    <w:rsid w:val="00C20688"/>
    <w:rsid w:val="00C20C65"/>
    <w:rsid w:val="00C2116C"/>
    <w:rsid w:val="00C22CCC"/>
    <w:rsid w:val="00C23D55"/>
    <w:rsid w:val="00C258B3"/>
    <w:rsid w:val="00C25941"/>
    <w:rsid w:val="00C25D52"/>
    <w:rsid w:val="00C27054"/>
    <w:rsid w:val="00C30A65"/>
    <w:rsid w:val="00C30BA7"/>
    <w:rsid w:val="00C3156F"/>
    <w:rsid w:val="00C316E2"/>
    <w:rsid w:val="00C31AF5"/>
    <w:rsid w:val="00C32B72"/>
    <w:rsid w:val="00C3385A"/>
    <w:rsid w:val="00C34597"/>
    <w:rsid w:val="00C34CBC"/>
    <w:rsid w:val="00C355F9"/>
    <w:rsid w:val="00C36842"/>
    <w:rsid w:val="00C37682"/>
    <w:rsid w:val="00C40D7E"/>
    <w:rsid w:val="00C40DC5"/>
    <w:rsid w:val="00C4106D"/>
    <w:rsid w:val="00C410EC"/>
    <w:rsid w:val="00C42252"/>
    <w:rsid w:val="00C42A9F"/>
    <w:rsid w:val="00C42B4D"/>
    <w:rsid w:val="00C43551"/>
    <w:rsid w:val="00C43AED"/>
    <w:rsid w:val="00C43DA6"/>
    <w:rsid w:val="00C43E4A"/>
    <w:rsid w:val="00C44CE4"/>
    <w:rsid w:val="00C456A5"/>
    <w:rsid w:val="00C4587C"/>
    <w:rsid w:val="00C45F10"/>
    <w:rsid w:val="00C501D3"/>
    <w:rsid w:val="00C50AB1"/>
    <w:rsid w:val="00C50AB9"/>
    <w:rsid w:val="00C518F1"/>
    <w:rsid w:val="00C518FF"/>
    <w:rsid w:val="00C5409F"/>
    <w:rsid w:val="00C5410C"/>
    <w:rsid w:val="00C55072"/>
    <w:rsid w:val="00C55157"/>
    <w:rsid w:val="00C55BE3"/>
    <w:rsid w:val="00C55F37"/>
    <w:rsid w:val="00C567AC"/>
    <w:rsid w:val="00C56B60"/>
    <w:rsid w:val="00C56CD6"/>
    <w:rsid w:val="00C56E5F"/>
    <w:rsid w:val="00C60176"/>
    <w:rsid w:val="00C603BB"/>
    <w:rsid w:val="00C60ED8"/>
    <w:rsid w:val="00C61EC5"/>
    <w:rsid w:val="00C62474"/>
    <w:rsid w:val="00C63179"/>
    <w:rsid w:val="00C6468D"/>
    <w:rsid w:val="00C64D13"/>
    <w:rsid w:val="00C65C07"/>
    <w:rsid w:val="00C65D06"/>
    <w:rsid w:val="00C66081"/>
    <w:rsid w:val="00C6616B"/>
    <w:rsid w:val="00C679C5"/>
    <w:rsid w:val="00C67B79"/>
    <w:rsid w:val="00C70459"/>
    <w:rsid w:val="00C751D2"/>
    <w:rsid w:val="00C7644C"/>
    <w:rsid w:val="00C77000"/>
    <w:rsid w:val="00C777DE"/>
    <w:rsid w:val="00C80400"/>
    <w:rsid w:val="00C807B1"/>
    <w:rsid w:val="00C80A12"/>
    <w:rsid w:val="00C81017"/>
    <w:rsid w:val="00C8158A"/>
    <w:rsid w:val="00C82C87"/>
    <w:rsid w:val="00C82D69"/>
    <w:rsid w:val="00C85290"/>
    <w:rsid w:val="00C85A37"/>
    <w:rsid w:val="00C85E51"/>
    <w:rsid w:val="00C86AA5"/>
    <w:rsid w:val="00C86E34"/>
    <w:rsid w:val="00C8749C"/>
    <w:rsid w:val="00C90A46"/>
    <w:rsid w:val="00C92226"/>
    <w:rsid w:val="00C9279E"/>
    <w:rsid w:val="00C92840"/>
    <w:rsid w:val="00C96641"/>
    <w:rsid w:val="00CA01BB"/>
    <w:rsid w:val="00CA0594"/>
    <w:rsid w:val="00CA07B3"/>
    <w:rsid w:val="00CA0A56"/>
    <w:rsid w:val="00CA2308"/>
    <w:rsid w:val="00CA2709"/>
    <w:rsid w:val="00CA376B"/>
    <w:rsid w:val="00CA3A6A"/>
    <w:rsid w:val="00CA3DE8"/>
    <w:rsid w:val="00CA3EAE"/>
    <w:rsid w:val="00CA4412"/>
    <w:rsid w:val="00CA5837"/>
    <w:rsid w:val="00CA5930"/>
    <w:rsid w:val="00CA71AE"/>
    <w:rsid w:val="00CA773C"/>
    <w:rsid w:val="00CB09C4"/>
    <w:rsid w:val="00CB0DDD"/>
    <w:rsid w:val="00CB1869"/>
    <w:rsid w:val="00CB5F4E"/>
    <w:rsid w:val="00CB6A95"/>
    <w:rsid w:val="00CC1115"/>
    <w:rsid w:val="00CC1560"/>
    <w:rsid w:val="00CC1838"/>
    <w:rsid w:val="00CC2C1E"/>
    <w:rsid w:val="00CC2D1B"/>
    <w:rsid w:val="00CC3559"/>
    <w:rsid w:val="00CC377E"/>
    <w:rsid w:val="00CC534B"/>
    <w:rsid w:val="00CC5E53"/>
    <w:rsid w:val="00CC7F61"/>
    <w:rsid w:val="00CD098D"/>
    <w:rsid w:val="00CD0F34"/>
    <w:rsid w:val="00CD145C"/>
    <w:rsid w:val="00CD166F"/>
    <w:rsid w:val="00CD46BE"/>
    <w:rsid w:val="00CD62A9"/>
    <w:rsid w:val="00CD63FE"/>
    <w:rsid w:val="00CD6827"/>
    <w:rsid w:val="00CD719E"/>
    <w:rsid w:val="00CD759D"/>
    <w:rsid w:val="00CD75F5"/>
    <w:rsid w:val="00CD7C72"/>
    <w:rsid w:val="00CD7DBB"/>
    <w:rsid w:val="00CE0FC4"/>
    <w:rsid w:val="00CE1D39"/>
    <w:rsid w:val="00CE22DF"/>
    <w:rsid w:val="00CE2F55"/>
    <w:rsid w:val="00CE3225"/>
    <w:rsid w:val="00CE34CA"/>
    <w:rsid w:val="00CE35E3"/>
    <w:rsid w:val="00CE56E4"/>
    <w:rsid w:val="00CE60F1"/>
    <w:rsid w:val="00CE6160"/>
    <w:rsid w:val="00CE6BB6"/>
    <w:rsid w:val="00CE7284"/>
    <w:rsid w:val="00CE7CC1"/>
    <w:rsid w:val="00CF2566"/>
    <w:rsid w:val="00CF3570"/>
    <w:rsid w:val="00CF3B86"/>
    <w:rsid w:val="00CF4DB3"/>
    <w:rsid w:val="00CF548E"/>
    <w:rsid w:val="00CF6A61"/>
    <w:rsid w:val="00CF740B"/>
    <w:rsid w:val="00CF7935"/>
    <w:rsid w:val="00CF7D9D"/>
    <w:rsid w:val="00D00355"/>
    <w:rsid w:val="00D017CC"/>
    <w:rsid w:val="00D017D0"/>
    <w:rsid w:val="00D019E7"/>
    <w:rsid w:val="00D04474"/>
    <w:rsid w:val="00D04D66"/>
    <w:rsid w:val="00D04E4E"/>
    <w:rsid w:val="00D05EE4"/>
    <w:rsid w:val="00D0635E"/>
    <w:rsid w:val="00D0652D"/>
    <w:rsid w:val="00D06F3A"/>
    <w:rsid w:val="00D10344"/>
    <w:rsid w:val="00D10922"/>
    <w:rsid w:val="00D1130D"/>
    <w:rsid w:val="00D11601"/>
    <w:rsid w:val="00D12DC9"/>
    <w:rsid w:val="00D13559"/>
    <w:rsid w:val="00D14F69"/>
    <w:rsid w:val="00D16464"/>
    <w:rsid w:val="00D16591"/>
    <w:rsid w:val="00D17717"/>
    <w:rsid w:val="00D22A13"/>
    <w:rsid w:val="00D2393C"/>
    <w:rsid w:val="00D239EF"/>
    <w:rsid w:val="00D23F4F"/>
    <w:rsid w:val="00D2598F"/>
    <w:rsid w:val="00D26CC7"/>
    <w:rsid w:val="00D279E7"/>
    <w:rsid w:val="00D30BC8"/>
    <w:rsid w:val="00D334CC"/>
    <w:rsid w:val="00D34134"/>
    <w:rsid w:val="00D35009"/>
    <w:rsid w:val="00D35114"/>
    <w:rsid w:val="00D35186"/>
    <w:rsid w:val="00D35BD5"/>
    <w:rsid w:val="00D3605C"/>
    <w:rsid w:val="00D369F6"/>
    <w:rsid w:val="00D37647"/>
    <w:rsid w:val="00D400DD"/>
    <w:rsid w:val="00D40ABE"/>
    <w:rsid w:val="00D41577"/>
    <w:rsid w:val="00D41EDA"/>
    <w:rsid w:val="00D43651"/>
    <w:rsid w:val="00D43F70"/>
    <w:rsid w:val="00D44137"/>
    <w:rsid w:val="00D44691"/>
    <w:rsid w:val="00D46289"/>
    <w:rsid w:val="00D4668B"/>
    <w:rsid w:val="00D46F5D"/>
    <w:rsid w:val="00D474B5"/>
    <w:rsid w:val="00D47679"/>
    <w:rsid w:val="00D50817"/>
    <w:rsid w:val="00D51354"/>
    <w:rsid w:val="00D52AD6"/>
    <w:rsid w:val="00D54B16"/>
    <w:rsid w:val="00D568B6"/>
    <w:rsid w:val="00D5719A"/>
    <w:rsid w:val="00D571B3"/>
    <w:rsid w:val="00D57CFC"/>
    <w:rsid w:val="00D602C4"/>
    <w:rsid w:val="00D604A3"/>
    <w:rsid w:val="00D609A0"/>
    <w:rsid w:val="00D61323"/>
    <w:rsid w:val="00D63BD1"/>
    <w:rsid w:val="00D63C86"/>
    <w:rsid w:val="00D63E04"/>
    <w:rsid w:val="00D6509D"/>
    <w:rsid w:val="00D65322"/>
    <w:rsid w:val="00D65548"/>
    <w:rsid w:val="00D66316"/>
    <w:rsid w:val="00D6733A"/>
    <w:rsid w:val="00D6738E"/>
    <w:rsid w:val="00D70A45"/>
    <w:rsid w:val="00D712DC"/>
    <w:rsid w:val="00D718C9"/>
    <w:rsid w:val="00D7258B"/>
    <w:rsid w:val="00D72CE7"/>
    <w:rsid w:val="00D72E5B"/>
    <w:rsid w:val="00D73506"/>
    <w:rsid w:val="00D741B9"/>
    <w:rsid w:val="00D761FE"/>
    <w:rsid w:val="00D766DB"/>
    <w:rsid w:val="00D7672B"/>
    <w:rsid w:val="00D76B17"/>
    <w:rsid w:val="00D76C79"/>
    <w:rsid w:val="00D80790"/>
    <w:rsid w:val="00D80DFF"/>
    <w:rsid w:val="00D81B55"/>
    <w:rsid w:val="00D823A5"/>
    <w:rsid w:val="00D82E68"/>
    <w:rsid w:val="00D83CD3"/>
    <w:rsid w:val="00D84B57"/>
    <w:rsid w:val="00D85000"/>
    <w:rsid w:val="00D85CCF"/>
    <w:rsid w:val="00D8783A"/>
    <w:rsid w:val="00D87D15"/>
    <w:rsid w:val="00D904E0"/>
    <w:rsid w:val="00D90AA5"/>
    <w:rsid w:val="00D91403"/>
    <w:rsid w:val="00D914BF"/>
    <w:rsid w:val="00D92A6E"/>
    <w:rsid w:val="00D938C4"/>
    <w:rsid w:val="00D93A1E"/>
    <w:rsid w:val="00D952B5"/>
    <w:rsid w:val="00DA0256"/>
    <w:rsid w:val="00DA05FC"/>
    <w:rsid w:val="00DA1275"/>
    <w:rsid w:val="00DA2739"/>
    <w:rsid w:val="00DA2DC0"/>
    <w:rsid w:val="00DA2F98"/>
    <w:rsid w:val="00DA4CD3"/>
    <w:rsid w:val="00DA58A5"/>
    <w:rsid w:val="00DA5D59"/>
    <w:rsid w:val="00DA6619"/>
    <w:rsid w:val="00DA7500"/>
    <w:rsid w:val="00DA7868"/>
    <w:rsid w:val="00DA7B8E"/>
    <w:rsid w:val="00DA7CA0"/>
    <w:rsid w:val="00DB0D73"/>
    <w:rsid w:val="00DB1C6A"/>
    <w:rsid w:val="00DB1D99"/>
    <w:rsid w:val="00DB2081"/>
    <w:rsid w:val="00DB26BC"/>
    <w:rsid w:val="00DB5668"/>
    <w:rsid w:val="00DB63FC"/>
    <w:rsid w:val="00DB699B"/>
    <w:rsid w:val="00DB69D2"/>
    <w:rsid w:val="00DB6D34"/>
    <w:rsid w:val="00DB6EAC"/>
    <w:rsid w:val="00DB77BB"/>
    <w:rsid w:val="00DC06FF"/>
    <w:rsid w:val="00DC1D57"/>
    <w:rsid w:val="00DC2224"/>
    <w:rsid w:val="00DC22A3"/>
    <w:rsid w:val="00DC2B56"/>
    <w:rsid w:val="00DC2F0E"/>
    <w:rsid w:val="00DC516B"/>
    <w:rsid w:val="00DC5DBB"/>
    <w:rsid w:val="00DC5EC4"/>
    <w:rsid w:val="00DC7163"/>
    <w:rsid w:val="00DD017F"/>
    <w:rsid w:val="00DD0338"/>
    <w:rsid w:val="00DD0FB3"/>
    <w:rsid w:val="00DD30E9"/>
    <w:rsid w:val="00DD3877"/>
    <w:rsid w:val="00DD5409"/>
    <w:rsid w:val="00DD5F81"/>
    <w:rsid w:val="00DD601F"/>
    <w:rsid w:val="00DD7123"/>
    <w:rsid w:val="00DD7E05"/>
    <w:rsid w:val="00DE0984"/>
    <w:rsid w:val="00DE0A7B"/>
    <w:rsid w:val="00DE1399"/>
    <w:rsid w:val="00DE4938"/>
    <w:rsid w:val="00DE4E2C"/>
    <w:rsid w:val="00DE5AD3"/>
    <w:rsid w:val="00DE5D32"/>
    <w:rsid w:val="00DE5DDF"/>
    <w:rsid w:val="00DE60A0"/>
    <w:rsid w:val="00DE60C5"/>
    <w:rsid w:val="00DF0DDE"/>
    <w:rsid w:val="00DF1339"/>
    <w:rsid w:val="00DF13E2"/>
    <w:rsid w:val="00DF3494"/>
    <w:rsid w:val="00DF34E4"/>
    <w:rsid w:val="00DF37EA"/>
    <w:rsid w:val="00DF3AEE"/>
    <w:rsid w:val="00DF49F5"/>
    <w:rsid w:val="00DF554B"/>
    <w:rsid w:val="00DF5B2E"/>
    <w:rsid w:val="00DF609B"/>
    <w:rsid w:val="00DF6BF2"/>
    <w:rsid w:val="00DF6FD8"/>
    <w:rsid w:val="00DF7260"/>
    <w:rsid w:val="00DF75AF"/>
    <w:rsid w:val="00DF7F10"/>
    <w:rsid w:val="00E00077"/>
    <w:rsid w:val="00E00454"/>
    <w:rsid w:val="00E01078"/>
    <w:rsid w:val="00E0158F"/>
    <w:rsid w:val="00E023F1"/>
    <w:rsid w:val="00E027B7"/>
    <w:rsid w:val="00E02F46"/>
    <w:rsid w:val="00E02F7D"/>
    <w:rsid w:val="00E03B12"/>
    <w:rsid w:val="00E04130"/>
    <w:rsid w:val="00E044BF"/>
    <w:rsid w:val="00E069AD"/>
    <w:rsid w:val="00E06FD7"/>
    <w:rsid w:val="00E12263"/>
    <w:rsid w:val="00E126BF"/>
    <w:rsid w:val="00E12983"/>
    <w:rsid w:val="00E14ADF"/>
    <w:rsid w:val="00E14B36"/>
    <w:rsid w:val="00E1537A"/>
    <w:rsid w:val="00E155FC"/>
    <w:rsid w:val="00E15B67"/>
    <w:rsid w:val="00E1615F"/>
    <w:rsid w:val="00E17325"/>
    <w:rsid w:val="00E17383"/>
    <w:rsid w:val="00E2103A"/>
    <w:rsid w:val="00E22574"/>
    <w:rsid w:val="00E22D7A"/>
    <w:rsid w:val="00E2321A"/>
    <w:rsid w:val="00E23C2C"/>
    <w:rsid w:val="00E25F62"/>
    <w:rsid w:val="00E26098"/>
    <w:rsid w:val="00E26BB6"/>
    <w:rsid w:val="00E30983"/>
    <w:rsid w:val="00E31C65"/>
    <w:rsid w:val="00E32689"/>
    <w:rsid w:val="00E32917"/>
    <w:rsid w:val="00E32B5B"/>
    <w:rsid w:val="00E336A0"/>
    <w:rsid w:val="00E34776"/>
    <w:rsid w:val="00E35385"/>
    <w:rsid w:val="00E366E7"/>
    <w:rsid w:val="00E3698A"/>
    <w:rsid w:val="00E36CEE"/>
    <w:rsid w:val="00E4053D"/>
    <w:rsid w:val="00E4092C"/>
    <w:rsid w:val="00E40CF3"/>
    <w:rsid w:val="00E4338D"/>
    <w:rsid w:val="00E43A33"/>
    <w:rsid w:val="00E44682"/>
    <w:rsid w:val="00E44840"/>
    <w:rsid w:val="00E4569A"/>
    <w:rsid w:val="00E45C88"/>
    <w:rsid w:val="00E4659A"/>
    <w:rsid w:val="00E46C06"/>
    <w:rsid w:val="00E4711B"/>
    <w:rsid w:val="00E47237"/>
    <w:rsid w:val="00E500F1"/>
    <w:rsid w:val="00E513B0"/>
    <w:rsid w:val="00E515A7"/>
    <w:rsid w:val="00E515ED"/>
    <w:rsid w:val="00E52D8E"/>
    <w:rsid w:val="00E555DA"/>
    <w:rsid w:val="00E56924"/>
    <w:rsid w:val="00E569D1"/>
    <w:rsid w:val="00E5710C"/>
    <w:rsid w:val="00E57FD3"/>
    <w:rsid w:val="00E61879"/>
    <w:rsid w:val="00E622DC"/>
    <w:rsid w:val="00E62393"/>
    <w:rsid w:val="00E6311A"/>
    <w:rsid w:val="00E63473"/>
    <w:rsid w:val="00E649BF"/>
    <w:rsid w:val="00E65A1B"/>
    <w:rsid w:val="00E65BD9"/>
    <w:rsid w:val="00E666D5"/>
    <w:rsid w:val="00E66CEE"/>
    <w:rsid w:val="00E6748C"/>
    <w:rsid w:val="00E70E07"/>
    <w:rsid w:val="00E7155F"/>
    <w:rsid w:val="00E7188E"/>
    <w:rsid w:val="00E7324B"/>
    <w:rsid w:val="00E74560"/>
    <w:rsid w:val="00E75162"/>
    <w:rsid w:val="00E7621A"/>
    <w:rsid w:val="00E76947"/>
    <w:rsid w:val="00E77163"/>
    <w:rsid w:val="00E772B1"/>
    <w:rsid w:val="00E773D8"/>
    <w:rsid w:val="00E77AFF"/>
    <w:rsid w:val="00E80DAE"/>
    <w:rsid w:val="00E83858"/>
    <w:rsid w:val="00E83F44"/>
    <w:rsid w:val="00E857EC"/>
    <w:rsid w:val="00E85DC0"/>
    <w:rsid w:val="00E860D9"/>
    <w:rsid w:val="00E86B85"/>
    <w:rsid w:val="00E908B3"/>
    <w:rsid w:val="00E915E9"/>
    <w:rsid w:val="00E91B91"/>
    <w:rsid w:val="00E91EF1"/>
    <w:rsid w:val="00E92372"/>
    <w:rsid w:val="00E93B45"/>
    <w:rsid w:val="00E93D17"/>
    <w:rsid w:val="00E94420"/>
    <w:rsid w:val="00E94A25"/>
    <w:rsid w:val="00E95989"/>
    <w:rsid w:val="00E96CB4"/>
    <w:rsid w:val="00E96E79"/>
    <w:rsid w:val="00E971D1"/>
    <w:rsid w:val="00E97FD7"/>
    <w:rsid w:val="00EA101C"/>
    <w:rsid w:val="00EA133C"/>
    <w:rsid w:val="00EA4245"/>
    <w:rsid w:val="00EA464E"/>
    <w:rsid w:val="00EA5957"/>
    <w:rsid w:val="00EA5B75"/>
    <w:rsid w:val="00EA6217"/>
    <w:rsid w:val="00EA78C6"/>
    <w:rsid w:val="00EA78CF"/>
    <w:rsid w:val="00EA7B49"/>
    <w:rsid w:val="00EB0C36"/>
    <w:rsid w:val="00EB12CA"/>
    <w:rsid w:val="00EB133B"/>
    <w:rsid w:val="00EB2B79"/>
    <w:rsid w:val="00EB3E83"/>
    <w:rsid w:val="00EB51B3"/>
    <w:rsid w:val="00EB521B"/>
    <w:rsid w:val="00EB5485"/>
    <w:rsid w:val="00EB66D5"/>
    <w:rsid w:val="00EB7BD2"/>
    <w:rsid w:val="00EC0524"/>
    <w:rsid w:val="00EC0B6D"/>
    <w:rsid w:val="00EC20FC"/>
    <w:rsid w:val="00EC283C"/>
    <w:rsid w:val="00EC36B2"/>
    <w:rsid w:val="00EC43EB"/>
    <w:rsid w:val="00EC50A6"/>
    <w:rsid w:val="00EC523E"/>
    <w:rsid w:val="00EC526F"/>
    <w:rsid w:val="00EC5CA2"/>
    <w:rsid w:val="00EC65B0"/>
    <w:rsid w:val="00EC7D33"/>
    <w:rsid w:val="00ED071C"/>
    <w:rsid w:val="00ED0ABC"/>
    <w:rsid w:val="00ED0D37"/>
    <w:rsid w:val="00ED1FD4"/>
    <w:rsid w:val="00ED2059"/>
    <w:rsid w:val="00ED2C3D"/>
    <w:rsid w:val="00ED36ED"/>
    <w:rsid w:val="00ED3C60"/>
    <w:rsid w:val="00ED422F"/>
    <w:rsid w:val="00ED42B0"/>
    <w:rsid w:val="00ED48B3"/>
    <w:rsid w:val="00ED4A63"/>
    <w:rsid w:val="00ED5694"/>
    <w:rsid w:val="00ED58C9"/>
    <w:rsid w:val="00ED6C0B"/>
    <w:rsid w:val="00ED6D7F"/>
    <w:rsid w:val="00ED778D"/>
    <w:rsid w:val="00EE152B"/>
    <w:rsid w:val="00EE239C"/>
    <w:rsid w:val="00EE2AEA"/>
    <w:rsid w:val="00EE2C99"/>
    <w:rsid w:val="00EE3B7B"/>
    <w:rsid w:val="00EE3C66"/>
    <w:rsid w:val="00EE4872"/>
    <w:rsid w:val="00EE5CD1"/>
    <w:rsid w:val="00EE5FC1"/>
    <w:rsid w:val="00EE5FEC"/>
    <w:rsid w:val="00EE6028"/>
    <w:rsid w:val="00EE695D"/>
    <w:rsid w:val="00EE6EEC"/>
    <w:rsid w:val="00EF09C9"/>
    <w:rsid w:val="00EF0B4B"/>
    <w:rsid w:val="00EF1564"/>
    <w:rsid w:val="00EF2CB2"/>
    <w:rsid w:val="00EF3392"/>
    <w:rsid w:val="00EF3D45"/>
    <w:rsid w:val="00EF55D0"/>
    <w:rsid w:val="00EF5AC5"/>
    <w:rsid w:val="00F0089A"/>
    <w:rsid w:val="00F0127C"/>
    <w:rsid w:val="00F01875"/>
    <w:rsid w:val="00F01BDB"/>
    <w:rsid w:val="00F0243A"/>
    <w:rsid w:val="00F0269E"/>
    <w:rsid w:val="00F02897"/>
    <w:rsid w:val="00F02CF2"/>
    <w:rsid w:val="00F02DB2"/>
    <w:rsid w:val="00F02E03"/>
    <w:rsid w:val="00F04724"/>
    <w:rsid w:val="00F05E07"/>
    <w:rsid w:val="00F1089F"/>
    <w:rsid w:val="00F12803"/>
    <w:rsid w:val="00F130A0"/>
    <w:rsid w:val="00F13BFE"/>
    <w:rsid w:val="00F13E78"/>
    <w:rsid w:val="00F14151"/>
    <w:rsid w:val="00F20E2D"/>
    <w:rsid w:val="00F21409"/>
    <w:rsid w:val="00F21BF4"/>
    <w:rsid w:val="00F21FAC"/>
    <w:rsid w:val="00F237B2"/>
    <w:rsid w:val="00F249C8"/>
    <w:rsid w:val="00F258E9"/>
    <w:rsid w:val="00F2642A"/>
    <w:rsid w:val="00F26E06"/>
    <w:rsid w:val="00F27CAE"/>
    <w:rsid w:val="00F27E20"/>
    <w:rsid w:val="00F27EF5"/>
    <w:rsid w:val="00F307F7"/>
    <w:rsid w:val="00F30F33"/>
    <w:rsid w:val="00F31618"/>
    <w:rsid w:val="00F31943"/>
    <w:rsid w:val="00F3511F"/>
    <w:rsid w:val="00F3529E"/>
    <w:rsid w:val="00F35B82"/>
    <w:rsid w:val="00F36212"/>
    <w:rsid w:val="00F4009B"/>
    <w:rsid w:val="00F40502"/>
    <w:rsid w:val="00F40E3D"/>
    <w:rsid w:val="00F40ECE"/>
    <w:rsid w:val="00F40F9C"/>
    <w:rsid w:val="00F418B9"/>
    <w:rsid w:val="00F41EE5"/>
    <w:rsid w:val="00F427EA"/>
    <w:rsid w:val="00F435F5"/>
    <w:rsid w:val="00F43FF2"/>
    <w:rsid w:val="00F462F4"/>
    <w:rsid w:val="00F46323"/>
    <w:rsid w:val="00F5044C"/>
    <w:rsid w:val="00F50AC0"/>
    <w:rsid w:val="00F521E1"/>
    <w:rsid w:val="00F529BC"/>
    <w:rsid w:val="00F54669"/>
    <w:rsid w:val="00F54EBC"/>
    <w:rsid w:val="00F555EC"/>
    <w:rsid w:val="00F55DFD"/>
    <w:rsid w:val="00F57D28"/>
    <w:rsid w:val="00F62B1E"/>
    <w:rsid w:val="00F63349"/>
    <w:rsid w:val="00F63E48"/>
    <w:rsid w:val="00F65B92"/>
    <w:rsid w:val="00F669C3"/>
    <w:rsid w:val="00F70B70"/>
    <w:rsid w:val="00F70FDE"/>
    <w:rsid w:val="00F71497"/>
    <w:rsid w:val="00F717BB"/>
    <w:rsid w:val="00F71B49"/>
    <w:rsid w:val="00F71C25"/>
    <w:rsid w:val="00F72B4C"/>
    <w:rsid w:val="00F7332A"/>
    <w:rsid w:val="00F74C11"/>
    <w:rsid w:val="00F753F7"/>
    <w:rsid w:val="00F80814"/>
    <w:rsid w:val="00F80C5F"/>
    <w:rsid w:val="00F8195D"/>
    <w:rsid w:val="00F823B0"/>
    <w:rsid w:val="00F836F6"/>
    <w:rsid w:val="00F85439"/>
    <w:rsid w:val="00F863A6"/>
    <w:rsid w:val="00F86BB1"/>
    <w:rsid w:val="00F8770A"/>
    <w:rsid w:val="00F87A21"/>
    <w:rsid w:val="00F9059B"/>
    <w:rsid w:val="00F91005"/>
    <w:rsid w:val="00F91C8D"/>
    <w:rsid w:val="00F91E7B"/>
    <w:rsid w:val="00F93BE5"/>
    <w:rsid w:val="00F9432D"/>
    <w:rsid w:val="00F94CFD"/>
    <w:rsid w:val="00F94F88"/>
    <w:rsid w:val="00F95241"/>
    <w:rsid w:val="00F958A2"/>
    <w:rsid w:val="00F96FE0"/>
    <w:rsid w:val="00F97075"/>
    <w:rsid w:val="00F9734B"/>
    <w:rsid w:val="00F979B6"/>
    <w:rsid w:val="00F979ED"/>
    <w:rsid w:val="00FA0102"/>
    <w:rsid w:val="00FA069D"/>
    <w:rsid w:val="00FA0704"/>
    <w:rsid w:val="00FA1D75"/>
    <w:rsid w:val="00FA3146"/>
    <w:rsid w:val="00FA34F4"/>
    <w:rsid w:val="00FA3B51"/>
    <w:rsid w:val="00FA4797"/>
    <w:rsid w:val="00FA534E"/>
    <w:rsid w:val="00FA627B"/>
    <w:rsid w:val="00FB0275"/>
    <w:rsid w:val="00FB2F25"/>
    <w:rsid w:val="00FB35F7"/>
    <w:rsid w:val="00FB4DEE"/>
    <w:rsid w:val="00FB4F1A"/>
    <w:rsid w:val="00FB6179"/>
    <w:rsid w:val="00FB644C"/>
    <w:rsid w:val="00FB66AE"/>
    <w:rsid w:val="00FB6998"/>
    <w:rsid w:val="00FB7259"/>
    <w:rsid w:val="00FB7CC7"/>
    <w:rsid w:val="00FC0926"/>
    <w:rsid w:val="00FC1495"/>
    <w:rsid w:val="00FC29C4"/>
    <w:rsid w:val="00FC649C"/>
    <w:rsid w:val="00FC693A"/>
    <w:rsid w:val="00FC6DA0"/>
    <w:rsid w:val="00FC6FAD"/>
    <w:rsid w:val="00FC748D"/>
    <w:rsid w:val="00FC7526"/>
    <w:rsid w:val="00FD056D"/>
    <w:rsid w:val="00FD11BD"/>
    <w:rsid w:val="00FD128D"/>
    <w:rsid w:val="00FD15E4"/>
    <w:rsid w:val="00FD2118"/>
    <w:rsid w:val="00FD302F"/>
    <w:rsid w:val="00FD3571"/>
    <w:rsid w:val="00FD45CD"/>
    <w:rsid w:val="00FD4800"/>
    <w:rsid w:val="00FD654E"/>
    <w:rsid w:val="00FD6C38"/>
    <w:rsid w:val="00FD6FE3"/>
    <w:rsid w:val="00FD78C5"/>
    <w:rsid w:val="00FE029A"/>
    <w:rsid w:val="00FE1950"/>
    <w:rsid w:val="00FE1C8B"/>
    <w:rsid w:val="00FE23C2"/>
    <w:rsid w:val="00FE4169"/>
    <w:rsid w:val="00FE5238"/>
    <w:rsid w:val="00FE68F7"/>
    <w:rsid w:val="00FE7A4B"/>
    <w:rsid w:val="00FE7A9A"/>
    <w:rsid w:val="00FF09F0"/>
    <w:rsid w:val="00FF17F9"/>
    <w:rsid w:val="00FF2578"/>
    <w:rsid w:val="00FF2E3A"/>
    <w:rsid w:val="00FF4221"/>
    <w:rsid w:val="00FF448E"/>
    <w:rsid w:val="00FF4F2D"/>
    <w:rsid w:val="00FF78C5"/>
    <w:rsid w:val="0126DE9F"/>
    <w:rsid w:val="0130F471"/>
    <w:rsid w:val="01E69C91"/>
    <w:rsid w:val="02037EE9"/>
    <w:rsid w:val="0227A301"/>
    <w:rsid w:val="023A5640"/>
    <w:rsid w:val="02CC9CC8"/>
    <w:rsid w:val="0334816A"/>
    <w:rsid w:val="035B37E2"/>
    <w:rsid w:val="03D8C06A"/>
    <w:rsid w:val="03E623F8"/>
    <w:rsid w:val="0502DCE1"/>
    <w:rsid w:val="05D69BF7"/>
    <w:rsid w:val="05EAB707"/>
    <w:rsid w:val="0771D040"/>
    <w:rsid w:val="08564430"/>
    <w:rsid w:val="0A7599DB"/>
    <w:rsid w:val="0A9048A5"/>
    <w:rsid w:val="0B5D4435"/>
    <w:rsid w:val="0B816D8F"/>
    <w:rsid w:val="0C2C2074"/>
    <w:rsid w:val="0DA08490"/>
    <w:rsid w:val="0DC7E967"/>
    <w:rsid w:val="1030563F"/>
    <w:rsid w:val="10D7306C"/>
    <w:rsid w:val="118500B4"/>
    <w:rsid w:val="11AC3AE2"/>
    <w:rsid w:val="122EB0C6"/>
    <w:rsid w:val="1240BC2D"/>
    <w:rsid w:val="1289C4F8"/>
    <w:rsid w:val="12AED53B"/>
    <w:rsid w:val="13B1706B"/>
    <w:rsid w:val="1539A6C9"/>
    <w:rsid w:val="1749689B"/>
    <w:rsid w:val="1B56AF8F"/>
    <w:rsid w:val="1BBE7F45"/>
    <w:rsid w:val="1BC077D7"/>
    <w:rsid w:val="1C7534E2"/>
    <w:rsid w:val="1D80E5DF"/>
    <w:rsid w:val="1E1CC0E4"/>
    <w:rsid w:val="1E84376E"/>
    <w:rsid w:val="1F1CFFA0"/>
    <w:rsid w:val="1F1E41C4"/>
    <w:rsid w:val="1F5398AA"/>
    <w:rsid w:val="1F617C1E"/>
    <w:rsid w:val="1FF0538B"/>
    <w:rsid w:val="21BB9FB9"/>
    <w:rsid w:val="2207A1E6"/>
    <w:rsid w:val="2245FD7B"/>
    <w:rsid w:val="22487559"/>
    <w:rsid w:val="236C15C9"/>
    <w:rsid w:val="23E20ED1"/>
    <w:rsid w:val="24BB6B5C"/>
    <w:rsid w:val="24D8399C"/>
    <w:rsid w:val="24FB31C6"/>
    <w:rsid w:val="26ED5368"/>
    <w:rsid w:val="27E70B02"/>
    <w:rsid w:val="281FD65E"/>
    <w:rsid w:val="2A609D4A"/>
    <w:rsid w:val="2B1258B4"/>
    <w:rsid w:val="2B37A85A"/>
    <w:rsid w:val="2BC4F1D2"/>
    <w:rsid w:val="2BE619C1"/>
    <w:rsid w:val="2D10F6CA"/>
    <w:rsid w:val="2DC06228"/>
    <w:rsid w:val="2E374A28"/>
    <w:rsid w:val="2EDCC003"/>
    <w:rsid w:val="2F4E1349"/>
    <w:rsid w:val="2FC68404"/>
    <w:rsid w:val="305B2783"/>
    <w:rsid w:val="314675E8"/>
    <w:rsid w:val="3156E6F4"/>
    <w:rsid w:val="317F2F09"/>
    <w:rsid w:val="31C4A5E1"/>
    <w:rsid w:val="337281AE"/>
    <w:rsid w:val="337EF56F"/>
    <w:rsid w:val="3545FA9B"/>
    <w:rsid w:val="35A61B25"/>
    <w:rsid w:val="36964848"/>
    <w:rsid w:val="370BA13C"/>
    <w:rsid w:val="374C7668"/>
    <w:rsid w:val="3846A192"/>
    <w:rsid w:val="38694976"/>
    <w:rsid w:val="3AD65CCB"/>
    <w:rsid w:val="3B0B7FF2"/>
    <w:rsid w:val="3C31FD21"/>
    <w:rsid w:val="3D4A1EC6"/>
    <w:rsid w:val="3DB30CCC"/>
    <w:rsid w:val="3DF725B2"/>
    <w:rsid w:val="3E2905D4"/>
    <w:rsid w:val="3E70FCF5"/>
    <w:rsid w:val="3ED30930"/>
    <w:rsid w:val="3F15121A"/>
    <w:rsid w:val="3F3CB993"/>
    <w:rsid w:val="3F678061"/>
    <w:rsid w:val="3FC93DDF"/>
    <w:rsid w:val="42247DA3"/>
    <w:rsid w:val="428CBD7A"/>
    <w:rsid w:val="4496BC89"/>
    <w:rsid w:val="457BB788"/>
    <w:rsid w:val="461BAB6F"/>
    <w:rsid w:val="48BA210D"/>
    <w:rsid w:val="48BE5425"/>
    <w:rsid w:val="49DE6DD6"/>
    <w:rsid w:val="4B23527B"/>
    <w:rsid w:val="4B47A25E"/>
    <w:rsid w:val="4B8FC10E"/>
    <w:rsid w:val="4BCFB551"/>
    <w:rsid w:val="4CBB330A"/>
    <w:rsid w:val="4DD941C0"/>
    <w:rsid w:val="4F423A8C"/>
    <w:rsid w:val="53153C03"/>
    <w:rsid w:val="539BF082"/>
    <w:rsid w:val="53C00616"/>
    <w:rsid w:val="554401D1"/>
    <w:rsid w:val="56E83F14"/>
    <w:rsid w:val="5712EF64"/>
    <w:rsid w:val="57E8AD26"/>
    <w:rsid w:val="58016D5D"/>
    <w:rsid w:val="5A26BD00"/>
    <w:rsid w:val="5AAB5AAC"/>
    <w:rsid w:val="5ABB3C5B"/>
    <w:rsid w:val="5CBC1E49"/>
    <w:rsid w:val="5D552525"/>
    <w:rsid w:val="5DB0B0DF"/>
    <w:rsid w:val="5E57EEAA"/>
    <w:rsid w:val="5ECBFA5E"/>
    <w:rsid w:val="6108DC45"/>
    <w:rsid w:val="6152C215"/>
    <w:rsid w:val="61977CF2"/>
    <w:rsid w:val="6210FAFA"/>
    <w:rsid w:val="6295FCEC"/>
    <w:rsid w:val="629C27A4"/>
    <w:rsid w:val="633EAB08"/>
    <w:rsid w:val="641F70FA"/>
    <w:rsid w:val="646E92D0"/>
    <w:rsid w:val="64B8F77D"/>
    <w:rsid w:val="64C2023D"/>
    <w:rsid w:val="65004746"/>
    <w:rsid w:val="650985CD"/>
    <w:rsid w:val="65294A02"/>
    <w:rsid w:val="67F35F3C"/>
    <w:rsid w:val="68D84664"/>
    <w:rsid w:val="6909DDAB"/>
    <w:rsid w:val="692FCCC6"/>
    <w:rsid w:val="6956F2D0"/>
    <w:rsid w:val="6A3416BA"/>
    <w:rsid w:val="6B049B7A"/>
    <w:rsid w:val="6B8E2067"/>
    <w:rsid w:val="6BE6C7A9"/>
    <w:rsid w:val="6C168B78"/>
    <w:rsid w:val="6C74F133"/>
    <w:rsid w:val="6D4A2EE6"/>
    <w:rsid w:val="6DAEAB42"/>
    <w:rsid w:val="6E8605C3"/>
    <w:rsid w:val="6E876420"/>
    <w:rsid w:val="6EAC4888"/>
    <w:rsid w:val="6EC6F281"/>
    <w:rsid w:val="6EEA325B"/>
    <w:rsid w:val="6F0FB3DA"/>
    <w:rsid w:val="6FCAE70E"/>
    <w:rsid w:val="702FA7E0"/>
    <w:rsid w:val="70ECC7B4"/>
    <w:rsid w:val="711C4D61"/>
    <w:rsid w:val="73BF494C"/>
    <w:rsid w:val="73E4FBA9"/>
    <w:rsid w:val="7489D10C"/>
    <w:rsid w:val="754BE15C"/>
    <w:rsid w:val="77822236"/>
    <w:rsid w:val="782A6F24"/>
    <w:rsid w:val="78F880AC"/>
    <w:rsid w:val="79B19CAD"/>
    <w:rsid w:val="7A39AD64"/>
    <w:rsid w:val="7AB6D0FF"/>
    <w:rsid w:val="7B60C466"/>
    <w:rsid w:val="7BDAB154"/>
    <w:rsid w:val="7BF290CF"/>
    <w:rsid w:val="7CF72D10"/>
    <w:rsid w:val="7D67CC57"/>
    <w:rsid w:val="7DCAEDF9"/>
    <w:rsid w:val="7EA0D6CC"/>
    <w:rsid w:val="7F3EA0EB"/>
    <w:rsid w:val="7F7263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47F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A87"/>
    <w:pPr>
      <w:numPr>
        <w:numId w:val="4"/>
      </w:numPr>
      <w:outlineLvl w:val="0"/>
    </w:pPr>
    <w:rPr>
      <w:b/>
      <w:bCs w:val="0"/>
    </w:rPr>
  </w:style>
  <w:style w:type="paragraph" w:styleId="Heading2">
    <w:name w:val="heading 2"/>
    <w:basedOn w:val="Heading1"/>
    <w:next w:val="Normal"/>
    <w:link w:val="Heading2Char"/>
    <w:uiPriority w:val="9"/>
    <w:unhideWhenUsed/>
    <w:qFormat/>
    <w:rsid w:val="003E38FA"/>
    <w:pPr>
      <w:numPr>
        <w:ilvl w:val="1"/>
      </w:numPr>
      <w:outlineLvl w:val="1"/>
    </w:pPr>
  </w:style>
  <w:style w:type="paragraph" w:styleId="Heading3">
    <w:name w:val="heading 3"/>
    <w:basedOn w:val="Normal"/>
    <w:next w:val="Normal"/>
    <w:link w:val="Heading3Char"/>
    <w:uiPriority w:val="9"/>
    <w:unhideWhenUsed/>
    <w:qFormat/>
    <w:rsid w:val="00791110"/>
    <w:pPr>
      <w:keepNext/>
      <w:keepLines/>
      <w:numPr>
        <w:ilvl w:val="2"/>
        <w:numId w:val="4"/>
      </w:numPr>
      <w:spacing w:before="40"/>
      <w:outlineLvl w:val="2"/>
    </w:pPr>
    <w:rPr>
      <w:rFonts w:eastAsiaTheme="majorEastAsia"/>
      <w:b/>
      <w:bCs w:val="0"/>
      <w:color w:val="000000" w:themeColor="text1"/>
    </w:rPr>
  </w:style>
  <w:style w:type="paragraph" w:styleId="Heading4">
    <w:name w:val="heading 4"/>
    <w:basedOn w:val="Normal"/>
    <w:next w:val="Normal"/>
    <w:link w:val="Heading4Char"/>
    <w:uiPriority w:val="9"/>
    <w:semiHidden/>
    <w:unhideWhenUsed/>
    <w:qFormat/>
    <w:rsid w:val="00C5410C"/>
    <w:pPr>
      <w:keepNext/>
      <w:keepLines/>
      <w:numPr>
        <w:ilvl w:val="3"/>
        <w:numId w:val="4"/>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5410C"/>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5410C"/>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5410C"/>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5410C"/>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5410C"/>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5263C"/>
    <w:rPr>
      <w:sz w:val="16"/>
      <w:szCs w:val="16"/>
    </w:rPr>
  </w:style>
  <w:style w:type="paragraph" w:styleId="CommentText">
    <w:name w:val="annotation text"/>
    <w:basedOn w:val="Normal"/>
    <w:link w:val="CommentTextChar"/>
    <w:uiPriority w:val="99"/>
    <w:unhideWhenUsed/>
    <w:rsid w:val="0085263C"/>
  </w:style>
  <w:style w:type="character" w:customStyle="1" w:styleId="CommentTextChar">
    <w:name w:val="Comment Text Char"/>
    <w:basedOn w:val="DefaultParagraphFont"/>
    <w:link w:val="CommentText"/>
    <w:uiPriority w:val="99"/>
    <w:rsid w:val="0085263C"/>
    <w:rPr>
      <w:sz w:val="20"/>
      <w:szCs w:val="20"/>
    </w:rPr>
  </w:style>
  <w:style w:type="paragraph" w:styleId="CommentSubject">
    <w:name w:val="annotation subject"/>
    <w:basedOn w:val="CommentText"/>
    <w:next w:val="CommentText"/>
    <w:link w:val="CommentSubjectChar"/>
    <w:uiPriority w:val="99"/>
    <w:semiHidden/>
    <w:unhideWhenUsed/>
    <w:rsid w:val="0085263C"/>
    <w:rPr>
      <w:b/>
      <w:bCs w:val="0"/>
    </w:rPr>
  </w:style>
  <w:style w:type="character" w:customStyle="1" w:styleId="CommentSubjectChar">
    <w:name w:val="Comment Subject Char"/>
    <w:basedOn w:val="CommentTextChar"/>
    <w:link w:val="CommentSubject"/>
    <w:uiPriority w:val="99"/>
    <w:semiHidden/>
    <w:rsid w:val="0085263C"/>
    <w:rPr>
      <w:b/>
      <w:bCs w:val="0"/>
      <w:sz w:val="20"/>
      <w:szCs w:val="20"/>
    </w:rPr>
  </w:style>
  <w:style w:type="character" w:styleId="Hyperlink">
    <w:name w:val="Hyperlink"/>
    <w:basedOn w:val="DefaultParagraphFont"/>
    <w:uiPriority w:val="99"/>
    <w:unhideWhenUsed/>
    <w:rsid w:val="009D6FAE"/>
    <w:rPr>
      <w:color w:val="0563C1" w:themeColor="hyperlink"/>
      <w:u w:val="single"/>
    </w:rPr>
  </w:style>
  <w:style w:type="character" w:styleId="UnresolvedMention">
    <w:name w:val="Unresolved Mention"/>
    <w:basedOn w:val="DefaultParagraphFont"/>
    <w:uiPriority w:val="99"/>
    <w:semiHidden/>
    <w:unhideWhenUsed/>
    <w:rsid w:val="009D6FAE"/>
    <w:rPr>
      <w:color w:val="605E5C"/>
      <w:shd w:val="clear" w:color="auto" w:fill="E1DFDD"/>
    </w:rPr>
  </w:style>
  <w:style w:type="character" w:styleId="LineNumber">
    <w:name w:val="line number"/>
    <w:basedOn w:val="DefaultParagraphFont"/>
    <w:uiPriority w:val="99"/>
    <w:semiHidden/>
    <w:unhideWhenUsed/>
    <w:rsid w:val="00A40441"/>
  </w:style>
  <w:style w:type="paragraph" w:styleId="Header">
    <w:name w:val="header"/>
    <w:basedOn w:val="Normal"/>
    <w:link w:val="HeaderChar"/>
    <w:uiPriority w:val="99"/>
    <w:unhideWhenUsed/>
    <w:rsid w:val="00CA5837"/>
    <w:pPr>
      <w:tabs>
        <w:tab w:val="center" w:pos="4680"/>
        <w:tab w:val="right" w:pos="9360"/>
      </w:tabs>
    </w:pPr>
  </w:style>
  <w:style w:type="character" w:customStyle="1" w:styleId="HeaderChar">
    <w:name w:val="Header Char"/>
    <w:basedOn w:val="DefaultParagraphFont"/>
    <w:link w:val="Header"/>
    <w:uiPriority w:val="99"/>
    <w:rsid w:val="00CA5837"/>
  </w:style>
  <w:style w:type="paragraph" w:styleId="Footer">
    <w:name w:val="footer"/>
    <w:basedOn w:val="Normal"/>
    <w:link w:val="FooterChar"/>
    <w:uiPriority w:val="99"/>
    <w:unhideWhenUsed/>
    <w:rsid w:val="00CA5837"/>
    <w:pPr>
      <w:tabs>
        <w:tab w:val="center" w:pos="4680"/>
        <w:tab w:val="right" w:pos="9360"/>
      </w:tabs>
    </w:pPr>
  </w:style>
  <w:style w:type="character" w:customStyle="1" w:styleId="FooterChar">
    <w:name w:val="Footer Char"/>
    <w:basedOn w:val="DefaultParagraphFont"/>
    <w:link w:val="Footer"/>
    <w:uiPriority w:val="99"/>
    <w:rsid w:val="00CA5837"/>
  </w:style>
  <w:style w:type="character" w:customStyle="1" w:styleId="Heading1Char">
    <w:name w:val="Heading 1 Char"/>
    <w:basedOn w:val="DefaultParagraphFont"/>
    <w:link w:val="Heading1"/>
    <w:uiPriority w:val="9"/>
    <w:rsid w:val="00257A87"/>
    <w:rPr>
      <w:rFonts w:ascii="Times New Roman" w:hAnsi="Times New Roman" w:cs="Times New Roman"/>
      <w:b/>
      <w:bCs w:val="0"/>
      <w:sz w:val="20"/>
      <w:szCs w:val="20"/>
    </w:rPr>
  </w:style>
  <w:style w:type="character" w:customStyle="1" w:styleId="Heading2Char">
    <w:name w:val="Heading 2 Char"/>
    <w:basedOn w:val="DefaultParagraphFont"/>
    <w:link w:val="Heading2"/>
    <w:uiPriority w:val="9"/>
    <w:rsid w:val="003E38FA"/>
    <w:rPr>
      <w:rFonts w:ascii="Times New Roman" w:hAnsi="Times New Roman" w:cs="Times New Roman"/>
      <w:b/>
      <w:bCs w:val="0"/>
      <w:sz w:val="20"/>
      <w:szCs w:val="20"/>
    </w:rPr>
  </w:style>
  <w:style w:type="character" w:customStyle="1" w:styleId="Heading3Char">
    <w:name w:val="Heading 3 Char"/>
    <w:basedOn w:val="DefaultParagraphFont"/>
    <w:link w:val="Heading3"/>
    <w:uiPriority w:val="9"/>
    <w:rsid w:val="00791110"/>
    <w:rPr>
      <w:rFonts w:eastAsiaTheme="majorEastAsia"/>
      <w:b/>
      <w:bCs w:val="0"/>
      <w:color w:val="000000" w:themeColor="text1"/>
    </w:rPr>
  </w:style>
  <w:style w:type="character" w:customStyle="1" w:styleId="Heading4Char">
    <w:name w:val="Heading 4 Char"/>
    <w:basedOn w:val="DefaultParagraphFont"/>
    <w:link w:val="Heading4"/>
    <w:uiPriority w:val="9"/>
    <w:semiHidden/>
    <w:rsid w:val="00C5410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5410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5410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5410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5410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5410C"/>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rsid w:val="001A4690"/>
    <w:rPr>
      <w:sz w:val="16"/>
    </w:rPr>
  </w:style>
  <w:style w:type="character" w:customStyle="1" w:styleId="FootnoteTextChar">
    <w:name w:val="Footnote Text Char"/>
    <w:basedOn w:val="DefaultParagraphFont"/>
    <w:link w:val="FootnoteText"/>
    <w:uiPriority w:val="99"/>
    <w:rsid w:val="001A4690"/>
    <w:rPr>
      <w:sz w:val="16"/>
    </w:rPr>
  </w:style>
  <w:style w:type="character" w:styleId="FootnoteReference">
    <w:name w:val="footnote reference"/>
    <w:basedOn w:val="DefaultParagraphFont"/>
    <w:uiPriority w:val="99"/>
    <w:semiHidden/>
    <w:unhideWhenUsed/>
    <w:rsid w:val="00534EB9"/>
    <w:rPr>
      <w:vertAlign w:val="superscript"/>
    </w:rPr>
  </w:style>
  <w:style w:type="paragraph" w:styleId="ListParagraph">
    <w:name w:val="List Paragraph"/>
    <w:basedOn w:val="Normal"/>
    <w:uiPriority w:val="34"/>
    <w:qFormat/>
    <w:rsid w:val="0090639B"/>
    <w:pPr>
      <w:spacing w:after="160" w:line="259" w:lineRule="auto"/>
      <w:ind w:left="720"/>
      <w:contextualSpacing/>
    </w:pPr>
    <w:rPr>
      <w:rFonts w:asciiTheme="minorHAnsi" w:hAnsiTheme="minorHAnsi" w:cstheme="minorBidi"/>
      <w:bCs w:val="0"/>
      <w:noProof/>
      <w:kern w:val="0"/>
      <w:sz w:val="22"/>
      <w:szCs w:val="22"/>
      <w14:ligatures w14:val="none"/>
    </w:rPr>
  </w:style>
  <w:style w:type="table" w:styleId="TableGrid">
    <w:name w:val="Table Grid"/>
    <w:basedOn w:val="TableNormal"/>
    <w:uiPriority w:val="39"/>
    <w:rsid w:val="00A77A69"/>
    <w:rPr>
      <w:rFonts w:asciiTheme="minorHAnsi" w:hAnsiTheme="minorHAnsi" w:cstheme="minorBidi"/>
      <w:bCs w:val="0"/>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77A69"/>
    <w:pPr>
      <w:spacing w:after="160" w:line="259" w:lineRule="auto"/>
    </w:pPr>
    <w:rPr>
      <w:rFonts w:asciiTheme="minorHAnsi" w:eastAsia="Times New Roman" w:hAnsiTheme="minorHAnsi" w:cstheme="minorHAnsi"/>
      <w:b/>
      <w:bCs w:val="0"/>
      <w:noProof/>
      <w:kern w:val="0"/>
      <w:sz w:val="22"/>
      <w:szCs w:val="22"/>
      <w:lang w:eastAsia="en-CA"/>
      <w14:ligatures w14:val="none"/>
    </w:rPr>
  </w:style>
  <w:style w:type="character" w:styleId="EndnoteReference">
    <w:name w:val="endnote reference"/>
    <w:basedOn w:val="DefaultParagraphFont"/>
    <w:uiPriority w:val="99"/>
    <w:semiHidden/>
    <w:unhideWhenUsed/>
    <w:rsid w:val="006D3331"/>
    <w:rPr>
      <w:vertAlign w:val="superscript"/>
    </w:rPr>
  </w:style>
  <w:style w:type="character" w:customStyle="1" w:styleId="normaltextrun">
    <w:name w:val="normaltextrun"/>
    <w:basedOn w:val="DefaultParagraphFont"/>
    <w:rsid w:val="00262A11"/>
  </w:style>
  <w:style w:type="character" w:customStyle="1" w:styleId="eop">
    <w:name w:val="eop"/>
    <w:basedOn w:val="DefaultParagraphFont"/>
    <w:rsid w:val="00916B8E"/>
  </w:style>
  <w:style w:type="paragraph" w:styleId="Revision">
    <w:name w:val="Revision"/>
    <w:hidden/>
    <w:uiPriority w:val="99"/>
    <w:semiHidden/>
    <w:rsid w:val="00B84675"/>
  </w:style>
  <w:style w:type="table" w:customStyle="1" w:styleId="bmdsTbl">
    <w:name w:val="bmdsTbl"/>
    <w:basedOn w:val="TableNormal"/>
    <w:uiPriority w:val="99"/>
    <w:rsid w:val="00DE1399"/>
    <w:rPr>
      <w:rFonts w:eastAsia="Droid Sans Fallback"/>
      <w:bCs w:val="0"/>
      <w:kern w:val="0"/>
      <w:sz w:val="18"/>
      <w:szCs w:val="18"/>
      <w:lang w:val="en-US" w:eastAsia="ja-JP"/>
      <w14:ligatures w14:val="none"/>
    </w:rPr>
    <w:tblPr>
      <w:tblStyleRowBandSize w:val="1"/>
      <w:tblStyleColBandSize w:val="1"/>
      <w:tblBorders>
        <w:top w:val="single" w:sz="4" w:space="0" w:color="D0CECE" w:themeColor="background2" w:themeShade="E6"/>
        <w:bottom w:val="single" w:sz="4" w:space="0" w:color="D0CECE" w:themeColor="background2" w:themeShade="E6"/>
        <w:insideH w:val="single" w:sz="4" w:space="0" w:color="D0CECE" w:themeColor="background2" w:themeShade="E6"/>
      </w:tblBorders>
      <w:tblCellMar>
        <w:left w:w="58" w:type="dxa"/>
        <w:right w:w="58" w:type="dxa"/>
      </w:tblCellMar>
    </w:tblPr>
    <w:trPr>
      <w:cantSplit/>
    </w:trPr>
    <w:tcPr>
      <w:shd w:val="clear" w:color="auto" w:fill="auto"/>
    </w:tcPr>
    <w:tblStylePr w:type="firstRow">
      <w:pPr>
        <w:jc w:val="left"/>
      </w:pPr>
      <w:rPr>
        <w:b w:val="0"/>
        <w:bCs/>
        <w:i w:val="0"/>
        <w:iCs w:val="0"/>
        <w:sz w:val="18"/>
      </w:rPr>
      <w:tblPr/>
      <w:tcPr>
        <w:tcBorders>
          <w:top w:val="single" w:sz="4" w:space="0" w:color="auto"/>
          <w:left w:val="nil"/>
          <w:bottom w:val="single" w:sz="4" w:space="0" w:color="auto"/>
          <w:right w:val="nil"/>
          <w:insideH w:val="nil"/>
          <w:insideV w:val="nil"/>
          <w:tl2br w:val="nil"/>
          <w:tr2bl w:val="nil"/>
        </w:tcBorders>
        <w:shd w:val="clear" w:color="auto" w:fill="auto"/>
      </w:tcPr>
    </w:tblStylePr>
  </w:style>
  <w:style w:type="paragraph" w:customStyle="1" w:styleId="bmdsTblHeader">
    <w:name w:val="bmdsTblHeader"/>
    <w:basedOn w:val="bmdsTblBody"/>
    <w:qFormat/>
    <w:rsid w:val="00DE1399"/>
    <w:rPr>
      <w:b/>
    </w:rPr>
  </w:style>
  <w:style w:type="paragraph" w:customStyle="1" w:styleId="bmdsTblBody">
    <w:name w:val="bmdsTblBody"/>
    <w:basedOn w:val="Normal"/>
    <w:qFormat/>
    <w:rsid w:val="00DE1399"/>
    <w:rPr>
      <w:rFonts w:cstheme="minorBidi"/>
      <w:bCs w:val="0"/>
      <w:kern w:val="0"/>
      <w:sz w:val="18"/>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25053">
      <w:bodyDiv w:val="1"/>
      <w:marLeft w:val="0"/>
      <w:marRight w:val="0"/>
      <w:marTop w:val="0"/>
      <w:marBottom w:val="0"/>
      <w:divBdr>
        <w:top w:val="none" w:sz="0" w:space="0" w:color="auto"/>
        <w:left w:val="none" w:sz="0" w:space="0" w:color="auto"/>
        <w:bottom w:val="none" w:sz="0" w:space="0" w:color="auto"/>
        <w:right w:val="none" w:sz="0" w:space="0" w:color="auto"/>
      </w:divBdr>
      <w:divsChild>
        <w:div w:id="780731269">
          <w:marLeft w:val="0"/>
          <w:marRight w:val="0"/>
          <w:marTop w:val="0"/>
          <w:marBottom w:val="0"/>
          <w:divBdr>
            <w:top w:val="none" w:sz="0" w:space="0" w:color="auto"/>
            <w:left w:val="none" w:sz="0" w:space="0" w:color="auto"/>
            <w:bottom w:val="none" w:sz="0" w:space="0" w:color="auto"/>
            <w:right w:val="none" w:sz="0" w:space="0" w:color="auto"/>
          </w:divBdr>
        </w:div>
      </w:divsChild>
    </w:div>
    <w:div w:id="452479228">
      <w:bodyDiv w:val="1"/>
      <w:marLeft w:val="0"/>
      <w:marRight w:val="0"/>
      <w:marTop w:val="0"/>
      <w:marBottom w:val="0"/>
      <w:divBdr>
        <w:top w:val="none" w:sz="0" w:space="0" w:color="auto"/>
        <w:left w:val="none" w:sz="0" w:space="0" w:color="auto"/>
        <w:bottom w:val="none" w:sz="0" w:space="0" w:color="auto"/>
        <w:right w:val="none" w:sz="0" w:space="0" w:color="auto"/>
      </w:divBdr>
    </w:div>
    <w:div w:id="498622829">
      <w:bodyDiv w:val="1"/>
      <w:marLeft w:val="0"/>
      <w:marRight w:val="0"/>
      <w:marTop w:val="0"/>
      <w:marBottom w:val="0"/>
      <w:divBdr>
        <w:top w:val="none" w:sz="0" w:space="0" w:color="auto"/>
        <w:left w:val="none" w:sz="0" w:space="0" w:color="auto"/>
        <w:bottom w:val="none" w:sz="0" w:space="0" w:color="auto"/>
        <w:right w:val="none" w:sz="0" w:space="0" w:color="auto"/>
      </w:divBdr>
    </w:div>
    <w:div w:id="638341342">
      <w:bodyDiv w:val="1"/>
      <w:marLeft w:val="0"/>
      <w:marRight w:val="0"/>
      <w:marTop w:val="0"/>
      <w:marBottom w:val="0"/>
      <w:divBdr>
        <w:top w:val="none" w:sz="0" w:space="0" w:color="auto"/>
        <w:left w:val="none" w:sz="0" w:space="0" w:color="auto"/>
        <w:bottom w:val="none" w:sz="0" w:space="0" w:color="auto"/>
        <w:right w:val="none" w:sz="0" w:space="0" w:color="auto"/>
      </w:divBdr>
    </w:div>
    <w:div w:id="1407262439">
      <w:bodyDiv w:val="1"/>
      <w:marLeft w:val="0"/>
      <w:marRight w:val="0"/>
      <w:marTop w:val="0"/>
      <w:marBottom w:val="0"/>
      <w:divBdr>
        <w:top w:val="none" w:sz="0" w:space="0" w:color="auto"/>
        <w:left w:val="none" w:sz="0" w:space="0" w:color="auto"/>
        <w:bottom w:val="none" w:sz="0" w:space="0" w:color="auto"/>
        <w:right w:val="none" w:sz="0" w:space="0" w:color="auto"/>
      </w:divBdr>
    </w:div>
    <w:div w:id="1589536884">
      <w:bodyDiv w:val="1"/>
      <w:marLeft w:val="0"/>
      <w:marRight w:val="0"/>
      <w:marTop w:val="0"/>
      <w:marBottom w:val="0"/>
      <w:divBdr>
        <w:top w:val="none" w:sz="0" w:space="0" w:color="auto"/>
        <w:left w:val="none" w:sz="0" w:space="0" w:color="auto"/>
        <w:bottom w:val="none" w:sz="0" w:space="0" w:color="auto"/>
        <w:right w:val="none" w:sz="0" w:space="0" w:color="auto"/>
      </w:divBdr>
    </w:div>
    <w:div w:id="1706246585">
      <w:bodyDiv w:val="1"/>
      <w:marLeft w:val="0"/>
      <w:marRight w:val="0"/>
      <w:marTop w:val="0"/>
      <w:marBottom w:val="0"/>
      <w:divBdr>
        <w:top w:val="none" w:sz="0" w:space="0" w:color="auto"/>
        <w:left w:val="none" w:sz="0" w:space="0" w:color="auto"/>
        <w:bottom w:val="none" w:sz="0" w:space="0" w:color="auto"/>
        <w:right w:val="none" w:sz="0" w:space="0" w:color="auto"/>
      </w:divBdr>
    </w:div>
    <w:div w:id="192795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7B860-B1B2-4034-85D1-5266BDF51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6135</Words>
  <Characters>34974</Characters>
  <Application>Microsoft Office Word</Application>
  <DocSecurity>0</DocSecurity>
  <Lines>291</Lines>
  <Paragraphs>82</Paragraphs>
  <ScaleCrop>false</ScaleCrop>
  <Company/>
  <LinksUpToDate>false</LinksUpToDate>
  <CharactersWithSpaces>41027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2026-01-29T16:32:00Z</dcterms:created>
  <dcterms:modified xsi:type="dcterms:W3CDTF">2026-01-29T16:32:00Z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4b1ae03e,56f874d6,21e02678</vt:lpwstr>
  </property>
  <property fmtid="{D5CDD505-2E9C-101B-9397-08002B2CF9AE}" pid="3" name="ClassificationContentMarkingHeaderFontProps">
    <vt:lpwstr>#000000,12,Aptos</vt:lpwstr>
  </property>
  <property fmtid="{D5CDD505-2E9C-101B-9397-08002B2CF9AE}" pid="4" name="ClassificationContentMarkingHeaderText">
    <vt:lpwstr>Unclassified / Non classifié</vt:lpwstr>
  </property>
  <property fmtid="{D5CDD505-2E9C-101B-9397-08002B2CF9AE}" pid="5" name="MSIP_Label_05d8ed60-cd71-485b-a85b-277aaf32f506_Enabled">
    <vt:lpwstr>true</vt:lpwstr>
  </property>
  <property fmtid="{D5CDD505-2E9C-101B-9397-08002B2CF9AE}" pid="6" name="MSIP_Label_05d8ed60-cd71-485b-a85b-277aaf32f506_SetDate">
    <vt:lpwstr>2026-01-29T16:32:35Z</vt:lpwstr>
  </property>
  <property fmtid="{D5CDD505-2E9C-101B-9397-08002B2CF9AE}" pid="7" name="MSIP_Label_05d8ed60-cd71-485b-a85b-277aaf32f506_Method">
    <vt:lpwstr>Standard</vt:lpwstr>
  </property>
  <property fmtid="{D5CDD505-2E9C-101B-9397-08002B2CF9AE}" pid="8" name="MSIP_Label_05d8ed60-cd71-485b-a85b-277aaf32f506_Name">
    <vt:lpwstr>Unclassified</vt:lpwstr>
  </property>
  <property fmtid="{D5CDD505-2E9C-101B-9397-08002B2CF9AE}" pid="9" name="MSIP_Label_05d8ed60-cd71-485b-a85b-277aaf32f506_SiteId">
    <vt:lpwstr>42fd9015-de4d-4223-a368-baeacab48927</vt:lpwstr>
  </property>
  <property fmtid="{D5CDD505-2E9C-101B-9397-08002B2CF9AE}" pid="10" name="MSIP_Label_05d8ed60-cd71-485b-a85b-277aaf32f506_ActionId">
    <vt:lpwstr>4aae2197-e153-4a0d-bb78-546ed8490586</vt:lpwstr>
  </property>
  <property fmtid="{D5CDD505-2E9C-101B-9397-08002B2CF9AE}" pid="11" name="MSIP_Label_05d8ed60-cd71-485b-a85b-277aaf32f506_ContentBits">
    <vt:lpwstr>1</vt:lpwstr>
  </property>
  <property fmtid="{D5CDD505-2E9C-101B-9397-08002B2CF9AE}" pid="12" name="MSIP_Label_05d8ed60-cd71-485b-a85b-277aaf32f506_Tag">
    <vt:lpwstr>10, 3, 0, 1</vt:lpwstr>
  </property>
</Properties>
</file>