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2291D" w14:textId="77777777" w:rsidR="008A33A0" w:rsidRPr="00130063" w:rsidRDefault="008A33A0" w:rsidP="008A33A0">
      <w:pPr>
        <w:jc w:val="center"/>
        <w:rPr>
          <w:lang w:val="en-US"/>
        </w:rPr>
      </w:pPr>
      <w:r w:rsidRPr="008445DD">
        <w:rPr>
          <w:rFonts w:cs="Calibri"/>
          <w:b/>
          <w:bCs/>
          <w:sz w:val="24"/>
          <w:szCs w:val="24"/>
          <w:lang w:val="en-US"/>
        </w:rPr>
        <w:t xml:space="preserve">Immunomodulatory potential of </w:t>
      </w:r>
      <w:r w:rsidRPr="008445DD">
        <w:rPr>
          <w:rFonts w:cs="Calibri"/>
          <w:b/>
          <w:bCs/>
          <w:i/>
          <w:iCs/>
          <w:sz w:val="24"/>
          <w:szCs w:val="24"/>
          <w:lang w:val="en-US"/>
        </w:rPr>
        <w:t>Alternaria</w:t>
      </w:r>
      <w:r w:rsidRPr="008445DD">
        <w:rPr>
          <w:rFonts w:cs="Calibri"/>
          <w:b/>
          <w:bCs/>
          <w:sz w:val="24"/>
          <w:szCs w:val="24"/>
          <w:lang w:val="en-US"/>
        </w:rPr>
        <w:t xml:space="preserve"> mycotoxins on immune and intestinal cells: </w:t>
      </w:r>
      <w:r>
        <w:rPr>
          <w:rFonts w:cs="Calibri"/>
          <w:b/>
          <w:bCs/>
          <w:sz w:val="24"/>
          <w:szCs w:val="24"/>
          <w:lang w:val="en-US"/>
        </w:rPr>
        <w:br/>
      </w:r>
      <w:r w:rsidRPr="008445DD">
        <w:rPr>
          <w:rFonts w:cs="Calibri"/>
          <w:b/>
          <w:bCs/>
          <w:sz w:val="24"/>
          <w:szCs w:val="24"/>
          <w:lang w:val="en-US"/>
        </w:rPr>
        <w:t xml:space="preserve">a </w:t>
      </w:r>
      <w:r w:rsidRPr="00130063">
        <w:rPr>
          <w:rFonts w:cs="Calibri"/>
          <w:b/>
          <w:bCs/>
          <w:sz w:val="24"/>
          <w:szCs w:val="24"/>
          <w:lang w:val="en-US"/>
        </w:rPr>
        <w:t xml:space="preserve">comparative systematic </w:t>
      </w:r>
      <w:r w:rsidRPr="00130063">
        <w:rPr>
          <w:rFonts w:cs="Calibri"/>
          <w:b/>
          <w:bCs/>
          <w:i/>
          <w:iCs/>
          <w:sz w:val="24"/>
          <w:szCs w:val="24"/>
          <w:lang w:val="en-US"/>
        </w:rPr>
        <w:t xml:space="preserve">in vitro </w:t>
      </w:r>
      <w:r w:rsidRPr="00130063">
        <w:rPr>
          <w:rFonts w:cs="Calibri"/>
          <w:b/>
          <w:bCs/>
          <w:sz w:val="24"/>
          <w:szCs w:val="24"/>
          <w:lang w:val="en-US"/>
        </w:rPr>
        <w:t>study</w:t>
      </w:r>
    </w:p>
    <w:p w14:paraId="3A13B224" w14:textId="756C1DF3" w:rsidR="00241C38" w:rsidRPr="001E41F9" w:rsidRDefault="000B4570">
      <w:pPr>
        <w:jc w:val="center"/>
        <w:rPr>
          <w:lang w:val="it-IT"/>
        </w:rPr>
      </w:pPr>
      <w:r w:rsidRPr="001E41F9">
        <w:rPr>
          <w:rFonts w:cs="Calibri"/>
          <w:bCs/>
          <w:szCs w:val="20"/>
          <w:lang w:val="it-IT"/>
        </w:rPr>
        <w:t>Vanessa Partsch</w:t>
      </w:r>
      <w:r w:rsidRPr="001E41F9">
        <w:rPr>
          <w:rFonts w:cs="Calibri"/>
          <w:bCs/>
          <w:szCs w:val="20"/>
          <w:vertAlign w:val="superscript"/>
          <w:lang w:val="it-IT"/>
        </w:rPr>
        <w:t>1,2</w:t>
      </w:r>
      <w:r w:rsidRPr="001E41F9">
        <w:rPr>
          <w:rFonts w:cs="Calibri"/>
          <w:bCs/>
          <w:szCs w:val="20"/>
          <w:lang w:val="it-IT"/>
        </w:rPr>
        <w:t>, Amina Selimagić</w:t>
      </w:r>
      <w:r w:rsidRPr="001E41F9">
        <w:rPr>
          <w:rFonts w:cs="Calibri"/>
          <w:bCs/>
          <w:szCs w:val="20"/>
          <w:vertAlign w:val="superscript"/>
          <w:lang w:val="it-IT"/>
        </w:rPr>
        <w:t>1</w:t>
      </w:r>
      <w:r w:rsidRPr="001E41F9">
        <w:rPr>
          <w:rFonts w:cs="Calibri"/>
          <w:bCs/>
          <w:szCs w:val="20"/>
          <w:lang w:val="it-IT"/>
        </w:rPr>
        <w:t xml:space="preserve">, </w:t>
      </w:r>
      <w:r w:rsidR="00621B94" w:rsidRPr="001E41F9">
        <w:rPr>
          <w:rFonts w:cs="Calibri"/>
          <w:bCs/>
          <w:szCs w:val="20"/>
          <w:lang w:val="it-IT"/>
        </w:rPr>
        <w:t>Francesco Crudo</w:t>
      </w:r>
      <w:r w:rsidR="00621B94" w:rsidRPr="001E41F9">
        <w:rPr>
          <w:rFonts w:cs="Calibri"/>
          <w:bCs/>
          <w:szCs w:val="20"/>
          <w:vertAlign w:val="superscript"/>
          <w:lang w:val="it-IT"/>
        </w:rPr>
        <w:t>1</w:t>
      </w:r>
      <w:r w:rsidR="00621B94" w:rsidRPr="001E41F9">
        <w:rPr>
          <w:rFonts w:cs="Calibri"/>
          <w:bCs/>
          <w:szCs w:val="20"/>
          <w:lang w:val="it-IT"/>
        </w:rPr>
        <w:t xml:space="preserve">, </w:t>
      </w:r>
      <w:r w:rsidRPr="001E41F9">
        <w:rPr>
          <w:rFonts w:cs="Calibri"/>
          <w:bCs/>
          <w:szCs w:val="20"/>
          <w:lang w:val="it-IT"/>
        </w:rPr>
        <w:t>Doris Marko</w:t>
      </w:r>
      <w:r w:rsidRPr="001E41F9">
        <w:rPr>
          <w:rFonts w:cs="Calibri"/>
          <w:bCs/>
          <w:szCs w:val="20"/>
          <w:vertAlign w:val="superscript"/>
          <w:lang w:val="it-IT"/>
        </w:rPr>
        <w:t>1</w:t>
      </w:r>
    </w:p>
    <w:p w14:paraId="20A5D1FE" w14:textId="77777777" w:rsidR="00241C38" w:rsidRPr="00EB56A0" w:rsidRDefault="000B4570">
      <w:pPr>
        <w:spacing w:line="240" w:lineRule="auto"/>
        <w:jc w:val="center"/>
        <w:rPr>
          <w:lang w:val="en-US"/>
        </w:rPr>
      </w:pPr>
      <w:r w:rsidRPr="00EB56A0">
        <w:rPr>
          <w:rFonts w:cs="Calibri"/>
          <w:bCs/>
          <w:sz w:val="18"/>
          <w:szCs w:val="18"/>
          <w:vertAlign w:val="superscript"/>
          <w:lang w:val="en-US"/>
        </w:rPr>
        <w:t>1</w:t>
      </w:r>
      <w:r w:rsidRPr="00EB56A0">
        <w:rPr>
          <w:rFonts w:cs="Calibri"/>
          <w:bCs/>
          <w:sz w:val="18"/>
          <w:szCs w:val="18"/>
          <w:lang w:val="en-US"/>
        </w:rPr>
        <w:t>University of Vienna, Faculty of Chemistry, Department of Food Chemistry and Toxicology, 1090 Vienna, Austria</w:t>
      </w:r>
    </w:p>
    <w:p w14:paraId="1475B89F" w14:textId="77777777" w:rsidR="00241C38" w:rsidRPr="00EB56A0" w:rsidRDefault="000B4570">
      <w:pPr>
        <w:spacing w:line="240" w:lineRule="auto"/>
        <w:jc w:val="center"/>
        <w:rPr>
          <w:lang w:val="en-US"/>
        </w:rPr>
      </w:pPr>
      <w:r w:rsidRPr="00EB56A0">
        <w:rPr>
          <w:rFonts w:cs="Calibri"/>
          <w:bCs/>
          <w:sz w:val="18"/>
          <w:szCs w:val="18"/>
          <w:vertAlign w:val="superscript"/>
          <w:lang w:val="en-US"/>
        </w:rPr>
        <w:t>2</w:t>
      </w:r>
      <w:r w:rsidRPr="00EB56A0">
        <w:rPr>
          <w:rFonts w:cs="Calibri"/>
          <w:bCs/>
          <w:sz w:val="18"/>
          <w:szCs w:val="18"/>
          <w:lang w:val="en-US"/>
        </w:rPr>
        <w:t xml:space="preserve">University of Vienna, Faculty of Chemistry, Doctoral School in Chemistry, 1090 Vienna, Austria </w:t>
      </w:r>
    </w:p>
    <w:p w14:paraId="033859D9" w14:textId="77777777" w:rsidR="00241C38" w:rsidRPr="00EB56A0" w:rsidRDefault="00241C38">
      <w:pPr>
        <w:jc w:val="center"/>
        <w:rPr>
          <w:rFonts w:cs="Calibri"/>
          <w:bCs/>
          <w:szCs w:val="20"/>
          <w:lang w:val="en-US"/>
        </w:rPr>
      </w:pPr>
    </w:p>
    <w:p w14:paraId="23DB8225" w14:textId="77777777" w:rsidR="00241C38" w:rsidRPr="00EB56A0" w:rsidRDefault="000B4570">
      <w:pPr>
        <w:rPr>
          <w:b/>
          <w:bCs/>
          <w:lang w:val="en-US"/>
        </w:rPr>
      </w:pPr>
      <w:r w:rsidRPr="00EB56A0">
        <w:rPr>
          <w:b/>
          <w:bCs/>
          <w:lang w:val="en-US"/>
        </w:rPr>
        <w:t>Corresponding authors:</w:t>
      </w:r>
    </w:p>
    <w:p w14:paraId="371C94A5" w14:textId="77777777" w:rsidR="00241C38" w:rsidRPr="00EB56A0" w:rsidRDefault="000B4570">
      <w:pPr>
        <w:rPr>
          <w:rFonts w:cs="Aptos"/>
          <w:iCs/>
          <w:color w:val="000000"/>
          <w:szCs w:val="20"/>
          <w:lang w:val="en-US"/>
        </w:rPr>
      </w:pPr>
      <w:r w:rsidRPr="00EB56A0">
        <w:rPr>
          <w:rFonts w:cs="Aptos"/>
          <w:iCs/>
          <w:color w:val="000000"/>
          <w:szCs w:val="20"/>
          <w:lang w:val="en-US"/>
        </w:rPr>
        <w:t>Dr. Francesco Crudo</w:t>
      </w:r>
    </w:p>
    <w:p w14:paraId="5E7F4832" w14:textId="77777777" w:rsidR="00241C38" w:rsidRPr="00EB56A0" w:rsidRDefault="000B4570">
      <w:pPr>
        <w:rPr>
          <w:rFonts w:cs="Aptos"/>
          <w:iCs/>
          <w:color w:val="000000"/>
          <w:szCs w:val="20"/>
          <w:lang w:val="en-US"/>
        </w:rPr>
      </w:pPr>
      <w:r w:rsidRPr="00EB56A0">
        <w:rPr>
          <w:rFonts w:cs="Aptos"/>
          <w:iCs/>
          <w:color w:val="000000"/>
          <w:szCs w:val="20"/>
          <w:lang w:val="en-US"/>
        </w:rPr>
        <w:t>Department of Food Chemistry and Toxicology, University of Vienna</w:t>
      </w:r>
    </w:p>
    <w:p w14:paraId="5401803A" w14:textId="77777777" w:rsidR="00241C38" w:rsidRDefault="000B4570">
      <w:pPr>
        <w:rPr>
          <w:rFonts w:cs="Aptos"/>
          <w:iCs/>
          <w:color w:val="000000"/>
          <w:szCs w:val="20"/>
        </w:rPr>
      </w:pPr>
      <w:r>
        <w:rPr>
          <w:rFonts w:cs="Aptos"/>
          <w:iCs/>
          <w:color w:val="000000"/>
          <w:szCs w:val="20"/>
        </w:rPr>
        <w:t>Währinger Str. 38, 1090 Vienna, Austria</w:t>
      </w:r>
    </w:p>
    <w:p w14:paraId="58A117A5" w14:textId="77777777" w:rsidR="00241C38" w:rsidRDefault="000B4570">
      <w:r>
        <w:rPr>
          <w:rFonts w:cs="Aptos"/>
          <w:iCs/>
          <w:szCs w:val="20"/>
        </w:rPr>
        <w:t>francesco.crudo@univie.ac.at</w:t>
      </w:r>
    </w:p>
    <w:p w14:paraId="22B16581" w14:textId="569CDAB8" w:rsidR="00B37CF3" w:rsidRDefault="00B37CF3">
      <w:pPr>
        <w:suppressAutoHyphens w:val="0"/>
        <w:jc w:val="left"/>
        <w:rPr>
          <w:rFonts w:cs="Calibri"/>
          <w:bCs/>
          <w:szCs w:val="20"/>
        </w:rPr>
      </w:pPr>
      <w:r>
        <w:rPr>
          <w:rFonts w:cs="Calibri"/>
          <w:bCs/>
          <w:szCs w:val="20"/>
        </w:rPr>
        <w:br w:type="page"/>
      </w:r>
    </w:p>
    <w:p w14:paraId="3B88653D" w14:textId="5722F830" w:rsidR="008F53D9" w:rsidRDefault="00034451" w:rsidP="008F53D9">
      <w:pPr>
        <w:suppressAutoHyphens w:val="0"/>
        <w:jc w:val="center"/>
        <w:rPr>
          <w:rFonts w:cs="Calibri"/>
          <w:bCs/>
          <w:szCs w:val="20"/>
        </w:rPr>
      </w:pPr>
      <w:r>
        <w:rPr>
          <w:rFonts w:cs="Calibri"/>
          <w:bCs/>
          <w:noProof/>
          <w:szCs w:val="20"/>
        </w:rPr>
        <w:lastRenderedPageBreak/>
        <w:drawing>
          <wp:inline distT="0" distB="0" distL="0" distR="0" wp14:anchorId="73983A80" wp14:editId="02138ACB">
            <wp:extent cx="5029200" cy="7243334"/>
            <wp:effectExtent l="0" t="0" r="0" b="0"/>
            <wp:docPr id="1217525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525186" name="Picture 121752518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243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6B971" w14:textId="06954A03" w:rsidR="008F53D9" w:rsidRPr="00EB56A0" w:rsidRDefault="008F53D9" w:rsidP="008F53D9">
      <w:pPr>
        <w:pStyle w:val="Didascalia"/>
        <w:rPr>
          <w:lang w:val="en-US"/>
        </w:rPr>
      </w:pPr>
      <w:r w:rsidRPr="00034451">
        <w:rPr>
          <w:b/>
          <w:bCs/>
          <w:lang w:val="en-US"/>
        </w:rPr>
        <w:t>Supplementary Fig</w:t>
      </w:r>
      <w:r w:rsidR="00034451" w:rsidRPr="00034451">
        <w:rPr>
          <w:b/>
          <w:bCs/>
          <w:lang w:val="en-US"/>
        </w:rPr>
        <w:t>.</w:t>
      </w:r>
      <w:r w:rsidRPr="00034451">
        <w:rPr>
          <w:b/>
          <w:bCs/>
          <w:lang w:val="en-US"/>
        </w:rPr>
        <w:t xml:space="preserve"> </w:t>
      </w:r>
      <w:r w:rsidRPr="00034451">
        <w:rPr>
          <w:b/>
          <w:bCs/>
          <w:caps/>
          <w:noProof/>
          <w:lang w:val="en-US"/>
        </w:rPr>
        <w:t>1</w:t>
      </w:r>
      <w:r w:rsidRPr="00EB56A0">
        <w:rPr>
          <w:lang w:val="en-US"/>
        </w:rPr>
        <w:t xml:space="preserve"> Cytotoxic effects of </w:t>
      </w:r>
      <w:r w:rsidR="00621B94" w:rsidRPr="00EB56A0">
        <w:rPr>
          <w:lang w:val="en-US"/>
        </w:rPr>
        <w:t>th</w:t>
      </w:r>
      <w:r w:rsidR="00621B94">
        <w:rPr>
          <w:lang w:val="en-US"/>
        </w:rPr>
        <w:t>e</w:t>
      </w:r>
      <w:r w:rsidR="00621B94" w:rsidRPr="00EB56A0">
        <w:rPr>
          <w:lang w:val="en-US"/>
        </w:rPr>
        <w:t xml:space="preserve"> </w:t>
      </w:r>
      <w:r w:rsidR="00EB56A0">
        <w:rPr>
          <w:lang w:val="en-US"/>
        </w:rPr>
        <w:t xml:space="preserve">seven </w:t>
      </w:r>
      <w:r w:rsidRPr="00EB56A0">
        <w:rPr>
          <w:i/>
          <w:iCs w:val="0"/>
          <w:lang w:val="en-US"/>
        </w:rPr>
        <w:t>Alternaria</w:t>
      </w:r>
      <w:r w:rsidRPr="00EB56A0">
        <w:rPr>
          <w:lang w:val="en-US"/>
        </w:rPr>
        <w:t xml:space="preserve"> mycotoxins</w:t>
      </w:r>
      <w:r w:rsidR="00621B94">
        <w:rPr>
          <w:lang w:val="en-US"/>
        </w:rPr>
        <w:t xml:space="preserve"> </w:t>
      </w:r>
      <w:r w:rsidR="00EB56A0" w:rsidRPr="00EB56A0">
        <w:rPr>
          <w:szCs w:val="20"/>
          <w:lang w:val="en-US"/>
        </w:rPr>
        <w:t>alternariol (AOH</w:t>
      </w:r>
      <w:r w:rsidR="00EB56A0">
        <w:rPr>
          <w:szCs w:val="20"/>
          <w:lang w:val="en-US"/>
        </w:rPr>
        <w:t>;</w:t>
      </w:r>
      <w:r w:rsidR="00EB56A0" w:rsidRPr="00EB56A0">
        <w:rPr>
          <w:szCs w:val="20"/>
          <w:lang w:val="en-US"/>
        </w:rPr>
        <w:t xml:space="preserve"> </w:t>
      </w:r>
      <w:r w:rsidR="00034451" w:rsidRPr="00034451">
        <w:rPr>
          <w:b/>
          <w:bCs/>
          <w:szCs w:val="20"/>
          <w:lang w:val="en-US"/>
        </w:rPr>
        <w:t>a</w:t>
      </w:r>
      <w:r w:rsidR="00EB56A0" w:rsidRPr="00EB56A0">
        <w:rPr>
          <w:szCs w:val="20"/>
          <w:lang w:val="en-US"/>
        </w:rPr>
        <w:t>), alternariol monomethyl ether (AME</w:t>
      </w:r>
      <w:r w:rsidR="00EB56A0">
        <w:rPr>
          <w:szCs w:val="20"/>
          <w:lang w:val="en-US"/>
        </w:rPr>
        <w:t>;</w:t>
      </w:r>
      <w:r w:rsidR="00EB56A0" w:rsidRPr="00EB56A0">
        <w:rPr>
          <w:szCs w:val="20"/>
          <w:lang w:val="en-US"/>
        </w:rPr>
        <w:t xml:space="preserve"> </w:t>
      </w:r>
      <w:r w:rsidR="00034451" w:rsidRPr="00034451">
        <w:rPr>
          <w:b/>
          <w:bCs/>
          <w:szCs w:val="20"/>
          <w:lang w:val="en-US"/>
        </w:rPr>
        <w:t>b</w:t>
      </w:r>
      <w:r w:rsidR="00EB56A0" w:rsidRPr="00EB56A0">
        <w:rPr>
          <w:szCs w:val="20"/>
          <w:lang w:val="en-US"/>
        </w:rPr>
        <w:t>), altenuene (ALT</w:t>
      </w:r>
      <w:r w:rsidR="00EB56A0">
        <w:rPr>
          <w:szCs w:val="20"/>
          <w:lang w:val="en-US"/>
        </w:rPr>
        <w:t xml:space="preserve">; </w:t>
      </w:r>
      <w:r w:rsidR="00034451" w:rsidRPr="00034451">
        <w:rPr>
          <w:b/>
          <w:bCs/>
          <w:szCs w:val="20"/>
          <w:lang w:val="en-US"/>
        </w:rPr>
        <w:t>c</w:t>
      </w:r>
      <w:r w:rsidR="00EB56A0" w:rsidRPr="00EB56A0">
        <w:rPr>
          <w:szCs w:val="20"/>
          <w:lang w:val="en-US"/>
        </w:rPr>
        <w:t>), alterperylenol (ALTP</w:t>
      </w:r>
      <w:r w:rsidR="00EB56A0">
        <w:rPr>
          <w:szCs w:val="20"/>
          <w:lang w:val="en-US"/>
        </w:rPr>
        <w:t>;</w:t>
      </w:r>
      <w:r w:rsidR="00EB56A0" w:rsidRPr="00EB56A0">
        <w:rPr>
          <w:szCs w:val="20"/>
          <w:lang w:val="en-US"/>
        </w:rPr>
        <w:t xml:space="preserve"> </w:t>
      </w:r>
      <w:r w:rsidR="00034451" w:rsidRPr="00034451">
        <w:rPr>
          <w:b/>
          <w:bCs/>
          <w:szCs w:val="20"/>
          <w:lang w:val="en-US"/>
        </w:rPr>
        <w:t>d</w:t>
      </w:r>
      <w:r w:rsidR="00EB56A0" w:rsidRPr="00EB56A0">
        <w:rPr>
          <w:szCs w:val="20"/>
          <w:lang w:val="en-US"/>
        </w:rPr>
        <w:t>), altertoxin I (ATX-I</w:t>
      </w:r>
      <w:r w:rsidR="00EB56A0">
        <w:rPr>
          <w:szCs w:val="20"/>
          <w:lang w:val="en-US"/>
        </w:rPr>
        <w:t xml:space="preserve">; </w:t>
      </w:r>
      <w:r w:rsidR="00034451" w:rsidRPr="00034451">
        <w:rPr>
          <w:b/>
          <w:bCs/>
          <w:szCs w:val="20"/>
          <w:lang w:val="en-US"/>
        </w:rPr>
        <w:t>e</w:t>
      </w:r>
      <w:r w:rsidR="00EB56A0" w:rsidRPr="00EB56A0">
        <w:rPr>
          <w:szCs w:val="20"/>
          <w:lang w:val="en-US"/>
        </w:rPr>
        <w:t>), altersetin (AST</w:t>
      </w:r>
      <w:r w:rsidR="00EB56A0">
        <w:rPr>
          <w:szCs w:val="20"/>
          <w:lang w:val="en-US"/>
        </w:rPr>
        <w:t xml:space="preserve">; </w:t>
      </w:r>
      <w:r w:rsidR="00034451" w:rsidRPr="00034451">
        <w:rPr>
          <w:b/>
          <w:bCs/>
          <w:szCs w:val="20"/>
          <w:lang w:val="en-US"/>
        </w:rPr>
        <w:t>f</w:t>
      </w:r>
      <w:r w:rsidR="00EB56A0" w:rsidRPr="00EB56A0">
        <w:rPr>
          <w:szCs w:val="20"/>
          <w:lang w:val="en-US"/>
        </w:rPr>
        <w:t>), and tentoxin (TEN</w:t>
      </w:r>
      <w:r w:rsidR="00EB56A0">
        <w:rPr>
          <w:szCs w:val="20"/>
          <w:lang w:val="en-US"/>
        </w:rPr>
        <w:t>;</w:t>
      </w:r>
      <w:r w:rsidR="00EB56A0" w:rsidRPr="00EB56A0">
        <w:rPr>
          <w:szCs w:val="20"/>
          <w:lang w:val="en-US"/>
        </w:rPr>
        <w:t xml:space="preserve"> </w:t>
      </w:r>
      <w:r w:rsidR="00034451" w:rsidRPr="00034451">
        <w:rPr>
          <w:b/>
          <w:bCs/>
          <w:szCs w:val="20"/>
          <w:lang w:val="en-US"/>
        </w:rPr>
        <w:t>g</w:t>
      </w:r>
      <w:r w:rsidR="00EB56A0" w:rsidRPr="00EB56A0">
        <w:rPr>
          <w:szCs w:val="20"/>
          <w:lang w:val="en-US"/>
        </w:rPr>
        <w:t xml:space="preserve">) </w:t>
      </w:r>
      <w:r w:rsidR="00CF2BB3" w:rsidRPr="00EB56A0">
        <w:rPr>
          <w:lang w:val="en-US"/>
        </w:rPr>
        <w:t xml:space="preserve">on </w:t>
      </w:r>
      <w:r w:rsidRPr="00EB56A0">
        <w:rPr>
          <w:lang w:val="en-US"/>
        </w:rPr>
        <w:t xml:space="preserve">Caco-2 and HCEC-1CT cells assessed with the CellTiter-Blue® (CTB) assay. </w:t>
      </w:r>
      <w:r w:rsidRPr="008F53D9">
        <w:rPr>
          <w:lang w:val="en-US"/>
        </w:rPr>
        <w:t xml:space="preserve">Cells were </w:t>
      </w:r>
      <w:r w:rsidRPr="00EB56A0">
        <w:rPr>
          <w:lang w:val="en-US"/>
        </w:rPr>
        <w:t>pre</w:t>
      </w:r>
      <w:r w:rsidRPr="008F53D9">
        <w:rPr>
          <w:lang w:val="en-US"/>
        </w:rPr>
        <w:t xml:space="preserve">-incubated with </w:t>
      </w:r>
      <w:r w:rsidRPr="00EB56A0">
        <w:rPr>
          <w:lang w:val="en-US"/>
        </w:rPr>
        <w:t xml:space="preserve">non-toxic concentrations of </w:t>
      </w:r>
      <w:r w:rsidRPr="008F53D9">
        <w:rPr>
          <w:lang w:val="en-US"/>
        </w:rPr>
        <w:t>the respective mycotoxins or 1 µM dexamethasone (Dexa</w:t>
      </w:r>
      <w:r w:rsidR="00621B94">
        <w:rPr>
          <w:lang w:val="en-US"/>
        </w:rPr>
        <w:t xml:space="preserve">; used </w:t>
      </w:r>
      <w:r w:rsidRPr="00EB56A0">
        <w:rPr>
          <w:lang w:val="en-US"/>
        </w:rPr>
        <w:t>as</w:t>
      </w:r>
      <w:r w:rsidRPr="008F53D9">
        <w:rPr>
          <w:lang w:val="en-US"/>
        </w:rPr>
        <w:t xml:space="preserve"> </w:t>
      </w:r>
      <w:r w:rsidR="00621B94">
        <w:rPr>
          <w:lang w:val="en-US"/>
        </w:rPr>
        <w:t>a</w:t>
      </w:r>
      <w:r w:rsidR="00621B94" w:rsidRPr="008F53D9">
        <w:rPr>
          <w:lang w:val="en-US"/>
        </w:rPr>
        <w:t xml:space="preserve"> </w:t>
      </w:r>
      <w:r w:rsidRPr="008F53D9">
        <w:rPr>
          <w:lang w:val="en-US"/>
        </w:rPr>
        <w:t>control</w:t>
      </w:r>
      <w:r w:rsidR="00621B94">
        <w:rPr>
          <w:lang w:val="en-US"/>
        </w:rPr>
        <w:t>)</w:t>
      </w:r>
      <w:r w:rsidRPr="008F53D9">
        <w:rPr>
          <w:lang w:val="en-US"/>
        </w:rPr>
        <w:t xml:space="preserve"> for 2 h, followed by stimulation with 25 ng/mL</w:t>
      </w:r>
      <w:r w:rsidRPr="00EB56A0">
        <w:rPr>
          <w:lang w:val="en-US"/>
        </w:rPr>
        <w:t xml:space="preserve"> </w:t>
      </w:r>
      <w:r w:rsidRPr="008F53D9">
        <w:rPr>
          <w:lang w:val="en-US"/>
        </w:rPr>
        <w:t>IL-1β for an additional 3 h. Triton X-100 (0.01</w:t>
      </w:r>
      <w:r w:rsidR="00CF2BB3">
        <w:rPr>
          <w:lang w:val="en-US"/>
        </w:rPr>
        <w:t xml:space="preserve"> </w:t>
      </w:r>
      <w:r w:rsidRPr="008F53D9">
        <w:rPr>
          <w:lang w:val="en-US"/>
        </w:rPr>
        <w:t xml:space="preserve">%) was used as a positive control for cytotoxicity. Data are presented as mean </w:t>
      </w:r>
      <w:r w:rsidRPr="00EB56A0">
        <w:rPr>
          <w:lang w:val="en-US"/>
        </w:rPr>
        <w:t xml:space="preserve">+ </w:t>
      </w:r>
      <w:r w:rsidRPr="008F53D9">
        <w:rPr>
          <w:lang w:val="en-US"/>
        </w:rPr>
        <w:t xml:space="preserve">SD from at least three independent experiments. Results are expressed relative to the </w:t>
      </w:r>
      <w:r w:rsidRPr="00EB56A0">
        <w:rPr>
          <w:lang w:val="en-US"/>
        </w:rPr>
        <w:t xml:space="preserve">positive control </w:t>
      </w:r>
      <w:r w:rsidRPr="008F53D9">
        <w:rPr>
          <w:lang w:val="en-US"/>
        </w:rPr>
        <w:t>(</w:t>
      </w:r>
      <w:r w:rsidR="00CF2BB3" w:rsidRPr="008F53D9">
        <w:rPr>
          <w:lang w:val="en-US"/>
        </w:rPr>
        <w:t>25 ng/mL</w:t>
      </w:r>
      <w:r w:rsidR="00CF2BB3" w:rsidRPr="00EB56A0">
        <w:rPr>
          <w:lang w:val="en-US"/>
        </w:rPr>
        <w:t xml:space="preserve"> </w:t>
      </w:r>
      <w:r w:rsidR="00CF2BB3" w:rsidRPr="008F53D9">
        <w:rPr>
          <w:lang w:val="en-US"/>
        </w:rPr>
        <w:t>IL-1β</w:t>
      </w:r>
      <w:r w:rsidRPr="008F53D9">
        <w:rPr>
          <w:lang w:val="en-US"/>
        </w:rPr>
        <w:t>), indicated by dotted lines.</w:t>
      </w:r>
      <w:r w:rsidRPr="00EB56A0">
        <w:rPr>
          <w:lang w:val="en-US"/>
        </w:rPr>
        <w:t xml:space="preserve"> </w:t>
      </w:r>
      <w:r w:rsidRPr="008F53D9">
        <w:rPr>
          <w:lang w:val="en-US"/>
        </w:rPr>
        <w:t>Statistical significance</w:t>
      </w:r>
      <w:r w:rsidR="00CF2BB3">
        <w:rPr>
          <w:lang w:val="en-US"/>
        </w:rPr>
        <w:t>s</w:t>
      </w:r>
      <w:r w:rsidRPr="00EB56A0">
        <w:rPr>
          <w:lang w:val="en-US"/>
        </w:rPr>
        <w:t xml:space="preserve"> </w:t>
      </w:r>
      <w:r w:rsidRPr="008F53D9">
        <w:rPr>
          <w:lang w:val="en-US"/>
        </w:rPr>
        <w:t>between mycotoxin-treated samples and the positive control</w:t>
      </w:r>
      <w:r w:rsidRPr="00EB56A0">
        <w:rPr>
          <w:lang w:val="en-US"/>
        </w:rPr>
        <w:t xml:space="preserve"> </w:t>
      </w:r>
      <w:r w:rsidR="00CF2BB3" w:rsidRPr="00EB56A0">
        <w:rPr>
          <w:lang w:val="en-US"/>
        </w:rPr>
        <w:t>were</w:t>
      </w:r>
      <w:r w:rsidRPr="008F53D9">
        <w:rPr>
          <w:lang w:val="en-US"/>
        </w:rPr>
        <w:t xml:space="preserve"> evaluated using the Student’s </w:t>
      </w:r>
      <w:r w:rsidRPr="00CF2BB3">
        <w:rPr>
          <w:i/>
          <w:iCs w:val="0"/>
          <w:lang w:val="en-US"/>
        </w:rPr>
        <w:t>t</w:t>
      </w:r>
      <w:r w:rsidRPr="008F53D9">
        <w:rPr>
          <w:lang w:val="en-US"/>
        </w:rPr>
        <w:t xml:space="preserve">-test (*p&lt;0.05, **p&lt;0.01, and ***p&lt;0.001). </w:t>
      </w:r>
      <w:r w:rsidRPr="00EB56A0">
        <w:rPr>
          <w:lang w:val="en-US"/>
        </w:rPr>
        <w:t>O</w:t>
      </w:r>
      <w:r w:rsidRPr="008F53D9">
        <w:rPr>
          <w:lang w:val="en-US"/>
        </w:rPr>
        <w:t>ne-way ANOVA followed by a Fisher-LSD post hoc test (a-</w:t>
      </w:r>
      <w:r w:rsidRPr="00EB56A0">
        <w:rPr>
          <w:lang w:val="en-US"/>
        </w:rPr>
        <w:t>d</w:t>
      </w:r>
      <w:r w:rsidRPr="008F53D9">
        <w:rPr>
          <w:lang w:val="en-US"/>
        </w:rPr>
        <w:t>; p&lt;0.05)</w:t>
      </w:r>
      <w:r w:rsidRPr="00EB56A0">
        <w:rPr>
          <w:lang w:val="en-US"/>
        </w:rPr>
        <w:t xml:space="preserve"> was applied to determine statistically significant d</w:t>
      </w:r>
      <w:r w:rsidRPr="008F53D9">
        <w:rPr>
          <w:lang w:val="en-US"/>
        </w:rPr>
        <w:t>ifferences between concentrations of the same mycotoxi</w:t>
      </w:r>
      <w:r w:rsidRPr="00EB56A0">
        <w:rPr>
          <w:lang w:val="en-US"/>
        </w:rPr>
        <w:t>n</w:t>
      </w:r>
    </w:p>
    <w:p w14:paraId="76292AB4" w14:textId="6140B7A0" w:rsidR="008F53D9" w:rsidRPr="008F53D9" w:rsidRDefault="00034451" w:rsidP="00EB56A0">
      <w:pPr>
        <w:pStyle w:val="Didascalia"/>
        <w:jc w:val="center"/>
        <w:rPr>
          <w:rFonts w:cs="Calibri"/>
          <w:bCs/>
          <w:szCs w:val="20"/>
          <w:lang w:val="en-US"/>
        </w:rPr>
      </w:pPr>
      <w:r>
        <w:rPr>
          <w:rFonts w:cs="Calibri"/>
          <w:bCs/>
          <w:noProof/>
          <w:szCs w:val="20"/>
          <w:lang w:val="en-US"/>
        </w:rPr>
        <w:lastRenderedPageBreak/>
        <w:drawing>
          <wp:inline distT="0" distB="0" distL="0" distR="0" wp14:anchorId="0AD15ACE" wp14:editId="152686F1">
            <wp:extent cx="5029200" cy="7252206"/>
            <wp:effectExtent l="0" t="0" r="0" b="0"/>
            <wp:docPr id="9603370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337010" name="Picture 9603370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252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57A9B" w14:textId="66C8D44A" w:rsidR="00981199" w:rsidRPr="00EB56A0" w:rsidRDefault="00034451" w:rsidP="00621B94">
      <w:pPr>
        <w:rPr>
          <w:sz w:val="18"/>
          <w:szCs w:val="20"/>
          <w:lang w:val="en-US"/>
        </w:rPr>
      </w:pPr>
      <w:r w:rsidRPr="00034451">
        <w:rPr>
          <w:b/>
          <w:bCs/>
          <w:sz w:val="18"/>
          <w:szCs w:val="18"/>
          <w:lang w:val="en-US"/>
        </w:rPr>
        <w:t xml:space="preserve">Supplementary Fig. </w:t>
      </w:r>
      <w:bookmarkStart w:id="0" w:name="_Hlk209997565"/>
      <w:r w:rsidRPr="00034451">
        <w:rPr>
          <w:b/>
          <w:bCs/>
          <w:caps/>
          <w:noProof/>
          <w:sz w:val="18"/>
          <w:szCs w:val="18"/>
          <w:lang w:val="en-US"/>
        </w:rPr>
        <w:t xml:space="preserve">2 </w:t>
      </w:r>
      <w:r w:rsidR="00981199" w:rsidRPr="00034451">
        <w:rPr>
          <w:sz w:val="18"/>
          <w:szCs w:val="18"/>
          <w:lang w:val="en-US"/>
        </w:rPr>
        <w:t xml:space="preserve">Impact of </w:t>
      </w:r>
      <w:r w:rsidR="00621B94" w:rsidRPr="00034451">
        <w:rPr>
          <w:sz w:val="18"/>
          <w:szCs w:val="18"/>
          <w:lang w:val="en-US"/>
        </w:rPr>
        <w:t>the</w:t>
      </w:r>
      <w:r w:rsidR="00EB56A0" w:rsidRPr="00034451">
        <w:rPr>
          <w:sz w:val="18"/>
          <w:szCs w:val="18"/>
          <w:lang w:val="en-US"/>
        </w:rPr>
        <w:t xml:space="preserve"> seven</w:t>
      </w:r>
      <w:r w:rsidR="00981199" w:rsidRPr="00034451">
        <w:rPr>
          <w:sz w:val="18"/>
          <w:szCs w:val="18"/>
          <w:lang w:val="en-US"/>
        </w:rPr>
        <w:t xml:space="preserve"> </w:t>
      </w:r>
      <w:r w:rsidR="00981199" w:rsidRPr="00034451">
        <w:rPr>
          <w:i/>
          <w:iCs/>
          <w:sz w:val="18"/>
          <w:szCs w:val="18"/>
          <w:lang w:val="en-US"/>
        </w:rPr>
        <w:t>Alternaria</w:t>
      </w:r>
      <w:r w:rsidR="00981199" w:rsidRPr="00034451">
        <w:rPr>
          <w:sz w:val="18"/>
          <w:szCs w:val="18"/>
          <w:lang w:val="en-US"/>
        </w:rPr>
        <w:t xml:space="preserve"> mycotoxins</w:t>
      </w:r>
      <w:r w:rsidR="00621B94" w:rsidRPr="00034451">
        <w:rPr>
          <w:sz w:val="18"/>
          <w:szCs w:val="18"/>
          <w:lang w:val="en-US"/>
        </w:rPr>
        <w:t xml:space="preserve"> </w:t>
      </w:r>
      <w:r w:rsidRPr="00034451">
        <w:rPr>
          <w:sz w:val="18"/>
          <w:szCs w:val="18"/>
          <w:lang w:val="en-US"/>
        </w:rPr>
        <w:t xml:space="preserve">alternariol (AOH; </w:t>
      </w:r>
      <w:r w:rsidRPr="00034451">
        <w:rPr>
          <w:b/>
          <w:bCs/>
          <w:sz w:val="18"/>
          <w:szCs w:val="18"/>
          <w:lang w:val="en-US"/>
        </w:rPr>
        <w:t>a</w:t>
      </w:r>
      <w:r w:rsidRPr="00034451">
        <w:rPr>
          <w:sz w:val="18"/>
          <w:szCs w:val="18"/>
          <w:lang w:val="en-US"/>
        </w:rPr>
        <w:t xml:space="preserve">), alternariol monomethyl ether (AME; </w:t>
      </w:r>
      <w:r w:rsidRPr="00034451">
        <w:rPr>
          <w:b/>
          <w:bCs/>
          <w:sz w:val="18"/>
          <w:szCs w:val="18"/>
          <w:lang w:val="en-US"/>
        </w:rPr>
        <w:t>b</w:t>
      </w:r>
      <w:r w:rsidRPr="00034451">
        <w:rPr>
          <w:sz w:val="18"/>
          <w:szCs w:val="18"/>
          <w:lang w:val="en-US"/>
        </w:rPr>
        <w:t xml:space="preserve">), altenuene (ALT; </w:t>
      </w:r>
      <w:r w:rsidRPr="00034451">
        <w:rPr>
          <w:b/>
          <w:bCs/>
          <w:sz w:val="18"/>
          <w:szCs w:val="18"/>
          <w:lang w:val="en-US"/>
        </w:rPr>
        <w:t>c</w:t>
      </w:r>
      <w:r w:rsidRPr="00034451">
        <w:rPr>
          <w:sz w:val="18"/>
          <w:szCs w:val="18"/>
          <w:lang w:val="en-US"/>
        </w:rPr>
        <w:t xml:space="preserve">), alterperylenol (ALTP; </w:t>
      </w:r>
      <w:r w:rsidRPr="00034451">
        <w:rPr>
          <w:b/>
          <w:bCs/>
          <w:sz w:val="18"/>
          <w:szCs w:val="18"/>
          <w:lang w:val="en-US"/>
        </w:rPr>
        <w:t>d</w:t>
      </w:r>
      <w:r w:rsidRPr="00034451">
        <w:rPr>
          <w:sz w:val="18"/>
          <w:szCs w:val="18"/>
          <w:lang w:val="en-US"/>
        </w:rPr>
        <w:t xml:space="preserve">), altertoxin I (ATX-I; </w:t>
      </w:r>
      <w:r w:rsidRPr="00034451">
        <w:rPr>
          <w:b/>
          <w:bCs/>
          <w:sz w:val="18"/>
          <w:szCs w:val="18"/>
          <w:lang w:val="en-US"/>
        </w:rPr>
        <w:t>e</w:t>
      </w:r>
      <w:r w:rsidRPr="00034451">
        <w:rPr>
          <w:sz w:val="18"/>
          <w:szCs w:val="18"/>
          <w:lang w:val="en-US"/>
        </w:rPr>
        <w:t xml:space="preserve">), altersetin (AST; </w:t>
      </w:r>
      <w:r w:rsidRPr="00034451">
        <w:rPr>
          <w:b/>
          <w:bCs/>
          <w:sz w:val="18"/>
          <w:szCs w:val="18"/>
          <w:lang w:val="en-US"/>
        </w:rPr>
        <w:t>f</w:t>
      </w:r>
      <w:r w:rsidRPr="00034451">
        <w:rPr>
          <w:sz w:val="18"/>
          <w:szCs w:val="18"/>
          <w:lang w:val="en-US"/>
        </w:rPr>
        <w:t xml:space="preserve">), and tentoxin (TEN; </w:t>
      </w:r>
      <w:r w:rsidRPr="00034451">
        <w:rPr>
          <w:b/>
          <w:bCs/>
          <w:sz w:val="18"/>
          <w:szCs w:val="18"/>
          <w:lang w:val="en-US"/>
        </w:rPr>
        <w:t>g</w:t>
      </w:r>
      <w:r w:rsidRPr="00034451">
        <w:rPr>
          <w:sz w:val="18"/>
          <w:szCs w:val="18"/>
          <w:lang w:val="en-US"/>
        </w:rPr>
        <w:t>)</w:t>
      </w:r>
      <w:r w:rsidR="00621B94" w:rsidRPr="00034451">
        <w:rPr>
          <w:sz w:val="18"/>
          <w:szCs w:val="18"/>
          <w:lang w:val="en-US"/>
        </w:rPr>
        <w:t xml:space="preserve"> </w:t>
      </w:r>
      <w:r w:rsidR="00981199" w:rsidRPr="00034451">
        <w:rPr>
          <w:sz w:val="18"/>
          <w:szCs w:val="18"/>
          <w:lang w:val="en-US"/>
        </w:rPr>
        <w:t>on relative gene transcription levels of IL-6, IL-8, IL-10 and TNF-α in IL-1ß stimulated Caco-2 cells. Cells were pre-incubated with non-toxic concentrations of the respective mycotoxins or 1</w:t>
      </w:r>
      <w:r w:rsidR="00C577F4" w:rsidRPr="00034451">
        <w:rPr>
          <w:sz w:val="18"/>
          <w:szCs w:val="18"/>
          <w:lang w:val="en-US"/>
        </w:rPr>
        <w:t> </w:t>
      </w:r>
      <w:r w:rsidR="00981199" w:rsidRPr="00034451">
        <w:rPr>
          <w:sz w:val="18"/>
          <w:szCs w:val="18"/>
          <w:lang w:val="en-US"/>
        </w:rPr>
        <w:t>µM dexamethasone (Dexa</w:t>
      </w:r>
      <w:r w:rsidR="00621B94" w:rsidRPr="00034451">
        <w:rPr>
          <w:sz w:val="18"/>
          <w:szCs w:val="18"/>
          <w:lang w:val="en-US"/>
        </w:rPr>
        <w:t>; used</w:t>
      </w:r>
      <w:r w:rsidR="00981199" w:rsidRPr="00034451">
        <w:rPr>
          <w:sz w:val="18"/>
          <w:szCs w:val="18"/>
          <w:lang w:val="en-US"/>
        </w:rPr>
        <w:t xml:space="preserve"> as negative control</w:t>
      </w:r>
      <w:r w:rsidR="00621B94" w:rsidRPr="00034451">
        <w:rPr>
          <w:sz w:val="18"/>
          <w:szCs w:val="18"/>
          <w:lang w:val="en-US"/>
        </w:rPr>
        <w:t>)</w:t>
      </w:r>
      <w:r w:rsidR="00981199" w:rsidRPr="00034451">
        <w:rPr>
          <w:sz w:val="18"/>
          <w:szCs w:val="18"/>
          <w:lang w:val="en-US"/>
        </w:rPr>
        <w:t xml:space="preserve"> for 2 h, followed by stimulation</w:t>
      </w:r>
      <w:r w:rsidR="00981199" w:rsidRPr="00C577F4">
        <w:rPr>
          <w:sz w:val="18"/>
          <w:szCs w:val="20"/>
          <w:lang w:val="en-US"/>
        </w:rPr>
        <w:t xml:space="preserve"> with 25 ng/mL</w:t>
      </w:r>
      <w:r w:rsidR="00981199" w:rsidRPr="00EB56A0">
        <w:rPr>
          <w:sz w:val="18"/>
          <w:szCs w:val="20"/>
          <w:lang w:val="en-US"/>
        </w:rPr>
        <w:t xml:space="preserve"> </w:t>
      </w:r>
      <w:r w:rsidR="00981199" w:rsidRPr="00C577F4">
        <w:rPr>
          <w:sz w:val="18"/>
          <w:szCs w:val="20"/>
          <w:lang w:val="en-US"/>
        </w:rPr>
        <w:t>IL-1β for an additional 3 h. Gene expression changes are presented as mean</w:t>
      </w:r>
      <w:r w:rsidR="00C577F4">
        <w:rPr>
          <w:sz w:val="18"/>
          <w:szCs w:val="20"/>
          <w:lang w:val="en-US"/>
        </w:rPr>
        <w:t xml:space="preserve"> </w:t>
      </w:r>
      <w:r w:rsidR="00981199" w:rsidRPr="00C577F4">
        <w:rPr>
          <w:sz w:val="18"/>
          <w:szCs w:val="20"/>
          <w:lang w:val="en-US"/>
        </w:rPr>
        <w:t>+ SD of at least three biological replicates, calculated as relative gene transcription (2</w:t>
      </w:r>
      <w:r w:rsidR="00981199" w:rsidRPr="00C577F4">
        <w:rPr>
          <w:sz w:val="18"/>
          <w:szCs w:val="20"/>
          <w:vertAlign w:val="superscript"/>
          <w:lang w:val="en-US"/>
        </w:rPr>
        <w:t>−ΔΔCT</w:t>
      </w:r>
      <w:r w:rsidR="00981199" w:rsidRPr="00C577F4">
        <w:rPr>
          <w:sz w:val="18"/>
          <w:szCs w:val="20"/>
          <w:lang w:val="en-US"/>
        </w:rPr>
        <w:t>), normalized to GAPDH</w:t>
      </w:r>
      <w:r w:rsidR="00621B94">
        <w:rPr>
          <w:sz w:val="18"/>
          <w:szCs w:val="20"/>
          <w:lang w:val="en-US"/>
        </w:rPr>
        <w:t>,</w:t>
      </w:r>
      <w:r w:rsidR="00981199" w:rsidRPr="00C577F4">
        <w:rPr>
          <w:sz w:val="18"/>
          <w:szCs w:val="20"/>
          <w:lang w:val="en-US"/>
        </w:rPr>
        <w:t xml:space="preserve"> and compared to the positive control (25</w:t>
      </w:r>
      <w:r w:rsidR="00C577F4" w:rsidRPr="00C577F4">
        <w:rPr>
          <w:sz w:val="18"/>
          <w:szCs w:val="20"/>
          <w:lang w:val="en-US"/>
        </w:rPr>
        <w:t> </w:t>
      </w:r>
      <w:r w:rsidR="00981199" w:rsidRPr="00C577F4">
        <w:rPr>
          <w:sz w:val="18"/>
          <w:szCs w:val="20"/>
          <w:lang w:val="en-US"/>
        </w:rPr>
        <w:t>ng/ml IL-1ß). Statistical significance</w:t>
      </w:r>
      <w:r w:rsidR="00C577F4" w:rsidRPr="00C577F4">
        <w:rPr>
          <w:sz w:val="18"/>
          <w:szCs w:val="20"/>
          <w:lang w:val="en-US"/>
        </w:rPr>
        <w:t>s</w:t>
      </w:r>
      <w:r w:rsidR="00981199" w:rsidRPr="00EB56A0">
        <w:rPr>
          <w:sz w:val="18"/>
          <w:szCs w:val="20"/>
          <w:lang w:val="en-US"/>
        </w:rPr>
        <w:t xml:space="preserve"> </w:t>
      </w:r>
      <w:r w:rsidR="00981199" w:rsidRPr="00C577F4">
        <w:rPr>
          <w:sz w:val="18"/>
          <w:szCs w:val="20"/>
          <w:lang w:val="en-US"/>
        </w:rPr>
        <w:t xml:space="preserve">between mycotoxin-treated samples and the positive control </w:t>
      </w:r>
      <w:r w:rsidR="00C577F4" w:rsidRPr="00C577F4">
        <w:rPr>
          <w:sz w:val="18"/>
          <w:szCs w:val="20"/>
          <w:lang w:val="en-US"/>
        </w:rPr>
        <w:t xml:space="preserve">were </w:t>
      </w:r>
      <w:r w:rsidR="00981199" w:rsidRPr="00C577F4">
        <w:rPr>
          <w:sz w:val="18"/>
          <w:szCs w:val="20"/>
          <w:lang w:val="en-US"/>
        </w:rPr>
        <w:t xml:space="preserve">evaluated using the Student’s </w:t>
      </w:r>
      <w:r w:rsidR="00981199" w:rsidRPr="00C577F4">
        <w:rPr>
          <w:i/>
          <w:iCs/>
          <w:sz w:val="18"/>
          <w:szCs w:val="20"/>
          <w:lang w:val="en-US"/>
        </w:rPr>
        <w:t>t</w:t>
      </w:r>
      <w:r w:rsidR="00981199" w:rsidRPr="00C577F4">
        <w:rPr>
          <w:sz w:val="18"/>
          <w:szCs w:val="20"/>
          <w:lang w:val="en-US"/>
        </w:rPr>
        <w:t xml:space="preserve">-test (*p&lt;0.05, **p&lt;0.01, and ***p&lt;0.001). </w:t>
      </w:r>
      <w:r w:rsidR="00981199" w:rsidRPr="00EB56A0">
        <w:rPr>
          <w:sz w:val="18"/>
          <w:szCs w:val="20"/>
          <w:lang w:val="en-US"/>
        </w:rPr>
        <w:t>O</w:t>
      </w:r>
      <w:r w:rsidR="00981199" w:rsidRPr="00C577F4">
        <w:rPr>
          <w:sz w:val="18"/>
          <w:szCs w:val="20"/>
          <w:lang w:val="en-US"/>
        </w:rPr>
        <w:t>ne-way ANOVA followed by a Fisher-LSD post hoc test (a-</w:t>
      </w:r>
      <w:r w:rsidR="00981199" w:rsidRPr="00EB56A0">
        <w:rPr>
          <w:sz w:val="18"/>
          <w:szCs w:val="20"/>
          <w:lang w:val="en-US"/>
        </w:rPr>
        <w:t>d</w:t>
      </w:r>
      <w:r w:rsidR="00981199" w:rsidRPr="00C577F4">
        <w:rPr>
          <w:sz w:val="18"/>
          <w:szCs w:val="20"/>
          <w:lang w:val="en-US"/>
        </w:rPr>
        <w:t>; p&lt;0.05)</w:t>
      </w:r>
      <w:r w:rsidR="00981199" w:rsidRPr="00EB56A0">
        <w:rPr>
          <w:sz w:val="18"/>
          <w:szCs w:val="20"/>
          <w:lang w:val="en-US"/>
        </w:rPr>
        <w:t xml:space="preserve"> was applied to determine statistically significant d</w:t>
      </w:r>
      <w:r w:rsidR="00981199" w:rsidRPr="00C577F4">
        <w:rPr>
          <w:sz w:val="18"/>
          <w:szCs w:val="20"/>
          <w:lang w:val="en-US"/>
        </w:rPr>
        <w:t>ifferences between concentrations of the same mycotoxi</w:t>
      </w:r>
      <w:r w:rsidR="00981199" w:rsidRPr="00EB56A0">
        <w:rPr>
          <w:sz w:val="18"/>
          <w:szCs w:val="20"/>
          <w:lang w:val="en-US"/>
        </w:rPr>
        <w:t>n</w:t>
      </w:r>
    </w:p>
    <w:bookmarkEnd w:id="0"/>
    <w:p w14:paraId="009FC899" w14:textId="478432EE" w:rsidR="00C577F4" w:rsidRPr="00E81EDA" w:rsidRDefault="00034451" w:rsidP="00E81EDA">
      <w:pPr>
        <w:jc w:val="center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5A2BFE9" wp14:editId="4C8E963D">
            <wp:extent cx="5029200" cy="7238345"/>
            <wp:effectExtent l="0" t="0" r="0" b="0"/>
            <wp:docPr id="5779754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975447" name="Picture 57797544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23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2CBFA" w14:textId="770A62EE" w:rsidR="00981199" w:rsidRPr="00EB56A0" w:rsidRDefault="00034451" w:rsidP="00981199">
      <w:pPr>
        <w:pStyle w:val="Didascalia"/>
        <w:rPr>
          <w:lang w:val="en-US"/>
        </w:rPr>
      </w:pPr>
      <w:r w:rsidRPr="00034451">
        <w:rPr>
          <w:b/>
          <w:bCs/>
          <w:lang w:val="en-US"/>
        </w:rPr>
        <w:t xml:space="preserve">Supplementary Fig. </w:t>
      </w:r>
      <w:r>
        <w:rPr>
          <w:b/>
          <w:bCs/>
          <w:caps/>
          <w:noProof/>
          <w:lang w:val="en-US"/>
        </w:rPr>
        <w:t xml:space="preserve">3 </w:t>
      </w:r>
      <w:r w:rsidR="00EB56A0" w:rsidRPr="00EB56A0">
        <w:rPr>
          <w:szCs w:val="20"/>
          <w:lang w:val="en-US"/>
        </w:rPr>
        <w:t>Impact of the</w:t>
      </w:r>
      <w:r w:rsidR="00EB56A0">
        <w:rPr>
          <w:szCs w:val="20"/>
          <w:lang w:val="en-US"/>
        </w:rPr>
        <w:t xml:space="preserve"> seven</w:t>
      </w:r>
      <w:r w:rsidR="00EB56A0" w:rsidRPr="00EB56A0">
        <w:rPr>
          <w:szCs w:val="20"/>
          <w:lang w:val="en-US"/>
        </w:rPr>
        <w:t xml:space="preserve"> </w:t>
      </w:r>
      <w:r w:rsidR="00EB56A0" w:rsidRPr="00EB56A0">
        <w:rPr>
          <w:i/>
          <w:szCs w:val="20"/>
          <w:lang w:val="en-US"/>
        </w:rPr>
        <w:t>Alternaria</w:t>
      </w:r>
      <w:r w:rsidR="00EB56A0" w:rsidRPr="00EB56A0">
        <w:rPr>
          <w:szCs w:val="20"/>
          <w:lang w:val="en-US"/>
        </w:rPr>
        <w:t xml:space="preserve"> mycotoxins </w:t>
      </w:r>
      <w:r w:rsidRPr="00034451">
        <w:rPr>
          <w:lang w:val="en-US"/>
        </w:rPr>
        <w:t xml:space="preserve">alternariol (AOH; </w:t>
      </w:r>
      <w:r w:rsidRPr="00034451">
        <w:rPr>
          <w:b/>
          <w:bCs/>
          <w:lang w:val="en-US"/>
        </w:rPr>
        <w:t>a</w:t>
      </w:r>
      <w:r w:rsidRPr="00034451">
        <w:rPr>
          <w:lang w:val="en-US"/>
        </w:rPr>
        <w:t xml:space="preserve">), alternariol monomethyl ether (AME; </w:t>
      </w:r>
      <w:r w:rsidRPr="00034451">
        <w:rPr>
          <w:b/>
          <w:bCs/>
          <w:lang w:val="en-US"/>
        </w:rPr>
        <w:t>b</w:t>
      </w:r>
      <w:r w:rsidRPr="00034451">
        <w:rPr>
          <w:lang w:val="en-US"/>
        </w:rPr>
        <w:t xml:space="preserve">), altenuene (ALT; </w:t>
      </w:r>
      <w:r w:rsidRPr="00034451">
        <w:rPr>
          <w:b/>
          <w:bCs/>
          <w:lang w:val="en-US"/>
        </w:rPr>
        <w:t>c</w:t>
      </w:r>
      <w:r w:rsidRPr="00034451">
        <w:rPr>
          <w:lang w:val="en-US"/>
        </w:rPr>
        <w:t xml:space="preserve">), alterperylenol (ALTP; </w:t>
      </w:r>
      <w:r w:rsidRPr="00034451">
        <w:rPr>
          <w:b/>
          <w:bCs/>
          <w:lang w:val="en-US"/>
        </w:rPr>
        <w:t>d</w:t>
      </w:r>
      <w:r w:rsidRPr="00034451">
        <w:rPr>
          <w:lang w:val="en-US"/>
        </w:rPr>
        <w:t xml:space="preserve">), altertoxin I (ATX-I; </w:t>
      </w:r>
      <w:r w:rsidRPr="00034451">
        <w:rPr>
          <w:b/>
          <w:bCs/>
          <w:lang w:val="en-US"/>
        </w:rPr>
        <w:t>e</w:t>
      </w:r>
      <w:r w:rsidRPr="00034451">
        <w:rPr>
          <w:lang w:val="en-US"/>
        </w:rPr>
        <w:t xml:space="preserve">), altersetin (AST; </w:t>
      </w:r>
      <w:r w:rsidRPr="00034451">
        <w:rPr>
          <w:b/>
          <w:bCs/>
          <w:lang w:val="en-US"/>
        </w:rPr>
        <w:t>f</w:t>
      </w:r>
      <w:r w:rsidRPr="00034451">
        <w:rPr>
          <w:lang w:val="en-US"/>
        </w:rPr>
        <w:t xml:space="preserve">), and tentoxin (TEN; </w:t>
      </w:r>
      <w:r w:rsidRPr="00034451">
        <w:rPr>
          <w:b/>
          <w:bCs/>
          <w:lang w:val="en-US"/>
        </w:rPr>
        <w:t>g</w:t>
      </w:r>
      <w:r w:rsidRPr="00034451">
        <w:rPr>
          <w:lang w:val="en-US"/>
        </w:rPr>
        <w:t>)</w:t>
      </w:r>
      <w:r>
        <w:rPr>
          <w:lang w:val="en-US"/>
        </w:rPr>
        <w:t xml:space="preserve"> </w:t>
      </w:r>
      <w:r w:rsidR="00EA0C51" w:rsidRPr="00EB56A0">
        <w:rPr>
          <w:lang w:val="en-US"/>
        </w:rPr>
        <w:t>on relative gene transcription levels of IL-6, IL-8, IL-10 and TNF-</w:t>
      </w:r>
      <w:r w:rsidR="00EA0C51" w:rsidRPr="00EA0C51">
        <w:t>α</w:t>
      </w:r>
      <w:r w:rsidR="00EA0C51" w:rsidRPr="00EB56A0">
        <w:rPr>
          <w:lang w:val="en-US"/>
        </w:rPr>
        <w:t xml:space="preserve"> in IL-1ß stimulated HC</w:t>
      </w:r>
      <w:r w:rsidR="00EA0C51">
        <w:rPr>
          <w:lang w:val="en-US"/>
        </w:rPr>
        <w:t>EC-1CT</w:t>
      </w:r>
      <w:r w:rsidR="00EA0C51" w:rsidRPr="00EB56A0">
        <w:rPr>
          <w:lang w:val="en-US"/>
        </w:rPr>
        <w:t xml:space="preserve"> cells. Cells were pre-incubated with non-toxic concentrations of the respective mycotoxins or 1 µM dexamethasone (Dexa; used as negative control) for 2 h, followed by stimulation with 25 ng/mL IL-1</w:t>
      </w:r>
      <w:r w:rsidR="00EA0C51" w:rsidRPr="00EA0C51">
        <w:t>β</w:t>
      </w:r>
      <w:r w:rsidR="00EA0C51" w:rsidRPr="00EB56A0">
        <w:rPr>
          <w:lang w:val="en-US"/>
        </w:rPr>
        <w:t xml:space="preserve"> for an additional 3 h. Gene expression changes are presented as mean + SD of at least three biological replicates, calculated as relative gene transcription (2</w:t>
      </w:r>
      <w:r w:rsidR="00EA0C51" w:rsidRPr="00EB56A0">
        <w:rPr>
          <w:vertAlign w:val="superscript"/>
          <w:lang w:val="en-US"/>
        </w:rPr>
        <w:t>−</w:t>
      </w:r>
      <w:r w:rsidR="00EA0C51" w:rsidRPr="00EB56A0">
        <w:rPr>
          <w:vertAlign w:val="superscript"/>
        </w:rPr>
        <w:t>ΔΔ</w:t>
      </w:r>
      <w:r w:rsidR="00EA0C51" w:rsidRPr="00EB56A0">
        <w:rPr>
          <w:vertAlign w:val="superscript"/>
          <w:lang w:val="en-US"/>
        </w:rPr>
        <w:t>CT</w:t>
      </w:r>
      <w:r w:rsidR="00EA0C51" w:rsidRPr="00EB56A0">
        <w:rPr>
          <w:lang w:val="en-US"/>
        </w:rPr>
        <w:t xml:space="preserve">), normalized to GAPDH, and compared to the positive control (25 ng/ml IL-1ß). Statistical significances between mycotoxin-treated samples and the positive control were evaluated using the Student’s </w:t>
      </w:r>
      <w:r w:rsidR="00EA0C51" w:rsidRPr="00EB56A0">
        <w:rPr>
          <w:i/>
          <w:lang w:val="en-US"/>
        </w:rPr>
        <w:t>t</w:t>
      </w:r>
      <w:r w:rsidR="00EA0C51" w:rsidRPr="00EB56A0">
        <w:rPr>
          <w:lang w:val="en-US"/>
        </w:rPr>
        <w:t>-test (*p&lt;0.05, **p&lt;0.01, and ***p&lt;0.001). One-way ANOVA followed by a Fisher-LSD post hoc test (a-d; p&lt;0.05) was applied to determine statistically significant differences between concentrations of the same mycotoxin</w:t>
      </w:r>
    </w:p>
    <w:sectPr w:rsidR="00981199" w:rsidRPr="00EB56A0" w:rsidSect="001E41F9">
      <w:footerReference w:type="default" r:id="rId11"/>
      <w:pgSz w:w="11906" w:h="16838"/>
      <w:pgMar w:top="1417" w:right="1417" w:bottom="1134" w:left="1417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70191" w14:textId="77777777" w:rsidR="00350458" w:rsidRDefault="00350458">
      <w:pPr>
        <w:spacing w:after="0" w:line="240" w:lineRule="auto"/>
      </w:pPr>
      <w:r>
        <w:separator/>
      </w:r>
    </w:p>
  </w:endnote>
  <w:endnote w:type="continuationSeparator" w:id="0">
    <w:p w14:paraId="411ADBF7" w14:textId="77777777" w:rsidR="00350458" w:rsidRDefault="00350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3872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31A562" w14:textId="2BA0F949" w:rsidR="002A4D08" w:rsidRDefault="002A4D08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C8660A" w14:textId="77777777" w:rsidR="002A4D08" w:rsidRDefault="002A4D0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27AC7" w14:textId="77777777" w:rsidR="00350458" w:rsidRDefault="0035045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C68DC1B" w14:textId="77777777" w:rsidR="00350458" w:rsidRDefault="003504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763FC"/>
    <w:multiLevelType w:val="multilevel"/>
    <w:tmpl w:val="EB6AF9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396C2B9E"/>
    <w:multiLevelType w:val="multilevel"/>
    <w:tmpl w:val="03C4D0F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 w16cid:durableId="1741168737">
    <w:abstractNumId w:val="0"/>
  </w:num>
  <w:num w:numId="2" w16cid:durableId="1035277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C38"/>
    <w:rsid w:val="0002628C"/>
    <w:rsid w:val="00034451"/>
    <w:rsid w:val="000B4570"/>
    <w:rsid w:val="0012175C"/>
    <w:rsid w:val="001E41F9"/>
    <w:rsid w:val="00241C38"/>
    <w:rsid w:val="0028182B"/>
    <w:rsid w:val="002A4D08"/>
    <w:rsid w:val="002A687B"/>
    <w:rsid w:val="00350458"/>
    <w:rsid w:val="00401D22"/>
    <w:rsid w:val="00403C0E"/>
    <w:rsid w:val="0056443D"/>
    <w:rsid w:val="005C49A7"/>
    <w:rsid w:val="00621B94"/>
    <w:rsid w:val="006329AE"/>
    <w:rsid w:val="008A33A0"/>
    <w:rsid w:val="008F53D9"/>
    <w:rsid w:val="00981199"/>
    <w:rsid w:val="009824A7"/>
    <w:rsid w:val="00B37CF3"/>
    <w:rsid w:val="00BE388A"/>
    <w:rsid w:val="00C10A1D"/>
    <w:rsid w:val="00C36726"/>
    <w:rsid w:val="00C577F4"/>
    <w:rsid w:val="00C9645E"/>
    <w:rsid w:val="00CF2BB3"/>
    <w:rsid w:val="00D60F3F"/>
    <w:rsid w:val="00E02CBF"/>
    <w:rsid w:val="00E51671"/>
    <w:rsid w:val="00E6178E"/>
    <w:rsid w:val="00E81EDA"/>
    <w:rsid w:val="00EA0C51"/>
    <w:rsid w:val="00EB56A0"/>
    <w:rsid w:val="00F771F9"/>
    <w:rsid w:val="00F9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B964BA"/>
  <w15:docId w15:val="{393F0C1F-026A-4158-97C2-A1982858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de-DE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jc w:val="both"/>
    </w:pPr>
    <w:rPr>
      <w:rFonts w:ascii="Calibri" w:hAnsi="Calibri"/>
      <w:sz w:val="20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itolo7">
    <w:name w:val="heading 7"/>
    <w:basedOn w:val="Normale"/>
    <w:next w:val="Normal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itolo8">
    <w:name w:val="heading 8"/>
    <w:basedOn w:val="Normale"/>
    <w:next w:val="Normal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itolo9">
    <w:name w:val="heading 9"/>
    <w:basedOn w:val="Normale"/>
    <w:next w:val="Normal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basedOn w:val="Carpredefinitoparagrafo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Carpredefinitoparagrafo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Carpredefinitoparagrafo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Carpredefinitoparagrafo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Carpredefinitoparagrafo"/>
    <w:rPr>
      <w:rFonts w:eastAsia="Times New Roman" w:cs="Times New Roman"/>
      <w:color w:val="0F4761"/>
    </w:rPr>
  </w:style>
  <w:style w:type="character" w:customStyle="1" w:styleId="Heading6Char">
    <w:name w:val="Heading 6 Char"/>
    <w:basedOn w:val="Carpredefinitoparagrafo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Carpredefinitoparagrafo"/>
    <w:rPr>
      <w:rFonts w:eastAsia="Times New Roman" w:cs="Times New Roman"/>
      <w:color w:val="595959"/>
    </w:rPr>
  </w:style>
  <w:style w:type="character" w:customStyle="1" w:styleId="Heading8Char">
    <w:name w:val="Heading 8 Char"/>
    <w:basedOn w:val="Carpredefinitoparagrafo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Carpredefinitoparagrafo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Carpredefinitoparagrafo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Carpredefinitoparagrafo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Carpredefinitoparagrafo"/>
    <w:rPr>
      <w:i/>
      <w:iCs/>
      <w:color w:val="404040"/>
    </w:rPr>
  </w:style>
  <w:style w:type="paragraph" w:styleId="Paragrafoelenco">
    <w:name w:val="List Paragraph"/>
    <w:basedOn w:val="Normale"/>
    <w:pPr>
      <w:ind w:left="720"/>
      <w:contextualSpacing/>
    </w:pPr>
  </w:style>
  <w:style w:type="character" w:styleId="Enfasiintensa">
    <w:name w:val="Intense Emphasis"/>
    <w:basedOn w:val="Carpredefinitoparagrafo"/>
    <w:rPr>
      <w:i/>
      <w:iCs/>
      <w:color w:val="0F4761"/>
    </w:rPr>
  </w:style>
  <w:style w:type="paragraph" w:styleId="Citazioneintensa">
    <w:name w:val="Intense Quote"/>
    <w:basedOn w:val="Normale"/>
    <w:next w:val="Normal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Carpredefinitoparagrafo"/>
    <w:rPr>
      <w:i/>
      <w:iCs/>
      <w:color w:val="0F4761"/>
    </w:rPr>
  </w:style>
  <w:style w:type="character" w:styleId="Riferimentointenso">
    <w:name w:val="Intense Reference"/>
    <w:basedOn w:val="Carpredefinitoparagrafo"/>
    <w:rPr>
      <w:b/>
      <w:bCs/>
      <w:smallCaps/>
      <w:color w:val="0F4761"/>
      <w:spacing w:val="5"/>
    </w:rPr>
  </w:style>
  <w:style w:type="paragraph" w:styleId="NormaleWeb">
    <w:name w:val="Normal (Web)"/>
    <w:basedOn w:val="Normale"/>
    <w:uiPriority w:val="99"/>
    <w:pPr>
      <w:suppressAutoHyphens w:val="0"/>
      <w:spacing w:before="100" w:after="100" w:line="240" w:lineRule="auto"/>
      <w:jc w:val="left"/>
    </w:pPr>
    <w:rPr>
      <w:rFonts w:ascii="Times New Roman" w:eastAsia="Times New Roman" w:hAnsi="Times New Roman"/>
      <w:kern w:val="0"/>
      <w:sz w:val="24"/>
      <w:szCs w:val="24"/>
    </w:rPr>
  </w:style>
  <w:style w:type="character" w:styleId="Collegamentoipertestuale">
    <w:name w:val="Hyperlink"/>
    <w:basedOn w:val="Carpredefinitoparagrafo"/>
    <w:rPr>
      <w:color w:val="467886"/>
      <w:u w:val="single"/>
    </w:rPr>
  </w:style>
  <w:style w:type="character" w:styleId="Menzionenonrisolta">
    <w:name w:val="Unresolved Mention"/>
    <w:basedOn w:val="Carpredefinitoparagrafo"/>
    <w:rPr>
      <w:color w:val="605E5C"/>
      <w:shd w:val="clear" w:color="auto" w:fill="E1DFDD"/>
    </w:rPr>
  </w:style>
  <w:style w:type="character" w:customStyle="1" w:styleId="smallcaps">
    <w:name w:val="smallcaps"/>
    <w:basedOn w:val="Carpredefinitoparagrafo"/>
  </w:style>
  <w:style w:type="paragraph" w:styleId="Didascalia">
    <w:name w:val="caption"/>
    <w:basedOn w:val="Normale"/>
    <w:next w:val="Normale"/>
    <w:uiPriority w:val="35"/>
    <w:unhideWhenUsed/>
    <w:qFormat/>
    <w:rsid w:val="00CF2BB3"/>
    <w:pPr>
      <w:spacing w:after="200" w:line="240" w:lineRule="auto"/>
    </w:pPr>
    <w:rPr>
      <w:iCs/>
      <w:color w:val="0D0D0D" w:themeColor="text1" w:themeTint="F2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2A4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4D08"/>
    <w:rPr>
      <w:rFonts w:ascii="Calibri" w:hAnsi="Calibri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2A4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4D08"/>
    <w:rPr>
      <w:rFonts w:ascii="Calibri" w:hAnsi="Calibri"/>
      <w:sz w:val="20"/>
    </w:rPr>
  </w:style>
  <w:style w:type="character" w:styleId="Numeroriga">
    <w:name w:val="line number"/>
    <w:basedOn w:val="Carpredefinitoparagrafo"/>
    <w:uiPriority w:val="99"/>
    <w:semiHidden/>
    <w:unhideWhenUsed/>
    <w:rsid w:val="002A4D08"/>
  </w:style>
  <w:style w:type="paragraph" w:styleId="Revisione">
    <w:name w:val="Revision"/>
    <w:hidden/>
    <w:uiPriority w:val="99"/>
    <w:semiHidden/>
    <w:rsid w:val="00621B94"/>
    <w:pPr>
      <w:autoSpaceDN/>
      <w:spacing w:after="0" w:line="240" w:lineRule="auto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C0DB5-3AD0-4947-A80B-2F51B8EF3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588</Words>
  <Characters>3353</Characters>
  <Application>Microsoft Office Word</Application>
  <DocSecurity>0</DocSecurity>
  <Lines>27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Universitaet Wien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Partsch</dc:creator>
  <dc:description/>
  <cp:lastModifiedBy>Francesco Crudo</cp:lastModifiedBy>
  <cp:revision>5</cp:revision>
  <dcterms:created xsi:type="dcterms:W3CDTF">2025-11-26T13:50:00Z</dcterms:created>
  <dcterms:modified xsi:type="dcterms:W3CDTF">2025-12-06T11:01:00Z</dcterms:modified>
</cp:coreProperties>
</file>