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5037" w:rsidRPr="00AE0E00" w:rsidRDefault="003D5037" w:rsidP="003D5037">
      <w:pPr>
        <w:pStyle w:val="Heading1"/>
      </w:pPr>
      <w:bookmarkStart w:id="0" w:name="_GoBack"/>
      <w:bookmarkEnd w:id="0"/>
      <w:r w:rsidRPr="00AE0E00">
        <w:t>Supplementary Material</w:t>
      </w:r>
    </w:p>
    <w:p w:rsidR="003D5037" w:rsidRDefault="003D5037" w:rsidP="003D5037"/>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3D5037" w:rsidTr="00525160">
        <w:tc>
          <w:tcPr>
            <w:tcW w:w="9062" w:type="dxa"/>
          </w:tcPr>
          <w:p w:rsidR="003D5037" w:rsidRDefault="003D5037" w:rsidP="00525160">
            <w:pPr>
              <w:jc w:val="center"/>
            </w:pPr>
            <w:r>
              <w:rPr>
                <w:noProof/>
                <w:lang w:val="en-IN" w:eastAsia="en-IN"/>
              </w:rPr>
              <w:drawing>
                <wp:inline distT="0" distB="0" distL="0" distR="0" wp14:anchorId="0224F9AC" wp14:editId="5F8ADB41">
                  <wp:extent cx="5265420" cy="6848532"/>
                  <wp:effectExtent l="0" t="0" r="0" b="9525"/>
                  <wp:docPr id="160632346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267268" cy="6850936"/>
                          </a:xfrm>
                          <a:prstGeom prst="rect">
                            <a:avLst/>
                          </a:prstGeom>
                          <a:noFill/>
                          <a:ln>
                            <a:noFill/>
                          </a:ln>
                        </pic:spPr>
                      </pic:pic>
                    </a:graphicData>
                  </a:graphic>
                </wp:inline>
              </w:drawing>
            </w:r>
          </w:p>
        </w:tc>
      </w:tr>
      <w:tr w:rsidR="003D5037" w:rsidTr="00525160">
        <w:trPr>
          <w:trHeight w:val="1608"/>
        </w:trPr>
        <w:tc>
          <w:tcPr>
            <w:tcW w:w="9062" w:type="dxa"/>
          </w:tcPr>
          <w:p w:rsidR="003D5037" w:rsidRDefault="003D5037" w:rsidP="00525160">
            <w:pPr>
              <w:jc w:val="both"/>
            </w:pPr>
            <w:r w:rsidRPr="0009020F">
              <w:rPr>
                <w:b/>
                <w:bCs/>
                <w:sz w:val="20"/>
                <w:szCs w:val="20"/>
              </w:rPr>
              <w:t xml:space="preserve">Supplementary Fig. 1 Comparison of systemic PK prediction performances for different vapour pressure, melting and boiling point prediction sources. </w:t>
            </w:r>
            <w:r w:rsidRPr="0009020F">
              <w:rPr>
                <w:sz w:val="20"/>
                <w:szCs w:val="20"/>
              </w:rPr>
              <w:t xml:space="preserve">Dermal absorption simulations of all parameterisation sources were examined against the collected </w:t>
            </w:r>
            <w:r w:rsidRPr="0009020F">
              <w:rPr>
                <w:i/>
                <w:iCs/>
                <w:sz w:val="20"/>
                <w:szCs w:val="20"/>
              </w:rPr>
              <w:t>in vivo</w:t>
            </w:r>
            <w:r w:rsidRPr="0009020F">
              <w:rPr>
                <w:sz w:val="20"/>
                <w:szCs w:val="20"/>
              </w:rPr>
              <w:t xml:space="preserve"> dermal PK dataset. Solubility values were taken from SimPlus LogS. The first columns show Mean Absolute Log2 Cmax Errors (A, C, E) for different lipophilicity prediction sources. The second column shows Me</w:t>
            </w:r>
            <w:r>
              <w:rPr>
                <w:sz w:val="20"/>
                <w:szCs w:val="20"/>
              </w:rPr>
              <w:t>di</w:t>
            </w:r>
            <w:r w:rsidRPr="0009020F">
              <w:rPr>
                <w:sz w:val="20"/>
                <w:szCs w:val="20"/>
              </w:rPr>
              <w:t xml:space="preserve">an </w:t>
            </w:r>
            <w:r>
              <w:rPr>
                <w:sz w:val="20"/>
                <w:szCs w:val="20"/>
              </w:rPr>
              <w:t>Relative</w:t>
            </w:r>
            <w:r w:rsidRPr="0009020F">
              <w:rPr>
                <w:sz w:val="20"/>
                <w:szCs w:val="20"/>
              </w:rPr>
              <w:t xml:space="preserve"> Log2 </w:t>
            </w:r>
            <w:r>
              <w:rPr>
                <w:sz w:val="20"/>
                <w:szCs w:val="20"/>
              </w:rPr>
              <w:t>Cmax</w:t>
            </w:r>
            <w:r w:rsidRPr="0009020F">
              <w:rPr>
                <w:sz w:val="20"/>
                <w:szCs w:val="20"/>
              </w:rPr>
              <w:t xml:space="preserve"> Errors (B, D, F)</w:t>
            </w:r>
            <w:r w:rsidRPr="0009020F">
              <w:rPr>
                <w:b/>
                <w:bCs/>
                <w:sz w:val="20"/>
                <w:szCs w:val="20"/>
              </w:rPr>
              <w:t xml:space="preserve">. </w:t>
            </w:r>
            <w:r w:rsidRPr="0009020F">
              <w:rPr>
                <w:sz w:val="20"/>
                <w:szCs w:val="20"/>
              </w:rPr>
              <w:t>VP stands for vapour pressure, MP is melting point, BP is boiling point.</w:t>
            </w:r>
          </w:p>
        </w:tc>
      </w:tr>
    </w:tbl>
    <w:p w:rsidR="003D5037" w:rsidRDefault="003D5037" w:rsidP="003D5037">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3D5037" w:rsidTr="00525160">
        <w:tc>
          <w:tcPr>
            <w:tcW w:w="9072" w:type="dxa"/>
          </w:tcPr>
          <w:p w:rsidR="003D5037" w:rsidRDefault="003D5037" w:rsidP="00525160">
            <w:pPr>
              <w:jc w:val="center"/>
            </w:pPr>
            <w:r>
              <w:rPr>
                <w:noProof/>
                <w:lang w:val="en-IN" w:eastAsia="en-IN"/>
              </w:rPr>
              <w:lastRenderedPageBreak/>
              <w:drawing>
                <wp:inline distT="0" distB="0" distL="0" distR="0" wp14:anchorId="6D0A270D" wp14:editId="398917C8">
                  <wp:extent cx="5634119" cy="6134100"/>
                  <wp:effectExtent l="0" t="0" r="5080" b="0"/>
                  <wp:docPr id="207304392"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36403" cy="6136587"/>
                          </a:xfrm>
                          <a:prstGeom prst="rect">
                            <a:avLst/>
                          </a:prstGeom>
                          <a:noFill/>
                          <a:ln>
                            <a:noFill/>
                          </a:ln>
                        </pic:spPr>
                      </pic:pic>
                    </a:graphicData>
                  </a:graphic>
                </wp:inline>
              </w:drawing>
            </w:r>
          </w:p>
        </w:tc>
      </w:tr>
      <w:tr w:rsidR="003D5037" w:rsidTr="00525160">
        <w:tc>
          <w:tcPr>
            <w:tcW w:w="9072" w:type="dxa"/>
          </w:tcPr>
          <w:p w:rsidR="003D5037" w:rsidRPr="00613B70" w:rsidRDefault="003D5037" w:rsidP="00525160">
            <w:pPr>
              <w:jc w:val="both"/>
              <w:rPr>
                <w:sz w:val="20"/>
                <w:szCs w:val="20"/>
              </w:rPr>
            </w:pPr>
            <w:r w:rsidRPr="00C36ACF">
              <w:rPr>
                <w:b/>
                <w:bCs/>
                <w:sz w:val="20"/>
                <w:szCs w:val="20"/>
              </w:rPr>
              <w:t>Supplementary Fig</w:t>
            </w:r>
            <w:r>
              <w:rPr>
                <w:b/>
                <w:bCs/>
                <w:sz w:val="20"/>
                <w:szCs w:val="20"/>
              </w:rPr>
              <w:t>.</w:t>
            </w:r>
            <w:r w:rsidRPr="00C36ACF">
              <w:rPr>
                <w:b/>
                <w:bCs/>
                <w:sz w:val="20"/>
                <w:szCs w:val="20"/>
              </w:rPr>
              <w:t xml:space="preserve"> </w:t>
            </w:r>
            <w:r>
              <w:rPr>
                <w:b/>
                <w:bCs/>
                <w:sz w:val="20"/>
                <w:szCs w:val="20"/>
              </w:rPr>
              <w:t>2</w:t>
            </w:r>
            <w:r w:rsidRPr="00C36ACF">
              <w:rPr>
                <w:b/>
                <w:bCs/>
                <w:sz w:val="20"/>
                <w:szCs w:val="20"/>
              </w:rPr>
              <w:t xml:space="preserve"> Correlation of </w:t>
            </w:r>
            <w:r>
              <w:rPr>
                <w:b/>
                <w:bCs/>
                <w:sz w:val="20"/>
                <w:szCs w:val="20"/>
              </w:rPr>
              <w:t xml:space="preserve">PK prediction errors of </w:t>
            </w:r>
            <w:r w:rsidRPr="00C36ACF">
              <w:rPr>
                <w:b/>
                <w:bCs/>
                <w:sz w:val="20"/>
                <w:szCs w:val="20"/>
              </w:rPr>
              <w:t xml:space="preserve">the best </w:t>
            </w:r>
            <w:r w:rsidRPr="00117BCA">
              <w:rPr>
                <w:b/>
                <w:bCs/>
                <w:sz w:val="20"/>
                <w:szCs w:val="20"/>
              </w:rPr>
              <w:t>dermal</w:t>
            </w:r>
            <w:r w:rsidRPr="00C36ACF">
              <w:rPr>
                <w:b/>
                <w:bCs/>
                <w:sz w:val="20"/>
                <w:szCs w:val="20"/>
              </w:rPr>
              <w:t xml:space="preserve"> HT-PBK strategy</w:t>
            </w:r>
            <w:r>
              <w:rPr>
                <w:b/>
                <w:bCs/>
                <w:sz w:val="20"/>
                <w:szCs w:val="20"/>
              </w:rPr>
              <w:t xml:space="preserve"> with additional compound properties</w:t>
            </w:r>
            <w:r w:rsidRPr="00C36ACF">
              <w:rPr>
                <w:b/>
                <w:bCs/>
                <w:sz w:val="20"/>
                <w:szCs w:val="20"/>
              </w:rPr>
              <w:t xml:space="preserve">. </w:t>
            </w:r>
            <w:r w:rsidRPr="00613B70">
              <w:rPr>
                <w:sz w:val="20"/>
                <w:szCs w:val="20"/>
              </w:rPr>
              <w:t>The predicted compound parameters are compared against the Relative Log2 Cmax and AUC error</w:t>
            </w:r>
            <w:r>
              <w:rPr>
                <w:sz w:val="20"/>
                <w:szCs w:val="20"/>
              </w:rPr>
              <w:t>s.</w:t>
            </w:r>
          </w:p>
        </w:tc>
      </w:tr>
    </w:tbl>
    <w:p w:rsidR="003D5037" w:rsidRDefault="003D5037" w:rsidP="003D5037"/>
    <w:p w:rsidR="003D5037" w:rsidRDefault="003D5037" w:rsidP="003D5037">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3D5037" w:rsidTr="00525160">
        <w:tc>
          <w:tcPr>
            <w:tcW w:w="9062" w:type="dxa"/>
          </w:tcPr>
          <w:p w:rsidR="003D5037" w:rsidRDefault="003D5037" w:rsidP="00525160">
            <w:pPr>
              <w:jc w:val="center"/>
            </w:pPr>
            <w:r>
              <w:rPr>
                <w:noProof/>
                <w:lang w:val="en-IN" w:eastAsia="en-IN"/>
              </w:rPr>
              <w:lastRenderedPageBreak/>
              <w:drawing>
                <wp:inline distT="0" distB="0" distL="0" distR="0" wp14:anchorId="5B622973" wp14:editId="5FDCF9CA">
                  <wp:extent cx="5493327" cy="3708677"/>
                  <wp:effectExtent l="0" t="0" r="0" b="6350"/>
                  <wp:docPr id="1051376002"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495896" cy="3710412"/>
                          </a:xfrm>
                          <a:prstGeom prst="rect">
                            <a:avLst/>
                          </a:prstGeom>
                          <a:noFill/>
                          <a:ln>
                            <a:noFill/>
                          </a:ln>
                        </pic:spPr>
                      </pic:pic>
                    </a:graphicData>
                  </a:graphic>
                </wp:inline>
              </w:drawing>
            </w:r>
          </w:p>
        </w:tc>
      </w:tr>
      <w:tr w:rsidR="003D5037" w:rsidTr="00525160">
        <w:tc>
          <w:tcPr>
            <w:tcW w:w="9062" w:type="dxa"/>
          </w:tcPr>
          <w:p w:rsidR="003D5037" w:rsidRPr="003E0D13" w:rsidRDefault="003D5037" w:rsidP="00525160">
            <w:pPr>
              <w:jc w:val="both"/>
              <w:rPr>
                <w:sz w:val="20"/>
                <w:szCs w:val="20"/>
              </w:rPr>
            </w:pPr>
            <w:r w:rsidRPr="003E0D13">
              <w:rPr>
                <w:b/>
                <w:bCs/>
                <w:sz w:val="20"/>
                <w:szCs w:val="20"/>
              </w:rPr>
              <w:t>Supplementary Fig</w:t>
            </w:r>
            <w:r>
              <w:rPr>
                <w:b/>
                <w:bCs/>
                <w:sz w:val="20"/>
                <w:szCs w:val="20"/>
              </w:rPr>
              <w:t>.</w:t>
            </w:r>
            <w:r w:rsidRPr="003E0D13">
              <w:rPr>
                <w:b/>
                <w:bCs/>
                <w:sz w:val="20"/>
                <w:szCs w:val="20"/>
              </w:rPr>
              <w:t xml:space="preserve"> </w:t>
            </w:r>
            <w:r>
              <w:rPr>
                <w:b/>
                <w:bCs/>
                <w:sz w:val="20"/>
                <w:szCs w:val="20"/>
              </w:rPr>
              <w:t>3</w:t>
            </w:r>
            <w:r w:rsidRPr="003E0D13">
              <w:rPr>
                <w:b/>
                <w:bCs/>
                <w:sz w:val="20"/>
                <w:szCs w:val="20"/>
              </w:rPr>
              <w:t xml:space="preserve"> </w:t>
            </w:r>
            <w:r>
              <w:rPr>
                <w:b/>
                <w:bCs/>
                <w:sz w:val="20"/>
                <w:szCs w:val="20"/>
              </w:rPr>
              <w:t>The effect</w:t>
            </w:r>
            <w:r w:rsidRPr="003E0D13">
              <w:rPr>
                <w:b/>
                <w:bCs/>
                <w:sz w:val="20"/>
                <w:szCs w:val="20"/>
              </w:rPr>
              <w:t xml:space="preserve"> of</w:t>
            </w:r>
            <w:r>
              <w:rPr>
                <w:b/>
                <w:bCs/>
                <w:sz w:val="20"/>
                <w:szCs w:val="20"/>
              </w:rPr>
              <w:t xml:space="preserve"> unspecified</w:t>
            </w:r>
            <w:r w:rsidRPr="003E0D13">
              <w:rPr>
                <w:b/>
                <w:bCs/>
                <w:sz w:val="20"/>
                <w:szCs w:val="20"/>
              </w:rPr>
              <w:t xml:space="preserve"> </w:t>
            </w:r>
            <w:r>
              <w:rPr>
                <w:b/>
                <w:bCs/>
                <w:sz w:val="20"/>
                <w:szCs w:val="20"/>
              </w:rPr>
              <w:t xml:space="preserve">skin </w:t>
            </w:r>
            <w:r w:rsidRPr="003E0D13">
              <w:rPr>
                <w:b/>
                <w:bCs/>
                <w:sz w:val="20"/>
                <w:szCs w:val="20"/>
              </w:rPr>
              <w:t>hydrat</w:t>
            </w:r>
            <w:r>
              <w:rPr>
                <w:b/>
                <w:bCs/>
                <w:sz w:val="20"/>
                <w:szCs w:val="20"/>
              </w:rPr>
              <w:t>ion</w:t>
            </w:r>
            <w:r w:rsidRPr="003E0D13">
              <w:rPr>
                <w:b/>
                <w:bCs/>
                <w:sz w:val="20"/>
                <w:szCs w:val="20"/>
              </w:rPr>
              <w:t xml:space="preserve"> status </w:t>
            </w:r>
            <w:r>
              <w:rPr>
                <w:b/>
                <w:bCs/>
                <w:sz w:val="20"/>
                <w:szCs w:val="20"/>
              </w:rPr>
              <w:t>on systemic PK predictions</w:t>
            </w:r>
            <w:r w:rsidRPr="003E0D13">
              <w:rPr>
                <w:b/>
                <w:bCs/>
                <w:sz w:val="20"/>
                <w:szCs w:val="20"/>
              </w:rPr>
              <w:t>.</w:t>
            </w:r>
            <w:r w:rsidRPr="003E0D13">
              <w:rPr>
                <w:sz w:val="20"/>
                <w:szCs w:val="20"/>
              </w:rPr>
              <w:t xml:space="preserve"> </w:t>
            </w:r>
            <w:r>
              <w:rPr>
                <w:sz w:val="20"/>
                <w:szCs w:val="20"/>
              </w:rPr>
              <w:t>Many dermal PK studies did not explicitly mention whether application was performed on hydrated or non-hydrated skin. Shown results are for the assumption that lack of explicit mentioning relates to absence of skin hydration in study procedures (</w:t>
            </w:r>
            <w:r w:rsidRPr="003E0D13">
              <w:rPr>
                <w:sz w:val="20"/>
                <w:szCs w:val="20"/>
              </w:rPr>
              <w:t>A</w:t>
            </w:r>
            <w:r>
              <w:rPr>
                <w:sz w:val="20"/>
                <w:szCs w:val="20"/>
              </w:rPr>
              <w:t>)</w:t>
            </w:r>
            <w:r w:rsidRPr="003E0D13">
              <w:rPr>
                <w:sz w:val="20"/>
                <w:szCs w:val="20"/>
              </w:rPr>
              <w:t xml:space="preserve"> The Median Log2 Cmax predicted/observed values of each compound in the dataset. </w:t>
            </w:r>
            <w:r>
              <w:rPr>
                <w:sz w:val="20"/>
                <w:szCs w:val="20"/>
              </w:rPr>
              <w:t>(</w:t>
            </w:r>
            <w:r w:rsidRPr="003E0D13">
              <w:rPr>
                <w:sz w:val="20"/>
                <w:szCs w:val="20"/>
              </w:rPr>
              <w:t>B</w:t>
            </w:r>
            <w:r>
              <w:rPr>
                <w:sz w:val="20"/>
                <w:szCs w:val="20"/>
              </w:rPr>
              <w:t>)</w:t>
            </w:r>
            <w:r w:rsidRPr="003E0D13">
              <w:rPr>
                <w:sz w:val="20"/>
                <w:szCs w:val="20"/>
              </w:rPr>
              <w:t xml:space="preserve"> The Median Log2 AUC predicted/observed values of each compound in the dataset. Plots are also </w:t>
            </w:r>
            <w:r>
              <w:rPr>
                <w:sz w:val="20"/>
                <w:szCs w:val="20"/>
              </w:rPr>
              <w:t>split</w:t>
            </w:r>
            <w:r w:rsidRPr="003E0D13">
              <w:rPr>
                <w:sz w:val="20"/>
                <w:szCs w:val="20"/>
              </w:rPr>
              <w:t xml:space="preserve"> according to</w:t>
            </w:r>
            <w:r>
              <w:rPr>
                <w:sz w:val="20"/>
                <w:szCs w:val="20"/>
              </w:rPr>
              <w:t xml:space="preserve"> which information about the</w:t>
            </w:r>
            <w:r w:rsidRPr="003E0D13">
              <w:rPr>
                <w:sz w:val="20"/>
                <w:szCs w:val="20"/>
              </w:rPr>
              <w:t xml:space="preserve"> hydration status of </w:t>
            </w:r>
            <w:r>
              <w:rPr>
                <w:sz w:val="20"/>
                <w:szCs w:val="20"/>
              </w:rPr>
              <w:t xml:space="preserve">the </w:t>
            </w:r>
            <w:r w:rsidRPr="003E0D13">
              <w:rPr>
                <w:sz w:val="20"/>
                <w:szCs w:val="20"/>
              </w:rPr>
              <w:t xml:space="preserve">stratum corneum were </w:t>
            </w:r>
            <w:r>
              <w:rPr>
                <w:sz w:val="20"/>
                <w:szCs w:val="20"/>
              </w:rPr>
              <w:t>provided in the clinical study information</w:t>
            </w:r>
            <w:r w:rsidRPr="003E0D13">
              <w:rPr>
                <w:sz w:val="20"/>
                <w:szCs w:val="20"/>
              </w:rPr>
              <w:t>.</w:t>
            </w:r>
          </w:p>
        </w:tc>
      </w:tr>
    </w:tbl>
    <w:p w:rsidR="003D5037" w:rsidRDefault="003D5037" w:rsidP="003D5037"/>
    <w:p w:rsidR="003D5037" w:rsidRDefault="003D5037" w:rsidP="003D5037"/>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3D5037" w:rsidTr="00525160">
        <w:tc>
          <w:tcPr>
            <w:tcW w:w="9062" w:type="dxa"/>
          </w:tcPr>
          <w:p w:rsidR="003D5037" w:rsidRDefault="003D5037" w:rsidP="00525160">
            <w:pPr>
              <w:jc w:val="center"/>
            </w:pPr>
            <w:r>
              <w:rPr>
                <w:noProof/>
                <w:lang w:val="en-IN" w:eastAsia="en-IN"/>
              </w:rPr>
              <w:drawing>
                <wp:inline distT="0" distB="0" distL="0" distR="0" wp14:anchorId="3B67B27E" wp14:editId="14376C22">
                  <wp:extent cx="5562600" cy="1805082"/>
                  <wp:effectExtent l="0" t="0" r="0" b="5080"/>
                  <wp:docPr id="2029051370"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568789" cy="1807090"/>
                          </a:xfrm>
                          <a:prstGeom prst="rect">
                            <a:avLst/>
                          </a:prstGeom>
                          <a:noFill/>
                          <a:ln>
                            <a:noFill/>
                          </a:ln>
                        </pic:spPr>
                      </pic:pic>
                    </a:graphicData>
                  </a:graphic>
                </wp:inline>
              </w:drawing>
            </w:r>
          </w:p>
        </w:tc>
      </w:tr>
      <w:tr w:rsidR="003D5037" w:rsidTr="00525160">
        <w:tc>
          <w:tcPr>
            <w:tcW w:w="9062" w:type="dxa"/>
          </w:tcPr>
          <w:p w:rsidR="003D5037" w:rsidRPr="00DE5A0B" w:rsidRDefault="003D5037" w:rsidP="00525160">
            <w:pPr>
              <w:jc w:val="both"/>
              <w:rPr>
                <w:sz w:val="20"/>
                <w:szCs w:val="20"/>
              </w:rPr>
            </w:pPr>
            <w:r w:rsidRPr="00DE5A0B">
              <w:rPr>
                <w:b/>
                <w:bCs/>
                <w:sz w:val="20"/>
                <w:szCs w:val="20"/>
              </w:rPr>
              <w:t xml:space="preserve">Supplementary Fig. </w:t>
            </w:r>
            <w:r>
              <w:rPr>
                <w:b/>
                <w:bCs/>
                <w:sz w:val="20"/>
                <w:szCs w:val="20"/>
              </w:rPr>
              <w:t>4</w:t>
            </w:r>
            <w:r w:rsidRPr="00DE5A0B">
              <w:rPr>
                <w:sz w:val="20"/>
                <w:szCs w:val="20"/>
              </w:rPr>
              <w:t xml:space="preserve"> </w:t>
            </w:r>
            <w:r>
              <w:rPr>
                <w:b/>
                <w:bCs/>
                <w:sz w:val="20"/>
                <w:szCs w:val="20"/>
              </w:rPr>
              <w:t>Comparison of non-normalised</w:t>
            </w:r>
            <w:r w:rsidRPr="00DE5A0B">
              <w:rPr>
                <w:b/>
                <w:bCs/>
                <w:sz w:val="20"/>
                <w:szCs w:val="20"/>
              </w:rPr>
              <w:t xml:space="preserve"> Cmax and AUC error distributions for dermal and oral PK predictions.</w:t>
            </w:r>
            <w:r w:rsidRPr="00DE5A0B">
              <w:rPr>
                <w:sz w:val="20"/>
                <w:szCs w:val="20"/>
              </w:rPr>
              <w:t xml:space="preserve"> (</w:t>
            </w:r>
            <w:r>
              <w:rPr>
                <w:sz w:val="20"/>
                <w:szCs w:val="20"/>
              </w:rPr>
              <w:t>A</w:t>
            </w:r>
            <w:r w:rsidRPr="00DE5A0B">
              <w:rPr>
                <w:sz w:val="20"/>
                <w:szCs w:val="20"/>
              </w:rPr>
              <w:t>) The Median Log2 predicted/observed Cmax values of dermally administered compounds (</w:t>
            </w:r>
            <w:r>
              <w:rPr>
                <w:sz w:val="20"/>
                <w:szCs w:val="20"/>
              </w:rPr>
              <w:t>pink</w:t>
            </w:r>
            <w:r w:rsidRPr="00DE5A0B">
              <w:rPr>
                <w:sz w:val="20"/>
                <w:szCs w:val="20"/>
              </w:rPr>
              <w:t>) were compared against orally administered compounds (</w:t>
            </w:r>
            <w:r>
              <w:rPr>
                <w:sz w:val="20"/>
                <w:szCs w:val="20"/>
              </w:rPr>
              <w:t>blue</w:t>
            </w:r>
            <w:r w:rsidRPr="00DE5A0B">
              <w:rPr>
                <w:sz w:val="20"/>
                <w:szCs w:val="20"/>
              </w:rPr>
              <w:t>). (</w:t>
            </w:r>
            <w:r>
              <w:rPr>
                <w:sz w:val="20"/>
                <w:szCs w:val="20"/>
              </w:rPr>
              <w:t>B</w:t>
            </w:r>
            <w:r w:rsidRPr="00DE5A0B">
              <w:rPr>
                <w:sz w:val="20"/>
                <w:szCs w:val="20"/>
              </w:rPr>
              <w:t>) The Median Log2 predicted/observed AUC values of dermally administered compounds (</w:t>
            </w:r>
            <w:r>
              <w:rPr>
                <w:sz w:val="20"/>
                <w:szCs w:val="20"/>
              </w:rPr>
              <w:t>pink</w:t>
            </w:r>
            <w:r w:rsidRPr="00DE5A0B">
              <w:rPr>
                <w:sz w:val="20"/>
                <w:szCs w:val="20"/>
              </w:rPr>
              <w:t>) were compared against orally administered compounds (</w:t>
            </w:r>
            <w:r>
              <w:rPr>
                <w:sz w:val="20"/>
                <w:szCs w:val="20"/>
              </w:rPr>
              <w:t>blue</w:t>
            </w:r>
            <w:r w:rsidRPr="00DE5A0B">
              <w:rPr>
                <w:sz w:val="20"/>
                <w:szCs w:val="20"/>
              </w:rPr>
              <w:t>).</w:t>
            </w:r>
            <w:r>
              <w:rPr>
                <w:sz w:val="20"/>
                <w:szCs w:val="20"/>
              </w:rPr>
              <w:t xml:space="preserve"> Oral HT-PBK prediction errors were taken from </w:t>
            </w:r>
            <w:sdt>
              <w:sdtPr>
                <w:rPr>
                  <w:sz w:val="20"/>
                  <w:szCs w:val="20"/>
                </w:rPr>
                <w:alias w:val="To edit, see citavi.com/edit"/>
                <w:tag w:val="CitaviPlaceholder#10f2903d-ab68-4095-802e-85f79f056674"/>
                <w:id w:val="371112302"/>
                <w:placeholder>
                  <w:docPart w:val="BD3BF8876A7346328C446F713CDE64BC"/>
                </w:placeholder>
              </w:sdtPr>
              <w:sdtContent>
                <w:r>
                  <w:rPr>
                    <w:sz w:val="20"/>
                    <w:szCs w:val="20"/>
                  </w:rPr>
                  <w:fldChar w:fldCharType="begin"/>
                </w:r>
                <w:r>
                  <w:rPr>
                    <w:sz w:val="20"/>
                    <w:szCs w:val="20"/>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BjMjNhN2JmLTlkNTktNGUyYi04NWY0LTkwMzQyMjc5NDc3NSIsIlJhbmdlTGVuZ3RoIjoxNiwiUmVmZXJlbmNlSWQiOiJjMzM2NGE5Ni04MjYwLTQ0ZTAtODIyMC1lOTkyYjdmZGNmMTQ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}</w:instrText>
                </w:r>
                <w:r>
                  <w:rPr>
                    <w:sz w:val="20"/>
                    <w:szCs w:val="20"/>
                  </w:rPr>
                  <w:fldChar w:fldCharType="separate"/>
                </w:r>
                <w:r>
                  <w:rPr>
                    <w:sz w:val="20"/>
                    <w:szCs w:val="20"/>
                  </w:rPr>
                  <w:t>Geci et al. 2024</w:t>
                </w:r>
                <w:r>
                  <w:rPr>
                    <w:sz w:val="20"/>
                    <w:szCs w:val="20"/>
                  </w:rPr>
                  <w:fldChar w:fldCharType="end"/>
                </w:r>
              </w:sdtContent>
            </w:sdt>
            <w:r>
              <w:rPr>
                <w:sz w:val="20"/>
                <w:szCs w:val="20"/>
              </w:rPr>
              <w:t>.</w:t>
            </w:r>
          </w:p>
        </w:tc>
      </w:tr>
    </w:tbl>
    <w:p w:rsidR="003D5037" w:rsidRDefault="003D5037" w:rsidP="003D5037"/>
    <w:p w:rsidR="003D5037" w:rsidRDefault="003D5037" w:rsidP="003D5037">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3D5037" w:rsidTr="00525160">
        <w:tc>
          <w:tcPr>
            <w:tcW w:w="9062" w:type="dxa"/>
          </w:tcPr>
          <w:p w:rsidR="003D5037" w:rsidRDefault="003D5037" w:rsidP="00525160">
            <w:pPr>
              <w:jc w:val="center"/>
            </w:pPr>
            <w:r>
              <w:rPr>
                <w:noProof/>
                <w:lang w:val="en-IN" w:eastAsia="en-IN"/>
              </w:rPr>
              <w:lastRenderedPageBreak/>
              <w:drawing>
                <wp:inline distT="0" distB="0" distL="0" distR="0" wp14:anchorId="2D3C1E75" wp14:editId="76693AA1">
                  <wp:extent cx="5624945" cy="5624945"/>
                  <wp:effectExtent l="0" t="0" r="0" b="0"/>
                  <wp:docPr id="82152381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27091" cy="5627091"/>
                          </a:xfrm>
                          <a:prstGeom prst="rect">
                            <a:avLst/>
                          </a:prstGeom>
                          <a:noFill/>
                          <a:ln>
                            <a:noFill/>
                          </a:ln>
                        </pic:spPr>
                      </pic:pic>
                    </a:graphicData>
                  </a:graphic>
                </wp:inline>
              </w:drawing>
            </w:r>
          </w:p>
        </w:tc>
      </w:tr>
      <w:tr w:rsidR="003D5037" w:rsidTr="00525160">
        <w:tc>
          <w:tcPr>
            <w:tcW w:w="9062" w:type="dxa"/>
          </w:tcPr>
          <w:p w:rsidR="003D5037" w:rsidRDefault="003D5037" w:rsidP="00525160">
            <w:r w:rsidRPr="00C36ACF">
              <w:rPr>
                <w:b/>
                <w:bCs/>
                <w:sz w:val="20"/>
                <w:szCs w:val="20"/>
              </w:rPr>
              <w:t>Supplementary Fig</w:t>
            </w:r>
            <w:r>
              <w:rPr>
                <w:b/>
                <w:bCs/>
                <w:sz w:val="20"/>
                <w:szCs w:val="20"/>
              </w:rPr>
              <w:t>.</w:t>
            </w:r>
            <w:r w:rsidRPr="00C36ACF">
              <w:rPr>
                <w:b/>
                <w:bCs/>
                <w:sz w:val="20"/>
                <w:szCs w:val="20"/>
              </w:rPr>
              <w:t xml:space="preserve"> </w:t>
            </w:r>
            <w:r>
              <w:rPr>
                <w:b/>
                <w:bCs/>
                <w:sz w:val="20"/>
                <w:szCs w:val="20"/>
              </w:rPr>
              <w:t>5</w:t>
            </w:r>
            <w:r w:rsidRPr="00C36ACF">
              <w:rPr>
                <w:b/>
                <w:bCs/>
                <w:sz w:val="20"/>
                <w:szCs w:val="20"/>
              </w:rPr>
              <w:t xml:space="preserve"> Correlation of </w:t>
            </w:r>
            <w:r>
              <w:rPr>
                <w:b/>
                <w:bCs/>
                <w:sz w:val="20"/>
                <w:szCs w:val="20"/>
              </w:rPr>
              <w:t xml:space="preserve">PK prediction errors of </w:t>
            </w:r>
            <w:r w:rsidRPr="00C36ACF">
              <w:rPr>
                <w:b/>
                <w:bCs/>
                <w:sz w:val="20"/>
                <w:szCs w:val="20"/>
              </w:rPr>
              <w:t xml:space="preserve">the best </w:t>
            </w:r>
            <w:r w:rsidRPr="00117BCA">
              <w:rPr>
                <w:b/>
                <w:bCs/>
                <w:sz w:val="20"/>
                <w:szCs w:val="20"/>
              </w:rPr>
              <w:t>dermal</w:t>
            </w:r>
            <w:r w:rsidRPr="00C36ACF">
              <w:rPr>
                <w:b/>
                <w:bCs/>
                <w:sz w:val="20"/>
                <w:szCs w:val="20"/>
              </w:rPr>
              <w:t xml:space="preserve"> HT-PBK strategy</w:t>
            </w:r>
            <w:r>
              <w:rPr>
                <w:b/>
                <w:bCs/>
                <w:sz w:val="20"/>
                <w:szCs w:val="20"/>
              </w:rPr>
              <w:t xml:space="preserve"> with application and skin physiology parameters</w:t>
            </w:r>
            <w:r w:rsidRPr="00C36ACF">
              <w:rPr>
                <w:b/>
                <w:bCs/>
                <w:sz w:val="20"/>
                <w:szCs w:val="20"/>
              </w:rPr>
              <w:t xml:space="preserve">. </w:t>
            </w:r>
            <w:r w:rsidRPr="00D8612D">
              <w:rPr>
                <w:sz w:val="20"/>
                <w:szCs w:val="20"/>
              </w:rPr>
              <w:t>Assumed str</w:t>
            </w:r>
            <w:r>
              <w:rPr>
                <w:sz w:val="20"/>
                <w:szCs w:val="20"/>
              </w:rPr>
              <w:t>atum corneum thickness (AB), vehicle volume (CD) and vehicle type (E)</w:t>
            </w:r>
            <w:r w:rsidRPr="00613B70">
              <w:rPr>
                <w:sz w:val="20"/>
                <w:szCs w:val="20"/>
              </w:rPr>
              <w:t xml:space="preserve"> are compared against the Relative Log2 Cmax and AUC error</w:t>
            </w:r>
            <w:r>
              <w:rPr>
                <w:sz w:val="20"/>
                <w:szCs w:val="20"/>
              </w:rPr>
              <w:t>s.</w:t>
            </w:r>
          </w:p>
        </w:tc>
      </w:tr>
    </w:tbl>
    <w:p w:rsidR="003D5037" w:rsidRPr="00AE0E00" w:rsidRDefault="003D5037" w:rsidP="003D5037"/>
    <w:p w:rsidR="00831875" w:rsidRDefault="00831875"/>
    <w:sectPr w:rsidR="00831875" w:rsidSect="002F4004">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7674" w:rsidRDefault="003D503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3603201"/>
      <w:docPartObj>
        <w:docPartGallery w:val="Page Numbers (Bottom of Page)"/>
        <w:docPartUnique/>
      </w:docPartObj>
    </w:sdtPr>
    <w:sdtEndPr/>
    <w:sdtContent>
      <w:p w:rsidR="005C4570" w:rsidRDefault="003D5037">
        <w:pPr>
          <w:pStyle w:val="Footer"/>
          <w:jc w:val="center"/>
        </w:pPr>
        <w:r>
          <w:fldChar w:fldCharType="begin"/>
        </w:r>
        <w:r>
          <w:instrText>PAGE   \* MERGEFORMAT</w:instrText>
        </w:r>
        <w:r>
          <w:fldChar w:fldCharType="separate"/>
        </w:r>
        <w:r w:rsidRPr="003D5037">
          <w:rPr>
            <w:noProof/>
            <w:lang w:val="de-DE"/>
          </w:rPr>
          <w:t>1</w:t>
        </w:r>
        <w:r>
          <w:fldChar w:fldCharType="end"/>
        </w:r>
      </w:p>
    </w:sdtContent>
  </w:sdt>
  <w:p w:rsidR="00407674" w:rsidRDefault="003D503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7674" w:rsidRDefault="003D5037">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7674" w:rsidRDefault="003D503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7674" w:rsidRDefault="003D503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7674" w:rsidRDefault="003D503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5037"/>
    <w:rsid w:val="00067271"/>
    <w:rsid w:val="000A3F37"/>
    <w:rsid w:val="00150964"/>
    <w:rsid w:val="00172A62"/>
    <w:rsid w:val="001B47B6"/>
    <w:rsid w:val="003D5037"/>
    <w:rsid w:val="004842FB"/>
    <w:rsid w:val="004A1B2B"/>
    <w:rsid w:val="004A5FA7"/>
    <w:rsid w:val="004C076E"/>
    <w:rsid w:val="0060082D"/>
    <w:rsid w:val="00624A6F"/>
    <w:rsid w:val="0066002D"/>
    <w:rsid w:val="00665D74"/>
    <w:rsid w:val="007738A1"/>
    <w:rsid w:val="008144D4"/>
    <w:rsid w:val="00831875"/>
    <w:rsid w:val="00855358"/>
    <w:rsid w:val="008724C2"/>
    <w:rsid w:val="008A6759"/>
    <w:rsid w:val="008B0316"/>
    <w:rsid w:val="009334E0"/>
    <w:rsid w:val="00982501"/>
    <w:rsid w:val="00A125FB"/>
    <w:rsid w:val="00B0728C"/>
    <w:rsid w:val="00C02778"/>
    <w:rsid w:val="00C60237"/>
    <w:rsid w:val="00C71AEF"/>
    <w:rsid w:val="00C97F03"/>
    <w:rsid w:val="00D5605B"/>
    <w:rsid w:val="00D94BAB"/>
    <w:rsid w:val="00E2348D"/>
    <w:rsid w:val="00E35A1A"/>
    <w:rsid w:val="00EC1DC3"/>
    <w:rsid w:val="00EC3CDA"/>
    <w:rsid w:val="00FF29F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CC181D-3083-43D3-B3FF-8C2A31571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D5037"/>
    <w:pPr>
      <w:keepNext/>
      <w:keepLines/>
      <w:spacing w:before="360" w:after="80"/>
      <w:outlineLvl w:val="0"/>
    </w:pPr>
    <w:rPr>
      <w:rFonts w:asciiTheme="majorBidi" w:eastAsiaTheme="majorEastAsia" w:hAnsiTheme="majorBidi" w:cstheme="majorBidi"/>
      <w:kern w:val="2"/>
      <w:sz w:val="32"/>
      <w:szCs w:val="40"/>
      <w:lang w:val="en-GB"/>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5037"/>
    <w:rPr>
      <w:rFonts w:asciiTheme="majorBidi" w:eastAsiaTheme="majorEastAsia" w:hAnsiTheme="majorBidi" w:cstheme="majorBidi"/>
      <w:kern w:val="2"/>
      <w:sz w:val="32"/>
      <w:szCs w:val="40"/>
      <w:lang w:val="en-GB"/>
      <w14:ligatures w14:val="standardContextual"/>
    </w:rPr>
  </w:style>
  <w:style w:type="paragraph" w:styleId="Header">
    <w:name w:val="header"/>
    <w:basedOn w:val="Normal"/>
    <w:link w:val="HeaderChar"/>
    <w:uiPriority w:val="99"/>
    <w:unhideWhenUsed/>
    <w:rsid w:val="003D5037"/>
    <w:pPr>
      <w:tabs>
        <w:tab w:val="center" w:pos="4513"/>
        <w:tab w:val="right" w:pos="9026"/>
      </w:tabs>
      <w:spacing w:after="0" w:line="240" w:lineRule="auto"/>
    </w:pPr>
    <w:rPr>
      <w:rFonts w:ascii="Arial" w:hAnsi="Arial"/>
      <w:kern w:val="2"/>
      <w:lang w:val="en-GB"/>
      <w14:ligatures w14:val="standardContextual"/>
    </w:rPr>
  </w:style>
  <w:style w:type="character" w:customStyle="1" w:styleId="HeaderChar">
    <w:name w:val="Header Char"/>
    <w:basedOn w:val="DefaultParagraphFont"/>
    <w:link w:val="Header"/>
    <w:uiPriority w:val="99"/>
    <w:rsid w:val="003D5037"/>
    <w:rPr>
      <w:rFonts w:ascii="Arial" w:hAnsi="Arial"/>
      <w:kern w:val="2"/>
      <w:lang w:val="en-GB"/>
      <w14:ligatures w14:val="standardContextual"/>
    </w:rPr>
  </w:style>
  <w:style w:type="paragraph" w:styleId="Footer">
    <w:name w:val="footer"/>
    <w:basedOn w:val="Normal"/>
    <w:link w:val="FooterChar"/>
    <w:uiPriority w:val="99"/>
    <w:unhideWhenUsed/>
    <w:rsid w:val="003D5037"/>
    <w:pPr>
      <w:tabs>
        <w:tab w:val="center" w:pos="4513"/>
        <w:tab w:val="right" w:pos="9026"/>
      </w:tabs>
      <w:spacing w:after="0" w:line="240" w:lineRule="auto"/>
    </w:pPr>
    <w:rPr>
      <w:rFonts w:ascii="Arial" w:hAnsi="Arial"/>
      <w:kern w:val="2"/>
      <w:lang w:val="en-GB"/>
      <w14:ligatures w14:val="standardContextual"/>
    </w:rPr>
  </w:style>
  <w:style w:type="character" w:customStyle="1" w:styleId="FooterChar">
    <w:name w:val="Footer Char"/>
    <w:basedOn w:val="DefaultParagraphFont"/>
    <w:link w:val="Footer"/>
    <w:uiPriority w:val="99"/>
    <w:rsid w:val="003D5037"/>
    <w:rPr>
      <w:rFonts w:ascii="Arial" w:hAnsi="Arial"/>
      <w:kern w:val="2"/>
      <w:lang w:val="en-GB"/>
      <w14:ligatures w14:val="standardContextual"/>
    </w:rPr>
  </w:style>
  <w:style w:type="table" w:styleId="TableGrid">
    <w:name w:val="Table Grid"/>
    <w:basedOn w:val="TableNormal"/>
    <w:uiPriority w:val="39"/>
    <w:rsid w:val="003D5037"/>
    <w:pPr>
      <w:spacing w:after="0" w:line="240" w:lineRule="auto"/>
    </w:pPr>
    <w:rPr>
      <w:kern w:val="2"/>
      <w:lang w:val="en-GB"/>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glossaryDocument" Target="glossary/document.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oter" Target="footer1.xml"/><Relationship Id="rId5" Type="http://schemas.openxmlformats.org/officeDocument/2006/relationships/image" Target="media/image2.png"/><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image" Target="media/image1.png"/><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D3BF8876A7346328C446F713CDE64BC"/>
        <w:category>
          <w:name w:val="General"/>
          <w:gallery w:val="placeholder"/>
        </w:category>
        <w:types>
          <w:type w:val="bbPlcHdr"/>
        </w:types>
        <w:behaviors>
          <w:behavior w:val="content"/>
        </w:behaviors>
        <w:guid w:val="{CF6259D7-AE8E-45FA-A7BE-E5E284E17EF5}"/>
      </w:docPartPr>
      <w:docPartBody>
        <w:p w:rsidR="00000000" w:rsidRDefault="00A11A46" w:rsidP="00A11A46">
          <w:pPr>
            <w:pStyle w:val="BD3BF8876A7346328C446F713CDE64BC"/>
          </w:pPr>
          <w:r w:rsidRPr="000D62B3">
            <w:rPr>
              <w:rStyle w:val="Placehold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1A46"/>
    <w:rsid w:val="00A11A4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11A46"/>
    <w:rPr>
      <w:color w:val="666666"/>
    </w:rPr>
  </w:style>
  <w:style w:type="paragraph" w:customStyle="1" w:styleId="BD3BF8876A7346328C446F713CDE64BC">
    <w:name w:val="BD3BF8876A7346328C446F713CDE64BC"/>
    <w:rsid w:val="00A11A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2502</Words>
  <Characters>14267</Characters>
  <Application>Microsoft Office Word</Application>
  <DocSecurity>0</DocSecurity>
  <Lines>118</Lines>
  <Paragraphs>33</Paragraphs>
  <ScaleCrop>false</ScaleCrop>
  <Company/>
  <LinksUpToDate>false</LinksUpToDate>
  <CharactersWithSpaces>16736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Suvaethalakshmi S</dc:creator>
  <cp:keywords/>
  <dc:description/>
  <cp:lastModifiedBy>Suvaethalakshmi S</cp:lastModifiedBy>
  <cp:revision>1</cp:revision>
  <dcterms:created xsi:type="dcterms:W3CDTF">2026-03-07T09:59:00Z</dcterms:created>
  <dcterms:modified xsi:type="dcterms:W3CDTF">2026-03-07T10:00:00Z</dcterms:modified>
</cp:coreProperties>
</file>