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31AB4" w14:textId="5FE7AE11" w:rsidR="0024789B" w:rsidRDefault="0024789B" w:rsidP="0024789B">
      <w:pPr>
        <w:pStyle w:val="Kop1"/>
        <w:spacing w:line="360" w:lineRule="auto"/>
        <w:jc w:val="both"/>
      </w:pPr>
      <w:r>
        <w:t>Supplementary file</w:t>
      </w:r>
    </w:p>
    <w:p w14:paraId="76EC7525" w14:textId="77777777" w:rsidR="004F7C98" w:rsidRDefault="004F7C98" w:rsidP="004F7C98">
      <w:pPr>
        <w:spacing w:line="360" w:lineRule="auto"/>
        <w:rPr>
          <w:sz w:val="32"/>
          <w:szCs w:val="32"/>
        </w:rPr>
      </w:pPr>
      <w:r w:rsidRPr="006844AE">
        <w:rPr>
          <w:sz w:val="32"/>
          <w:szCs w:val="32"/>
        </w:rPr>
        <w:t xml:space="preserve">Comparison of </w:t>
      </w:r>
      <w:r>
        <w:rPr>
          <w:sz w:val="32"/>
          <w:szCs w:val="32"/>
        </w:rPr>
        <w:t>e</w:t>
      </w:r>
      <w:r w:rsidRPr="006844AE">
        <w:rPr>
          <w:sz w:val="32"/>
          <w:szCs w:val="32"/>
        </w:rPr>
        <w:t xml:space="preserve">x </w:t>
      </w:r>
      <w:r>
        <w:rPr>
          <w:sz w:val="32"/>
          <w:szCs w:val="32"/>
        </w:rPr>
        <w:t>v</w:t>
      </w:r>
      <w:r w:rsidRPr="006844AE">
        <w:rPr>
          <w:sz w:val="32"/>
          <w:szCs w:val="32"/>
        </w:rPr>
        <w:t xml:space="preserve">ivo </w:t>
      </w:r>
      <w:r>
        <w:rPr>
          <w:sz w:val="32"/>
          <w:szCs w:val="32"/>
        </w:rPr>
        <w:t>p</w:t>
      </w:r>
      <w:r w:rsidRPr="006844AE">
        <w:rPr>
          <w:sz w:val="32"/>
          <w:szCs w:val="32"/>
        </w:rPr>
        <w:t xml:space="preserve">lacenta </w:t>
      </w:r>
      <w:r>
        <w:rPr>
          <w:sz w:val="32"/>
          <w:szCs w:val="32"/>
        </w:rPr>
        <w:t>p</w:t>
      </w:r>
      <w:r w:rsidRPr="006844AE">
        <w:rPr>
          <w:sz w:val="32"/>
          <w:szCs w:val="32"/>
        </w:rPr>
        <w:t xml:space="preserve">erfusion and </w:t>
      </w:r>
      <w:r>
        <w:rPr>
          <w:sz w:val="32"/>
          <w:szCs w:val="32"/>
        </w:rPr>
        <w:t xml:space="preserve">in vitro </w:t>
      </w:r>
      <w:r w:rsidRPr="006844AE">
        <w:rPr>
          <w:sz w:val="32"/>
          <w:szCs w:val="32"/>
        </w:rPr>
        <w:t xml:space="preserve">BeWo b30 </w:t>
      </w:r>
      <w:r>
        <w:rPr>
          <w:sz w:val="32"/>
          <w:szCs w:val="32"/>
        </w:rPr>
        <w:t>c</w:t>
      </w:r>
      <w:r w:rsidRPr="006844AE">
        <w:rPr>
          <w:sz w:val="32"/>
          <w:szCs w:val="32"/>
        </w:rPr>
        <w:t>ell</w:t>
      </w:r>
      <w:r>
        <w:rPr>
          <w:sz w:val="32"/>
          <w:szCs w:val="32"/>
        </w:rPr>
        <w:t xml:space="preserve"> models</w:t>
      </w:r>
      <w:r w:rsidRPr="006844AE">
        <w:rPr>
          <w:sz w:val="32"/>
          <w:szCs w:val="32"/>
        </w:rPr>
        <w:t xml:space="preserve"> for </w:t>
      </w:r>
      <w:r>
        <w:rPr>
          <w:sz w:val="32"/>
          <w:szCs w:val="32"/>
        </w:rPr>
        <w:t>a</w:t>
      </w:r>
      <w:r w:rsidRPr="006844AE">
        <w:rPr>
          <w:sz w:val="32"/>
          <w:szCs w:val="32"/>
        </w:rPr>
        <w:t xml:space="preserve">ssessing </w:t>
      </w:r>
      <w:r>
        <w:rPr>
          <w:sz w:val="32"/>
          <w:szCs w:val="32"/>
        </w:rPr>
        <w:t>t</w:t>
      </w:r>
      <w:r w:rsidRPr="006844AE">
        <w:rPr>
          <w:sz w:val="32"/>
          <w:szCs w:val="32"/>
        </w:rPr>
        <w:t xml:space="preserve">ransfer of </w:t>
      </w:r>
      <w:r>
        <w:rPr>
          <w:sz w:val="32"/>
          <w:szCs w:val="32"/>
        </w:rPr>
        <w:t>d</w:t>
      </w:r>
      <w:r w:rsidRPr="006844AE">
        <w:rPr>
          <w:sz w:val="32"/>
          <w:szCs w:val="32"/>
        </w:rPr>
        <w:t xml:space="preserve">evelopmental and </w:t>
      </w:r>
      <w:r>
        <w:rPr>
          <w:sz w:val="32"/>
          <w:szCs w:val="32"/>
        </w:rPr>
        <w:t>r</w:t>
      </w:r>
      <w:r w:rsidRPr="006844AE">
        <w:rPr>
          <w:sz w:val="32"/>
          <w:szCs w:val="32"/>
        </w:rPr>
        <w:t>epro</w:t>
      </w:r>
      <w:r>
        <w:rPr>
          <w:sz w:val="32"/>
          <w:szCs w:val="32"/>
        </w:rPr>
        <w:t>ductive</w:t>
      </w:r>
      <w:r w:rsidRPr="006844AE">
        <w:rPr>
          <w:sz w:val="32"/>
          <w:szCs w:val="32"/>
        </w:rPr>
        <w:t xml:space="preserve"> </w:t>
      </w:r>
      <w:r>
        <w:rPr>
          <w:sz w:val="32"/>
          <w:szCs w:val="32"/>
        </w:rPr>
        <w:t>toxic compounds</w:t>
      </w:r>
    </w:p>
    <w:p w14:paraId="0042A7F0" w14:textId="77777777" w:rsidR="00CF44E3" w:rsidRDefault="00CF44E3" w:rsidP="00CF44E3"/>
    <w:p w14:paraId="4AE33C3F" w14:textId="0C45B822" w:rsidR="00CF44E3" w:rsidRDefault="00CF44E3" w:rsidP="00CF44E3">
      <w:pPr>
        <w:pStyle w:val="Kop2"/>
      </w:pPr>
      <w:r>
        <w:t>Journal</w:t>
      </w:r>
    </w:p>
    <w:p w14:paraId="432A3243" w14:textId="50FB11B5" w:rsidR="00CF44E3" w:rsidRPr="002620E0" w:rsidRDefault="00CF44E3" w:rsidP="00CF44E3">
      <w:pPr>
        <w:rPr>
          <w:sz w:val="20"/>
          <w:szCs w:val="20"/>
        </w:rPr>
      </w:pPr>
      <w:r w:rsidRPr="002620E0">
        <w:rPr>
          <w:sz w:val="20"/>
          <w:szCs w:val="20"/>
        </w:rPr>
        <w:t xml:space="preserve">Archives of Toxicology </w:t>
      </w:r>
    </w:p>
    <w:p w14:paraId="39BE34C4" w14:textId="77777777" w:rsidR="00CF44E3" w:rsidRDefault="00CF44E3" w:rsidP="004F7C98">
      <w:pPr>
        <w:pStyle w:val="Kop2"/>
      </w:pPr>
    </w:p>
    <w:p w14:paraId="685702E7" w14:textId="18316361" w:rsidR="004F7C98" w:rsidRPr="009161D6" w:rsidRDefault="004F7C98" w:rsidP="004F7C98">
      <w:pPr>
        <w:pStyle w:val="Kop2"/>
      </w:pPr>
      <w:r w:rsidRPr="009161D6">
        <w:t>Authors</w:t>
      </w:r>
    </w:p>
    <w:p w14:paraId="6D173880" w14:textId="77777777" w:rsidR="004F7C98" w:rsidRPr="002620E0" w:rsidRDefault="004F7C98" w:rsidP="004F7C98">
      <w:pPr>
        <w:rPr>
          <w:sz w:val="20"/>
          <w:szCs w:val="20"/>
        </w:rPr>
      </w:pPr>
      <w:r w:rsidRPr="002620E0">
        <w:rPr>
          <w:sz w:val="20"/>
          <w:szCs w:val="20"/>
        </w:rPr>
        <w:t>Damian Roelofsen</w:t>
      </w:r>
      <w:r w:rsidRPr="002620E0">
        <w:rPr>
          <w:sz w:val="20"/>
          <w:szCs w:val="20"/>
          <w:vertAlign w:val="superscript"/>
        </w:rPr>
        <w:t>1</w:t>
      </w:r>
      <w:r w:rsidRPr="002620E0">
        <w:rPr>
          <w:sz w:val="20"/>
          <w:szCs w:val="20"/>
        </w:rPr>
        <w:t xml:space="preserve">, </w:t>
      </w:r>
      <w:bookmarkStart w:id="0" w:name="_Hlk212729135"/>
      <w:r w:rsidRPr="002620E0">
        <w:rPr>
          <w:sz w:val="20"/>
          <w:szCs w:val="20"/>
        </w:rPr>
        <w:t>Sandrine Spriggs</w:t>
      </w:r>
      <w:r w:rsidRPr="002620E0">
        <w:rPr>
          <w:sz w:val="20"/>
          <w:szCs w:val="20"/>
          <w:vertAlign w:val="superscript"/>
        </w:rPr>
        <w:t>2</w:t>
      </w:r>
      <w:r w:rsidRPr="002620E0">
        <w:rPr>
          <w:sz w:val="20"/>
          <w:szCs w:val="20"/>
        </w:rPr>
        <w:t>, Beate Nicol</w:t>
      </w:r>
      <w:r w:rsidRPr="002620E0">
        <w:rPr>
          <w:sz w:val="20"/>
          <w:szCs w:val="20"/>
          <w:vertAlign w:val="superscript"/>
        </w:rPr>
        <w:t>2</w:t>
      </w:r>
      <w:r w:rsidRPr="002620E0">
        <w:rPr>
          <w:rFonts w:ascii="Segoe UI Symbol" w:hAnsi="Segoe UI Symbol"/>
          <w:sz w:val="20"/>
          <w:szCs w:val="20"/>
          <w:vertAlign w:val="superscript"/>
        </w:rPr>
        <w:t>✝</w:t>
      </w:r>
      <w:r w:rsidRPr="002620E0">
        <w:rPr>
          <w:sz w:val="20"/>
          <w:szCs w:val="20"/>
        </w:rPr>
        <w:t>, Petra van den Broek</w:t>
      </w:r>
      <w:r w:rsidRPr="002620E0">
        <w:rPr>
          <w:sz w:val="20"/>
          <w:szCs w:val="20"/>
          <w:vertAlign w:val="superscript"/>
        </w:rPr>
        <w:t>1</w:t>
      </w:r>
      <w:r w:rsidRPr="002620E0">
        <w:rPr>
          <w:sz w:val="20"/>
          <w:szCs w:val="20"/>
        </w:rPr>
        <w:t>, Iris Muller</w:t>
      </w:r>
      <w:r w:rsidRPr="002620E0">
        <w:rPr>
          <w:sz w:val="20"/>
          <w:szCs w:val="20"/>
          <w:vertAlign w:val="superscript"/>
        </w:rPr>
        <w:t>2</w:t>
      </w:r>
      <w:bookmarkEnd w:id="0"/>
      <w:r w:rsidRPr="002620E0">
        <w:rPr>
          <w:sz w:val="20"/>
          <w:szCs w:val="20"/>
        </w:rPr>
        <w:t>, Hedwig van Hove</w:t>
      </w:r>
      <w:r w:rsidRPr="002620E0">
        <w:rPr>
          <w:sz w:val="20"/>
          <w:szCs w:val="20"/>
          <w:vertAlign w:val="superscript"/>
        </w:rPr>
        <w:t>1</w:t>
      </w:r>
      <w:r w:rsidRPr="002620E0">
        <w:rPr>
          <w:sz w:val="20"/>
          <w:szCs w:val="20"/>
        </w:rPr>
        <w:t>, Frans Russel</w:t>
      </w:r>
      <w:r w:rsidRPr="002620E0">
        <w:rPr>
          <w:sz w:val="20"/>
          <w:szCs w:val="20"/>
          <w:vertAlign w:val="superscript"/>
        </w:rPr>
        <w:t>1</w:t>
      </w:r>
      <w:r w:rsidRPr="002620E0">
        <w:rPr>
          <w:sz w:val="20"/>
          <w:szCs w:val="20"/>
        </w:rPr>
        <w:t>, and Rick Greupink</w:t>
      </w:r>
      <w:r w:rsidRPr="002620E0">
        <w:rPr>
          <w:sz w:val="20"/>
          <w:szCs w:val="20"/>
          <w:vertAlign w:val="superscript"/>
        </w:rPr>
        <w:t>1</w:t>
      </w:r>
      <w:r w:rsidRPr="002620E0">
        <w:rPr>
          <w:sz w:val="20"/>
          <w:szCs w:val="20"/>
        </w:rPr>
        <w:t xml:space="preserve"> </w:t>
      </w:r>
    </w:p>
    <w:p w14:paraId="2EDF6583" w14:textId="77777777" w:rsidR="004F7C98" w:rsidRPr="002620E0" w:rsidRDefault="004F7C98" w:rsidP="004F7C98">
      <w:pPr>
        <w:rPr>
          <w:sz w:val="20"/>
          <w:szCs w:val="20"/>
        </w:rPr>
      </w:pPr>
      <w:r w:rsidRPr="002620E0">
        <w:rPr>
          <w:rFonts w:ascii="Segoe UI Symbol" w:hAnsi="Segoe UI Symbol"/>
          <w:sz w:val="20"/>
          <w:szCs w:val="20"/>
          <w:vertAlign w:val="superscript"/>
        </w:rPr>
        <w:t>✝</w:t>
      </w:r>
      <w:r w:rsidRPr="002620E0">
        <w:rPr>
          <w:sz w:val="20"/>
          <w:szCs w:val="20"/>
        </w:rPr>
        <w:t xml:space="preserve">In memory of Beate Nicol, who passed away in July 2025 </w:t>
      </w:r>
    </w:p>
    <w:p w14:paraId="4B46125A" w14:textId="77777777" w:rsidR="004F7C98" w:rsidRPr="002620E0" w:rsidRDefault="004F7C98" w:rsidP="004F7C98">
      <w:pPr>
        <w:rPr>
          <w:sz w:val="20"/>
          <w:szCs w:val="20"/>
        </w:rPr>
      </w:pPr>
      <w:r w:rsidRPr="002620E0">
        <w:rPr>
          <w:sz w:val="20"/>
          <w:szCs w:val="20"/>
        </w:rPr>
        <w:t xml:space="preserve">¹Department of Pharmacy, Pharmacology and Toxicology, Radboud University Medical </w:t>
      </w:r>
      <w:proofErr w:type="spellStart"/>
      <w:r w:rsidRPr="002620E0">
        <w:rPr>
          <w:sz w:val="20"/>
          <w:szCs w:val="20"/>
        </w:rPr>
        <w:t>Center</w:t>
      </w:r>
      <w:proofErr w:type="spellEnd"/>
      <w:r w:rsidRPr="002620E0">
        <w:rPr>
          <w:sz w:val="20"/>
          <w:szCs w:val="20"/>
        </w:rPr>
        <w:t xml:space="preserve">, Nijmegen 6525 GA, The Netherlands. </w:t>
      </w:r>
    </w:p>
    <w:p w14:paraId="5A3AF6A3" w14:textId="77777777" w:rsidR="004F7C98" w:rsidRPr="002620E0" w:rsidRDefault="004F7C98" w:rsidP="004F7C98">
      <w:pPr>
        <w:rPr>
          <w:sz w:val="20"/>
          <w:szCs w:val="20"/>
        </w:rPr>
      </w:pPr>
      <w:r w:rsidRPr="002620E0">
        <w:rPr>
          <w:sz w:val="20"/>
          <w:szCs w:val="20"/>
        </w:rPr>
        <w:t xml:space="preserve">²Unilever Safety, Environmental and Regulatory Science (SERS), </w:t>
      </w:r>
      <w:proofErr w:type="spellStart"/>
      <w:r w:rsidRPr="002620E0">
        <w:rPr>
          <w:sz w:val="20"/>
          <w:szCs w:val="20"/>
        </w:rPr>
        <w:t>Colworth</w:t>
      </w:r>
      <w:proofErr w:type="spellEnd"/>
      <w:r w:rsidRPr="002620E0">
        <w:rPr>
          <w:sz w:val="20"/>
          <w:szCs w:val="20"/>
        </w:rPr>
        <w:t xml:space="preserve"> Science Park, Sharnbrook, Bedfordshire MK44 1LQ, United Kingdom.</w:t>
      </w:r>
    </w:p>
    <w:p w14:paraId="2314B34B" w14:textId="77777777" w:rsidR="004F7C98" w:rsidRPr="002620E0" w:rsidRDefault="004F7C98" w:rsidP="004F7C98">
      <w:pPr>
        <w:rPr>
          <w:sz w:val="20"/>
          <w:szCs w:val="20"/>
        </w:rPr>
      </w:pPr>
    </w:p>
    <w:p w14:paraId="6C2F032F" w14:textId="77777777" w:rsidR="004F7C98" w:rsidRPr="002620E0" w:rsidRDefault="004F7C98" w:rsidP="004F7C98">
      <w:pPr>
        <w:rPr>
          <w:sz w:val="20"/>
          <w:szCs w:val="20"/>
        </w:rPr>
      </w:pPr>
      <w:r w:rsidRPr="002620E0">
        <w:rPr>
          <w:sz w:val="20"/>
          <w:szCs w:val="20"/>
        </w:rPr>
        <w:t xml:space="preserve">Corresponding author: Damian Roelofsen, </w:t>
      </w:r>
      <w:hyperlink r:id="rId8" w:history="1">
        <w:r w:rsidRPr="002620E0">
          <w:rPr>
            <w:rStyle w:val="Hyperlink"/>
            <w:sz w:val="20"/>
            <w:szCs w:val="20"/>
          </w:rPr>
          <w:t>damian.roelofsen@radboudumc.nl</w:t>
        </w:r>
      </w:hyperlink>
    </w:p>
    <w:p w14:paraId="7285C777" w14:textId="77777777" w:rsidR="004F7C98" w:rsidRPr="004F7C98" w:rsidRDefault="004F7C98" w:rsidP="004F7C98"/>
    <w:p w14:paraId="685F1D14" w14:textId="77777777" w:rsidR="004F7C98" w:rsidRDefault="004F7C98">
      <w:pPr>
        <w:rPr>
          <w:b/>
          <w:bCs/>
          <w:i/>
          <w:iCs/>
        </w:rPr>
      </w:pPr>
      <w:r>
        <w:rPr>
          <w:b/>
          <w:bCs/>
          <w:i/>
          <w:iCs/>
        </w:rPr>
        <w:br w:type="page"/>
      </w:r>
    </w:p>
    <w:p w14:paraId="19A47C89" w14:textId="76BA691B" w:rsidR="00135E53" w:rsidRPr="002620E0" w:rsidRDefault="00A554FF" w:rsidP="00135E53">
      <w:pPr>
        <w:spacing w:line="360" w:lineRule="auto"/>
        <w:jc w:val="both"/>
        <w:rPr>
          <w:b/>
          <w:bCs/>
          <w:sz w:val="20"/>
          <w:szCs w:val="20"/>
        </w:rPr>
      </w:pPr>
      <w:r w:rsidRPr="002620E0">
        <w:rPr>
          <w:b/>
          <w:bCs/>
          <w:i/>
          <w:iCs/>
          <w:sz w:val="20"/>
          <w:szCs w:val="20"/>
        </w:rPr>
        <w:lastRenderedPageBreak/>
        <w:t>Ex vivo</w:t>
      </w:r>
      <w:r w:rsidRPr="002620E0">
        <w:rPr>
          <w:b/>
          <w:bCs/>
          <w:sz w:val="20"/>
          <w:szCs w:val="20"/>
        </w:rPr>
        <w:t xml:space="preserve"> placenta perfusion studies</w:t>
      </w:r>
    </w:p>
    <w:p w14:paraId="6DAAABB5" w14:textId="7C0EA9FA" w:rsidR="00135E53" w:rsidRPr="002620E0" w:rsidRDefault="00135E53" w:rsidP="00135E53">
      <w:pPr>
        <w:spacing w:line="360" w:lineRule="auto"/>
        <w:ind w:firstLine="720"/>
        <w:jc w:val="both"/>
        <w:rPr>
          <w:sz w:val="20"/>
          <w:szCs w:val="20"/>
        </w:rPr>
      </w:pPr>
      <w:r w:rsidRPr="002620E0">
        <w:rPr>
          <w:sz w:val="20"/>
          <w:szCs w:val="20"/>
        </w:rPr>
        <w:t xml:space="preserve">In short, an intact cotyledon was cannulated to re-establish both the foetal (6 mL/min) and maternal (12 mL/min) circulation within 45 minutes after arrival of the placenta at the lab. A 15-30 minute wash period was performed after cannulation, in which both circulations were washed in an open setting. After this washing period, both circulations were closed and the washing buffer was changed to the experimental buffer containing albumin. Next, the compounds were added to the maternal circulation in mixture. Experiments were considered successful when the maternal-to-foetal ratio for antipyrine at the end of the perfusion was &gt;0.75. Samples were taken from the maternal and foetal buffer at multiple timepoints. All samples were buffered using citric acid - sodium citrate buffer (pH 3.0) in a 9:1 sample to buffer ratio to reduce the pH of the samples below 6.0 in order to reduce the spontaneous hydrolysis of thalidomide post sampling </w:t>
      </w:r>
      <w:r w:rsidRPr="002620E0">
        <w:rPr>
          <w:sz w:val="20"/>
          <w:szCs w:val="20"/>
        </w:rPr>
        <w:fldChar w:fldCharType="begin"/>
      </w:r>
      <w:r w:rsidRPr="002620E0">
        <w:rPr>
          <w:sz w:val="20"/>
          <w:szCs w:val="20"/>
        </w:rPr>
        <w:instrText xml:space="preserve"> ADDIN EN.CITE &lt;EndNote&gt;&lt;Cite&gt;&lt;Author&gt;Eriksson&lt;/Author&gt;&lt;Year&gt;1992&lt;/Year&gt;&lt;RecNum&gt;40&lt;/RecNum&gt;&lt;DisplayText&gt;(Eriksson et al., 1992)&lt;/DisplayText&gt;&lt;record&gt;&lt;rec-number&gt;40&lt;/rec-number&gt;&lt;foreign-keys&gt;&lt;key app="EN" db-id="s0rzas5a4t0vwke5t9bpptft5ee0v0ed9prf" timestamp="1747835399"&gt;40&lt;/key&gt;&lt;/foreign-keys&gt;&lt;ref-type name="Journal Article"&gt;17&lt;/ref-type&gt;&lt;contributors&gt;&lt;authors&gt;&lt;author&gt;Eriksson, T.&lt;/author&gt;&lt;author&gt;Bjorkman, S.&lt;/author&gt;&lt;author&gt;Fyge, A.&lt;/author&gt;&lt;author&gt;Ekberg, H.&lt;/author&gt;&lt;/authors&gt;&lt;/contributors&gt;&lt;auth-address&gt;Hospital Pharmacy, Malmo General Hospital, Sweden.&lt;/auth-address&gt;&lt;titles&gt;&lt;title&gt;Determination of thalidomide in plasma and blood by high-performance liquid chromatography: avoiding hydrolytic degradation&lt;/title&gt;&lt;secondary-title&gt;J Chromatogr&lt;/secondary-title&gt;&lt;/titles&gt;&lt;periodical&gt;&lt;full-title&gt;J Chromatogr&lt;/full-title&gt;&lt;/periodical&gt;&lt;pages&gt;211-6&lt;/pages&gt;&lt;volume&gt;582&lt;/volume&gt;&lt;number&gt;1-2&lt;/number&gt;&lt;keywords&gt;&lt;keyword&gt;Animals&lt;/keyword&gt;&lt;keyword&gt;Chromatography, High Pressure Liquid/*methods&lt;/keyword&gt;&lt;keyword&gt;Hydrogen-Ion Concentration&lt;/keyword&gt;&lt;keyword&gt;Hydrolysis&lt;/keyword&gt;&lt;keyword&gt;Plasma/*chemistry&lt;/keyword&gt;&lt;keyword&gt;Rats&lt;/keyword&gt;&lt;keyword&gt;Rats, Inbred WF&lt;/keyword&gt;&lt;keyword&gt;Thalidomide/*analysis/*blood/metabolism&lt;/keyword&gt;&lt;/keywords&gt;&lt;dates&gt;&lt;year&gt;1992&lt;/year&gt;&lt;pub-dates&gt;&lt;date&gt;Nov 6&lt;/date&gt;&lt;/pub-dates&gt;&lt;/dates&gt;&lt;accession-num&gt;1491043&lt;/accession-num&gt;&lt;urls&gt;&lt;related-urls&gt;&lt;url&gt;https://www.ncbi.nlm.nih.gov/pubmed/1491043&lt;/url&gt;&lt;/related-urls&gt;&lt;/urls&gt;&lt;electronic-resource-num&gt;10.1016/0378-4347(92)80321-g&lt;/electronic-resource-num&gt;&lt;remote-database-name&gt;Medline&lt;/remote-database-name&gt;&lt;remote-database-provider&gt;NLM&lt;/remote-database-provider&gt;&lt;/record&gt;&lt;/Cite&gt;&lt;/EndNote&gt;</w:instrText>
      </w:r>
      <w:r w:rsidRPr="002620E0">
        <w:rPr>
          <w:sz w:val="20"/>
          <w:szCs w:val="20"/>
        </w:rPr>
        <w:fldChar w:fldCharType="separate"/>
      </w:r>
      <w:r w:rsidRPr="002620E0">
        <w:rPr>
          <w:noProof/>
          <w:sz w:val="20"/>
          <w:szCs w:val="20"/>
        </w:rPr>
        <w:t>(Eriksson et al., 1992)</w:t>
      </w:r>
      <w:r w:rsidRPr="002620E0">
        <w:rPr>
          <w:sz w:val="20"/>
          <w:szCs w:val="20"/>
        </w:rPr>
        <w:fldChar w:fldCharType="end"/>
      </w:r>
      <w:r w:rsidRPr="002620E0">
        <w:rPr>
          <w:sz w:val="20"/>
          <w:szCs w:val="20"/>
        </w:rPr>
        <w:t>. The experiments were stopped after 180 minutes and the cotyledon was taken out of the system and weighed. Subsequently, three tissue samples were taken from different places of the cotyledon. Tissue samples were weighed and homogenized in perfusion medium containing 10% citric acid – sodium citrate buffer (pH 3.0) with a w:v ratio of 1:4 (</w:t>
      </w:r>
      <w:proofErr w:type="spellStart"/>
      <w:r w:rsidRPr="002620E0">
        <w:rPr>
          <w:sz w:val="20"/>
          <w:szCs w:val="20"/>
        </w:rPr>
        <w:t>tissue:perfusion</w:t>
      </w:r>
      <w:proofErr w:type="spellEnd"/>
      <w:r w:rsidRPr="002620E0">
        <w:rPr>
          <w:sz w:val="20"/>
          <w:szCs w:val="20"/>
        </w:rPr>
        <w:t xml:space="preserve"> medium containing buffer) directly at the end of the experiment. Homogenization was performed using a T10 basic Ultra-</w:t>
      </w:r>
      <w:proofErr w:type="spellStart"/>
      <w:r w:rsidRPr="002620E0">
        <w:rPr>
          <w:sz w:val="20"/>
          <w:szCs w:val="20"/>
        </w:rPr>
        <w:t>Turrax</w:t>
      </w:r>
      <w:proofErr w:type="spellEnd"/>
      <w:r w:rsidRPr="002620E0">
        <w:rPr>
          <w:sz w:val="20"/>
          <w:szCs w:val="20"/>
        </w:rPr>
        <w:t>® disperser (IKA, Germany) for 20 seconds, three subsequent times while keeping the samples on ice. The homogenized tissue samples were stored at -20</w:t>
      </w:r>
      <w:r w:rsidRPr="002620E0">
        <w:rPr>
          <w:rFonts w:ascii="Times New Roman" w:hAnsi="Times New Roman" w:cs="Times New Roman"/>
          <w:sz w:val="20"/>
          <w:szCs w:val="20"/>
        </w:rPr>
        <w:t>°</w:t>
      </w:r>
      <w:r w:rsidRPr="002620E0">
        <w:rPr>
          <w:sz w:val="20"/>
          <w:szCs w:val="20"/>
        </w:rPr>
        <w:t xml:space="preserve">C until further analyses. </w:t>
      </w:r>
    </w:p>
    <w:p w14:paraId="3404D7D3" w14:textId="77777777" w:rsidR="002620E0" w:rsidRDefault="002620E0" w:rsidP="00B12B7B">
      <w:pPr>
        <w:rPr>
          <w:b/>
          <w:bCs/>
          <w:sz w:val="20"/>
          <w:szCs w:val="20"/>
        </w:rPr>
      </w:pPr>
    </w:p>
    <w:p w14:paraId="1F8F594C" w14:textId="608045DB" w:rsidR="00B67AD2" w:rsidRPr="002620E0" w:rsidRDefault="00B67AD2" w:rsidP="00B12B7B">
      <w:pPr>
        <w:rPr>
          <w:b/>
          <w:bCs/>
          <w:sz w:val="20"/>
          <w:szCs w:val="20"/>
        </w:rPr>
      </w:pPr>
      <w:r w:rsidRPr="002620E0">
        <w:rPr>
          <w:b/>
          <w:bCs/>
          <w:sz w:val="20"/>
          <w:szCs w:val="20"/>
        </w:rPr>
        <w:t>Calculation of transepithelial electrical resistance (TEER):</w:t>
      </w:r>
    </w:p>
    <w:p w14:paraId="7DF43699" w14:textId="77777777" w:rsidR="00B67AD2" w:rsidRPr="002620E0" w:rsidRDefault="00B67AD2" w:rsidP="00B67AD2">
      <w:pPr>
        <w:spacing w:line="360" w:lineRule="auto"/>
        <w:jc w:val="both"/>
        <w:rPr>
          <w:sz w:val="20"/>
          <w:szCs w:val="20"/>
        </w:rPr>
      </w:pPr>
      <w:r w:rsidRPr="002620E0">
        <w:rPr>
          <w:sz w:val="20"/>
          <w:szCs w:val="20"/>
        </w:rPr>
        <w:t>The cell-specific resistance was calculated as follows:</w:t>
      </w:r>
    </w:p>
    <w:p w14:paraId="1CDF9381" w14:textId="77777777" w:rsidR="00B67AD2" w:rsidRPr="002620E0" w:rsidRDefault="00121BD6" w:rsidP="00B67AD2">
      <w:pPr>
        <w:spacing w:line="360" w:lineRule="auto"/>
        <w:jc w:val="both"/>
        <w:rPr>
          <w:rFonts w:eastAsiaTheme="minorEastAsia"/>
          <w:sz w:val="20"/>
          <w:szCs w:val="20"/>
        </w:rPr>
      </w:pPr>
      <m:oMathPara>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spec</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cell</m:t>
              </m:r>
            </m:sub>
          </m:sSub>
          <m:r>
            <w:rPr>
              <w:rFonts w:ascii="Cambria Math" w:hAnsi="Cambria Math"/>
              <w:sz w:val="20"/>
              <w:szCs w:val="20"/>
            </w:rPr>
            <m:t>-</m:t>
          </m:r>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blank</m:t>
              </m:r>
            </m:sub>
          </m:sSub>
        </m:oMath>
      </m:oMathPara>
    </w:p>
    <w:p w14:paraId="482A8285" w14:textId="77777777" w:rsidR="00B67AD2" w:rsidRPr="002620E0" w:rsidRDefault="00B67AD2" w:rsidP="00B67AD2">
      <w:pPr>
        <w:spacing w:line="360" w:lineRule="auto"/>
        <w:jc w:val="both"/>
        <w:rPr>
          <w:rFonts w:eastAsiaTheme="minorEastAsia"/>
          <w:sz w:val="20"/>
          <w:szCs w:val="20"/>
        </w:rPr>
      </w:pPr>
      <w:r w:rsidRPr="002620E0">
        <w:rPr>
          <w:rFonts w:eastAsiaTheme="minorEastAsia"/>
          <w:sz w:val="20"/>
          <w:szCs w:val="20"/>
        </w:rPr>
        <w:t xml:space="preserve">Where </w:t>
      </w:r>
      <w:proofErr w:type="spellStart"/>
      <w:r w:rsidRPr="002620E0">
        <w:rPr>
          <w:rFonts w:eastAsiaTheme="minorEastAsia"/>
          <w:sz w:val="20"/>
          <w:szCs w:val="20"/>
        </w:rPr>
        <w:t>R</w:t>
      </w:r>
      <w:r w:rsidRPr="002620E0">
        <w:rPr>
          <w:rFonts w:eastAsiaTheme="minorEastAsia"/>
          <w:sz w:val="20"/>
          <w:szCs w:val="20"/>
          <w:vertAlign w:val="subscript"/>
        </w:rPr>
        <w:t>spec</w:t>
      </w:r>
      <w:proofErr w:type="spellEnd"/>
      <w:r w:rsidRPr="002620E0">
        <w:rPr>
          <w:rFonts w:eastAsiaTheme="minorEastAsia"/>
          <w:sz w:val="20"/>
          <w:szCs w:val="20"/>
          <w:vertAlign w:val="subscript"/>
        </w:rPr>
        <w:t xml:space="preserve"> </w:t>
      </w:r>
      <w:r w:rsidRPr="002620E0">
        <w:rPr>
          <w:rFonts w:eastAsiaTheme="minorEastAsia"/>
          <w:sz w:val="20"/>
          <w:szCs w:val="20"/>
        </w:rPr>
        <w:t xml:space="preserve">is the cell-specific resistance, </w:t>
      </w:r>
      <w:proofErr w:type="spellStart"/>
      <w:r w:rsidRPr="002620E0">
        <w:rPr>
          <w:rFonts w:eastAsiaTheme="minorEastAsia"/>
          <w:sz w:val="20"/>
          <w:szCs w:val="20"/>
        </w:rPr>
        <w:t>R</w:t>
      </w:r>
      <w:r w:rsidRPr="002620E0">
        <w:rPr>
          <w:rFonts w:eastAsiaTheme="minorEastAsia"/>
          <w:sz w:val="20"/>
          <w:szCs w:val="20"/>
          <w:vertAlign w:val="subscript"/>
        </w:rPr>
        <w:t>cell</w:t>
      </w:r>
      <w:proofErr w:type="spellEnd"/>
      <w:r w:rsidRPr="002620E0">
        <w:rPr>
          <w:rFonts w:eastAsiaTheme="minorEastAsia"/>
          <w:sz w:val="20"/>
          <w:szCs w:val="20"/>
        </w:rPr>
        <w:t xml:space="preserve"> is the resistance measured across a collagen-coated insert containing BeWo b30 cells and </w:t>
      </w:r>
      <w:proofErr w:type="spellStart"/>
      <w:r w:rsidRPr="002620E0">
        <w:rPr>
          <w:rFonts w:eastAsiaTheme="minorEastAsia"/>
          <w:sz w:val="20"/>
          <w:szCs w:val="20"/>
        </w:rPr>
        <w:t>R</w:t>
      </w:r>
      <w:r w:rsidRPr="002620E0">
        <w:rPr>
          <w:rFonts w:eastAsiaTheme="minorEastAsia"/>
          <w:sz w:val="20"/>
          <w:szCs w:val="20"/>
          <w:vertAlign w:val="subscript"/>
        </w:rPr>
        <w:t>blank</w:t>
      </w:r>
      <w:proofErr w:type="spellEnd"/>
      <w:r w:rsidRPr="002620E0">
        <w:rPr>
          <w:rFonts w:eastAsiaTheme="minorEastAsia"/>
          <w:sz w:val="20"/>
          <w:szCs w:val="20"/>
        </w:rPr>
        <w:t xml:space="preserve"> is the resistance measured across a collagen-coated insert without cells. All values obtained were in </w:t>
      </w:r>
      <w:r w:rsidRPr="002620E0">
        <w:rPr>
          <w:rFonts w:eastAsiaTheme="minorEastAsia" w:cstheme="minorHAnsi"/>
          <w:sz w:val="20"/>
          <w:szCs w:val="20"/>
        </w:rPr>
        <w:t>Ω</w:t>
      </w:r>
      <w:r w:rsidRPr="002620E0">
        <w:rPr>
          <w:rFonts w:eastAsiaTheme="minorEastAsia"/>
          <w:sz w:val="20"/>
          <w:szCs w:val="20"/>
        </w:rPr>
        <w:t xml:space="preserve">.  </w:t>
      </w:r>
      <w:proofErr w:type="spellStart"/>
      <w:r w:rsidRPr="002620E0">
        <w:rPr>
          <w:rFonts w:eastAsiaTheme="minorEastAsia"/>
          <w:sz w:val="20"/>
          <w:szCs w:val="20"/>
        </w:rPr>
        <w:t>R</w:t>
      </w:r>
      <w:r w:rsidRPr="002620E0">
        <w:rPr>
          <w:rFonts w:eastAsiaTheme="minorEastAsia"/>
          <w:sz w:val="20"/>
          <w:szCs w:val="20"/>
          <w:vertAlign w:val="subscript"/>
        </w:rPr>
        <w:t>spec</w:t>
      </w:r>
      <w:proofErr w:type="spellEnd"/>
      <w:r w:rsidRPr="002620E0">
        <w:rPr>
          <w:rFonts w:eastAsiaTheme="minorEastAsia"/>
          <w:sz w:val="20"/>
          <w:szCs w:val="20"/>
          <w:vertAlign w:val="subscript"/>
        </w:rPr>
        <w:t xml:space="preserve"> </w:t>
      </w:r>
      <w:r w:rsidRPr="002620E0">
        <w:rPr>
          <w:rFonts w:eastAsiaTheme="minorEastAsia"/>
          <w:sz w:val="20"/>
          <w:szCs w:val="20"/>
        </w:rPr>
        <w:t>was subsequently used to calculate the TEER value corrected for SA of the insert:</w:t>
      </w:r>
    </w:p>
    <w:p w14:paraId="21DE0D2C" w14:textId="77777777" w:rsidR="00B67AD2" w:rsidRPr="002620E0" w:rsidRDefault="00B67AD2" w:rsidP="00B67AD2">
      <w:pPr>
        <w:spacing w:line="360" w:lineRule="auto"/>
        <w:jc w:val="both"/>
        <w:rPr>
          <w:rFonts w:eastAsiaTheme="minorEastAsia"/>
          <w:sz w:val="20"/>
          <w:szCs w:val="20"/>
        </w:rPr>
      </w:pPr>
      <m:oMathPara>
        <m:oMath>
          <m:r>
            <w:rPr>
              <w:rFonts w:ascii="Cambria Math" w:hAnsi="Cambria Math"/>
              <w:sz w:val="20"/>
              <w:szCs w:val="20"/>
            </w:rPr>
            <m:t>TEER=</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spec</m:t>
              </m:r>
            </m:sub>
          </m:sSub>
          <m:r>
            <w:rPr>
              <w:rFonts w:ascii="Cambria Math" w:hAnsi="Cambria Math"/>
              <w:sz w:val="20"/>
              <w:szCs w:val="20"/>
            </w:rPr>
            <m:t>* SA</m:t>
          </m:r>
        </m:oMath>
      </m:oMathPara>
    </w:p>
    <w:p w14:paraId="419EA387" w14:textId="7BF751AC" w:rsidR="00B67AD2" w:rsidRPr="002620E0" w:rsidRDefault="00B67AD2" w:rsidP="00B67AD2">
      <w:pPr>
        <w:spacing w:line="360" w:lineRule="auto"/>
        <w:jc w:val="both"/>
        <w:rPr>
          <w:sz w:val="20"/>
          <w:szCs w:val="20"/>
        </w:rPr>
      </w:pPr>
      <w:r w:rsidRPr="002620E0">
        <w:rPr>
          <w:rFonts w:eastAsiaTheme="minorEastAsia"/>
          <w:sz w:val="20"/>
          <w:szCs w:val="20"/>
        </w:rPr>
        <w:t>Where TEER is the resistance value corrected for SA (</w:t>
      </w:r>
      <w:r w:rsidRPr="002620E0">
        <w:rPr>
          <w:rFonts w:eastAsiaTheme="minorEastAsia" w:cstheme="minorHAnsi"/>
          <w:sz w:val="20"/>
          <w:szCs w:val="20"/>
        </w:rPr>
        <w:t>Ω</w:t>
      </w:r>
      <w:r w:rsidRPr="002620E0">
        <w:rPr>
          <w:rFonts w:eastAsiaTheme="minorEastAsia"/>
          <w:sz w:val="20"/>
          <w:szCs w:val="20"/>
        </w:rPr>
        <w:t>*cm</w:t>
      </w:r>
      <w:r w:rsidRPr="002620E0">
        <w:rPr>
          <w:rFonts w:eastAsiaTheme="minorEastAsia"/>
          <w:sz w:val="20"/>
          <w:szCs w:val="20"/>
          <w:vertAlign w:val="superscript"/>
        </w:rPr>
        <w:t>2</w:t>
      </w:r>
      <w:r w:rsidRPr="002620E0">
        <w:rPr>
          <w:rFonts w:eastAsiaTheme="minorEastAsia"/>
          <w:sz w:val="20"/>
          <w:szCs w:val="20"/>
        </w:rPr>
        <w:t>)</w:t>
      </w:r>
      <w:r w:rsidR="00FD6F00">
        <w:rPr>
          <w:rFonts w:eastAsiaTheme="minorEastAsia"/>
          <w:sz w:val="20"/>
          <w:szCs w:val="20"/>
        </w:rPr>
        <w:t xml:space="preserve">, </w:t>
      </w:r>
      <w:r w:rsidRPr="002620E0">
        <w:rPr>
          <w:rFonts w:eastAsiaTheme="minorEastAsia"/>
          <w:sz w:val="20"/>
          <w:szCs w:val="20"/>
        </w:rPr>
        <w:t xml:space="preserve"> </w:t>
      </w:r>
      <w:proofErr w:type="spellStart"/>
      <w:r w:rsidR="00FD6F00" w:rsidRPr="002620E0">
        <w:rPr>
          <w:rFonts w:eastAsiaTheme="minorEastAsia"/>
          <w:sz w:val="20"/>
          <w:szCs w:val="20"/>
        </w:rPr>
        <w:t>R</w:t>
      </w:r>
      <w:r w:rsidR="00FD6F00" w:rsidRPr="002620E0">
        <w:rPr>
          <w:rFonts w:eastAsiaTheme="minorEastAsia"/>
          <w:sz w:val="20"/>
          <w:szCs w:val="20"/>
          <w:vertAlign w:val="subscript"/>
        </w:rPr>
        <w:t>spec</w:t>
      </w:r>
      <w:proofErr w:type="spellEnd"/>
      <w:r w:rsidR="00FD6F00" w:rsidRPr="002620E0">
        <w:rPr>
          <w:rFonts w:eastAsiaTheme="minorEastAsia"/>
          <w:sz w:val="20"/>
          <w:szCs w:val="20"/>
          <w:vertAlign w:val="subscript"/>
        </w:rPr>
        <w:t xml:space="preserve"> </w:t>
      </w:r>
      <w:r w:rsidR="00FD6F00" w:rsidRPr="002620E0">
        <w:rPr>
          <w:rFonts w:eastAsiaTheme="minorEastAsia"/>
          <w:sz w:val="20"/>
          <w:szCs w:val="20"/>
        </w:rPr>
        <w:t xml:space="preserve">is the cell-specific resistance </w:t>
      </w:r>
      <w:r w:rsidRPr="002620E0">
        <w:rPr>
          <w:rFonts w:eastAsiaTheme="minorEastAsia"/>
          <w:sz w:val="20"/>
          <w:szCs w:val="20"/>
        </w:rPr>
        <w:t>and SA is the surface area of the insert (in cm</w:t>
      </w:r>
      <w:r w:rsidRPr="002620E0">
        <w:rPr>
          <w:rFonts w:eastAsiaTheme="minorEastAsia"/>
          <w:sz w:val="20"/>
          <w:szCs w:val="20"/>
          <w:vertAlign w:val="superscript"/>
        </w:rPr>
        <w:t>2</w:t>
      </w:r>
      <w:r w:rsidRPr="002620E0">
        <w:rPr>
          <w:rFonts w:eastAsiaTheme="minorEastAsia"/>
          <w:sz w:val="20"/>
          <w:szCs w:val="20"/>
        </w:rPr>
        <w:t xml:space="preserve">). </w:t>
      </w:r>
    </w:p>
    <w:p w14:paraId="275B1C7C" w14:textId="77777777" w:rsidR="00F02C22" w:rsidRDefault="00F02C22">
      <w:pPr>
        <w:rPr>
          <w:b/>
          <w:bCs/>
        </w:rPr>
      </w:pPr>
      <w:r>
        <w:rPr>
          <w:b/>
          <w:bCs/>
        </w:rPr>
        <w:br w:type="page"/>
      </w:r>
    </w:p>
    <w:p w14:paraId="1B18F4A1" w14:textId="29150B31" w:rsidR="001C7C08" w:rsidRPr="002620E0" w:rsidRDefault="00B12B7B" w:rsidP="00B12B7B">
      <w:pPr>
        <w:rPr>
          <w:b/>
          <w:bCs/>
          <w:sz w:val="20"/>
          <w:szCs w:val="20"/>
        </w:rPr>
      </w:pPr>
      <w:r w:rsidRPr="002620E0">
        <w:rPr>
          <w:b/>
          <w:bCs/>
          <w:sz w:val="20"/>
          <w:szCs w:val="20"/>
        </w:rPr>
        <w:lastRenderedPageBreak/>
        <w:t xml:space="preserve">Apparent permeability calculations for BeWo b30 experiments </w:t>
      </w:r>
    </w:p>
    <w:p w14:paraId="506E8790" w14:textId="28AB9072" w:rsidR="00A9566A" w:rsidRPr="002620E0" w:rsidRDefault="00A9566A" w:rsidP="00A9566A">
      <w:pPr>
        <w:spacing w:line="360" w:lineRule="auto"/>
        <w:jc w:val="both"/>
        <w:rPr>
          <w:rFonts w:asciiTheme="majorHAnsi" w:eastAsiaTheme="majorEastAsia" w:hAnsiTheme="majorHAnsi" w:cstheme="majorBidi"/>
          <w:sz w:val="20"/>
          <w:szCs w:val="20"/>
        </w:rPr>
      </w:pPr>
      <w:r w:rsidRPr="002620E0">
        <w:rPr>
          <w:rFonts w:asciiTheme="majorHAnsi" w:eastAsiaTheme="majorEastAsia" w:hAnsiTheme="majorHAnsi" w:cstheme="majorBidi"/>
          <w:sz w:val="20"/>
          <w:szCs w:val="20"/>
        </w:rPr>
        <w:t xml:space="preserve">To calculate the </w:t>
      </w:r>
      <w:r w:rsidR="00F969AA" w:rsidRPr="002620E0">
        <w:rPr>
          <w:rFonts w:asciiTheme="majorHAnsi" w:eastAsiaTheme="majorEastAsia" w:hAnsiTheme="majorHAnsi" w:cstheme="majorBidi"/>
          <w:sz w:val="20"/>
          <w:szCs w:val="20"/>
        </w:rPr>
        <w:t xml:space="preserve">apparent permeability the formulas </w:t>
      </w:r>
      <w:r w:rsidR="00BB30BD" w:rsidRPr="002620E0">
        <w:rPr>
          <w:rFonts w:asciiTheme="majorHAnsi" w:eastAsiaTheme="majorEastAsia" w:hAnsiTheme="majorHAnsi" w:cstheme="majorBidi"/>
          <w:sz w:val="20"/>
          <w:szCs w:val="20"/>
        </w:rPr>
        <w:t xml:space="preserve">below </w:t>
      </w:r>
      <w:r w:rsidR="00F969AA" w:rsidRPr="002620E0">
        <w:rPr>
          <w:rFonts w:asciiTheme="majorHAnsi" w:eastAsiaTheme="majorEastAsia" w:hAnsiTheme="majorHAnsi" w:cstheme="majorBidi"/>
          <w:sz w:val="20"/>
          <w:szCs w:val="20"/>
        </w:rPr>
        <w:t>were used (based on Poulsen et al. 2009)</w:t>
      </w:r>
      <w:r w:rsidR="00BB30BD" w:rsidRPr="002620E0">
        <w:rPr>
          <w:rFonts w:asciiTheme="majorHAnsi" w:eastAsiaTheme="majorEastAsia" w:hAnsiTheme="majorHAnsi" w:cstheme="majorBidi"/>
          <w:sz w:val="20"/>
          <w:szCs w:val="20"/>
        </w:rPr>
        <w:t xml:space="preserve">. First, </w:t>
      </w:r>
      <w:r w:rsidR="00BB30BD" w:rsidRPr="002620E0">
        <w:rPr>
          <w:sz w:val="20"/>
          <w:szCs w:val="20"/>
        </w:rPr>
        <w:t>the mass transported for each timepoint (</w:t>
      </w:r>
      <m:oMath>
        <m:sSub>
          <m:sSubPr>
            <m:ctrlPr>
              <w:rPr>
                <w:rFonts w:ascii="Cambria Math" w:hAnsi="Cambria Math"/>
                <w:i/>
                <w:sz w:val="20"/>
                <w:szCs w:val="20"/>
              </w:rPr>
            </m:ctrlPr>
          </m:sSubPr>
          <m:e>
            <m:r>
              <m:rPr>
                <m:sty m:val="p"/>
              </m:rPr>
              <w:rPr>
                <w:rFonts w:ascii="Cambria Math" w:hAnsi="Cambria Math" w:cstheme="minorHAnsi"/>
                <w:sz w:val="20"/>
                <w:szCs w:val="20"/>
              </w:rPr>
              <m:t>Δ</m:t>
            </m:r>
            <m:r>
              <m:rPr>
                <m:sty m:val="p"/>
              </m:rPr>
              <w:rPr>
                <w:rFonts w:ascii="Cambria Math" w:hAnsi="Cambria Math"/>
                <w:sz w:val="20"/>
                <w:szCs w:val="20"/>
              </w:rPr>
              <m:t>Q</m:t>
            </m:r>
          </m:e>
          <m:sub>
            <m:r>
              <w:rPr>
                <w:rFonts w:ascii="Cambria Math" w:hAnsi="Cambria Math"/>
                <w:sz w:val="20"/>
                <w:szCs w:val="20"/>
              </w:rPr>
              <m:t>n</m:t>
            </m:r>
          </m:sub>
        </m:sSub>
      </m:oMath>
      <w:r w:rsidR="00BB30BD" w:rsidRPr="002620E0">
        <w:rPr>
          <w:sz w:val="20"/>
          <w:szCs w:val="20"/>
        </w:rPr>
        <w:t>) into the basolateral compartment was calculated at each timepoint and was corrected for sampling volume due to previous sampling using the following equation:</w:t>
      </w:r>
    </w:p>
    <w:p w14:paraId="67D0A9A9" w14:textId="08A8D7E1" w:rsidR="00A9566A" w:rsidRPr="00A64178" w:rsidRDefault="00121BD6" w:rsidP="00A9566A">
      <w:pPr>
        <w:spacing w:line="360" w:lineRule="auto"/>
        <w:jc w:val="both"/>
      </w:pPr>
      <m:oMathPara>
        <m:oMath>
          <m:sSub>
            <m:sSubPr>
              <m:ctrlPr>
                <w:rPr>
                  <w:rFonts w:ascii="Cambria Math" w:hAnsi="Cambria Math"/>
                  <w:i/>
                </w:rPr>
              </m:ctrlPr>
            </m:sSubPr>
            <m:e>
              <m:r>
                <m:rPr>
                  <m:sty m:val="p"/>
                </m:rPr>
                <w:rPr>
                  <w:rFonts w:ascii="Cambria Math" w:hAnsi="Cambria Math" w:cstheme="minorHAnsi"/>
                </w:rPr>
                <m:t>Δ</m:t>
              </m:r>
              <m:r>
                <m:rPr>
                  <m:sty m:val="p"/>
                </m:rPr>
                <w:rPr>
                  <w:rFonts w:ascii="Cambria Math" w:hAnsi="Cambria Math"/>
                </w:rPr>
                <m:t>Q</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n</m:t>
              </m:r>
            </m:sub>
          </m:sSub>
          <m:r>
            <w:rPr>
              <w:rFonts w:ascii="Cambria Math" w:hAnsi="Cambria Math"/>
            </w:rPr>
            <m:t>*</m:t>
          </m:r>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w</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j</m:t>
              </m:r>
              <m:r>
                <w:rPr>
                  <w:rFonts w:ascii="Cambria Math" w:hAnsi="Cambria Math"/>
                </w:rPr>
                <m:t>=1</m:t>
              </m:r>
            </m:sub>
            <m:sup>
              <m:r>
                <w:rPr>
                  <w:rFonts w:ascii="Cambria Math" w:hAnsi="Cambria Math"/>
                </w:rPr>
                <m:t>n</m:t>
              </m:r>
              <m:r>
                <w:rPr>
                  <w:rFonts w:ascii="Cambria Math" w:hAnsi="Cambria Math"/>
                </w:rPr>
                <m:t>-</m:t>
              </m:r>
              <m:r>
                <w:rPr>
                  <w:rFonts w:ascii="Cambria Math" w:hAnsi="Cambria Math"/>
                </w:rPr>
                <m:t>1</m:t>
              </m:r>
            </m:sup>
            <m:e>
              <m:sSub>
                <m:sSubPr>
                  <m:ctrlPr>
                    <w:rPr>
                      <w:rFonts w:ascii="Cambria Math" w:hAnsi="Cambria Math"/>
                      <w:i/>
                    </w:rPr>
                  </m:ctrlPr>
                </m:sSubPr>
                <m:e>
                  <m:r>
                    <w:rPr>
                      <w:rFonts w:ascii="Cambria Math" w:hAnsi="Cambria Math"/>
                    </w:rPr>
                    <m:t>V</m:t>
                  </m:r>
                </m:e>
                <m:sub>
                  <m:r>
                    <w:rPr>
                      <w:rFonts w:ascii="Cambria Math" w:hAnsi="Cambria Math"/>
                    </w:rPr>
                    <m:t>s</m:t>
                  </m:r>
                </m:sub>
              </m:sSub>
            </m:e>
          </m:nary>
          <m:r>
            <w:rPr>
              <w:rFonts w:ascii="Cambria Math" w:hAnsi="Cambria Math"/>
            </w:rPr>
            <m:t>*</m:t>
          </m:r>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j</m:t>
              </m:r>
            </m:sub>
          </m:sSub>
        </m:oMath>
      </m:oMathPara>
    </w:p>
    <w:p w14:paraId="4B09B1A1" w14:textId="6F75E2E3" w:rsidR="00A9566A" w:rsidRPr="002620E0" w:rsidRDefault="00A9566A" w:rsidP="00A9566A">
      <w:pPr>
        <w:spacing w:line="360" w:lineRule="auto"/>
        <w:jc w:val="both"/>
        <w:rPr>
          <w:rFonts w:eastAsiaTheme="minorEastAsia"/>
          <w:sz w:val="20"/>
          <w:szCs w:val="20"/>
        </w:rPr>
      </w:pPr>
      <w:r w:rsidRPr="002620E0">
        <w:rPr>
          <w:sz w:val="20"/>
          <w:szCs w:val="20"/>
        </w:rPr>
        <w:t xml:space="preserve">Where </w:t>
      </w:r>
      <w:proofErr w:type="spellStart"/>
      <w:r w:rsidR="00062E22" w:rsidRPr="00062E22">
        <w:rPr>
          <w:sz w:val="20"/>
          <w:szCs w:val="20"/>
        </w:rPr>
        <w:t>ΔQn</w:t>
      </w:r>
      <w:proofErr w:type="spellEnd"/>
      <w:r w:rsidR="00062E22" w:rsidRPr="00062E22">
        <w:rPr>
          <w:sz w:val="20"/>
          <w:szCs w:val="20"/>
        </w:rPr>
        <w:t xml:space="preserve"> is the mass transported for each timepoint, corrected for the mass removed due to earlier sampling periods</w:t>
      </w:r>
      <w:r w:rsidR="00062E22">
        <w:rPr>
          <w:sz w:val="20"/>
          <w:szCs w:val="20"/>
        </w:rPr>
        <w:t xml:space="preserve">. </w:t>
      </w:r>
      <w:r w:rsidRPr="002620E0">
        <w:rPr>
          <w:sz w:val="20"/>
          <w:szCs w:val="20"/>
        </w:rPr>
        <w:t xml:space="preserve">Cn describes the concentration from the sample at timepoint </w:t>
      </w:r>
      <w:proofErr w:type="spellStart"/>
      <w:r w:rsidRPr="002620E0">
        <w:rPr>
          <w:sz w:val="20"/>
          <w:szCs w:val="20"/>
        </w:rPr>
        <w:t>tn</w:t>
      </w:r>
      <w:proofErr w:type="spellEnd"/>
      <w:r w:rsidRPr="002620E0">
        <w:rPr>
          <w:sz w:val="20"/>
          <w:szCs w:val="20"/>
        </w:rPr>
        <w:t xml:space="preserve"> and </w:t>
      </w:r>
      <w:proofErr w:type="spellStart"/>
      <w:r w:rsidRPr="002620E0">
        <w:rPr>
          <w:sz w:val="20"/>
          <w:szCs w:val="20"/>
        </w:rPr>
        <w:t>Vw</w:t>
      </w:r>
      <w:proofErr w:type="spellEnd"/>
      <w:r w:rsidRPr="002620E0">
        <w:rPr>
          <w:sz w:val="20"/>
          <w:szCs w:val="20"/>
        </w:rPr>
        <w:t xml:space="preserve"> is the volume of the compartment from which the sample was taken (either 200 </w:t>
      </w:r>
      <w:r w:rsidRPr="002620E0">
        <w:rPr>
          <w:rFonts w:cstheme="minorHAnsi"/>
          <w:sz w:val="20"/>
          <w:szCs w:val="20"/>
        </w:rPr>
        <w:t>µ</w:t>
      </w:r>
      <w:r w:rsidRPr="002620E0">
        <w:rPr>
          <w:sz w:val="20"/>
          <w:szCs w:val="20"/>
        </w:rPr>
        <w:t>L or 1000</w:t>
      </w:r>
      <w:r w:rsidRPr="002620E0">
        <w:rPr>
          <w:rFonts w:cstheme="minorHAnsi"/>
          <w:sz w:val="20"/>
          <w:szCs w:val="20"/>
        </w:rPr>
        <w:t xml:space="preserve"> µ</w:t>
      </w:r>
      <w:r w:rsidRPr="002620E0">
        <w:rPr>
          <w:sz w:val="20"/>
          <w:szCs w:val="20"/>
        </w:rPr>
        <w:t xml:space="preserve">L for the apical and basolateral compartment, respectively). The sum  </w:t>
      </w:r>
      <m:oMath>
        <m:nary>
          <m:naryPr>
            <m:chr m:val="∑"/>
            <m:limLoc m:val="subSup"/>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n-1</m:t>
            </m:r>
          </m:sup>
          <m:e>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s</m:t>
                </m:r>
              </m:sub>
            </m:sSub>
          </m:e>
        </m:nary>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j</m:t>
            </m:r>
          </m:sub>
        </m:sSub>
      </m:oMath>
      <w:r w:rsidRPr="002620E0">
        <w:rPr>
          <w:rFonts w:eastAsiaTheme="minorEastAsia"/>
          <w:sz w:val="20"/>
          <w:szCs w:val="20"/>
        </w:rPr>
        <w:t xml:space="preserve"> is added to correct for the cumulative mass which is removed due to earlier samples taken in the period prior to tn (from t = t1 until t = tn-1). Vs described the sampling volume (50 uL) and Cj is the concentration of the samples taken prior to tn.</w:t>
      </w:r>
    </w:p>
    <w:p w14:paraId="4DF04348" w14:textId="108A1294" w:rsidR="00A9566A" w:rsidRPr="002620E0" w:rsidRDefault="00A9566A" w:rsidP="00A9566A">
      <w:pPr>
        <w:spacing w:line="360" w:lineRule="auto"/>
        <w:ind w:firstLine="720"/>
        <w:jc w:val="both"/>
        <w:rPr>
          <w:rFonts w:eastAsiaTheme="minorEastAsia"/>
          <w:sz w:val="20"/>
          <w:szCs w:val="20"/>
        </w:rPr>
      </w:pPr>
      <w:r w:rsidRPr="002620E0">
        <w:rPr>
          <w:rFonts w:eastAsiaTheme="minorEastAsia"/>
          <w:sz w:val="20"/>
          <w:szCs w:val="20"/>
        </w:rPr>
        <w:t>Next, the permeability</w:t>
      </w:r>
      <w:r w:rsidR="004B4BF4">
        <w:rPr>
          <w:rFonts w:eastAsiaTheme="minorEastAsia"/>
          <w:sz w:val="20"/>
          <w:szCs w:val="20"/>
        </w:rPr>
        <w:t xml:space="preserve"> (P)</w:t>
      </w:r>
      <w:r w:rsidRPr="002620E0">
        <w:rPr>
          <w:rFonts w:eastAsiaTheme="minorEastAsia"/>
          <w:sz w:val="20"/>
          <w:szCs w:val="20"/>
        </w:rPr>
        <w:t xml:space="preserve"> was calculated for each compound using the following formula:</w:t>
      </w:r>
    </w:p>
    <w:p w14:paraId="1551FA2D" w14:textId="77777777" w:rsidR="00A9566A" w:rsidRPr="00A64178" w:rsidRDefault="00A9566A" w:rsidP="00A9566A">
      <w:pPr>
        <w:spacing w:line="360" w:lineRule="auto"/>
        <w:jc w:val="both"/>
        <w:rPr>
          <w:rFonts w:eastAsiaTheme="minorEastAsia"/>
        </w:rPr>
      </w:pPr>
      <m:oMathPara>
        <m:oMath>
          <m:r>
            <w:rPr>
              <w:rFonts w:ascii="Cambria Math" w:hAnsi="Cambria Math"/>
            </w:rPr>
            <m:t xml:space="preserve">P= </m:t>
          </m:r>
          <m:f>
            <m:fPr>
              <m:ctrlPr>
                <w:rPr>
                  <w:rFonts w:ascii="Cambria Math" w:hAnsi="Cambria Math"/>
                  <w:i/>
                </w:rPr>
              </m:ctrlPr>
            </m:fPr>
            <m:num>
              <m:f>
                <m:fPr>
                  <m:type m:val="skw"/>
                  <m:ctrlPr>
                    <w:rPr>
                      <w:rFonts w:ascii="Cambria Math" w:hAnsi="Cambria Math"/>
                      <w:i/>
                    </w:rPr>
                  </m:ctrlPr>
                </m:fPr>
                <m:num>
                  <m:sSub>
                    <m:sSubPr>
                      <m:ctrlPr>
                        <w:rPr>
                          <w:rFonts w:ascii="Cambria Math" w:hAnsi="Cambria Math"/>
                          <w:i/>
                        </w:rPr>
                      </m:ctrlPr>
                    </m:sSubPr>
                    <m:e>
                      <m:r>
                        <m:rPr>
                          <m:sty m:val="p"/>
                        </m:rPr>
                        <w:rPr>
                          <w:rFonts w:ascii="Cambria Math" w:hAnsi="Cambria Math" w:cstheme="minorHAnsi"/>
                        </w:rPr>
                        <m:t>Δ</m:t>
                      </m:r>
                      <m:r>
                        <m:rPr>
                          <m:sty m:val="p"/>
                        </m:rPr>
                        <w:rPr>
                          <w:rFonts w:ascii="Cambria Math" w:hAnsi="Cambria Math"/>
                        </w:rPr>
                        <m:t>Q</m:t>
                      </m:r>
                    </m:e>
                    <m:sub>
                      <m:r>
                        <w:rPr>
                          <w:rFonts w:ascii="Cambria Math" w:hAnsi="Cambria Math"/>
                        </w:rPr>
                        <m:t>n</m:t>
                      </m:r>
                    </m:sub>
                  </m:sSub>
                </m:num>
                <m:den>
                  <m:r>
                    <m:rPr>
                      <m:sty m:val="p"/>
                    </m:rPr>
                    <w:rPr>
                      <w:rFonts w:ascii="Cambria Math" w:hAnsi="Cambria Math" w:cstheme="minorHAnsi"/>
                    </w:rPr>
                    <m:t>Δ</m:t>
                  </m:r>
                  <m:r>
                    <m:rPr>
                      <m:sty m:val="p"/>
                    </m:rPr>
                    <w:rPr>
                      <w:rFonts w:ascii="Cambria Math" w:hAnsi="Cambria Math"/>
                    </w:rPr>
                    <m:t>t</m:t>
                  </m:r>
                </m:den>
              </m:f>
            </m:num>
            <m:den>
              <m:r>
                <w:rPr>
                  <w:rFonts w:ascii="Cambria Math" w:hAnsi="Cambria Math"/>
                </w:rPr>
                <m:t xml:space="preserve">A* </m:t>
              </m:r>
              <m:sSub>
                <m:sSubPr>
                  <m:ctrlPr>
                    <w:rPr>
                      <w:rFonts w:ascii="Cambria Math" w:hAnsi="Cambria Math"/>
                      <w:i/>
                    </w:rPr>
                  </m:ctrlPr>
                </m:sSubPr>
                <m:e>
                  <m:r>
                    <w:rPr>
                      <w:rFonts w:ascii="Cambria Math" w:hAnsi="Cambria Math"/>
                    </w:rPr>
                    <m:t>C</m:t>
                  </m:r>
                </m:e>
                <m:sub>
                  <m:r>
                    <w:rPr>
                      <w:rFonts w:ascii="Cambria Math" w:hAnsi="Cambria Math"/>
                    </w:rPr>
                    <m:t>0</m:t>
                  </m:r>
                </m:sub>
              </m:sSub>
            </m:den>
          </m:f>
        </m:oMath>
      </m:oMathPara>
    </w:p>
    <w:p w14:paraId="04F73BBC" w14:textId="2820F223" w:rsidR="00A9566A" w:rsidRPr="002620E0" w:rsidRDefault="00A9566A" w:rsidP="00A9566A">
      <w:pPr>
        <w:spacing w:line="360" w:lineRule="auto"/>
        <w:jc w:val="both"/>
        <w:rPr>
          <w:rFonts w:eastAsiaTheme="minorEastAsia" w:cstheme="minorHAnsi"/>
          <w:sz w:val="20"/>
          <w:szCs w:val="20"/>
        </w:rPr>
      </w:pPr>
      <w:r w:rsidRPr="002620E0">
        <w:rPr>
          <w:rFonts w:eastAsiaTheme="minorEastAsia"/>
          <w:sz w:val="20"/>
          <w:szCs w:val="20"/>
        </w:rPr>
        <w:t xml:space="preserve">where </w:t>
      </w:r>
      <w:proofErr w:type="spellStart"/>
      <w:r w:rsidRPr="002620E0">
        <w:rPr>
          <w:rFonts w:eastAsiaTheme="minorEastAsia" w:cstheme="minorHAnsi"/>
          <w:sz w:val="20"/>
          <w:szCs w:val="20"/>
        </w:rPr>
        <w:t>ΔQn</w:t>
      </w:r>
      <w:proofErr w:type="spellEnd"/>
      <w:r w:rsidRPr="002620E0">
        <w:rPr>
          <w:rFonts w:eastAsiaTheme="minorEastAsia" w:cstheme="minorHAnsi"/>
          <w:sz w:val="20"/>
          <w:szCs w:val="20"/>
        </w:rPr>
        <w:t xml:space="preserve">/ </w:t>
      </w:r>
      <w:proofErr w:type="spellStart"/>
      <w:r w:rsidRPr="002620E0">
        <w:rPr>
          <w:rFonts w:eastAsiaTheme="minorEastAsia" w:cstheme="minorHAnsi"/>
          <w:sz w:val="20"/>
          <w:szCs w:val="20"/>
        </w:rPr>
        <w:t>Δt</w:t>
      </w:r>
      <w:proofErr w:type="spellEnd"/>
      <w:r w:rsidRPr="002620E0">
        <w:rPr>
          <w:rFonts w:eastAsiaTheme="minorEastAsia" w:cstheme="minorHAnsi"/>
          <w:sz w:val="20"/>
          <w:szCs w:val="20"/>
        </w:rPr>
        <w:t xml:space="preserve"> is the rate of transport of the compound</w:t>
      </w:r>
      <w:r w:rsidR="00D61E40">
        <w:rPr>
          <w:rFonts w:eastAsiaTheme="minorEastAsia" w:cstheme="minorHAnsi"/>
          <w:sz w:val="20"/>
          <w:szCs w:val="20"/>
        </w:rPr>
        <w:t xml:space="preserve"> (</w:t>
      </w:r>
      <w:proofErr w:type="spellStart"/>
      <w:r w:rsidR="00A11EE2" w:rsidRPr="00A11EE2">
        <w:rPr>
          <w:rFonts w:eastAsiaTheme="minorEastAsia" w:cstheme="minorHAnsi"/>
          <w:sz w:val="20"/>
          <w:szCs w:val="20"/>
        </w:rPr>
        <w:t>ΔQn</w:t>
      </w:r>
      <w:proofErr w:type="spellEnd"/>
      <w:r w:rsidR="00A11EE2" w:rsidRPr="00A11EE2">
        <w:rPr>
          <w:rFonts w:eastAsiaTheme="minorEastAsia" w:cstheme="minorHAnsi"/>
          <w:sz w:val="20"/>
          <w:szCs w:val="20"/>
        </w:rPr>
        <w:t xml:space="preserve">) </w:t>
      </w:r>
      <w:r w:rsidRPr="002620E0">
        <w:rPr>
          <w:rFonts w:eastAsiaTheme="minorEastAsia" w:cstheme="minorHAnsi"/>
          <w:sz w:val="20"/>
          <w:szCs w:val="20"/>
        </w:rPr>
        <w:t xml:space="preserve"> over time </w:t>
      </w:r>
      <w:r w:rsidR="00CA66D5">
        <w:rPr>
          <w:rFonts w:eastAsiaTheme="minorEastAsia" w:cstheme="minorHAnsi"/>
          <w:sz w:val="20"/>
          <w:szCs w:val="20"/>
        </w:rPr>
        <w:t>(</w:t>
      </w:r>
      <w:proofErr w:type="spellStart"/>
      <w:r w:rsidR="00CA66D5">
        <w:rPr>
          <w:rFonts w:eastAsiaTheme="minorEastAsia" w:cstheme="minorHAnsi"/>
          <w:sz w:val="20"/>
          <w:szCs w:val="20"/>
        </w:rPr>
        <w:t>Δt</w:t>
      </w:r>
      <w:proofErr w:type="spellEnd"/>
      <w:r w:rsidR="00CA66D5">
        <w:rPr>
          <w:rFonts w:eastAsiaTheme="minorEastAsia" w:cstheme="minorHAnsi"/>
          <w:sz w:val="20"/>
          <w:szCs w:val="20"/>
        </w:rPr>
        <w:t xml:space="preserve">) </w:t>
      </w:r>
      <w:r w:rsidRPr="002620E0">
        <w:rPr>
          <w:rFonts w:eastAsiaTheme="minorEastAsia" w:cstheme="minorHAnsi"/>
          <w:sz w:val="20"/>
          <w:szCs w:val="20"/>
        </w:rPr>
        <w:t xml:space="preserve">across the layer (calculated for inserts with and without BeWo b30 cells) at timepoint </w:t>
      </w:r>
      <w:proofErr w:type="spellStart"/>
      <w:r w:rsidRPr="002620E0">
        <w:rPr>
          <w:rFonts w:eastAsiaTheme="minorEastAsia" w:cstheme="minorHAnsi"/>
          <w:sz w:val="20"/>
          <w:szCs w:val="20"/>
        </w:rPr>
        <w:t>tn</w:t>
      </w:r>
      <w:proofErr w:type="spellEnd"/>
      <w:r w:rsidRPr="002620E0">
        <w:rPr>
          <w:rFonts w:eastAsiaTheme="minorEastAsia" w:cstheme="minorHAnsi"/>
          <w:sz w:val="20"/>
          <w:szCs w:val="20"/>
        </w:rPr>
        <w:t>, A is the surface area of the membrane of the insert (0.59 cm2) and C</w:t>
      </w:r>
      <w:r w:rsidRPr="002620E0">
        <w:rPr>
          <w:rFonts w:eastAsiaTheme="minorEastAsia" w:cstheme="minorHAnsi"/>
          <w:sz w:val="20"/>
          <w:szCs w:val="20"/>
          <w:vertAlign w:val="subscript"/>
        </w:rPr>
        <w:t>0</w:t>
      </w:r>
      <w:r w:rsidRPr="002620E0">
        <w:rPr>
          <w:rFonts w:eastAsiaTheme="minorEastAsia" w:cstheme="minorHAnsi"/>
          <w:sz w:val="20"/>
          <w:szCs w:val="20"/>
        </w:rPr>
        <w:t xml:space="preserve"> is the initial concentration present in the donor side. </w:t>
      </w:r>
    </w:p>
    <w:p w14:paraId="1BBB554B" w14:textId="77777777" w:rsidR="00A9566A" w:rsidRPr="002620E0" w:rsidRDefault="00A9566A" w:rsidP="00A9566A">
      <w:pPr>
        <w:spacing w:line="360" w:lineRule="auto"/>
        <w:ind w:firstLine="720"/>
        <w:jc w:val="both"/>
        <w:rPr>
          <w:rFonts w:eastAsiaTheme="minorEastAsia" w:cstheme="minorHAnsi"/>
          <w:sz w:val="20"/>
          <w:szCs w:val="20"/>
        </w:rPr>
      </w:pPr>
      <w:r w:rsidRPr="002620E0">
        <w:rPr>
          <w:rFonts w:eastAsiaTheme="minorEastAsia" w:cstheme="minorHAnsi"/>
          <w:sz w:val="20"/>
          <w:szCs w:val="20"/>
        </w:rPr>
        <w:t xml:space="preserve">Finally, the permeability in the blank experiments and the experiments with BeWo b30 cells were used in the following equation to calculate the apparent permeability across the BeWo b30 cells alone: </w:t>
      </w:r>
    </w:p>
    <w:p w14:paraId="7CC3E859" w14:textId="77777777" w:rsidR="00A9566A" w:rsidRPr="00A64178" w:rsidRDefault="00121BD6" w:rsidP="00A9566A">
      <w:pPr>
        <w:spacing w:line="360" w:lineRule="auto"/>
        <w:jc w:val="both"/>
      </w:pPr>
      <m:oMathPara>
        <m:oMath>
          <m:sSub>
            <m:sSubPr>
              <m:ctrlPr>
                <w:rPr>
                  <w:rFonts w:ascii="Cambria Math" w:hAnsi="Cambria Math"/>
                  <w:i/>
                </w:rPr>
              </m:ctrlPr>
            </m:sSubPr>
            <m:e>
              <m:r>
                <w:rPr>
                  <w:rFonts w:ascii="Cambria Math" w:hAnsi="Cambria Math"/>
                </w:rPr>
                <m:t>P</m:t>
              </m:r>
            </m:e>
            <m:sub>
              <m:r>
                <w:rPr>
                  <w:rFonts w:ascii="Cambria Math" w:hAnsi="Cambria Math"/>
                </w:rPr>
                <m:t>e</m:t>
              </m:r>
            </m:sub>
          </m:sSub>
          <m:r>
            <w:rPr>
              <w:rFonts w:ascii="Cambria Math" w:hAnsi="Cambria Math"/>
            </w:rPr>
            <m:t xml:space="preserve">= </m:t>
          </m:r>
          <m:f>
            <m:fPr>
              <m:ctrlPr>
                <w:rPr>
                  <w:rFonts w:ascii="Cambria Math" w:hAnsi="Cambria Math"/>
                  <w:i/>
                </w:rPr>
              </m:ctrlPr>
            </m:fPr>
            <m:num>
              <m:r>
                <w:rPr>
                  <w:rFonts w:ascii="Cambria Math" w:hAnsi="Cambria Math"/>
                </w:rPr>
                <m:t>1</m:t>
              </m:r>
            </m:num>
            <m:den>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P</m:t>
                          </m:r>
                        </m:e>
                        <m:sub>
                          <m:r>
                            <w:rPr>
                              <w:rFonts w:ascii="Cambria Math" w:hAnsi="Cambria Math"/>
                            </w:rPr>
                            <m:t>c</m:t>
                          </m:r>
                        </m:sub>
                      </m:sSub>
                    </m:den>
                  </m:f>
                  <m:r>
                    <w:rPr>
                      <w:rFonts w:ascii="Cambria Math" w:hAnsi="Cambria Math"/>
                    </w:rPr>
                    <m:t>-</m:t>
                  </m:r>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P</m:t>
                          </m:r>
                        </m:e>
                        <m:sub>
                          <m:r>
                            <w:rPr>
                              <w:rFonts w:ascii="Cambria Math" w:hAnsi="Cambria Math"/>
                            </w:rPr>
                            <m:t>b</m:t>
                          </m:r>
                        </m:sub>
                      </m:sSub>
                    </m:den>
                  </m:f>
                  <m:r>
                    <w:rPr>
                      <w:rFonts w:ascii="Cambria Math" w:hAnsi="Cambria Math"/>
                    </w:rPr>
                    <m:t xml:space="preserve"> </m:t>
                  </m:r>
                </m:e>
              </m:d>
            </m:den>
          </m:f>
        </m:oMath>
      </m:oMathPara>
    </w:p>
    <w:p w14:paraId="02B590D4" w14:textId="3B676521" w:rsidR="00A9566A" w:rsidRPr="002620E0" w:rsidRDefault="00A9566A" w:rsidP="00A9566A">
      <w:pPr>
        <w:spacing w:line="360" w:lineRule="auto"/>
        <w:jc w:val="both"/>
        <w:rPr>
          <w:sz w:val="20"/>
          <w:szCs w:val="20"/>
        </w:rPr>
      </w:pPr>
      <w:r w:rsidRPr="002620E0">
        <w:rPr>
          <w:sz w:val="20"/>
          <w:szCs w:val="20"/>
        </w:rPr>
        <w:t>where Pe is the ap</w:t>
      </w:r>
      <w:r w:rsidR="00E37313">
        <w:rPr>
          <w:sz w:val="20"/>
          <w:szCs w:val="20"/>
        </w:rPr>
        <w:t>p</w:t>
      </w:r>
      <w:r w:rsidRPr="002620E0">
        <w:rPr>
          <w:sz w:val="20"/>
          <w:szCs w:val="20"/>
        </w:rPr>
        <w:t xml:space="preserve">arent permeability across the BeWo b30 cells, Pb the permeability across the blank inserts (without cells) and Pc is the permeability across the inserts with BeWo b30 cells. </w:t>
      </w:r>
    </w:p>
    <w:p w14:paraId="1E525882" w14:textId="77777777" w:rsidR="008D2770" w:rsidRDefault="008D2770">
      <w:r>
        <w:br w:type="page"/>
      </w:r>
    </w:p>
    <w:p w14:paraId="1CAC40EF" w14:textId="2215BE60" w:rsidR="008D2770" w:rsidRPr="002620E0" w:rsidRDefault="008D2770">
      <w:pPr>
        <w:rPr>
          <w:b/>
          <w:bCs/>
          <w:sz w:val="20"/>
          <w:szCs w:val="20"/>
        </w:rPr>
      </w:pPr>
      <w:r w:rsidRPr="002620E0">
        <w:rPr>
          <w:b/>
          <w:bCs/>
          <w:sz w:val="20"/>
          <w:szCs w:val="20"/>
        </w:rPr>
        <w:lastRenderedPageBreak/>
        <w:t xml:space="preserve">Correction method for thalidomide degradation </w:t>
      </w:r>
    </w:p>
    <w:p w14:paraId="37351EAD" w14:textId="51C6F8AE" w:rsidR="008D2770" w:rsidRPr="002620E0" w:rsidRDefault="008D2770" w:rsidP="008D2770">
      <w:pPr>
        <w:spacing w:line="360" w:lineRule="auto"/>
        <w:ind w:firstLine="720"/>
        <w:jc w:val="both"/>
        <w:rPr>
          <w:sz w:val="20"/>
          <w:szCs w:val="20"/>
        </w:rPr>
      </w:pPr>
      <w:r w:rsidRPr="002620E0">
        <w:rPr>
          <w:sz w:val="20"/>
          <w:szCs w:val="20"/>
        </w:rPr>
        <w:t xml:space="preserve">The measured concentrations of thalidomide were plotted on a natural logarithmic scale. Next, a linear regression analysis was performed on this data and a Pearsons correlation coefficient as well as an equation describing the linear regression was retrieved in the following </w:t>
      </w:r>
      <w:r w:rsidR="002B6757" w:rsidRPr="002620E0">
        <w:rPr>
          <w:sz w:val="20"/>
          <w:szCs w:val="20"/>
        </w:rPr>
        <w:t>f</w:t>
      </w:r>
      <w:r w:rsidR="002B6757">
        <w:rPr>
          <w:sz w:val="20"/>
          <w:szCs w:val="20"/>
        </w:rPr>
        <w:t>or</w:t>
      </w:r>
      <w:r w:rsidR="002B6757" w:rsidRPr="002620E0">
        <w:rPr>
          <w:sz w:val="20"/>
          <w:szCs w:val="20"/>
        </w:rPr>
        <w:t>m</w:t>
      </w:r>
      <w:r w:rsidRPr="002620E0">
        <w:rPr>
          <w:sz w:val="20"/>
          <w:szCs w:val="20"/>
        </w:rPr>
        <w:t>:</w:t>
      </w:r>
    </w:p>
    <w:p w14:paraId="0BE6965D" w14:textId="77777777" w:rsidR="008D2770" w:rsidRPr="002620E0" w:rsidRDefault="008D2770" w:rsidP="008D2770">
      <w:pPr>
        <w:spacing w:line="360" w:lineRule="auto"/>
        <w:jc w:val="both"/>
        <w:rPr>
          <w:sz w:val="20"/>
          <w:szCs w:val="20"/>
        </w:rPr>
      </w:pPr>
      <m:oMathPara>
        <m:oMath>
          <m:r>
            <w:rPr>
              <w:rFonts w:ascii="Cambria Math" w:hAnsi="Cambria Math"/>
              <w:sz w:val="20"/>
              <w:szCs w:val="20"/>
            </w:rPr>
            <m:t xml:space="preserve">Ln (y) = Ax + B </m:t>
          </m:r>
        </m:oMath>
      </m:oMathPara>
    </w:p>
    <w:p w14:paraId="28231426" w14:textId="77777777" w:rsidR="008D2770" w:rsidRPr="002620E0" w:rsidRDefault="008D2770" w:rsidP="008D2770">
      <w:pPr>
        <w:spacing w:line="360" w:lineRule="auto"/>
        <w:jc w:val="both"/>
        <w:rPr>
          <w:sz w:val="20"/>
          <w:szCs w:val="20"/>
        </w:rPr>
      </w:pPr>
      <w:r w:rsidRPr="002620E0">
        <w:rPr>
          <w:sz w:val="20"/>
          <w:szCs w:val="20"/>
        </w:rPr>
        <w:t>Where Ln(y) represents Ln-transformed concentration of thalidomide and x the time of the experiment in minutes. This equation was used to calculate the total loss of thalidomide for each timepoint. Subsequently, the values were back transformed using Euler’s number as follows:</w:t>
      </w:r>
    </w:p>
    <w:p w14:paraId="64C8CFA4" w14:textId="77777777" w:rsidR="008D2770" w:rsidRPr="002620E0" w:rsidRDefault="008D2770" w:rsidP="008D2770">
      <w:pPr>
        <w:spacing w:line="360" w:lineRule="auto"/>
        <w:jc w:val="both"/>
        <w:rPr>
          <w:rFonts w:eastAsiaTheme="minorEastAsia"/>
          <w:sz w:val="20"/>
          <w:szCs w:val="20"/>
        </w:rPr>
      </w:pPr>
      <m:oMathPara>
        <m:oMath>
          <m:r>
            <w:rPr>
              <w:rFonts w:ascii="Cambria Math" w:hAnsi="Cambria Math"/>
              <w:sz w:val="20"/>
              <w:szCs w:val="20"/>
            </w:rPr>
            <m:t xml:space="preserve">C (x) = </m:t>
          </m:r>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(y)</m:t>
              </m:r>
            </m:sup>
          </m:sSup>
        </m:oMath>
      </m:oMathPara>
    </w:p>
    <w:p w14:paraId="06D2BE9E" w14:textId="77777777" w:rsidR="008D2770" w:rsidRPr="002620E0" w:rsidRDefault="008D2770" w:rsidP="008D2770">
      <w:pPr>
        <w:spacing w:line="360" w:lineRule="auto"/>
        <w:jc w:val="both"/>
        <w:rPr>
          <w:rFonts w:eastAsiaTheme="minorEastAsia"/>
          <w:sz w:val="20"/>
          <w:szCs w:val="20"/>
        </w:rPr>
      </w:pPr>
      <w:r w:rsidRPr="002620E0">
        <w:rPr>
          <w:rFonts w:eastAsiaTheme="minorEastAsia"/>
          <w:sz w:val="20"/>
          <w:szCs w:val="20"/>
        </w:rPr>
        <w:t xml:space="preserve">Where C (x) is the concentration of thalidomide at timepoint x, e represents Euler’s number, and y is the Ln-transformed concentration of thalidomide at timepoint x. This value was used to calculate the percentage of compound left as compared to t=0 for each time point. This percentage was used to determine the concentration that would have been present at each time point if no hydrolysis had occurred. </w:t>
      </w:r>
    </w:p>
    <w:p w14:paraId="20AABEB8" w14:textId="3F403133" w:rsidR="00B12B7B" w:rsidRDefault="00B12B7B">
      <w:r>
        <w:br w:type="page"/>
      </w:r>
    </w:p>
    <w:p w14:paraId="2669C0D4" w14:textId="7614F6FB" w:rsidR="00AB7BAF" w:rsidRPr="002620E0" w:rsidRDefault="006801A8" w:rsidP="006801A8">
      <w:pPr>
        <w:spacing w:line="360" w:lineRule="auto"/>
        <w:jc w:val="both"/>
        <w:rPr>
          <w:rFonts w:eastAsiaTheme="minorEastAsia"/>
          <w:b/>
          <w:bCs/>
          <w:sz w:val="20"/>
          <w:szCs w:val="20"/>
        </w:rPr>
      </w:pPr>
      <w:r w:rsidRPr="002620E0">
        <w:rPr>
          <w:rFonts w:eastAsiaTheme="minorEastAsia"/>
          <w:b/>
          <w:bCs/>
          <w:sz w:val="20"/>
          <w:szCs w:val="20"/>
        </w:rPr>
        <w:lastRenderedPageBreak/>
        <w:t>Calculations for the Transfer index values and relative transfer rates</w:t>
      </w:r>
    </w:p>
    <w:p w14:paraId="5C3E4895" w14:textId="0BE4F262" w:rsidR="00AB7BAF" w:rsidRPr="002620E0" w:rsidRDefault="00AB7BAF" w:rsidP="00AB7BAF">
      <w:pPr>
        <w:spacing w:line="360" w:lineRule="auto"/>
        <w:ind w:firstLine="720"/>
        <w:jc w:val="both"/>
        <w:rPr>
          <w:rFonts w:eastAsiaTheme="minorEastAsia"/>
          <w:sz w:val="20"/>
          <w:szCs w:val="20"/>
        </w:rPr>
      </w:pPr>
      <w:r w:rsidRPr="002620E0">
        <w:rPr>
          <w:rFonts w:eastAsiaTheme="minorEastAsia"/>
          <w:sz w:val="20"/>
          <w:szCs w:val="20"/>
        </w:rPr>
        <w:t>The relative transfer rate was calculated using data from the 60 minutes timepoint. The formula used to calculate this is as follows:</w:t>
      </w:r>
    </w:p>
    <w:p w14:paraId="5C7373A3" w14:textId="77777777" w:rsidR="00AB7BAF" w:rsidRPr="00A64178" w:rsidRDefault="00121BD6" w:rsidP="00AB7BAF">
      <w:pPr>
        <w:spacing w:line="360" w:lineRule="auto"/>
        <w:jc w:val="both"/>
        <w:rPr>
          <w:rFonts w:eastAsiaTheme="minorEastAsia"/>
        </w:rPr>
      </w:pPr>
      <m:oMathPara>
        <m:oMath>
          <m:f>
            <m:fPr>
              <m:ctrlPr>
                <w:rPr>
                  <w:rFonts w:ascii="Cambria Math" w:eastAsiaTheme="minorEastAsia" w:hAnsi="Cambria Math"/>
                  <w:i/>
                  <w:iCs/>
                  <w:lang w:val="nl-NL"/>
                </w:rPr>
              </m:ctrlPr>
            </m:fPr>
            <m:num>
              <m:sSub>
                <m:sSubPr>
                  <m:ctrlPr>
                    <w:rPr>
                      <w:rFonts w:ascii="Cambria Math" w:eastAsiaTheme="minorEastAsia" w:hAnsi="Cambria Math"/>
                      <w:i/>
                      <w:iCs/>
                      <w:lang w:val="nl-NL"/>
                    </w:rPr>
                  </m:ctrlPr>
                </m:sSubPr>
                <m:e>
                  <m:r>
                    <w:rPr>
                      <w:rFonts w:ascii="Cambria Math" w:eastAsiaTheme="minorEastAsia" w:hAnsi="Cambria Math"/>
                      <w:lang w:val="nl-NL"/>
                    </w:rPr>
                    <m:t>A</m:t>
                  </m:r>
                </m:e>
                <m:sub>
                  <m:r>
                    <w:rPr>
                      <w:rFonts w:ascii="Cambria Math" w:eastAsiaTheme="minorEastAsia" w:hAnsi="Cambria Math"/>
                      <w:lang w:val="nl-NL"/>
                    </w:rPr>
                    <m:t>f</m:t>
                  </m:r>
                  <m:r>
                    <w:rPr>
                      <w:rFonts w:ascii="Cambria Math" w:eastAsiaTheme="minorEastAsia" w:hAnsi="Cambria Math"/>
                      <w:lang w:val="nl-NL"/>
                    </w:rPr>
                    <m:t>,</m:t>
                  </m:r>
                  <m:r>
                    <w:rPr>
                      <w:rFonts w:ascii="Cambria Math" w:eastAsiaTheme="minorEastAsia" w:hAnsi="Cambria Math"/>
                      <w:lang w:val="nl-NL"/>
                    </w:rPr>
                    <m:t>x</m:t>
                  </m:r>
                </m:sub>
              </m:sSub>
              <m:r>
                <w:rPr>
                  <w:rFonts w:ascii="Cambria Math" w:eastAsiaTheme="minorEastAsia" w:hAnsi="Cambria Math"/>
                  <w:lang w:val="nl-NL"/>
                </w:rPr>
                <m:t> </m:t>
              </m:r>
              <m:d>
                <m:dPr>
                  <m:ctrlPr>
                    <w:rPr>
                      <w:rFonts w:ascii="Cambria Math" w:eastAsiaTheme="minorEastAsia" w:hAnsi="Cambria Math"/>
                      <w:i/>
                      <w:iCs/>
                      <w:lang w:val="nl-NL"/>
                    </w:rPr>
                  </m:ctrlPr>
                </m:dPr>
                <m:e>
                  <m:r>
                    <w:rPr>
                      <w:rFonts w:ascii="Cambria Math" w:eastAsiaTheme="minorEastAsia" w:hAnsi="Cambria Math"/>
                      <w:lang w:val="nl-NL"/>
                    </w:rPr>
                    <m:t>t</m:t>
                  </m:r>
                </m:e>
              </m:d>
              <m:r>
                <w:rPr>
                  <w:rFonts w:ascii="Cambria Math" w:eastAsiaTheme="minorEastAsia" w:hAnsi="Cambria Math"/>
                  <w:lang w:val="nl-NL"/>
                </w:rPr>
                <m:t> * </m:t>
              </m:r>
              <m:sSub>
                <m:sSubPr>
                  <m:ctrlPr>
                    <w:rPr>
                      <w:rFonts w:ascii="Cambria Math" w:eastAsiaTheme="minorEastAsia" w:hAnsi="Cambria Math"/>
                      <w:i/>
                      <w:iCs/>
                      <w:lang w:val="nl-NL"/>
                    </w:rPr>
                  </m:ctrlPr>
                </m:sSubPr>
                <m:e>
                  <m:r>
                    <w:rPr>
                      <w:rFonts w:ascii="Cambria Math" w:eastAsiaTheme="minorEastAsia" w:hAnsi="Cambria Math"/>
                      <w:lang w:val="nl-NL"/>
                    </w:rPr>
                    <m:t>A</m:t>
                  </m:r>
                </m:e>
                <m:sub>
                  <m:r>
                    <w:rPr>
                      <w:rFonts w:ascii="Cambria Math" w:eastAsiaTheme="minorEastAsia" w:hAnsi="Cambria Math"/>
                      <w:lang w:val="nl-NL"/>
                    </w:rPr>
                    <m:t>m</m:t>
                  </m:r>
                  <m:r>
                    <w:rPr>
                      <w:rFonts w:ascii="Cambria Math" w:eastAsiaTheme="minorEastAsia" w:hAnsi="Cambria Math"/>
                      <w:lang w:val="nl-NL"/>
                    </w:rPr>
                    <m:t>,</m:t>
                  </m:r>
                  <m:r>
                    <w:rPr>
                      <w:rFonts w:ascii="Cambria Math" w:eastAsiaTheme="minorEastAsia" w:hAnsi="Cambria Math"/>
                      <w:lang w:val="nl-NL"/>
                    </w:rPr>
                    <m:t>ap</m:t>
                  </m:r>
                </m:sub>
              </m:sSub>
              <m:r>
                <w:rPr>
                  <w:rFonts w:ascii="Cambria Math" w:eastAsiaTheme="minorEastAsia" w:hAnsi="Cambria Math"/>
                  <w:lang w:val="nl-NL"/>
                </w:rPr>
                <m:t xml:space="preserve"> (</m:t>
              </m:r>
              <m:r>
                <w:rPr>
                  <w:rFonts w:ascii="Cambria Math" w:eastAsiaTheme="minorEastAsia" w:hAnsi="Cambria Math"/>
                  <w:lang w:val="nl-NL"/>
                </w:rPr>
                <m:t>t</m:t>
              </m:r>
              <m:r>
                <w:rPr>
                  <w:rFonts w:ascii="Cambria Math" w:eastAsiaTheme="minorEastAsia" w:hAnsi="Cambria Math"/>
                  <w:lang w:val="nl-NL"/>
                </w:rPr>
                <m:t>=0)</m:t>
              </m:r>
            </m:num>
            <m:den>
              <m:sSub>
                <m:sSubPr>
                  <m:ctrlPr>
                    <w:rPr>
                      <w:rFonts w:ascii="Cambria Math" w:eastAsiaTheme="minorEastAsia" w:hAnsi="Cambria Math"/>
                      <w:i/>
                      <w:iCs/>
                      <w:lang w:val="nl-NL"/>
                    </w:rPr>
                  </m:ctrlPr>
                </m:sSubPr>
                <m:e>
                  <m:r>
                    <w:rPr>
                      <w:rFonts w:ascii="Cambria Math" w:eastAsiaTheme="minorEastAsia" w:hAnsi="Cambria Math"/>
                      <w:lang w:val="nl-NL"/>
                    </w:rPr>
                    <m:t>A</m:t>
                  </m:r>
                </m:e>
                <m:sub>
                  <m:r>
                    <w:rPr>
                      <w:rFonts w:ascii="Cambria Math" w:eastAsiaTheme="minorEastAsia" w:hAnsi="Cambria Math"/>
                      <w:lang w:val="nl-NL"/>
                    </w:rPr>
                    <m:t>f</m:t>
                  </m:r>
                  <m:r>
                    <w:rPr>
                      <w:rFonts w:ascii="Cambria Math" w:eastAsiaTheme="minorEastAsia" w:hAnsi="Cambria Math"/>
                      <w:lang w:val="nl-NL"/>
                    </w:rPr>
                    <m:t>,</m:t>
                  </m:r>
                  <m:r>
                    <w:rPr>
                      <w:rFonts w:ascii="Cambria Math" w:eastAsiaTheme="minorEastAsia" w:hAnsi="Cambria Math"/>
                      <w:lang w:val="nl-NL"/>
                    </w:rPr>
                    <m:t>ap</m:t>
                  </m:r>
                </m:sub>
              </m:sSub>
              <m:r>
                <w:rPr>
                  <w:rFonts w:ascii="Cambria Math" w:eastAsiaTheme="minorEastAsia" w:hAnsi="Cambria Math"/>
                  <w:lang w:val="nl-NL"/>
                </w:rPr>
                <m:t xml:space="preserve"> </m:t>
              </m:r>
              <m:d>
                <m:dPr>
                  <m:ctrlPr>
                    <w:rPr>
                      <w:rFonts w:ascii="Cambria Math" w:eastAsiaTheme="minorEastAsia" w:hAnsi="Cambria Math"/>
                      <w:i/>
                      <w:iCs/>
                      <w:lang w:val="nl-NL"/>
                    </w:rPr>
                  </m:ctrlPr>
                </m:dPr>
                <m:e>
                  <m:r>
                    <w:rPr>
                      <w:rFonts w:ascii="Cambria Math" w:eastAsiaTheme="minorEastAsia" w:hAnsi="Cambria Math"/>
                      <w:lang w:val="nl-NL"/>
                    </w:rPr>
                    <m:t>t</m:t>
                  </m:r>
                </m:e>
              </m:d>
              <m:r>
                <w:rPr>
                  <w:rFonts w:ascii="Cambria Math" w:eastAsiaTheme="minorEastAsia" w:hAnsi="Cambria Math"/>
                  <w:lang w:val="nl-NL"/>
                </w:rPr>
                <m:t> *</m:t>
              </m:r>
              <m:sSub>
                <m:sSubPr>
                  <m:ctrlPr>
                    <w:rPr>
                      <w:rFonts w:ascii="Cambria Math" w:eastAsiaTheme="minorEastAsia" w:hAnsi="Cambria Math"/>
                      <w:i/>
                      <w:iCs/>
                      <w:lang w:val="nl-NL"/>
                    </w:rPr>
                  </m:ctrlPr>
                </m:sSubPr>
                <m:e>
                  <m:r>
                    <w:rPr>
                      <w:rFonts w:ascii="Cambria Math" w:eastAsiaTheme="minorEastAsia" w:hAnsi="Cambria Math"/>
                      <w:lang w:val="nl-NL"/>
                    </w:rPr>
                    <m:t>A</m:t>
                  </m:r>
                </m:e>
                <m:sub>
                  <m:r>
                    <w:rPr>
                      <w:rFonts w:ascii="Cambria Math" w:eastAsiaTheme="minorEastAsia" w:hAnsi="Cambria Math"/>
                      <w:lang w:val="nl-NL"/>
                    </w:rPr>
                    <m:t>m</m:t>
                  </m:r>
                  <m:r>
                    <w:rPr>
                      <w:rFonts w:ascii="Cambria Math" w:eastAsiaTheme="minorEastAsia" w:hAnsi="Cambria Math"/>
                      <w:lang w:val="nl-NL"/>
                    </w:rPr>
                    <m:t>,</m:t>
                  </m:r>
                  <m:r>
                    <w:rPr>
                      <w:rFonts w:ascii="Cambria Math" w:eastAsiaTheme="minorEastAsia" w:hAnsi="Cambria Math"/>
                      <w:lang w:val="nl-NL"/>
                    </w:rPr>
                    <m:t>x</m:t>
                  </m:r>
                </m:sub>
              </m:sSub>
              <m:r>
                <w:rPr>
                  <w:rFonts w:ascii="Cambria Math" w:eastAsiaTheme="minorEastAsia" w:hAnsi="Cambria Math"/>
                  <w:lang w:val="nl-NL"/>
                </w:rPr>
                <m:t xml:space="preserve"> (</m:t>
              </m:r>
              <m:r>
                <w:rPr>
                  <w:rFonts w:ascii="Cambria Math" w:eastAsiaTheme="minorEastAsia" w:hAnsi="Cambria Math"/>
                  <w:lang w:val="nl-NL"/>
                </w:rPr>
                <m:t>t</m:t>
              </m:r>
              <m:r>
                <w:rPr>
                  <w:rFonts w:ascii="Cambria Math" w:eastAsiaTheme="minorEastAsia" w:hAnsi="Cambria Math"/>
                  <w:lang w:val="nl-NL"/>
                </w:rPr>
                <m:t>=0)</m:t>
              </m:r>
            </m:den>
          </m:f>
        </m:oMath>
      </m:oMathPara>
    </w:p>
    <w:p w14:paraId="5428298D" w14:textId="77777777" w:rsidR="00AB7BAF" w:rsidRPr="002620E0" w:rsidRDefault="00AB7BAF" w:rsidP="00AB7BAF">
      <w:pPr>
        <w:spacing w:line="360" w:lineRule="auto"/>
        <w:jc w:val="both"/>
        <w:rPr>
          <w:rFonts w:eastAsiaTheme="minorEastAsia"/>
          <w:iCs/>
          <w:sz w:val="20"/>
          <w:szCs w:val="20"/>
        </w:rPr>
      </w:pPr>
      <w:r w:rsidRPr="002620E0">
        <w:rPr>
          <w:sz w:val="20"/>
          <w:szCs w:val="20"/>
        </w:rPr>
        <w:t xml:space="preserve">Where </w:t>
      </w:r>
      <m:oMath>
        <m:sSub>
          <m:sSubPr>
            <m:ctrlPr>
              <w:rPr>
                <w:rFonts w:ascii="Cambria Math" w:eastAsiaTheme="minorEastAsia" w:hAnsi="Cambria Math"/>
                <w:i/>
                <w:iCs/>
                <w:sz w:val="20"/>
                <w:szCs w:val="20"/>
                <w:lang w:val="nl-NL"/>
              </w:rPr>
            </m:ctrlPr>
          </m:sSubPr>
          <m:e>
            <m:r>
              <w:rPr>
                <w:rFonts w:ascii="Cambria Math" w:eastAsiaTheme="minorEastAsia" w:hAnsi="Cambria Math"/>
                <w:sz w:val="20"/>
                <w:szCs w:val="20"/>
                <w:lang w:val="nl-NL"/>
              </w:rPr>
              <m:t>A</m:t>
            </m:r>
          </m:e>
          <m:sub>
            <m:r>
              <w:rPr>
                <w:rFonts w:ascii="Cambria Math" w:eastAsiaTheme="minorEastAsia" w:hAnsi="Cambria Math"/>
                <w:sz w:val="20"/>
                <w:szCs w:val="20"/>
                <w:lang w:val="nl-NL"/>
              </w:rPr>
              <m:t>f</m:t>
            </m:r>
            <m:r>
              <w:rPr>
                <w:rFonts w:ascii="Cambria Math" w:eastAsiaTheme="minorEastAsia" w:hAnsi="Cambria Math"/>
                <w:sz w:val="20"/>
                <w:szCs w:val="20"/>
              </w:rPr>
              <m:t>,</m:t>
            </m:r>
            <m:r>
              <w:rPr>
                <w:rFonts w:ascii="Cambria Math" w:eastAsiaTheme="minorEastAsia" w:hAnsi="Cambria Math"/>
                <w:sz w:val="20"/>
                <w:szCs w:val="20"/>
                <w:lang w:val="nl-NL"/>
              </w:rPr>
              <m:t>x</m:t>
            </m:r>
          </m:sub>
        </m:sSub>
        <m:r>
          <w:rPr>
            <w:rFonts w:ascii="Cambria Math" w:eastAsiaTheme="minorEastAsia" w:hAnsi="Cambria Math"/>
            <w:sz w:val="20"/>
            <w:szCs w:val="20"/>
          </w:rPr>
          <m:t> </m:t>
        </m:r>
        <m:d>
          <m:dPr>
            <m:ctrlPr>
              <w:rPr>
                <w:rFonts w:ascii="Cambria Math" w:eastAsiaTheme="minorEastAsia" w:hAnsi="Cambria Math"/>
                <w:i/>
                <w:iCs/>
                <w:sz w:val="20"/>
                <w:szCs w:val="20"/>
                <w:lang w:val="nl-NL"/>
              </w:rPr>
            </m:ctrlPr>
          </m:dPr>
          <m:e>
            <m:r>
              <w:rPr>
                <w:rFonts w:ascii="Cambria Math" w:eastAsiaTheme="minorEastAsia" w:hAnsi="Cambria Math"/>
                <w:sz w:val="20"/>
                <w:szCs w:val="20"/>
                <w:lang w:val="nl-NL"/>
              </w:rPr>
              <m:t>t</m:t>
            </m:r>
          </m:e>
        </m:d>
      </m:oMath>
      <w:r w:rsidRPr="002620E0">
        <w:rPr>
          <w:rFonts w:eastAsiaTheme="minorEastAsia"/>
          <w:iCs/>
          <w:sz w:val="20"/>
          <w:szCs w:val="20"/>
        </w:rPr>
        <w:t xml:space="preserve"> and </w:t>
      </w:r>
      <m:oMath>
        <m:sSub>
          <m:sSubPr>
            <m:ctrlPr>
              <w:rPr>
                <w:rFonts w:ascii="Cambria Math" w:eastAsiaTheme="minorEastAsia" w:hAnsi="Cambria Math"/>
                <w:i/>
                <w:iCs/>
                <w:sz w:val="20"/>
                <w:szCs w:val="20"/>
                <w:lang w:val="nl-NL"/>
              </w:rPr>
            </m:ctrlPr>
          </m:sSubPr>
          <m:e>
            <m:r>
              <w:rPr>
                <w:rFonts w:ascii="Cambria Math" w:eastAsiaTheme="minorEastAsia" w:hAnsi="Cambria Math"/>
                <w:sz w:val="20"/>
                <w:szCs w:val="20"/>
                <w:lang w:val="nl-NL"/>
              </w:rPr>
              <m:t>A</m:t>
            </m:r>
          </m:e>
          <m:sub>
            <m:r>
              <w:rPr>
                <w:rFonts w:ascii="Cambria Math" w:eastAsiaTheme="minorEastAsia" w:hAnsi="Cambria Math"/>
                <w:sz w:val="20"/>
                <w:szCs w:val="20"/>
                <w:lang w:val="nl-NL"/>
              </w:rPr>
              <m:t>f</m:t>
            </m:r>
            <m:r>
              <w:rPr>
                <w:rFonts w:ascii="Cambria Math" w:eastAsiaTheme="minorEastAsia" w:hAnsi="Cambria Math"/>
                <w:sz w:val="20"/>
                <w:szCs w:val="20"/>
              </w:rPr>
              <m:t>,</m:t>
            </m:r>
            <m:r>
              <w:rPr>
                <w:rFonts w:ascii="Cambria Math" w:eastAsiaTheme="minorEastAsia" w:hAnsi="Cambria Math"/>
                <w:sz w:val="20"/>
                <w:szCs w:val="20"/>
                <w:lang w:val="nl-NL"/>
              </w:rPr>
              <m:t>ap</m:t>
            </m:r>
          </m:sub>
        </m:sSub>
        <m:r>
          <w:rPr>
            <w:rFonts w:ascii="Cambria Math" w:eastAsiaTheme="minorEastAsia" w:hAnsi="Cambria Math"/>
            <w:sz w:val="20"/>
            <w:szCs w:val="20"/>
          </w:rPr>
          <m:t xml:space="preserve"> </m:t>
        </m:r>
        <m:d>
          <m:dPr>
            <m:ctrlPr>
              <w:rPr>
                <w:rFonts w:ascii="Cambria Math" w:eastAsiaTheme="minorEastAsia" w:hAnsi="Cambria Math"/>
                <w:i/>
                <w:iCs/>
                <w:sz w:val="20"/>
                <w:szCs w:val="20"/>
                <w:lang w:val="nl-NL"/>
              </w:rPr>
            </m:ctrlPr>
          </m:dPr>
          <m:e>
            <m:r>
              <w:rPr>
                <w:rFonts w:ascii="Cambria Math" w:eastAsiaTheme="minorEastAsia" w:hAnsi="Cambria Math"/>
                <w:sz w:val="20"/>
                <w:szCs w:val="20"/>
                <w:lang w:val="nl-NL"/>
              </w:rPr>
              <m:t>t</m:t>
            </m:r>
          </m:e>
        </m:d>
      </m:oMath>
      <w:r w:rsidRPr="002620E0">
        <w:rPr>
          <w:rFonts w:eastAsiaTheme="minorEastAsia"/>
          <w:iCs/>
          <w:sz w:val="20"/>
          <w:szCs w:val="20"/>
        </w:rPr>
        <w:t xml:space="preserve"> are the amount of compound X and the amount of antipyrine in the basolateral (foetal) compartment at timepoint t. Next, </w:t>
      </w:r>
      <m:oMath>
        <m:sSub>
          <m:sSubPr>
            <m:ctrlPr>
              <w:rPr>
                <w:rFonts w:ascii="Cambria Math" w:eastAsiaTheme="minorEastAsia" w:hAnsi="Cambria Math"/>
                <w:i/>
                <w:iCs/>
                <w:sz w:val="20"/>
                <w:szCs w:val="20"/>
                <w:lang w:val="nl-NL"/>
              </w:rPr>
            </m:ctrlPr>
          </m:sSubPr>
          <m:e>
            <m:r>
              <w:rPr>
                <w:rFonts w:ascii="Cambria Math" w:eastAsiaTheme="minorEastAsia" w:hAnsi="Cambria Math"/>
                <w:sz w:val="20"/>
                <w:szCs w:val="20"/>
                <w:lang w:val="nl-NL"/>
              </w:rPr>
              <m:t>A</m:t>
            </m:r>
          </m:e>
          <m:sub>
            <m:r>
              <w:rPr>
                <w:rFonts w:ascii="Cambria Math" w:eastAsiaTheme="minorEastAsia" w:hAnsi="Cambria Math"/>
                <w:sz w:val="20"/>
                <w:szCs w:val="20"/>
                <w:lang w:val="nl-NL"/>
              </w:rPr>
              <m:t>m</m:t>
            </m:r>
            <m:r>
              <w:rPr>
                <w:rFonts w:ascii="Cambria Math" w:eastAsiaTheme="minorEastAsia" w:hAnsi="Cambria Math"/>
                <w:sz w:val="20"/>
                <w:szCs w:val="20"/>
              </w:rPr>
              <m:t>,</m:t>
            </m:r>
            <m:r>
              <w:rPr>
                <w:rFonts w:ascii="Cambria Math" w:eastAsiaTheme="minorEastAsia" w:hAnsi="Cambria Math"/>
                <w:sz w:val="20"/>
                <w:szCs w:val="20"/>
                <w:lang w:val="nl-NL"/>
              </w:rPr>
              <m:t>ap</m:t>
            </m:r>
          </m:sub>
        </m:sSub>
        <m:r>
          <w:rPr>
            <w:rFonts w:ascii="Cambria Math" w:eastAsiaTheme="minorEastAsia" w:hAnsi="Cambria Math"/>
            <w:sz w:val="20"/>
            <w:szCs w:val="20"/>
          </w:rPr>
          <m:t xml:space="preserve"> (</m:t>
        </m:r>
        <m:r>
          <w:rPr>
            <w:rFonts w:ascii="Cambria Math" w:eastAsiaTheme="minorEastAsia" w:hAnsi="Cambria Math"/>
            <w:sz w:val="20"/>
            <w:szCs w:val="20"/>
            <w:lang w:val="nl-NL"/>
          </w:rPr>
          <m:t>t</m:t>
        </m:r>
        <m:r>
          <w:rPr>
            <w:rFonts w:ascii="Cambria Math" w:eastAsiaTheme="minorEastAsia" w:hAnsi="Cambria Math"/>
            <w:sz w:val="20"/>
            <w:szCs w:val="20"/>
          </w:rPr>
          <m:t>=0)</m:t>
        </m:r>
      </m:oMath>
      <w:r w:rsidRPr="002620E0">
        <w:rPr>
          <w:rFonts w:eastAsiaTheme="minorEastAsia"/>
          <w:iCs/>
          <w:sz w:val="20"/>
          <w:szCs w:val="20"/>
        </w:rPr>
        <w:t xml:space="preserve"> and </w:t>
      </w:r>
      <m:oMath>
        <m:sSub>
          <m:sSubPr>
            <m:ctrlPr>
              <w:rPr>
                <w:rFonts w:ascii="Cambria Math" w:eastAsiaTheme="minorEastAsia" w:hAnsi="Cambria Math"/>
                <w:i/>
                <w:iCs/>
                <w:sz w:val="20"/>
                <w:szCs w:val="20"/>
                <w:lang w:val="nl-NL"/>
              </w:rPr>
            </m:ctrlPr>
          </m:sSubPr>
          <m:e>
            <m:r>
              <w:rPr>
                <w:rFonts w:ascii="Cambria Math" w:eastAsiaTheme="minorEastAsia" w:hAnsi="Cambria Math"/>
                <w:sz w:val="20"/>
                <w:szCs w:val="20"/>
                <w:lang w:val="nl-NL"/>
              </w:rPr>
              <m:t>A</m:t>
            </m:r>
          </m:e>
          <m:sub>
            <m:r>
              <w:rPr>
                <w:rFonts w:ascii="Cambria Math" w:eastAsiaTheme="minorEastAsia" w:hAnsi="Cambria Math"/>
                <w:sz w:val="20"/>
                <w:szCs w:val="20"/>
                <w:lang w:val="nl-NL"/>
              </w:rPr>
              <m:t>m</m:t>
            </m:r>
            <m:r>
              <w:rPr>
                <w:rFonts w:ascii="Cambria Math" w:eastAsiaTheme="minorEastAsia" w:hAnsi="Cambria Math"/>
                <w:sz w:val="20"/>
                <w:szCs w:val="20"/>
              </w:rPr>
              <m:t>,</m:t>
            </m:r>
            <m:r>
              <w:rPr>
                <w:rFonts w:ascii="Cambria Math" w:eastAsiaTheme="minorEastAsia" w:hAnsi="Cambria Math"/>
                <w:sz w:val="20"/>
                <w:szCs w:val="20"/>
                <w:lang w:val="nl-NL"/>
              </w:rPr>
              <m:t>x</m:t>
            </m:r>
          </m:sub>
        </m:sSub>
        <m:r>
          <w:rPr>
            <w:rFonts w:ascii="Cambria Math" w:eastAsiaTheme="minorEastAsia" w:hAnsi="Cambria Math"/>
            <w:sz w:val="20"/>
            <w:szCs w:val="20"/>
          </w:rPr>
          <m:t xml:space="preserve"> (</m:t>
        </m:r>
        <m:r>
          <w:rPr>
            <w:rFonts w:ascii="Cambria Math" w:eastAsiaTheme="minorEastAsia" w:hAnsi="Cambria Math"/>
            <w:sz w:val="20"/>
            <w:szCs w:val="20"/>
            <w:lang w:val="nl-NL"/>
          </w:rPr>
          <m:t>t</m:t>
        </m:r>
        <m:r>
          <w:rPr>
            <w:rFonts w:ascii="Cambria Math" w:eastAsiaTheme="minorEastAsia" w:hAnsi="Cambria Math"/>
            <w:sz w:val="20"/>
            <w:szCs w:val="20"/>
          </w:rPr>
          <m:t>=0)</m:t>
        </m:r>
      </m:oMath>
      <w:r w:rsidRPr="002620E0">
        <w:rPr>
          <w:rFonts w:eastAsiaTheme="minorEastAsia"/>
          <w:iCs/>
          <w:sz w:val="20"/>
          <w:szCs w:val="20"/>
        </w:rPr>
        <w:t xml:space="preserve"> represent the amount of antipyrine and compound X on the apical (maternal) side at timepoint t=0. </w:t>
      </w:r>
    </w:p>
    <w:p w14:paraId="23CEF14C" w14:textId="77777777" w:rsidR="00AB7BAF" w:rsidRPr="002620E0" w:rsidRDefault="00AB7BAF" w:rsidP="00AB7BAF">
      <w:pPr>
        <w:spacing w:line="360" w:lineRule="auto"/>
        <w:ind w:firstLine="720"/>
        <w:jc w:val="both"/>
        <w:rPr>
          <w:rFonts w:eastAsiaTheme="minorEastAsia"/>
          <w:iCs/>
          <w:sz w:val="20"/>
          <w:szCs w:val="20"/>
        </w:rPr>
      </w:pPr>
      <w:r w:rsidRPr="002620E0">
        <w:rPr>
          <w:rFonts w:eastAsiaTheme="minorEastAsia"/>
          <w:iCs/>
          <w:sz w:val="20"/>
          <w:szCs w:val="20"/>
        </w:rPr>
        <w:t xml:space="preserve">Next for the </w:t>
      </w:r>
      <w:r w:rsidRPr="002620E0">
        <w:rPr>
          <w:rFonts w:eastAsiaTheme="minorEastAsia"/>
          <w:i/>
          <w:sz w:val="20"/>
          <w:szCs w:val="20"/>
        </w:rPr>
        <w:t>ex vivo</w:t>
      </w:r>
      <w:r w:rsidRPr="002620E0">
        <w:rPr>
          <w:rFonts w:eastAsiaTheme="minorEastAsia"/>
          <w:iCs/>
          <w:sz w:val="20"/>
          <w:szCs w:val="20"/>
        </w:rPr>
        <w:t xml:space="preserve"> placenta perfusion, the TI values were calculated using a similar formula as compared to the relative transfer rate, with the only difference being that the maternal data is used at timepoint t and not t=0. This formula is as follow: </w:t>
      </w:r>
    </w:p>
    <w:p w14:paraId="550BB9BD" w14:textId="77777777" w:rsidR="00AB7BAF" w:rsidRPr="00A64178" w:rsidRDefault="00121BD6" w:rsidP="00AB7BAF">
      <w:pPr>
        <w:spacing w:line="360" w:lineRule="auto"/>
        <w:jc w:val="both"/>
        <w:rPr>
          <w:rFonts w:eastAsiaTheme="minorEastAsia"/>
        </w:rPr>
      </w:pPr>
      <m:oMathPara>
        <m:oMath>
          <m:f>
            <m:fPr>
              <m:ctrlPr>
                <w:rPr>
                  <w:rFonts w:ascii="Cambria Math" w:eastAsiaTheme="minorEastAsia" w:hAnsi="Cambria Math"/>
                  <w:i/>
                  <w:iCs/>
                  <w:lang w:val="nl-NL"/>
                </w:rPr>
              </m:ctrlPr>
            </m:fPr>
            <m:num>
              <m:sSub>
                <m:sSubPr>
                  <m:ctrlPr>
                    <w:rPr>
                      <w:rFonts w:ascii="Cambria Math" w:eastAsiaTheme="minorEastAsia" w:hAnsi="Cambria Math"/>
                      <w:i/>
                      <w:iCs/>
                      <w:lang w:val="nl-NL"/>
                    </w:rPr>
                  </m:ctrlPr>
                </m:sSubPr>
                <m:e>
                  <m:r>
                    <w:rPr>
                      <w:rFonts w:ascii="Cambria Math" w:eastAsiaTheme="minorEastAsia" w:hAnsi="Cambria Math"/>
                      <w:lang w:val="nl-NL"/>
                    </w:rPr>
                    <m:t>A</m:t>
                  </m:r>
                </m:e>
                <m:sub>
                  <m:r>
                    <w:rPr>
                      <w:rFonts w:ascii="Cambria Math" w:eastAsiaTheme="minorEastAsia" w:hAnsi="Cambria Math"/>
                      <w:lang w:val="nl-NL"/>
                    </w:rPr>
                    <m:t>f</m:t>
                  </m:r>
                  <m:r>
                    <w:rPr>
                      <w:rFonts w:ascii="Cambria Math" w:eastAsiaTheme="minorEastAsia" w:hAnsi="Cambria Math"/>
                      <w:lang w:val="nl-NL"/>
                    </w:rPr>
                    <m:t>,</m:t>
                  </m:r>
                  <m:r>
                    <w:rPr>
                      <w:rFonts w:ascii="Cambria Math" w:eastAsiaTheme="minorEastAsia" w:hAnsi="Cambria Math"/>
                      <w:lang w:val="nl-NL"/>
                    </w:rPr>
                    <m:t>x</m:t>
                  </m:r>
                </m:sub>
              </m:sSub>
              <m:r>
                <w:rPr>
                  <w:rFonts w:ascii="Cambria Math" w:eastAsiaTheme="minorEastAsia" w:hAnsi="Cambria Math"/>
                  <w:lang w:val="nl-NL"/>
                </w:rPr>
                <m:t> </m:t>
              </m:r>
              <m:d>
                <m:dPr>
                  <m:ctrlPr>
                    <w:rPr>
                      <w:rFonts w:ascii="Cambria Math" w:eastAsiaTheme="minorEastAsia" w:hAnsi="Cambria Math"/>
                      <w:i/>
                      <w:iCs/>
                      <w:lang w:val="nl-NL"/>
                    </w:rPr>
                  </m:ctrlPr>
                </m:dPr>
                <m:e>
                  <m:r>
                    <w:rPr>
                      <w:rFonts w:ascii="Cambria Math" w:eastAsiaTheme="minorEastAsia" w:hAnsi="Cambria Math"/>
                      <w:lang w:val="nl-NL"/>
                    </w:rPr>
                    <m:t>t</m:t>
                  </m:r>
                </m:e>
              </m:d>
              <m:r>
                <w:rPr>
                  <w:rFonts w:ascii="Cambria Math" w:eastAsiaTheme="minorEastAsia" w:hAnsi="Cambria Math"/>
                  <w:lang w:val="nl-NL"/>
                </w:rPr>
                <m:t> * </m:t>
              </m:r>
              <m:sSub>
                <m:sSubPr>
                  <m:ctrlPr>
                    <w:rPr>
                      <w:rFonts w:ascii="Cambria Math" w:eastAsiaTheme="minorEastAsia" w:hAnsi="Cambria Math"/>
                      <w:i/>
                      <w:iCs/>
                      <w:lang w:val="nl-NL"/>
                    </w:rPr>
                  </m:ctrlPr>
                </m:sSubPr>
                <m:e>
                  <m:r>
                    <w:rPr>
                      <w:rFonts w:ascii="Cambria Math" w:eastAsiaTheme="minorEastAsia" w:hAnsi="Cambria Math"/>
                      <w:lang w:val="nl-NL"/>
                    </w:rPr>
                    <m:t>A</m:t>
                  </m:r>
                </m:e>
                <m:sub>
                  <m:r>
                    <w:rPr>
                      <w:rFonts w:ascii="Cambria Math" w:eastAsiaTheme="minorEastAsia" w:hAnsi="Cambria Math"/>
                      <w:lang w:val="nl-NL"/>
                    </w:rPr>
                    <m:t>m</m:t>
                  </m:r>
                  <m:r>
                    <w:rPr>
                      <w:rFonts w:ascii="Cambria Math" w:eastAsiaTheme="minorEastAsia" w:hAnsi="Cambria Math"/>
                      <w:lang w:val="nl-NL"/>
                    </w:rPr>
                    <m:t>,</m:t>
                  </m:r>
                  <m:r>
                    <w:rPr>
                      <w:rFonts w:ascii="Cambria Math" w:eastAsiaTheme="minorEastAsia" w:hAnsi="Cambria Math"/>
                      <w:lang w:val="nl-NL"/>
                    </w:rPr>
                    <m:t>ap</m:t>
                  </m:r>
                </m:sub>
              </m:sSub>
              <m:r>
                <w:rPr>
                  <w:rFonts w:ascii="Cambria Math" w:eastAsiaTheme="minorEastAsia" w:hAnsi="Cambria Math"/>
                  <w:lang w:val="nl-NL"/>
                </w:rPr>
                <m:t xml:space="preserve"> (</m:t>
              </m:r>
              <m:r>
                <w:rPr>
                  <w:rFonts w:ascii="Cambria Math" w:eastAsiaTheme="minorEastAsia" w:hAnsi="Cambria Math"/>
                  <w:lang w:val="nl-NL"/>
                </w:rPr>
                <m:t>t</m:t>
              </m:r>
              <m:r>
                <w:rPr>
                  <w:rFonts w:ascii="Cambria Math" w:eastAsiaTheme="minorEastAsia" w:hAnsi="Cambria Math"/>
                  <w:lang w:val="nl-NL"/>
                </w:rPr>
                <m:t>)</m:t>
              </m:r>
            </m:num>
            <m:den>
              <m:sSub>
                <m:sSubPr>
                  <m:ctrlPr>
                    <w:rPr>
                      <w:rFonts w:ascii="Cambria Math" w:eastAsiaTheme="minorEastAsia" w:hAnsi="Cambria Math"/>
                      <w:i/>
                      <w:iCs/>
                      <w:lang w:val="nl-NL"/>
                    </w:rPr>
                  </m:ctrlPr>
                </m:sSubPr>
                <m:e>
                  <m:r>
                    <w:rPr>
                      <w:rFonts w:ascii="Cambria Math" w:eastAsiaTheme="minorEastAsia" w:hAnsi="Cambria Math"/>
                      <w:lang w:val="nl-NL"/>
                    </w:rPr>
                    <m:t>A</m:t>
                  </m:r>
                </m:e>
                <m:sub>
                  <m:r>
                    <w:rPr>
                      <w:rFonts w:ascii="Cambria Math" w:eastAsiaTheme="minorEastAsia" w:hAnsi="Cambria Math"/>
                      <w:lang w:val="nl-NL"/>
                    </w:rPr>
                    <m:t>f</m:t>
                  </m:r>
                  <m:r>
                    <w:rPr>
                      <w:rFonts w:ascii="Cambria Math" w:eastAsiaTheme="minorEastAsia" w:hAnsi="Cambria Math"/>
                      <w:lang w:val="nl-NL"/>
                    </w:rPr>
                    <m:t>,</m:t>
                  </m:r>
                  <m:r>
                    <w:rPr>
                      <w:rFonts w:ascii="Cambria Math" w:eastAsiaTheme="minorEastAsia" w:hAnsi="Cambria Math"/>
                      <w:lang w:val="nl-NL"/>
                    </w:rPr>
                    <m:t>ap</m:t>
                  </m:r>
                </m:sub>
              </m:sSub>
              <m:r>
                <w:rPr>
                  <w:rFonts w:ascii="Cambria Math" w:eastAsiaTheme="minorEastAsia" w:hAnsi="Cambria Math"/>
                  <w:lang w:val="nl-NL"/>
                </w:rPr>
                <m:t xml:space="preserve"> </m:t>
              </m:r>
              <m:d>
                <m:dPr>
                  <m:ctrlPr>
                    <w:rPr>
                      <w:rFonts w:ascii="Cambria Math" w:eastAsiaTheme="minorEastAsia" w:hAnsi="Cambria Math"/>
                      <w:i/>
                      <w:iCs/>
                      <w:lang w:val="nl-NL"/>
                    </w:rPr>
                  </m:ctrlPr>
                </m:dPr>
                <m:e>
                  <m:r>
                    <w:rPr>
                      <w:rFonts w:ascii="Cambria Math" w:eastAsiaTheme="minorEastAsia" w:hAnsi="Cambria Math"/>
                      <w:lang w:val="nl-NL"/>
                    </w:rPr>
                    <m:t>t</m:t>
                  </m:r>
                </m:e>
              </m:d>
              <m:r>
                <w:rPr>
                  <w:rFonts w:ascii="Cambria Math" w:eastAsiaTheme="minorEastAsia" w:hAnsi="Cambria Math"/>
                  <w:lang w:val="nl-NL"/>
                </w:rPr>
                <m:t> *</m:t>
              </m:r>
              <m:sSub>
                <m:sSubPr>
                  <m:ctrlPr>
                    <w:rPr>
                      <w:rFonts w:ascii="Cambria Math" w:eastAsiaTheme="minorEastAsia" w:hAnsi="Cambria Math"/>
                      <w:i/>
                      <w:iCs/>
                      <w:lang w:val="nl-NL"/>
                    </w:rPr>
                  </m:ctrlPr>
                </m:sSubPr>
                <m:e>
                  <m:r>
                    <w:rPr>
                      <w:rFonts w:ascii="Cambria Math" w:eastAsiaTheme="minorEastAsia" w:hAnsi="Cambria Math"/>
                      <w:lang w:val="nl-NL"/>
                    </w:rPr>
                    <m:t>A</m:t>
                  </m:r>
                </m:e>
                <m:sub>
                  <m:r>
                    <w:rPr>
                      <w:rFonts w:ascii="Cambria Math" w:eastAsiaTheme="minorEastAsia" w:hAnsi="Cambria Math"/>
                      <w:lang w:val="nl-NL"/>
                    </w:rPr>
                    <m:t>m</m:t>
                  </m:r>
                  <m:r>
                    <w:rPr>
                      <w:rFonts w:ascii="Cambria Math" w:eastAsiaTheme="minorEastAsia" w:hAnsi="Cambria Math"/>
                      <w:lang w:val="nl-NL"/>
                    </w:rPr>
                    <m:t>,</m:t>
                  </m:r>
                  <m:r>
                    <w:rPr>
                      <w:rFonts w:ascii="Cambria Math" w:eastAsiaTheme="minorEastAsia" w:hAnsi="Cambria Math"/>
                      <w:lang w:val="nl-NL"/>
                    </w:rPr>
                    <m:t>x</m:t>
                  </m:r>
                </m:sub>
              </m:sSub>
              <m:r>
                <w:rPr>
                  <w:rFonts w:ascii="Cambria Math" w:eastAsiaTheme="minorEastAsia" w:hAnsi="Cambria Math"/>
                  <w:lang w:val="nl-NL"/>
                </w:rPr>
                <m:t xml:space="preserve"> (</m:t>
              </m:r>
              <m:r>
                <w:rPr>
                  <w:rFonts w:ascii="Cambria Math" w:eastAsiaTheme="minorEastAsia" w:hAnsi="Cambria Math"/>
                  <w:lang w:val="nl-NL"/>
                </w:rPr>
                <m:t>t</m:t>
              </m:r>
              <m:r>
                <w:rPr>
                  <w:rFonts w:ascii="Cambria Math" w:eastAsiaTheme="minorEastAsia" w:hAnsi="Cambria Math"/>
                  <w:lang w:val="nl-NL"/>
                </w:rPr>
                <m:t>)</m:t>
              </m:r>
            </m:den>
          </m:f>
        </m:oMath>
      </m:oMathPara>
    </w:p>
    <w:p w14:paraId="3DE16C4A" w14:textId="77777777" w:rsidR="00AB7BAF" w:rsidRPr="002620E0" w:rsidRDefault="00AB7BAF" w:rsidP="00AB7BAF">
      <w:pPr>
        <w:spacing w:line="360" w:lineRule="auto"/>
        <w:jc w:val="both"/>
        <w:rPr>
          <w:rFonts w:eastAsiaTheme="minorEastAsia"/>
          <w:iCs/>
          <w:sz w:val="20"/>
          <w:szCs w:val="20"/>
        </w:rPr>
      </w:pPr>
      <w:r w:rsidRPr="002620E0">
        <w:rPr>
          <w:sz w:val="20"/>
          <w:szCs w:val="20"/>
        </w:rPr>
        <w:t xml:space="preserve">Where </w:t>
      </w:r>
      <m:oMath>
        <m:sSub>
          <m:sSubPr>
            <m:ctrlPr>
              <w:rPr>
                <w:rFonts w:ascii="Cambria Math" w:eastAsiaTheme="minorEastAsia" w:hAnsi="Cambria Math"/>
                <w:i/>
                <w:iCs/>
                <w:sz w:val="20"/>
                <w:szCs w:val="20"/>
                <w:lang w:val="nl-NL"/>
              </w:rPr>
            </m:ctrlPr>
          </m:sSubPr>
          <m:e>
            <m:r>
              <w:rPr>
                <w:rFonts w:ascii="Cambria Math" w:eastAsiaTheme="minorEastAsia" w:hAnsi="Cambria Math"/>
                <w:sz w:val="20"/>
                <w:szCs w:val="20"/>
                <w:lang w:val="nl-NL"/>
              </w:rPr>
              <m:t>A</m:t>
            </m:r>
          </m:e>
          <m:sub>
            <m:r>
              <w:rPr>
                <w:rFonts w:ascii="Cambria Math" w:eastAsiaTheme="minorEastAsia" w:hAnsi="Cambria Math"/>
                <w:sz w:val="20"/>
                <w:szCs w:val="20"/>
                <w:lang w:val="nl-NL"/>
              </w:rPr>
              <m:t>f</m:t>
            </m:r>
            <m:r>
              <w:rPr>
                <w:rFonts w:ascii="Cambria Math" w:eastAsiaTheme="minorEastAsia" w:hAnsi="Cambria Math"/>
                <w:sz w:val="20"/>
                <w:szCs w:val="20"/>
              </w:rPr>
              <m:t>,</m:t>
            </m:r>
            <m:r>
              <w:rPr>
                <w:rFonts w:ascii="Cambria Math" w:eastAsiaTheme="minorEastAsia" w:hAnsi="Cambria Math"/>
                <w:sz w:val="20"/>
                <w:szCs w:val="20"/>
                <w:lang w:val="nl-NL"/>
              </w:rPr>
              <m:t>x</m:t>
            </m:r>
          </m:sub>
        </m:sSub>
        <m:r>
          <w:rPr>
            <w:rFonts w:ascii="Cambria Math" w:eastAsiaTheme="minorEastAsia" w:hAnsi="Cambria Math"/>
            <w:sz w:val="20"/>
            <w:szCs w:val="20"/>
          </w:rPr>
          <m:t> </m:t>
        </m:r>
        <m:d>
          <m:dPr>
            <m:ctrlPr>
              <w:rPr>
                <w:rFonts w:ascii="Cambria Math" w:eastAsiaTheme="minorEastAsia" w:hAnsi="Cambria Math"/>
                <w:i/>
                <w:iCs/>
                <w:sz w:val="20"/>
                <w:szCs w:val="20"/>
                <w:lang w:val="nl-NL"/>
              </w:rPr>
            </m:ctrlPr>
          </m:dPr>
          <m:e>
            <m:r>
              <w:rPr>
                <w:rFonts w:ascii="Cambria Math" w:eastAsiaTheme="minorEastAsia" w:hAnsi="Cambria Math"/>
                <w:sz w:val="20"/>
                <w:szCs w:val="20"/>
                <w:lang w:val="nl-NL"/>
              </w:rPr>
              <m:t>t</m:t>
            </m:r>
          </m:e>
        </m:d>
      </m:oMath>
      <w:r w:rsidRPr="002620E0">
        <w:rPr>
          <w:rFonts w:eastAsiaTheme="minorEastAsia"/>
          <w:iCs/>
          <w:sz w:val="20"/>
          <w:szCs w:val="20"/>
        </w:rPr>
        <w:t xml:space="preserve"> and </w:t>
      </w:r>
      <m:oMath>
        <m:sSub>
          <m:sSubPr>
            <m:ctrlPr>
              <w:rPr>
                <w:rFonts w:ascii="Cambria Math" w:eastAsiaTheme="minorEastAsia" w:hAnsi="Cambria Math"/>
                <w:i/>
                <w:iCs/>
                <w:sz w:val="20"/>
                <w:szCs w:val="20"/>
                <w:lang w:val="nl-NL"/>
              </w:rPr>
            </m:ctrlPr>
          </m:sSubPr>
          <m:e>
            <m:r>
              <w:rPr>
                <w:rFonts w:ascii="Cambria Math" w:eastAsiaTheme="minorEastAsia" w:hAnsi="Cambria Math"/>
                <w:sz w:val="20"/>
                <w:szCs w:val="20"/>
                <w:lang w:val="nl-NL"/>
              </w:rPr>
              <m:t>A</m:t>
            </m:r>
          </m:e>
          <m:sub>
            <m:r>
              <w:rPr>
                <w:rFonts w:ascii="Cambria Math" w:eastAsiaTheme="minorEastAsia" w:hAnsi="Cambria Math"/>
                <w:sz w:val="20"/>
                <w:szCs w:val="20"/>
                <w:lang w:val="nl-NL"/>
              </w:rPr>
              <m:t>f</m:t>
            </m:r>
            <m:r>
              <w:rPr>
                <w:rFonts w:ascii="Cambria Math" w:eastAsiaTheme="minorEastAsia" w:hAnsi="Cambria Math"/>
                <w:sz w:val="20"/>
                <w:szCs w:val="20"/>
              </w:rPr>
              <m:t>,</m:t>
            </m:r>
            <m:r>
              <w:rPr>
                <w:rFonts w:ascii="Cambria Math" w:eastAsiaTheme="minorEastAsia" w:hAnsi="Cambria Math"/>
                <w:sz w:val="20"/>
                <w:szCs w:val="20"/>
                <w:lang w:val="nl-NL"/>
              </w:rPr>
              <m:t>ap</m:t>
            </m:r>
          </m:sub>
        </m:sSub>
        <m:r>
          <w:rPr>
            <w:rFonts w:ascii="Cambria Math" w:eastAsiaTheme="minorEastAsia" w:hAnsi="Cambria Math"/>
            <w:sz w:val="20"/>
            <w:szCs w:val="20"/>
          </w:rPr>
          <m:t xml:space="preserve"> </m:t>
        </m:r>
        <m:d>
          <m:dPr>
            <m:ctrlPr>
              <w:rPr>
                <w:rFonts w:ascii="Cambria Math" w:eastAsiaTheme="minorEastAsia" w:hAnsi="Cambria Math"/>
                <w:i/>
                <w:iCs/>
                <w:sz w:val="20"/>
                <w:szCs w:val="20"/>
                <w:lang w:val="nl-NL"/>
              </w:rPr>
            </m:ctrlPr>
          </m:dPr>
          <m:e>
            <m:r>
              <w:rPr>
                <w:rFonts w:ascii="Cambria Math" w:eastAsiaTheme="minorEastAsia" w:hAnsi="Cambria Math"/>
                <w:sz w:val="20"/>
                <w:szCs w:val="20"/>
                <w:lang w:val="nl-NL"/>
              </w:rPr>
              <m:t>t</m:t>
            </m:r>
          </m:e>
        </m:d>
      </m:oMath>
      <w:r w:rsidRPr="002620E0">
        <w:rPr>
          <w:rFonts w:eastAsiaTheme="minorEastAsia"/>
          <w:iCs/>
          <w:sz w:val="20"/>
          <w:szCs w:val="20"/>
        </w:rPr>
        <w:t xml:space="preserve"> are the amount of compound X and the amount of antipyrine in the foetal circulation at timepoint t. Next, </w:t>
      </w:r>
      <m:oMath>
        <m:sSub>
          <m:sSubPr>
            <m:ctrlPr>
              <w:rPr>
                <w:rFonts w:ascii="Cambria Math" w:eastAsiaTheme="minorEastAsia" w:hAnsi="Cambria Math"/>
                <w:i/>
                <w:iCs/>
                <w:sz w:val="20"/>
                <w:szCs w:val="20"/>
                <w:lang w:val="nl-NL"/>
              </w:rPr>
            </m:ctrlPr>
          </m:sSubPr>
          <m:e>
            <m:r>
              <w:rPr>
                <w:rFonts w:ascii="Cambria Math" w:eastAsiaTheme="minorEastAsia" w:hAnsi="Cambria Math"/>
                <w:sz w:val="20"/>
                <w:szCs w:val="20"/>
                <w:lang w:val="nl-NL"/>
              </w:rPr>
              <m:t>A</m:t>
            </m:r>
          </m:e>
          <m:sub>
            <m:r>
              <w:rPr>
                <w:rFonts w:ascii="Cambria Math" w:eastAsiaTheme="minorEastAsia" w:hAnsi="Cambria Math"/>
                <w:sz w:val="20"/>
                <w:szCs w:val="20"/>
                <w:lang w:val="nl-NL"/>
              </w:rPr>
              <m:t>m</m:t>
            </m:r>
            <m:r>
              <w:rPr>
                <w:rFonts w:ascii="Cambria Math" w:eastAsiaTheme="minorEastAsia" w:hAnsi="Cambria Math"/>
                <w:sz w:val="20"/>
                <w:szCs w:val="20"/>
              </w:rPr>
              <m:t>,</m:t>
            </m:r>
            <m:r>
              <w:rPr>
                <w:rFonts w:ascii="Cambria Math" w:eastAsiaTheme="minorEastAsia" w:hAnsi="Cambria Math"/>
                <w:sz w:val="20"/>
                <w:szCs w:val="20"/>
                <w:lang w:val="nl-NL"/>
              </w:rPr>
              <m:t>ap</m:t>
            </m:r>
          </m:sub>
        </m:sSub>
        <m:r>
          <w:rPr>
            <w:rFonts w:ascii="Cambria Math" w:eastAsiaTheme="minorEastAsia" w:hAnsi="Cambria Math"/>
            <w:sz w:val="20"/>
            <w:szCs w:val="20"/>
          </w:rPr>
          <m:t xml:space="preserve"> (</m:t>
        </m:r>
        <m:r>
          <w:rPr>
            <w:rFonts w:ascii="Cambria Math" w:eastAsiaTheme="minorEastAsia" w:hAnsi="Cambria Math"/>
            <w:sz w:val="20"/>
            <w:szCs w:val="20"/>
            <w:lang w:val="nl-NL"/>
          </w:rPr>
          <m:t>t</m:t>
        </m:r>
        <m:r>
          <w:rPr>
            <w:rFonts w:ascii="Cambria Math" w:eastAsiaTheme="minorEastAsia" w:hAnsi="Cambria Math"/>
            <w:sz w:val="20"/>
            <w:szCs w:val="20"/>
          </w:rPr>
          <m:t>=0)</m:t>
        </m:r>
      </m:oMath>
      <w:r w:rsidRPr="002620E0">
        <w:rPr>
          <w:rFonts w:eastAsiaTheme="minorEastAsia"/>
          <w:iCs/>
          <w:sz w:val="20"/>
          <w:szCs w:val="20"/>
        </w:rPr>
        <w:t xml:space="preserve"> and </w:t>
      </w:r>
      <m:oMath>
        <m:sSub>
          <m:sSubPr>
            <m:ctrlPr>
              <w:rPr>
                <w:rFonts w:ascii="Cambria Math" w:eastAsiaTheme="minorEastAsia" w:hAnsi="Cambria Math"/>
                <w:i/>
                <w:iCs/>
                <w:sz w:val="20"/>
                <w:szCs w:val="20"/>
                <w:lang w:val="nl-NL"/>
              </w:rPr>
            </m:ctrlPr>
          </m:sSubPr>
          <m:e>
            <m:r>
              <w:rPr>
                <w:rFonts w:ascii="Cambria Math" w:eastAsiaTheme="minorEastAsia" w:hAnsi="Cambria Math"/>
                <w:sz w:val="20"/>
                <w:szCs w:val="20"/>
                <w:lang w:val="nl-NL"/>
              </w:rPr>
              <m:t>A</m:t>
            </m:r>
          </m:e>
          <m:sub>
            <m:r>
              <w:rPr>
                <w:rFonts w:ascii="Cambria Math" w:eastAsiaTheme="minorEastAsia" w:hAnsi="Cambria Math"/>
                <w:sz w:val="20"/>
                <w:szCs w:val="20"/>
                <w:lang w:val="nl-NL"/>
              </w:rPr>
              <m:t>m</m:t>
            </m:r>
            <m:r>
              <w:rPr>
                <w:rFonts w:ascii="Cambria Math" w:eastAsiaTheme="minorEastAsia" w:hAnsi="Cambria Math"/>
                <w:sz w:val="20"/>
                <w:szCs w:val="20"/>
              </w:rPr>
              <m:t>,</m:t>
            </m:r>
            <m:r>
              <w:rPr>
                <w:rFonts w:ascii="Cambria Math" w:eastAsiaTheme="minorEastAsia" w:hAnsi="Cambria Math"/>
                <w:sz w:val="20"/>
                <w:szCs w:val="20"/>
                <w:lang w:val="nl-NL"/>
              </w:rPr>
              <m:t>x</m:t>
            </m:r>
          </m:sub>
        </m:sSub>
        <m:r>
          <w:rPr>
            <w:rFonts w:ascii="Cambria Math" w:eastAsiaTheme="minorEastAsia" w:hAnsi="Cambria Math"/>
            <w:sz w:val="20"/>
            <w:szCs w:val="20"/>
          </w:rPr>
          <m:t xml:space="preserve"> (</m:t>
        </m:r>
        <m:r>
          <w:rPr>
            <w:rFonts w:ascii="Cambria Math" w:eastAsiaTheme="minorEastAsia" w:hAnsi="Cambria Math"/>
            <w:sz w:val="20"/>
            <w:szCs w:val="20"/>
            <w:lang w:val="nl-NL"/>
          </w:rPr>
          <m:t>t</m:t>
        </m:r>
        <m:r>
          <w:rPr>
            <w:rFonts w:ascii="Cambria Math" w:eastAsiaTheme="minorEastAsia" w:hAnsi="Cambria Math"/>
            <w:sz w:val="20"/>
            <w:szCs w:val="20"/>
          </w:rPr>
          <m:t>=0)</m:t>
        </m:r>
      </m:oMath>
      <w:r w:rsidRPr="002620E0">
        <w:rPr>
          <w:rFonts w:eastAsiaTheme="minorEastAsia"/>
          <w:iCs/>
          <w:sz w:val="20"/>
          <w:szCs w:val="20"/>
        </w:rPr>
        <w:t xml:space="preserve"> represent the amount of antipyrine and compound X present in the maternal circulation at timepoint t. </w:t>
      </w:r>
    </w:p>
    <w:p w14:paraId="0C042A8D" w14:textId="4D7B0E97" w:rsidR="00AB7BAF" w:rsidRPr="002620E0" w:rsidRDefault="00AB7BAF" w:rsidP="00AB7BAF">
      <w:pPr>
        <w:spacing w:line="360" w:lineRule="auto"/>
        <w:ind w:firstLine="720"/>
        <w:jc w:val="both"/>
        <w:rPr>
          <w:rFonts w:eastAsiaTheme="minorEastAsia"/>
          <w:iCs/>
          <w:sz w:val="20"/>
          <w:szCs w:val="20"/>
        </w:rPr>
      </w:pPr>
      <w:r w:rsidRPr="002620E0">
        <w:rPr>
          <w:sz w:val="20"/>
          <w:szCs w:val="20"/>
        </w:rPr>
        <w:t xml:space="preserve">Finally, the TIs and relative transfer rates from the compounds present in the paper of Li et al. 2013 were extracted and the compounds tested in this manuscript were added to create a new correlation plot similar to the one in the paper of Li et al. 2013. Only the data from the </w:t>
      </w:r>
      <w:r w:rsidRPr="002620E0">
        <w:rPr>
          <w:i/>
          <w:iCs/>
          <w:sz w:val="20"/>
          <w:szCs w:val="20"/>
        </w:rPr>
        <w:t>in vitro</w:t>
      </w:r>
      <w:r w:rsidRPr="002620E0">
        <w:rPr>
          <w:sz w:val="20"/>
          <w:szCs w:val="20"/>
        </w:rPr>
        <w:t xml:space="preserve"> studies without albumin present as described in the paper of Li et al. 2013 were used. </w:t>
      </w:r>
    </w:p>
    <w:p w14:paraId="692BE631" w14:textId="16E359EE" w:rsidR="00490649" w:rsidRDefault="00490649">
      <w:r>
        <w:br w:type="page"/>
      </w:r>
    </w:p>
    <w:p w14:paraId="1DF23817" w14:textId="4FF3C0EA" w:rsidR="00490649" w:rsidRPr="002620E0" w:rsidRDefault="00490649" w:rsidP="00490649">
      <w:pPr>
        <w:spacing w:line="360" w:lineRule="auto"/>
        <w:jc w:val="both"/>
        <w:rPr>
          <w:b/>
          <w:bCs/>
          <w:sz w:val="20"/>
          <w:szCs w:val="20"/>
        </w:rPr>
      </w:pPr>
      <w:r w:rsidRPr="002620E0">
        <w:rPr>
          <w:b/>
          <w:bCs/>
          <w:sz w:val="20"/>
          <w:szCs w:val="20"/>
        </w:rPr>
        <w:lastRenderedPageBreak/>
        <w:t xml:space="preserve">Calculations of </w:t>
      </w:r>
      <w:r w:rsidR="004358C8" w:rsidRPr="002620E0">
        <w:rPr>
          <w:b/>
          <w:bCs/>
          <w:sz w:val="20"/>
          <w:szCs w:val="20"/>
        </w:rPr>
        <w:t>the initial slope and foetal-maternal  compound ratios</w:t>
      </w:r>
    </w:p>
    <w:p w14:paraId="6452F580" w14:textId="642FEF0A" w:rsidR="00490649" w:rsidRPr="002620E0" w:rsidRDefault="00490649" w:rsidP="00490649">
      <w:pPr>
        <w:spacing w:line="360" w:lineRule="auto"/>
        <w:ind w:firstLine="720"/>
        <w:jc w:val="both"/>
        <w:rPr>
          <w:sz w:val="20"/>
          <w:szCs w:val="20"/>
        </w:rPr>
      </w:pPr>
      <w:r w:rsidRPr="002620E0">
        <w:rPr>
          <w:sz w:val="20"/>
          <w:szCs w:val="20"/>
        </w:rPr>
        <w:t xml:space="preserve">The initial slope for the </w:t>
      </w:r>
      <w:r w:rsidRPr="002620E0">
        <w:rPr>
          <w:i/>
          <w:iCs/>
          <w:sz w:val="20"/>
          <w:szCs w:val="20"/>
        </w:rPr>
        <w:t>ex vivo</w:t>
      </w:r>
      <w:r w:rsidRPr="002620E0">
        <w:rPr>
          <w:sz w:val="20"/>
          <w:szCs w:val="20"/>
        </w:rPr>
        <w:t xml:space="preserve"> placenta perfusions was determined using the foetal perfusate concentration data from the first 20 minutes of the studies. For the BeWo b30 assays, data from the first 60 minutes of the basolateral concentrations were used. These intervals were chosen as permeation was linear for the time period (slope in foetal/basolateral compartment &gt;0.95, data not shown).  </w:t>
      </w:r>
    </w:p>
    <w:p w14:paraId="5DA1207E" w14:textId="77777777" w:rsidR="00490649" w:rsidRPr="002620E0" w:rsidRDefault="00490649" w:rsidP="00490649">
      <w:pPr>
        <w:spacing w:line="360" w:lineRule="auto"/>
        <w:ind w:firstLine="720"/>
        <w:jc w:val="both"/>
        <w:rPr>
          <w:sz w:val="20"/>
          <w:szCs w:val="20"/>
        </w:rPr>
      </w:pPr>
      <w:r w:rsidRPr="002620E0">
        <w:rPr>
          <w:sz w:val="20"/>
          <w:szCs w:val="20"/>
        </w:rPr>
        <w:t>The foetal-maternal (FM) compound ratio represents the ratio between concentration in the foetal circulation and maternal circulation at equal timepoints. These FM ratios were only calculated for the ex vivo placenta perfusion experiments as the experimental set-up of the BeWo b30 cells does not allow for apical sampling during the experiment. All FM ratios were calculated as follows:</w:t>
      </w:r>
    </w:p>
    <w:p w14:paraId="09685852" w14:textId="77777777" w:rsidR="00490649" w:rsidRPr="00A64178" w:rsidRDefault="00490649" w:rsidP="00490649">
      <w:pPr>
        <w:spacing w:line="360" w:lineRule="auto"/>
        <w:jc w:val="both"/>
        <w:rPr>
          <w:rFonts w:eastAsiaTheme="minorEastAsia"/>
        </w:rPr>
      </w:pPr>
      <m:oMathPara>
        <m:oMath>
          <m:r>
            <w:rPr>
              <w:rFonts w:ascii="Cambria Math" w:hAnsi="Cambria Math"/>
            </w:rPr>
            <m:t>FM ratio=</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f</m:t>
                  </m:r>
                </m:sub>
              </m:sSub>
              <m:d>
                <m:dPr>
                  <m:ctrlPr>
                    <w:rPr>
                      <w:rFonts w:ascii="Cambria Math" w:hAnsi="Cambria Math"/>
                      <w:i/>
                    </w:rPr>
                  </m:ctrlPr>
                </m:dPr>
                <m:e>
                  <m:r>
                    <w:rPr>
                      <w:rFonts w:ascii="Cambria Math" w:hAnsi="Cambria Math"/>
                    </w:rPr>
                    <m:t>t=60</m:t>
                  </m:r>
                </m:e>
              </m:d>
            </m:num>
            <m:den>
              <m:sSub>
                <m:sSubPr>
                  <m:ctrlPr>
                    <w:rPr>
                      <w:rFonts w:ascii="Cambria Math" w:hAnsi="Cambria Math"/>
                      <w:i/>
                    </w:rPr>
                  </m:ctrlPr>
                </m:sSubPr>
                <m:e>
                  <m:r>
                    <w:rPr>
                      <w:rFonts w:ascii="Cambria Math" w:hAnsi="Cambria Math"/>
                    </w:rPr>
                    <m:t>C</m:t>
                  </m:r>
                </m:e>
                <m:sub>
                  <m:r>
                    <w:rPr>
                      <w:rFonts w:ascii="Cambria Math" w:hAnsi="Cambria Math"/>
                    </w:rPr>
                    <m:t xml:space="preserve">m </m:t>
                  </m:r>
                </m:sub>
              </m:sSub>
              <m:r>
                <w:rPr>
                  <w:rFonts w:ascii="Cambria Math" w:hAnsi="Cambria Math"/>
                </w:rPr>
                <m:t>(t=60)</m:t>
              </m:r>
            </m:den>
          </m:f>
        </m:oMath>
      </m:oMathPara>
    </w:p>
    <w:p w14:paraId="2AFDC3F2" w14:textId="346E7901" w:rsidR="00B12B7B" w:rsidRPr="002620E0" w:rsidRDefault="00490649" w:rsidP="00490649">
      <w:pPr>
        <w:spacing w:line="360" w:lineRule="auto"/>
        <w:jc w:val="both"/>
        <w:rPr>
          <w:rFonts w:eastAsiaTheme="minorEastAsia"/>
          <w:sz w:val="20"/>
          <w:szCs w:val="20"/>
        </w:rPr>
      </w:pPr>
      <w:r w:rsidRPr="002620E0">
        <w:rPr>
          <w:rFonts w:eastAsiaTheme="minorEastAsia"/>
          <w:sz w:val="20"/>
          <w:szCs w:val="20"/>
        </w:rPr>
        <w:t>Where Cf and Cm are the concentrations in the foetal and maternal circulation of the ex vivo placental</w:t>
      </w:r>
      <w:r w:rsidR="001C159B" w:rsidRPr="002620E0">
        <w:rPr>
          <w:rFonts w:eastAsiaTheme="minorEastAsia"/>
          <w:sz w:val="20"/>
          <w:szCs w:val="20"/>
        </w:rPr>
        <w:t xml:space="preserve"> perfusion experiment, respectively. </w:t>
      </w:r>
    </w:p>
    <w:p w14:paraId="45E11ADF" w14:textId="2E27BF3E" w:rsidR="00BD66FE" w:rsidRDefault="00BD66FE">
      <w:r>
        <w:br w:type="page"/>
      </w:r>
    </w:p>
    <w:p w14:paraId="5563E8B8" w14:textId="46C42100" w:rsidR="006A4B21" w:rsidRPr="002620E0" w:rsidRDefault="008329B0" w:rsidP="006A4B21">
      <w:pPr>
        <w:spacing w:line="360" w:lineRule="auto"/>
        <w:jc w:val="both"/>
        <w:rPr>
          <w:b/>
          <w:bCs/>
          <w:sz w:val="20"/>
          <w:szCs w:val="20"/>
        </w:rPr>
      </w:pPr>
      <w:r w:rsidRPr="002620E0">
        <w:rPr>
          <w:b/>
          <w:bCs/>
          <w:sz w:val="20"/>
          <w:szCs w:val="20"/>
        </w:rPr>
        <w:lastRenderedPageBreak/>
        <w:t>Liquid chromatography mass spectrometry</w:t>
      </w:r>
    </w:p>
    <w:p w14:paraId="00F37D49" w14:textId="7672D9A2" w:rsidR="006A4B21" w:rsidRPr="002620E0" w:rsidRDefault="006A4B21" w:rsidP="006A4B21">
      <w:pPr>
        <w:spacing w:after="0" w:line="360" w:lineRule="auto"/>
        <w:ind w:firstLine="720"/>
        <w:jc w:val="both"/>
        <w:rPr>
          <w:rFonts w:ascii="Calibri" w:eastAsia="Times New Roman" w:hAnsi="Calibri"/>
          <w:sz w:val="20"/>
          <w:szCs w:val="20"/>
          <w:lang w:val="en-US"/>
        </w:rPr>
      </w:pPr>
      <w:r w:rsidRPr="002620E0">
        <w:rPr>
          <w:rFonts w:ascii="Calibri" w:eastAsia="Times New Roman" w:hAnsi="Calibri"/>
          <w:sz w:val="20"/>
          <w:szCs w:val="20"/>
          <w:lang w:val="en-US"/>
        </w:rPr>
        <w:t>Quantification of thalidomide, valproic acid, amoxicillin, and antipyrine in cell culture media, placental perfusion buffer, and placental tissue homogenates was performed using liquid chromatography-tandem mass spectrometry (LC-MS/MS). Free drug concentrations in perfusion buffer were determined using Rapid Equilibrium Dialysis (RED) single use plates (</w:t>
      </w:r>
      <w:proofErr w:type="spellStart"/>
      <w:r w:rsidRPr="002620E0">
        <w:rPr>
          <w:sz w:val="20"/>
          <w:szCs w:val="20"/>
        </w:rPr>
        <w:t>ThermoScientific</w:t>
      </w:r>
      <w:proofErr w:type="spellEnd"/>
      <w:r w:rsidRPr="002620E0">
        <w:rPr>
          <w:sz w:val="20"/>
          <w:szCs w:val="20"/>
        </w:rPr>
        <w:t>, Rockford, USA</w:t>
      </w:r>
      <w:r w:rsidRPr="002620E0">
        <w:rPr>
          <w:rFonts w:ascii="Calibri" w:eastAsia="Times New Roman" w:hAnsi="Calibri"/>
          <w:sz w:val="20"/>
          <w:szCs w:val="20"/>
          <w:lang w:val="en-US"/>
        </w:rPr>
        <w:t>) according to the manufacturer’s instructions.</w:t>
      </w:r>
      <w:r w:rsidR="001B1B1B" w:rsidRPr="002620E0">
        <w:rPr>
          <w:rFonts w:ascii="Calibri" w:eastAsia="Times New Roman" w:hAnsi="Calibri"/>
          <w:sz w:val="20"/>
          <w:szCs w:val="20"/>
          <w:lang w:val="en-US"/>
        </w:rPr>
        <w:t xml:space="preserve"> </w:t>
      </w:r>
      <w:r w:rsidR="00ED4044" w:rsidRPr="002620E0">
        <w:rPr>
          <w:rFonts w:ascii="Calibri" w:eastAsia="Times New Roman" w:hAnsi="Calibri"/>
          <w:sz w:val="20"/>
          <w:szCs w:val="20"/>
        </w:rPr>
        <w:t xml:space="preserve">In short, </w:t>
      </w:r>
      <w:r w:rsidR="00A93C7C" w:rsidRPr="002620E0">
        <w:rPr>
          <w:rFonts w:ascii="Calibri" w:eastAsia="Times New Roman" w:hAnsi="Calibri"/>
          <w:sz w:val="20"/>
          <w:szCs w:val="20"/>
          <w:lang w:val="en-US"/>
        </w:rPr>
        <w:t>placental</w:t>
      </w:r>
      <w:r w:rsidR="00D92360" w:rsidRPr="002620E0">
        <w:rPr>
          <w:rFonts w:ascii="Calibri" w:eastAsia="Times New Roman" w:hAnsi="Calibri"/>
          <w:sz w:val="20"/>
          <w:szCs w:val="20"/>
          <w:lang w:val="en-US"/>
        </w:rPr>
        <w:t xml:space="preserve"> perfusion buffer samples from multiple timepoints were </w:t>
      </w:r>
      <w:r w:rsidR="00ED4044" w:rsidRPr="002620E0">
        <w:rPr>
          <w:rFonts w:ascii="Calibri" w:eastAsia="Times New Roman" w:hAnsi="Calibri"/>
          <w:sz w:val="20"/>
          <w:szCs w:val="20"/>
          <w:lang w:val="en-US"/>
        </w:rPr>
        <w:t xml:space="preserve">loaded on one side </w:t>
      </w:r>
      <w:r w:rsidR="00A93C7C" w:rsidRPr="002620E0">
        <w:rPr>
          <w:rFonts w:ascii="Calibri" w:eastAsia="Times New Roman" w:hAnsi="Calibri"/>
          <w:sz w:val="20"/>
          <w:szCs w:val="20"/>
          <w:lang w:val="en-US"/>
        </w:rPr>
        <w:t xml:space="preserve">of the RED and </w:t>
      </w:r>
      <w:r w:rsidR="00622C8B" w:rsidRPr="002620E0">
        <w:rPr>
          <w:rFonts w:ascii="Calibri" w:eastAsia="Times New Roman" w:hAnsi="Calibri"/>
          <w:sz w:val="20"/>
          <w:szCs w:val="20"/>
          <w:lang w:val="en-US"/>
        </w:rPr>
        <w:t xml:space="preserve">clean </w:t>
      </w:r>
      <w:r w:rsidR="00A93C7C" w:rsidRPr="002620E0">
        <w:rPr>
          <w:rFonts w:ascii="Calibri" w:eastAsia="Times New Roman" w:hAnsi="Calibri"/>
          <w:sz w:val="20"/>
          <w:szCs w:val="20"/>
          <w:lang w:val="en-US"/>
        </w:rPr>
        <w:t xml:space="preserve">placenta perfusion buffer without albumin </w:t>
      </w:r>
      <w:r w:rsidR="00622C8B" w:rsidRPr="002620E0">
        <w:rPr>
          <w:rFonts w:ascii="Calibri" w:eastAsia="Times New Roman" w:hAnsi="Calibri"/>
          <w:sz w:val="20"/>
          <w:szCs w:val="20"/>
          <w:lang w:val="en-US"/>
        </w:rPr>
        <w:t xml:space="preserve">was added to the other side. This was incubated on a </w:t>
      </w:r>
      <w:proofErr w:type="spellStart"/>
      <w:r w:rsidR="00314313" w:rsidRPr="002620E0">
        <w:rPr>
          <w:rFonts w:ascii="Calibri" w:eastAsia="Times New Roman" w:hAnsi="Calibri"/>
          <w:sz w:val="20"/>
          <w:szCs w:val="20"/>
          <w:lang w:val="en-US"/>
        </w:rPr>
        <w:t>T</w:t>
      </w:r>
      <w:r w:rsidR="00622C8B" w:rsidRPr="002620E0">
        <w:rPr>
          <w:rFonts w:ascii="Calibri" w:eastAsia="Times New Roman" w:hAnsi="Calibri"/>
          <w:sz w:val="20"/>
          <w:szCs w:val="20"/>
          <w:lang w:val="en-US"/>
        </w:rPr>
        <w:t>hermo</w:t>
      </w:r>
      <w:r w:rsidR="00314313" w:rsidRPr="002620E0">
        <w:rPr>
          <w:rFonts w:ascii="Calibri" w:eastAsia="Times New Roman" w:hAnsi="Calibri"/>
          <w:sz w:val="20"/>
          <w:szCs w:val="20"/>
          <w:lang w:val="en-US"/>
        </w:rPr>
        <w:t>M</w:t>
      </w:r>
      <w:r w:rsidR="00E04017" w:rsidRPr="002620E0">
        <w:rPr>
          <w:rFonts w:ascii="Calibri" w:eastAsia="Times New Roman" w:hAnsi="Calibri"/>
          <w:sz w:val="20"/>
          <w:szCs w:val="20"/>
          <w:lang w:val="en-US"/>
        </w:rPr>
        <w:t>ixer</w:t>
      </w:r>
      <w:proofErr w:type="spellEnd"/>
      <w:r w:rsidR="00314313" w:rsidRPr="002620E0">
        <w:rPr>
          <w:rFonts w:ascii="Calibri" w:eastAsia="Times New Roman" w:hAnsi="Calibri"/>
          <w:sz w:val="20"/>
          <w:szCs w:val="20"/>
          <w:lang w:val="en-US"/>
        </w:rPr>
        <w:t xml:space="preserve"> </w:t>
      </w:r>
      <w:r w:rsidR="005C2E52" w:rsidRPr="002620E0">
        <w:rPr>
          <w:rFonts w:ascii="Calibri" w:eastAsia="Times New Roman" w:hAnsi="Calibri"/>
          <w:sz w:val="20"/>
          <w:szCs w:val="20"/>
          <w:lang w:val="en-US"/>
        </w:rPr>
        <w:t xml:space="preserve">C </w:t>
      </w:r>
      <w:r w:rsidR="00B0647D" w:rsidRPr="002620E0">
        <w:rPr>
          <w:rFonts w:ascii="Calibri" w:eastAsia="Times New Roman" w:hAnsi="Calibri"/>
          <w:sz w:val="20"/>
          <w:szCs w:val="20"/>
          <w:lang w:val="en-US"/>
        </w:rPr>
        <w:t>(Eppendorf</w:t>
      </w:r>
      <w:r w:rsidR="002C2EA7" w:rsidRPr="002620E0">
        <w:rPr>
          <w:rFonts w:ascii="Calibri" w:eastAsia="Times New Roman" w:hAnsi="Calibri"/>
          <w:sz w:val="20"/>
          <w:szCs w:val="20"/>
          <w:lang w:val="en-US"/>
        </w:rPr>
        <w:t xml:space="preserve"> Nederland B.V.</w:t>
      </w:r>
      <w:r w:rsidR="00B0647D" w:rsidRPr="002620E0">
        <w:rPr>
          <w:rFonts w:ascii="Calibri" w:eastAsia="Times New Roman" w:hAnsi="Calibri"/>
          <w:sz w:val="20"/>
          <w:szCs w:val="20"/>
          <w:lang w:val="en-US"/>
        </w:rPr>
        <w:t xml:space="preserve">, </w:t>
      </w:r>
      <w:r w:rsidR="005C2E52" w:rsidRPr="002620E0">
        <w:rPr>
          <w:rFonts w:ascii="Calibri" w:eastAsia="Times New Roman" w:hAnsi="Calibri"/>
          <w:sz w:val="20"/>
          <w:szCs w:val="20"/>
          <w:lang w:val="en-US"/>
        </w:rPr>
        <w:t xml:space="preserve">Nijmegen, The Netherlands) </w:t>
      </w:r>
      <w:r w:rsidR="00C11561" w:rsidRPr="002620E0">
        <w:rPr>
          <w:rFonts w:ascii="Calibri" w:eastAsia="Times New Roman" w:hAnsi="Calibri"/>
          <w:sz w:val="20"/>
          <w:szCs w:val="20"/>
          <w:lang w:val="en-US"/>
        </w:rPr>
        <w:t>at</w:t>
      </w:r>
      <w:r w:rsidR="00622C8B" w:rsidRPr="002620E0">
        <w:rPr>
          <w:rFonts w:ascii="Calibri" w:eastAsia="Times New Roman" w:hAnsi="Calibri"/>
          <w:sz w:val="20"/>
          <w:szCs w:val="20"/>
          <w:lang w:val="en-US"/>
        </w:rPr>
        <w:t xml:space="preserve"> </w:t>
      </w:r>
      <w:r w:rsidR="00C11561" w:rsidRPr="002620E0">
        <w:rPr>
          <w:rFonts w:ascii="Calibri" w:eastAsia="Times New Roman" w:hAnsi="Calibri"/>
          <w:sz w:val="20"/>
          <w:szCs w:val="20"/>
          <w:lang w:val="en-US"/>
        </w:rPr>
        <w:t xml:space="preserve">250 rpm </w:t>
      </w:r>
      <w:r w:rsidR="00622C8B" w:rsidRPr="002620E0">
        <w:rPr>
          <w:rFonts w:ascii="Calibri" w:eastAsia="Times New Roman" w:hAnsi="Calibri"/>
          <w:sz w:val="20"/>
          <w:szCs w:val="20"/>
          <w:lang w:val="en-US"/>
        </w:rPr>
        <w:t xml:space="preserve">for </w:t>
      </w:r>
      <w:r w:rsidR="00C11561" w:rsidRPr="002620E0">
        <w:rPr>
          <w:rFonts w:ascii="Calibri" w:eastAsia="Times New Roman" w:hAnsi="Calibri"/>
          <w:sz w:val="20"/>
          <w:szCs w:val="20"/>
          <w:lang w:val="en-US"/>
        </w:rPr>
        <w:t>4</w:t>
      </w:r>
      <w:r w:rsidR="00622C8B" w:rsidRPr="002620E0">
        <w:rPr>
          <w:rFonts w:ascii="Calibri" w:eastAsia="Times New Roman" w:hAnsi="Calibri"/>
          <w:sz w:val="20"/>
          <w:szCs w:val="20"/>
          <w:lang w:val="en-US"/>
        </w:rPr>
        <w:t xml:space="preserve"> hours at 37 </w:t>
      </w:r>
      <w:r w:rsidR="00622C8B" w:rsidRPr="002620E0">
        <w:rPr>
          <w:rFonts w:ascii="Times New Roman" w:eastAsia="Times New Roman" w:hAnsi="Times New Roman" w:cs="Times New Roman"/>
          <w:sz w:val="20"/>
          <w:szCs w:val="20"/>
          <w:lang w:val="en-US"/>
        </w:rPr>
        <w:t>°</w:t>
      </w:r>
      <w:r w:rsidR="00622C8B" w:rsidRPr="002620E0">
        <w:rPr>
          <w:rFonts w:ascii="Calibri" w:eastAsia="Times New Roman" w:hAnsi="Calibri"/>
          <w:sz w:val="20"/>
          <w:szCs w:val="20"/>
          <w:lang w:val="en-US"/>
        </w:rPr>
        <w:t xml:space="preserve">C. </w:t>
      </w:r>
      <w:r w:rsidR="007B4001" w:rsidRPr="002620E0">
        <w:rPr>
          <w:rFonts w:ascii="Calibri" w:eastAsia="Times New Roman" w:hAnsi="Calibri"/>
          <w:sz w:val="20"/>
          <w:szCs w:val="20"/>
          <w:lang w:val="en-US"/>
        </w:rPr>
        <w:t>T</w:t>
      </w:r>
      <w:r w:rsidR="00D92360" w:rsidRPr="002620E0">
        <w:rPr>
          <w:rFonts w:ascii="Calibri" w:eastAsia="Times New Roman" w:hAnsi="Calibri"/>
          <w:sz w:val="20"/>
          <w:szCs w:val="20"/>
          <w:lang w:val="en-US"/>
        </w:rPr>
        <w:t xml:space="preserve">he average </w:t>
      </w:r>
      <w:r w:rsidR="007B4001" w:rsidRPr="002620E0">
        <w:rPr>
          <w:rFonts w:ascii="Calibri" w:eastAsia="Times New Roman" w:hAnsi="Calibri"/>
          <w:sz w:val="20"/>
          <w:szCs w:val="20"/>
          <w:lang w:val="en-US"/>
        </w:rPr>
        <w:t xml:space="preserve">from all measurements </w:t>
      </w:r>
      <w:r w:rsidR="00D92360" w:rsidRPr="002620E0">
        <w:rPr>
          <w:rFonts w:ascii="Calibri" w:eastAsia="Times New Roman" w:hAnsi="Calibri"/>
          <w:sz w:val="20"/>
          <w:szCs w:val="20"/>
          <w:lang w:val="en-US"/>
        </w:rPr>
        <w:t>was taken to determine the average fraction unbound</w:t>
      </w:r>
      <w:r w:rsidR="007B4001" w:rsidRPr="002620E0">
        <w:rPr>
          <w:rFonts w:ascii="Calibri" w:eastAsia="Times New Roman" w:hAnsi="Calibri"/>
          <w:sz w:val="20"/>
          <w:szCs w:val="20"/>
          <w:lang w:val="en-US"/>
        </w:rPr>
        <w:t xml:space="preserve"> for each </w:t>
      </w:r>
      <w:r w:rsidR="007B4001" w:rsidRPr="002620E0">
        <w:rPr>
          <w:rFonts w:ascii="Calibri" w:eastAsia="Times New Roman" w:hAnsi="Calibri"/>
          <w:i/>
          <w:iCs/>
          <w:sz w:val="20"/>
          <w:szCs w:val="20"/>
          <w:lang w:val="en-US"/>
        </w:rPr>
        <w:t xml:space="preserve">ex vivo </w:t>
      </w:r>
      <w:r w:rsidR="007B4001" w:rsidRPr="002620E0">
        <w:rPr>
          <w:rFonts w:ascii="Calibri" w:eastAsia="Times New Roman" w:hAnsi="Calibri"/>
          <w:sz w:val="20"/>
          <w:szCs w:val="20"/>
          <w:lang w:val="en-US"/>
        </w:rPr>
        <w:t>placenta perfusion experiment</w:t>
      </w:r>
      <w:r w:rsidR="00D92360" w:rsidRPr="002620E0">
        <w:rPr>
          <w:rFonts w:ascii="Calibri" w:eastAsia="Times New Roman" w:hAnsi="Calibri"/>
          <w:sz w:val="20"/>
          <w:szCs w:val="20"/>
          <w:lang w:val="en-US"/>
        </w:rPr>
        <w:t xml:space="preserve">. </w:t>
      </w:r>
    </w:p>
    <w:p w14:paraId="181A0967" w14:textId="3805B9E6" w:rsidR="006A4B21" w:rsidRPr="002620E0" w:rsidRDefault="006A4B21" w:rsidP="006A4B21">
      <w:pPr>
        <w:spacing w:after="0" w:line="360" w:lineRule="auto"/>
        <w:ind w:firstLine="720"/>
        <w:jc w:val="both"/>
        <w:rPr>
          <w:rFonts w:ascii="Calibri" w:eastAsia="Times New Roman" w:hAnsi="Calibri"/>
          <w:sz w:val="20"/>
          <w:szCs w:val="20"/>
          <w:lang w:val="en-US"/>
        </w:rPr>
      </w:pPr>
      <w:r w:rsidRPr="002620E0">
        <w:rPr>
          <w:rFonts w:ascii="Calibri" w:eastAsia="Times New Roman" w:hAnsi="Calibri"/>
          <w:sz w:val="20"/>
          <w:szCs w:val="20"/>
          <w:lang w:val="en-US"/>
        </w:rPr>
        <w:t xml:space="preserve">For </w:t>
      </w:r>
      <w:r w:rsidR="00DA3361">
        <w:rPr>
          <w:rFonts w:ascii="Calibri" w:eastAsia="Times New Roman" w:hAnsi="Calibri"/>
          <w:sz w:val="20"/>
          <w:szCs w:val="20"/>
          <w:lang w:val="en-US"/>
        </w:rPr>
        <w:t xml:space="preserve">cell culture </w:t>
      </w:r>
      <w:r w:rsidRPr="002620E0">
        <w:rPr>
          <w:rFonts w:ascii="Calibri" w:eastAsia="Times New Roman" w:hAnsi="Calibri"/>
          <w:sz w:val="20"/>
          <w:szCs w:val="20"/>
          <w:lang w:val="en-US"/>
        </w:rPr>
        <w:t>media, perfusate, homogenate and calibration samples, 50 µL of sample (or 50 µL standard) was mixed with 5 µL</w:t>
      </w:r>
      <w:r w:rsidR="0029743D" w:rsidRPr="002620E0">
        <w:rPr>
          <w:sz w:val="20"/>
          <w:szCs w:val="20"/>
        </w:rPr>
        <w:t xml:space="preserve"> citric acid – sodium citrate buffer with a pH of 3</w:t>
      </w:r>
      <w:r w:rsidRPr="002620E0">
        <w:rPr>
          <w:rFonts w:ascii="Calibri" w:eastAsia="Times New Roman" w:hAnsi="Calibri"/>
          <w:sz w:val="20"/>
          <w:szCs w:val="20"/>
          <w:lang w:val="en-US"/>
        </w:rPr>
        <w:t xml:space="preserve">, followed by 150 µL of ultrapure water. Internal standard solution (100 µL of IS in methanol) was added, containing 10 µg/mL thalidomide-d4, 5 µg/mL antipyrine-d3, 10 µg/mL amoxicillin-d4, and 100 µg/mL valproic acid-d6. Samples were vortexed thoroughly before adding 200 µL acetonitrile. After </w:t>
      </w:r>
      <w:r w:rsidR="00BC23A3" w:rsidRPr="002620E0">
        <w:rPr>
          <w:rFonts w:ascii="Calibri" w:eastAsia="Times New Roman" w:hAnsi="Calibri"/>
          <w:sz w:val="20"/>
          <w:szCs w:val="20"/>
          <w:lang w:val="en-US"/>
        </w:rPr>
        <w:t>vortex mixing</w:t>
      </w:r>
      <w:r w:rsidRPr="002620E0">
        <w:rPr>
          <w:rFonts w:ascii="Calibri" w:eastAsia="Times New Roman" w:hAnsi="Calibri"/>
          <w:sz w:val="20"/>
          <w:szCs w:val="20"/>
          <w:lang w:val="en-US"/>
        </w:rPr>
        <w:t xml:space="preserve"> and centrifugation</w:t>
      </w:r>
      <w:r w:rsidR="005D1132" w:rsidRPr="002620E0">
        <w:rPr>
          <w:rFonts w:ascii="Calibri" w:eastAsia="Times New Roman" w:hAnsi="Calibri"/>
          <w:sz w:val="20"/>
          <w:szCs w:val="20"/>
          <w:lang w:val="en-US"/>
        </w:rPr>
        <w:t xml:space="preserve"> for 3 minutes at 21</w:t>
      </w:r>
      <w:r w:rsidR="001B07F1" w:rsidRPr="002620E0">
        <w:rPr>
          <w:rFonts w:ascii="Calibri" w:eastAsia="Times New Roman" w:hAnsi="Calibri"/>
          <w:sz w:val="20"/>
          <w:szCs w:val="20"/>
          <w:lang w:val="en-US"/>
        </w:rPr>
        <w:t>3</w:t>
      </w:r>
      <w:r w:rsidR="005D1132" w:rsidRPr="002620E0">
        <w:rPr>
          <w:rFonts w:ascii="Calibri" w:eastAsia="Times New Roman" w:hAnsi="Calibri"/>
          <w:sz w:val="20"/>
          <w:szCs w:val="20"/>
          <w:lang w:val="en-US"/>
        </w:rPr>
        <w:t>00</w:t>
      </w:r>
      <w:r w:rsidR="001B07F1" w:rsidRPr="002620E0">
        <w:rPr>
          <w:rFonts w:ascii="Calibri" w:eastAsia="Times New Roman" w:hAnsi="Calibri"/>
          <w:sz w:val="20"/>
          <w:szCs w:val="20"/>
          <w:lang w:val="en-US"/>
        </w:rPr>
        <w:t xml:space="preserve"> </w:t>
      </w:r>
      <w:r w:rsidR="005D1132" w:rsidRPr="002620E0">
        <w:rPr>
          <w:rFonts w:ascii="Calibri" w:eastAsia="Times New Roman" w:hAnsi="Calibri"/>
          <w:sz w:val="20"/>
          <w:szCs w:val="20"/>
          <w:lang w:val="en-US"/>
        </w:rPr>
        <w:t>g</w:t>
      </w:r>
      <w:r w:rsidRPr="002620E0">
        <w:rPr>
          <w:rFonts w:ascii="Calibri" w:eastAsia="Times New Roman" w:hAnsi="Calibri"/>
          <w:sz w:val="20"/>
          <w:szCs w:val="20"/>
          <w:lang w:val="en-US"/>
        </w:rPr>
        <w:t>, the supernatant was transferred to vials or plates for LC-MS/MS analysis.</w:t>
      </w:r>
    </w:p>
    <w:p w14:paraId="39E76A85" w14:textId="5FF06A49" w:rsidR="006A4B21" w:rsidRPr="002620E0" w:rsidRDefault="006A4B21" w:rsidP="006A4B21">
      <w:pPr>
        <w:spacing w:after="0" w:line="360" w:lineRule="auto"/>
        <w:ind w:firstLine="720"/>
        <w:jc w:val="both"/>
        <w:rPr>
          <w:rFonts w:ascii="Calibri" w:eastAsia="Times New Roman" w:hAnsi="Calibri"/>
          <w:sz w:val="20"/>
          <w:szCs w:val="20"/>
          <w:lang w:val="en-US"/>
        </w:rPr>
      </w:pPr>
      <w:r w:rsidRPr="002620E0">
        <w:rPr>
          <w:rFonts w:ascii="Calibri" w:eastAsia="Times New Roman" w:hAnsi="Calibri"/>
          <w:sz w:val="20"/>
          <w:szCs w:val="20"/>
          <w:lang w:val="en-US"/>
        </w:rPr>
        <w:t xml:space="preserve">Chromatographic and Mass Spectrometric Conditions Analysis was carried out using a Waters </w:t>
      </w:r>
      <w:proofErr w:type="spellStart"/>
      <w:r w:rsidR="001B1B1B" w:rsidRPr="002620E0">
        <w:rPr>
          <w:rFonts w:ascii="Calibri" w:eastAsia="Times New Roman" w:hAnsi="Calibri"/>
          <w:sz w:val="20"/>
          <w:szCs w:val="20"/>
          <w:lang w:val="en-US"/>
        </w:rPr>
        <w:t>Acquity</w:t>
      </w:r>
      <w:proofErr w:type="spellEnd"/>
      <w:r w:rsidR="001B1B1B" w:rsidRPr="002620E0">
        <w:rPr>
          <w:rFonts w:ascii="Calibri" w:eastAsia="Times New Roman" w:hAnsi="Calibri"/>
          <w:sz w:val="20"/>
          <w:szCs w:val="20"/>
          <w:lang w:val="en-US"/>
        </w:rPr>
        <w:t xml:space="preserve"> UPLC C18 BEH column (2</w:t>
      </w:r>
      <w:r w:rsidR="00D3063F" w:rsidRPr="002620E0">
        <w:rPr>
          <w:rFonts w:ascii="Calibri" w:eastAsia="Times New Roman" w:hAnsi="Calibri"/>
          <w:sz w:val="20"/>
          <w:szCs w:val="20"/>
          <w:lang w:val="en-US"/>
        </w:rPr>
        <w:t>z</w:t>
      </w:r>
      <w:r w:rsidR="001B1B1B" w:rsidRPr="002620E0">
        <w:rPr>
          <w:rFonts w:ascii="Calibri" w:eastAsia="Times New Roman" w:hAnsi="Calibri"/>
          <w:sz w:val="20"/>
          <w:szCs w:val="20"/>
          <w:lang w:val="en-US"/>
        </w:rPr>
        <w:t>.1*50 mm, 1.7 µm particle size)</w:t>
      </w:r>
      <w:r w:rsidRPr="002620E0">
        <w:rPr>
          <w:rFonts w:ascii="Calibri" w:eastAsia="Times New Roman" w:hAnsi="Calibri"/>
          <w:sz w:val="20"/>
          <w:szCs w:val="20"/>
          <w:lang w:val="en-US"/>
        </w:rPr>
        <w:t xml:space="preserve"> maintained at 40°C. The mobile phase consisted of solvent A (0.2 mM ammonium fluoride in water) and solvent B (0.2 mM ammonium fluoride in a 75:25 </w:t>
      </w:r>
      <w:proofErr w:type="spellStart"/>
      <w:r w:rsidRPr="002620E0">
        <w:rPr>
          <w:rFonts w:ascii="Calibri" w:eastAsia="Times New Roman" w:hAnsi="Calibri"/>
          <w:sz w:val="20"/>
          <w:szCs w:val="20"/>
          <w:lang w:val="en-US"/>
        </w:rPr>
        <w:t>methanol:acetonitrile</w:t>
      </w:r>
      <w:proofErr w:type="spellEnd"/>
      <w:r w:rsidRPr="002620E0">
        <w:rPr>
          <w:rFonts w:ascii="Calibri" w:eastAsia="Times New Roman" w:hAnsi="Calibri"/>
          <w:sz w:val="20"/>
          <w:szCs w:val="20"/>
          <w:lang w:val="en-US"/>
        </w:rPr>
        <w:t xml:space="preserve"> mixture). A gradient program was used at a flow rate of 300 µL/min. Total run time was 6 minutes.</w:t>
      </w:r>
    </w:p>
    <w:p w14:paraId="7DEE34D6" w14:textId="51DB3102" w:rsidR="006A4B21" w:rsidRPr="002620E0" w:rsidRDefault="006A4B21" w:rsidP="006A4B21">
      <w:pPr>
        <w:spacing w:after="0" w:line="360" w:lineRule="auto"/>
        <w:ind w:firstLine="720"/>
        <w:jc w:val="both"/>
        <w:rPr>
          <w:rFonts w:ascii="Calibri" w:eastAsia="Times New Roman" w:hAnsi="Calibri"/>
          <w:sz w:val="20"/>
          <w:szCs w:val="20"/>
          <w:lang w:val="en-US"/>
        </w:rPr>
      </w:pPr>
      <w:r w:rsidRPr="002620E0">
        <w:rPr>
          <w:rFonts w:ascii="Calibri" w:eastAsia="Times New Roman" w:hAnsi="Calibri"/>
          <w:sz w:val="20"/>
          <w:szCs w:val="20"/>
          <w:lang w:val="en-US"/>
        </w:rPr>
        <w:t xml:space="preserve">The tray temperature was maintained at 15°C. A 1 µL injection volume was used. Mass spectrometric detection was performed using a Waters </w:t>
      </w:r>
      <w:proofErr w:type="spellStart"/>
      <w:r w:rsidR="00BA32BF" w:rsidRPr="002620E0">
        <w:rPr>
          <w:rFonts w:ascii="Calibri" w:eastAsia="Times New Roman" w:hAnsi="Calibri"/>
          <w:sz w:val="20"/>
          <w:szCs w:val="20"/>
          <w:lang w:val="en-US"/>
        </w:rPr>
        <w:t>Xevo</w:t>
      </w:r>
      <w:proofErr w:type="spellEnd"/>
      <w:r w:rsidR="00BA32BF" w:rsidRPr="002620E0">
        <w:rPr>
          <w:rFonts w:ascii="Calibri" w:eastAsia="Times New Roman" w:hAnsi="Calibri"/>
          <w:sz w:val="20"/>
          <w:szCs w:val="20"/>
          <w:lang w:val="en-US"/>
        </w:rPr>
        <w:t xml:space="preserve"> TQ-S micro Triple Quadrupole Mass Spectrometer</w:t>
      </w:r>
      <w:r w:rsidR="00872410" w:rsidRPr="002620E0">
        <w:rPr>
          <w:rFonts w:ascii="Calibri" w:eastAsia="Times New Roman" w:hAnsi="Calibri"/>
          <w:sz w:val="20"/>
          <w:szCs w:val="20"/>
          <w:lang w:val="en-US"/>
        </w:rPr>
        <w:t xml:space="preserve"> </w:t>
      </w:r>
      <w:r w:rsidRPr="002620E0">
        <w:rPr>
          <w:rFonts w:ascii="Calibri" w:eastAsia="Times New Roman" w:hAnsi="Calibri"/>
          <w:sz w:val="20"/>
          <w:szCs w:val="20"/>
          <w:lang w:val="en-US"/>
        </w:rPr>
        <w:t xml:space="preserve">operating in both positive and negative electrospray ionization (ESI) mode, depending on the compound. MRM transitions and retention times used for the different compounds are given in table 1 and settings were as follow: Capillary voltage: +0.9 kV (ESI+), –1.0 kV (ESI–); Source temperature: 150°C; </w:t>
      </w:r>
      <w:proofErr w:type="spellStart"/>
      <w:r w:rsidRPr="002620E0">
        <w:rPr>
          <w:rFonts w:ascii="Calibri" w:eastAsia="Times New Roman" w:hAnsi="Calibri"/>
          <w:sz w:val="20"/>
          <w:szCs w:val="20"/>
          <w:lang w:val="en-US"/>
        </w:rPr>
        <w:t>Desolvation</w:t>
      </w:r>
      <w:proofErr w:type="spellEnd"/>
      <w:r w:rsidRPr="002620E0">
        <w:rPr>
          <w:rFonts w:ascii="Calibri" w:eastAsia="Times New Roman" w:hAnsi="Calibri"/>
          <w:sz w:val="20"/>
          <w:szCs w:val="20"/>
          <w:lang w:val="en-US"/>
        </w:rPr>
        <w:t xml:space="preserve"> temperature: 500°C; </w:t>
      </w:r>
      <w:proofErr w:type="spellStart"/>
      <w:r w:rsidRPr="002620E0">
        <w:rPr>
          <w:rFonts w:ascii="Calibri" w:eastAsia="Times New Roman" w:hAnsi="Calibri"/>
          <w:sz w:val="20"/>
          <w:szCs w:val="20"/>
          <w:lang w:val="en-US"/>
        </w:rPr>
        <w:t>Desolvation</w:t>
      </w:r>
      <w:proofErr w:type="spellEnd"/>
      <w:r w:rsidRPr="002620E0">
        <w:rPr>
          <w:rFonts w:ascii="Calibri" w:eastAsia="Times New Roman" w:hAnsi="Calibri"/>
          <w:sz w:val="20"/>
          <w:szCs w:val="20"/>
          <w:lang w:val="en-US"/>
        </w:rPr>
        <w:t xml:space="preserve"> gas flow: 1000 L/h; Cone gas flow: 50 L/h</w:t>
      </w:r>
    </w:p>
    <w:p w14:paraId="366DE709" w14:textId="5AED567F" w:rsidR="006A4B21" w:rsidRDefault="006A4B21" w:rsidP="006A4B21">
      <w:pPr>
        <w:pStyle w:val="Bijschrift"/>
        <w:keepNext/>
        <w:spacing w:line="360" w:lineRule="auto"/>
        <w:jc w:val="both"/>
      </w:pPr>
      <w:r>
        <w:t xml:space="preserve">Table </w:t>
      </w:r>
      <w:r w:rsidR="00B60966">
        <w:fldChar w:fldCharType="begin"/>
      </w:r>
      <w:r w:rsidR="00B60966">
        <w:instrText xml:space="preserve"> SEQ Table \* ARABIC </w:instrText>
      </w:r>
      <w:r w:rsidR="00B60966">
        <w:fldChar w:fldCharType="separate"/>
      </w:r>
      <w:r w:rsidR="001F04D6">
        <w:rPr>
          <w:noProof/>
        </w:rPr>
        <w:t>1</w:t>
      </w:r>
      <w:r w:rsidR="00B60966">
        <w:rPr>
          <w:noProof/>
        </w:rPr>
        <w:fldChar w:fldCharType="end"/>
      </w:r>
      <w:r>
        <w:t>: Overview of the MRM transitions and retention times for the different compounds.</w:t>
      </w:r>
    </w:p>
    <w:tbl>
      <w:tblPr>
        <w:tblStyle w:val="Tabelraster"/>
        <w:tblW w:w="9209" w:type="dxa"/>
        <w:tblLook w:val="04A0" w:firstRow="1" w:lastRow="0" w:firstColumn="1" w:lastColumn="0" w:noHBand="0" w:noVBand="1"/>
      </w:tblPr>
      <w:tblGrid>
        <w:gridCol w:w="1647"/>
        <w:gridCol w:w="1042"/>
        <w:gridCol w:w="992"/>
        <w:gridCol w:w="850"/>
        <w:gridCol w:w="993"/>
        <w:gridCol w:w="1701"/>
        <w:gridCol w:w="992"/>
        <w:gridCol w:w="992"/>
      </w:tblGrid>
      <w:tr w:rsidR="001733B5" w:rsidRPr="00A64178" w14:paraId="21AB9C90" w14:textId="7709458F" w:rsidTr="003A0158">
        <w:trPr>
          <w:trHeight w:val="379"/>
        </w:trPr>
        <w:tc>
          <w:tcPr>
            <w:tcW w:w="1647" w:type="dxa"/>
            <w:hideMark/>
          </w:tcPr>
          <w:p w14:paraId="31451053"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b/>
                <w:bCs/>
                <w:kern w:val="0"/>
                <w:sz w:val="20"/>
                <w:szCs w:val="20"/>
                <w:lang w:val="nl-NL" w:eastAsia="nl-NL"/>
                <w14:ligatures w14:val="none"/>
              </w:rPr>
              <w:t>Compound</w:t>
            </w:r>
          </w:p>
        </w:tc>
        <w:tc>
          <w:tcPr>
            <w:tcW w:w="1042" w:type="dxa"/>
            <w:hideMark/>
          </w:tcPr>
          <w:p w14:paraId="419001A4"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b/>
                <w:bCs/>
                <w:kern w:val="0"/>
                <w:sz w:val="20"/>
                <w:szCs w:val="20"/>
                <w:lang w:val="nl-NL" w:eastAsia="nl-NL"/>
                <w14:ligatures w14:val="none"/>
              </w:rPr>
              <w:t>Parent (m/</w:t>
            </w:r>
            <w:proofErr w:type="spellStart"/>
            <w:r w:rsidRPr="002620E0">
              <w:rPr>
                <w:rFonts w:ascii="Calibri" w:hAnsi="Calibri" w:cs="Calibri"/>
                <w:b/>
                <w:bCs/>
                <w:kern w:val="0"/>
                <w:sz w:val="20"/>
                <w:szCs w:val="20"/>
                <w:lang w:val="nl-NL" w:eastAsia="nl-NL"/>
                <w14:ligatures w14:val="none"/>
              </w:rPr>
              <w:t>z</w:t>
            </w:r>
            <w:proofErr w:type="spellEnd"/>
            <w:r w:rsidRPr="002620E0">
              <w:rPr>
                <w:rFonts w:ascii="Calibri" w:hAnsi="Calibri" w:cs="Calibri"/>
                <w:b/>
                <w:bCs/>
                <w:kern w:val="0"/>
                <w:sz w:val="20"/>
                <w:szCs w:val="20"/>
                <w:lang w:val="nl-NL" w:eastAsia="nl-NL"/>
                <w14:ligatures w14:val="none"/>
              </w:rPr>
              <w:t>)</w:t>
            </w:r>
          </w:p>
        </w:tc>
        <w:tc>
          <w:tcPr>
            <w:tcW w:w="992" w:type="dxa"/>
            <w:hideMark/>
          </w:tcPr>
          <w:p w14:paraId="4C9BC0FA"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b/>
                <w:bCs/>
                <w:kern w:val="0"/>
                <w:sz w:val="20"/>
                <w:szCs w:val="20"/>
                <w:lang w:val="nl-NL" w:eastAsia="nl-NL"/>
                <w14:ligatures w14:val="none"/>
              </w:rPr>
              <w:t>Product (m/</w:t>
            </w:r>
            <w:proofErr w:type="spellStart"/>
            <w:r w:rsidRPr="002620E0">
              <w:rPr>
                <w:rFonts w:ascii="Calibri" w:hAnsi="Calibri" w:cs="Calibri"/>
                <w:b/>
                <w:bCs/>
                <w:kern w:val="0"/>
                <w:sz w:val="20"/>
                <w:szCs w:val="20"/>
                <w:lang w:val="nl-NL" w:eastAsia="nl-NL"/>
                <w14:ligatures w14:val="none"/>
              </w:rPr>
              <w:t>z</w:t>
            </w:r>
            <w:proofErr w:type="spellEnd"/>
            <w:r w:rsidRPr="002620E0">
              <w:rPr>
                <w:rFonts w:ascii="Calibri" w:hAnsi="Calibri" w:cs="Calibri"/>
                <w:b/>
                <w:bCs/>
                <w:kern w:val="0"/>
                <w:sz w:val="20"/>
                <w:szCs w:val="20"/>
                <w:lang w:val="nl-NL" w:eastAsia="nl-NL"/>
                <w14:ligatures w14:val="none"/>
              </w:rPr>
              <w:t>)</w:t>
            </w:r>
          </w:p>
        </w:tc>
        <w:tc>
          <w:tcPr>
            <w:tcW w:w="850" w:type="dxa"/>
            <w:hideMark/>
          </w:tcPr>
          <w:p w14:paraId="0E470CD7"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b/>
                <w:bCs/>
                <w:kern w:val="0"/>
                <w:sz w:val="20"/>
                <w:szCs w:val="20"/>
                <w:lang w:val="nl-NL" w:eastAsia="nl-NL"/>
                <w14:ligatures w14:val="none"/>
              </w:rPr>
              <w:t>RT (min)</w:t>
            </w:r>
          </w:p>
        </w:tc>
        <w:tc>
          <w:tcPr>
            <w:tcW w:w="993" w:type="dxa"/>
            <w:hideMark/>
          </w:tcPr>
          <w:p w14:paraId="56C45BA9"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proofErr w:type="spellStart"/>
            <w:r w:rsidRPr="002620E0">
              <w:rPr>
                <w:rFonts w:ascii="Calibri" w:hAnsi="Calibri" w:cs="Calibri"/>
                <w:b/>
                <w:bCs/>
                <w:kern w:val="0"/>
                <w:sz w:val="20"/>
                <w:szCs w:val="20"/>
                <w:lang w:val="nl-NL" w:eastAsia="nl-NL"/>
                <w14:ligatures w14:val="none"/>
              </w:rPr>
              <w:t>Polarity</w:t>
            </w:r>
            <w:proofErr w:type="spellEnd"/>
          </w:p>
        </w:tc>
        <w:tc>
          <w:tcPr>
            <w:tcW w:w="1701" w:type="dxa"/>
            <w:hideMark/>
          </w:tcPr>
          <w:p w14:paraId="45FD4E24"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proofErr w:type="spellStart"/>
            <w:r w:rsidRPr="002620E0">
              <w:rPr>
                <w:rFonts w:ascii="Calibri" w:hAnsi="Calibri" w:cs="Calibri"/>
                <w:b/>
                <w:bCs/>
                <w:kern w:val="0"/>
                <w:sz w:val="20"/>
                <w:szCs w:val="20"/>
                <w:lang w:val="nl-NL" w:eastAsia="nl-NL"/>
                <w14:ligatures w14:val="none"/>
              </w:rPr>
              <w:t>Internal</w:t>
            </w:r>
            <w:proofErr w:type="spellEnd"/>
            <w:r w:rsidRPr="002620E0">
              <w:rPr>
                <w:rFonts w:ascii="Calibri" w:hAnsi="Calibri" w:cs="Calibri"/>
                <w:b/>
                <w:bCs/>
                <w:kern w:val="0"/>
                <w:sz w:val="20"/>
                <w:szCs w:val="20"/>
                <w:lang w:val="nl-NL" w:eastAsia="nl-NL"/>
                <w14:ligatures w14:val="none"/>
              </w:rPr>
              <w:t xml:space="preserve"> Standard</w:t>
            </w:r>
          </w:p>
        </w:tc>
        <w:tc>
          <w:tcPr>
            <w:tcW w:w="992" w:type="dxa"/>
          </w:tcPr>
          <w:p w14:paraId="305C5652" w14:textId="3341CE0A" w:rsidR="00596BFE" w:rsidRPr="002620E0" w:rsidRDefault="00596BFE" w:rsidP="00D22263">
            <w:pPr>
              <w:spacing w:after="180" w:line="360" w:lineRule="auto"/>
              <w:ind w:left="8" w:right="8"/>
              <w:jc w:val="both"/>
              <w:rPr>
                <w:rFonts w:ascii="Calibri" w:hAnsi="Calibri" w:cs="Calibri"/>
                <w:b/>
                <w:bCs/>
                <w:kern w:val="0"/>
                <w:sz w:val="20"/>
                <w:szCs w:val="20"/>
                <w:lang w:val="nl-NL" w:eastAsia="nl-NL"/>
                <w14:ligatures w14:val="none"/>
              </w:rPr>
            </w:pPr>
            <w:r w:rsidRPr="002620E0">
              <w:rPr>
                <w:rFonts w:ascii="Calibri" w:hAnsi="Calibri" w:cs="Calibri"/>
                <w:b/>
                <w:bCs/>
                <w:kern w:val="0"/>
                <w:sz w:val="20"/>
                <w:szCs w:val="20"/>
                <w:lang w:val="nl-NL" w:eastAsia="nl-NL"/>
                <w14:ligatures w14:val="none"/>
              </w:rPr>
              <w:t>Parent (</w:t>
            </w:r>
            <w:r w:rsidR="00450E8E" w:rsidRPr="002620E0">
              <w:rPr>
                <w:rFonts w:ascii="Calibri" w:hAnsi="Calibri" w:cs="Calibri"/>
                <w:b/>
                <w:bCs/>
                <w:kern w:val="0"/>
                <w:sz w:val="20"/>
                <w:szCs w:val="20"/>
                <w:lang w:val="nl-NL" w:eastAsia="nl-NL"/>
                <w14:ligatures w14:val="none"/>
              </w:rPr>
              <w:t>m/</w:t>
            </w:r>
            <w:proofErr w:type="spellStart"/>
            <w:r w:rsidR="00450E8E" w:rsidRPr="002620E0">
              <w:rPr>
                <w:rFonts w:ascii="Calibri" w:hAnsi="Calibri" w:cs="Calibri"/>
                <w:b/>
                <w:bCs/>
                <w:kern w:val="0"/>
                <w:sz w:val="20"/>
                <w:szCs w:val="20"/>
                <w:lang w:val="nl-NL" w:eastAsia="nl-NL"/>
                <w14:ligatures w14:val="none"/>
              </w:rPr>
              <w:t>z</w:t>
            </w:r>
            <w:proofErr w:type="spellEnd"/>
            <w:r w:rsidR="00450E8E" w:rsidRPr="002620E0">
              <w:rPr>
                <w:rFonts w:ascii="Calibri" w:hAnsi="Calibri" w:cs="Calibri"/>
                <w:b/>
                <w:bCs/>
                <w:kern w:val="0"/>
                <w:sz w:val="20"/>
                <w:szCs w:val="20"/>
                <w:lang w:val="nl-NL" w:eastAsia="nl-NL"/>
                <w14:ligatures w14:val="none"/>
              </w:rPr>
              <w:t>)</w:t>
            </w:r>
          </w:p>
        </w:tc>
        <w:tc>
          <w:tcPr>
            <w:tcW w:w="992" w:type="dxa"/>
          </w:tcPr>
          <w:p w14:paraId="39BE672D" w14:textId="1977DA71" w:rsidR="00596BFE" w:rsidRPr="002620E0" w:rsidRDefault="00450E8E" w:rsidP="00D22263">
            <w:pPr>
              <w:spacing w:after="180" w:line="360" w:lineRule="auto"/>
              <w:ind w:left="8" w:right="8"/>
              <w:jc w:val="both"/>
              <w:rPr>
                <w:rFonts w:ascii="Calibri" w:hAnsi="Calibri" w:cs="Calibri"/>
                <w:b/>
                <w:bCs/>
                <w:kern w:val="0"/>
                <w:sz w:val="20"/>
                <w:szCs w:val="20"/>
                <w:lang w:val="nl-NL" w:eastAsia="nl-NL"/>
                <w14:ligatures w14:val="none"/>
              </w:rPr>
            </w:pPr>
            <w:r w:rsidRPr="002620E0">
              <w:rPr>
                <w:rFonts w:ascii="Calibri" w:hAnsi="Calibri" w:cs="Calibri"/>
                <w:b/>
                <w:bCs/>
                <w:kern w:val="0"/>
                <w:sz w:val="20"/>
                <w:szCs w:val="20"/>
                <w:lang w:val="nl-NL" w:eastAsia="nl-NL"/>
                <w14:ligatures w14:val="none"/>
              </w:rPr>
              <w:t>Product (m/</w:t>
            </w:r>
            <w:proofErr w:type="spellStart"/>
            <w:r w:rsidRPr="002620E0">
              <w:rPr>
                <w:rFonts w:ascii="Calibri" w:hAnsi="Calibri" w:cs="Calibri"/>
                <w:b/>
                <w:bCs/>
                <w:kern w:val="0"/>
                <w:sz w:val="20"/>
                <w:szCs w:val="20"/>
                <w:lang w:val="nl-NL" w:eastAsia="nl-NL"/>
                <w14:ligatures w14:val="none"/>
              </w:rPr>
              <w:t>z</w:t>
            </w:r>
            <w:proofErr w:type="spellEnd"/>
            <w:r w:rsidRPr="002620E0">
              <w:rPr>
                <w:rFonts w:ascii="Calibri" w:hAnsi="Calibri" w:cs="Calibri"/>
                <w:b/>
                <w:bCs/>
                <w:kern w:val="0"/>
                <w:sz w:val="20"/>
                <w:szCs w:val="20"/>
                <w:lang w:val="nl-NL" w:eastAsia="nl-NL"/>
                <w14:ligatures w14:val="none"/>
              </w:rPr>
              <w:t>)</w:t>
            </w:r>
          </w:p>
        </w:tc>
      </w:tr>
      <w:tr w:rsidR="001733B5" w:rsidRPr="00A64178" w14:paraId="10B6CFD8" w14:textId="3A43585E" w:rsidTr="003A0158">
        <w:trPr>
          <w:trHeight w:val="248"/>
        </w:trPr>
        <w:tc>
          <w:tcPr>
            <w:tcW w:w="1647" w:type="dxa"/>
            <w:hideMark/>
          </w:tcPr>
          <w:p w14:paraId="4FA1FFDA"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Thalidomide</w:t>
            </w:r>
          </w:p>
        </w:tc>
        <w:tc>
          <w:tcPr>
            <w:tcW w:w="1042" w:type="dxa"/>
            <w:hideMark/>
          </w:tcPr>
          <w:p w14:paraId="14E1293C"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257.0</w:t>
            </w:r>
          </w:p>
        </w:tc>
        <w:tc>
          <w:tcPr>
            <w:tcW w:w="992" w:type="dxa"/>
            <w:hideMark/>
          </w:tcPr>
          <w:p w14:paraId="1CF7B0E0"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145.9</w:t>
            </w:r>
          </w:p>
        </w:tc>
        <w:tc>
          <w:tcPr>
            <w:tcW w:w="850" w:type="dxa"/>
            <w:hideMark/>
          </w:tcPr>
          <w:p w14:paraId="65493F30"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2.1</w:t>
            </w:r>
          </w:p>
        </w:tc>
        <w:tc>
          <w:tcPr>
            <w:tcW w:w="993" w:type="dxa"/>
            <w:hideMark/>
          </w:tcPr>
          <w:p w14:paraId="460A0F05"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ESI–</w:t>
            </w:r>
          </w:p>
        </w:tc>
        <w:tc>
          <w:tcPr>
            <w:tcW w:w="1701" w:type="dxa"/>
            <w:hideMark/>
          </w:tcPr>
          <w:p w14:paraId="0AEF12F4"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Thalidomide-d4</w:t>
            </w:r>
          </w:p>
        </w:tc>
        <w:tc>
          <w:tcPr>
            <w:tcW w:w="992" w:type="dxa"/>
          </w:tcPr>
          <w:p w14:paraId="7EA89EC8" w14:textId="31F65A80" w:rsidR="00596BFE" w:rsidRPr="002620E0" w:rsidRDefault="00450E8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261.0</w:t>
            </w:r>
          </w:p>
        </w:tc>
        <w:tc>
          <w:tcPr>
            <w:tcW w:w="992" w:type="dxa"/>
          </w:tcPr>
          <w:p w14:paraId="44A1E8A9" w14:textId="5120A1EF" w:rsidR="00596BFE" w:rsidRPr="002620E0" w:rsidRDefault="00450E8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149.9</w:t>
            </w:r>
          </w:p>
        </w:tc>
      </w:tr>
      <w:tr w:rsidR="001733B5" w:rsidRPr="00A64178" w14:paraId="3DF2E119" w14:textId="59CA3D5D" w:rsidTr="003A0158">
        <w:trPr>
          <w:trHeight w:val="213"/>
        </w:trPr>
        <w:tc>
          <w:tcPr>
            <w:tcW w:w="1647" w:type="dxa"/>
            <w:hideMark/>
          </w:tcPr>
          <w:p w14:paraId="50504398"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proofErr w:type="spellStart"/>
            <w:r w:rsidRPr="002620E0">
              <w:rPr>
                <w:rFonts w:ascii="Calibri" w:hAnsi="Calibri" w:cs="Calibri"/>
                <w:kern w:val="0"/>
                <w:sz w:val="20"/>
                <w:szCs w:val="20"/>
                <w:lang w:val="nl-NL" w:eastAsia="nl-NL"/>
                <w14:ligatures w14:val="none"/>
              </w:rPr>
              <w:t>Valproic</w:t>
            </w:r>
            <w:proofErr w:type="spellEnd"/>
            <w:r w:rsidRPr="002620E0">
              <w:rPr>
                <w:rFonts w:ascii="Calibri" w:hAnsi="Calibri" w:cs="Calibri"/>
                <w:kern w:val="0"/>
                <w:sz w:val="20"/>
                <w:szCs w:val="20"/>
                <w:lang w:val="nl-NL" w:eastAsia="nl-NL"/>
                <w14:ligatures w14:val="none"/>
              </w:rPr>
              <w:t xml:space="preserve"> acid</w:t>
            </w:r>
          </w:p>
        </w:tc>
        <w:tc>
          <w:tcPr>
            <w:tcW w:w="1042" w:type="dxa"/>
            <w:hideMark/>
          </w:tcPr>
          <w:p w14:paraId="323E0BEA"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143.0</w:t>
            </w:r>
          </w:p>
        </w:tc>
        <w:tc>
          <w:tcPr>
            <w:tcW w:w="992" w:type="dxa"/>
            <w:hideMark/>
          </w:tcPr>
          <w:p w14:paraId="115BE6DA"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143.0</w:t>
            </w:r>
          </w:p>
        </w:tc>
        <w:tc>
          <w:tcPr>
            <w:tcW w:w="850" w:type="dxa"/>
            <w:hideMark/>
          </w:tcPr>
          <w:p w14:paraId="0DB400AE"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3.1</w:t>
            </w:r>
          </w:p>
        </w:tc>
        <w:tc>
          <w:tcPr>
            <w:tcW w:w="993" w:type="dxa"/>
            <w:hideMark/>
          </w:tcPr>
          <w:p w14:paraId="4D8AD1A0"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ESI–</w:t>
            </w:r>
          </w:p>
        </w:tc>
        <w:tc>
          <w:tcPr>
            <w:tcW w:w="1701" w:type="dxa"/>
            <w:hideMark/>
          </w:tcPr>
          <w:p w14:paraId="6198CCBA"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proofErr w:type="spellStart"/>
            <w:r w:rsidRPr="002620E0">
              <w:rPr>
                <w:rFonts w:ascii="Calibri" w:hAnsi="Calibri" w:cs="Calibri"/>
                <w:kern w:val="0"/>
                <w:sz w:val="20"/>
                <w:szCs w:val="20"/>
                <w:lang w:val="nl-NL" w:eastAsia="nl-NL"/>
                <w14:ligatures w14:val="none"/>
              </w:rPr>
              <w:t>Valproic</w:t>
            </w:r>
            <w:proofErr w:type="spellEnd"/>
            <w:r w:rsidRPr="002620E0">
              <w:rPr>
                <w:rFonts w:ascii="Calibri" w:hAnsi="Calibri" w:cs="Calibri"/>
                <w:kern w:val="0"/>
                <w:sz w:val="20"/>
                <w:szCs w:val="20"/>
                <w:lang w:val="nl-NL" w:eastAsia="nl-NL"/>
                <w14:ligatures w14:val="none"/>
              </w:rPr>
              <w:t xml:space="preserve"> acid-d6</w:t>
            </w:r>
          </w:p>
        </w:tc>
        <w:tc>
          <w:tcPr>
            <w:tcW w:w="992" w:type="dxa"/>
          </w:tcPr>
          <w:p w14:paraId="6998D43D" w14:textId="43E52314" w:rsidR="00596BFE" w:rsidRPr="002620E0" w:rsidRDefault="00D1121C"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149.0</w:t>
            </w:r>
          </w:p>
        </w:tc>
        <w:tc>
          <w:tcPr>
            <w:tcW w:w="992" w:type="dxa"/>
          </w:tcPr>
          <w:p w14:paraId="3EA11192" w14:textId="0799ED2D" w:rsidR="00596BFE" w:rsidRPr="002620E0" w:rsidRDefault="00D1121C"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149.0</w:t>
            </w:r>
          </w:p>
        </w:tc>
      </w:tr>
      <w:tr w:rsidR="001733B5" w:rsidRPr="00A64178" w14:paraId="21C47607" w14:textId="18DC5C78" w:rsidTr="003A0158">
        <w:trPr>
          <w:trHeight w:val="191"/>
        </w:trPr>
        <w:tc>
          <w:tcPr>
            <w:tcW w:w="1647" w:type="dxa"/>
            <w:hideMark/>
          </w:tcPr>
          <w:p w14:paraId="29B25AA5"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proofErr w:type="spellStart"/>
            <w:r w:rsidRPr="002620E0">
              <w:rPr>
                <w:rFonts w:ascii="Calibri" w:hAnsi="Calibri" w:cs="Calibri"/>
                <w:kern w:val="0"/>
                <w:sz w:val="20"/>
                <w:szCs w:val="20"/>
                <w:lang w:val="nl-NL" w:eastAsia="nl-NL"/>
                <w14:ligatures w14:val="none"/>
              </w:rPr>
              <w:t>Amoxicillin</w:t>
            </w:r>
            <w:proofErr w:type="spellEnd"/>
          </w:p>
        </w:tc>
        <w:tc>
          <w:tcPr>
            <w:tcW w:w="1042" w:type="dxa"/>
            <w:hideMark/>
          </w:tcPr>
          <w:p w14:paraId="3A4C2842"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366.1</w:t>
            </w:r>
          </w:p>
        </w:tc>
        <w:tc>
          <w:tcPr>
            <w:tcW w:w="992" w:type="dxa"/>
            <w:hideMark/>
          </w:tcPr>
          <w:p w14:paraId="16B14E49"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113.9</w:t>
            </w:r>
          </w:p>
        </w:tc>
        <w:tc>
          <w:tcPr>
            <w:tcW w:w="850" w:type="dxa"/>
            <w:hideMark/>
          </w:tcPr>
          <w:p w14:paraId="2B1505FC"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1.2</w:t>
            </w:r>
          </w:p>
        </w:tc>
        <w:tc>
          <w:tcPr>
            <w:tcW w:w="993" w:type="dxa"/>
            <w:hideMark/>
          </w:tcPr>
          <w:p w14:paraId="6093689D"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ESI+</w:t>
            </w:r>
          </w:p>
        </w:tc>
        <w:tc>
          <w:tcPr>
            <w:tcW w:w="1701" w:type="dxa"/>
            <w:hideMark/>
          </w:tcPr>
          <w:p w14:paraId="12214799"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Amoxicillin-d4</w:t>
            </w:r>
          </w:p>
        </w:tc>
        <w:tc>
          <w:tcPr>
            <w:tcW w:w="992" w:type="dxa"/>
          </w:tcPr>
          <w:p w14:paraId="3BCCD6B0" w14:textId="43D1E9D5" w:rsidR="00596BFE" w:rsidRPr="002620E0" w:rsidRDefault="001733B5"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371.2</w:t>
            </w:r>
          </w:p>
        </w:tc>
        <w:tc>
          <w:tcPr>
            <w:tcW w:w="992" w:type="dxa"/>
          </w:tcPr>
          <w:p w14:paraId="58D436B8" w14:textId="39A74FB8" w:rsidR="00596BFE" w:rsidRPr="002620E0" w:rsidRDefault="001733B5"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114.8</w:t>
            </w:r>
          </w:p>
        </w:tc>
      </w:tr>
      <w:tr w:rsidR="001733B5" w:rsidRPr="00A64178" w14:paraId="2A0A8269" w14:textId="304D6DC6" w:rsidTr="003A0158">
        <w:trPr>
          <w:trHeight w:val="303"/>
        </w:trPr>
        <w:tc>
          <w:tcPr>
            <w:tcW w:w="1647" w:type="dxa"/>
            <w:hideMark/>
          </w:tcPr>
          <w:p w14:paraId="08F09BED"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Antipyrine</w:t>
            </w:r>
          </w:p>
        </w:tc>
        <w:tc>
          <w:tcPr>
            <w:tcW w:w="1042" w:type="dxa"/>
            <w:hideMark/>
          </w:tcPr>
          <w:p w14:paraId="119A7B1D"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189.0</w:t>
            </w:r>
          </w:p>
        </w:tc>
        <w:tc>
          <w:tcPr>
            <w:tcW w:w="992" w:type="dxa"/>
            <w:hideMark/>
          </w:tcPr>
          <w:p w14:paraId="6E71BADC"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55.9</w:t>
            </w:r>
          </w:p>
        </w:tc>
        <w:tc>
          <w:tcPr>
            <w:tcW w:w="850" w:type="dxa"/>
            <w:hideMark/>
          </w:tcPr>
          <w:p w14:paraId="1C1A7406"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1.9</w:t>
            </w:r>
          </w:p>
        </w:tc>
        <w:tc>
          <w:tcPr>
            <w:tcW w:w="993" w:type="dxa"/>
            <w:hideMark/>
          </w:tcPr>
          <w:p w14:paraId="3DE1C573"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ESI+</w:t>
            </w:r>
          </w:p>
        </w:tc>
        <w:tc>
          <w:tcPr>
            <w:tcW w:w="1701" w:type="dxa"/>
            <w:hideMark/>
          </w:tcPr>
          <w:p w14:paraId="19609A42" w14:textId="77777777" w:rsidR="00596BFE" w:rsidRPr="002620E0" w:rsidRDefault="00596BFE"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Antipyrine-d3</w:t>
            </w:r>
          </w:p>
        </w:tc>
        <w:tc>
          <w:tcPr>
            <w:tcW w:w="992" w:type="dxa"/>
          </w:tcPr>
          <w:p w14:paraId="0AC52BBA" w14:textId="44A15613" w:rsidR="00596BFE" w:rsidRPr="002620E0" w:rsidRDefault="001733B5"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192.0</w:t>
            </w:r>
          </w:p>
        </w:tc>
        <w:tc>
          <w:tcPr>
            <w:tcW w:w="992" w:type="dxa"/>
          </w:tcPr>
          <w:p w14:paraId="2579158E" w14:textId="79B95D48" w:rsidR="00596BFE" w:rsidRPr="002620E0" w:rsidRDefault="001733B5" w:rsidP="00D22263">
            <w:pPr>
              <w:spacing w:after="180" w:line="360" w:lineRule="auto"/>
              <w:ind w:left="8" w:right="8"/>
              <w:jc w:val="both"/>
              <w:rPr>
                <w:rFonts w:ascii="Calibri" w:hAnsi="Calibri" w:cs="Calibri"/>
                <w:kern w:val="0"/>
                <w:sz w:val="20"/>
                <w:szCs w:val="20"/>
                <w:lang w:val="nl-NL" w:eastAsia="nl-NL"/>
                <w14:ligatures w14:val="none"/>
              </w:rPr>
            </w:pPr>
            <w:r w:rsidRPr="002620E0">
              <w:rPr>
                <w:rFonts w:ascii="Calibri" w:hAnsi="Calibri" w:cs="Calibri"/>
                <w:kern w:val="0"/>
                <w:sz w:val="20"/>
                <w:szCs w:val="20"/>
                <w:lang w:val="nl-NL" w:eastAsia="nl-NL"/>
                <w14:ligatures w14:val="none"/>
              </w:rPr>
              <w:t>59.0</w:t>
            </w:r>
          </w:p>
        </w:tc>
      </w:tr>
    </w:tbl>
    <w:p w14:paraId="7039C4F7" w14:textId="77777777" w:rsidR="006A4B21" w:rsidRPr="00A64178" w:rsidRDefault="006A4B21" w:rsidP="006A4B21">
      <w:pPr>
        <w:spacing w:after="0" w:line="360" w:lineRule="auto"/>
        <w:jc w:val="both"/>
        <w:rPr>
          <w:rFonts w:ascii="Calibri" w:eastAsia="Times New Roman" w:hAnsi="Calibri"/>
          <w:szCs w:val="21"/>
          <w:lang w:val="nl-NL"/>
        </w:rPr>
      </w:pPr>
    </w:p>
    <w:p w14:paraId="73463B3A" w14:textId="6474BD82" w:rsidR="006A4B21" w:rsidRPr="002620E0" w:rsidRDefault="006A4B21" w:rsidP="006A4B21">
      <w:pPr>
        <w:spacing w:after="0" w:line="360" w:lineRule="auto"/>
        <w:ind w:firstLine="720"/>
        <w:jc w:val="both"/>
        <w:rPr>
          <w:rFonts w:ascii="Calibri" w:eastAsia="Times New Roman" w:hAnsi="Calibri"/>
          <w:sz w:val="20"/>
          <w:szCs w:val="20"/>
          <w:lang w:val="en-US"/>
        </w:rPr>
      </w:pPr>
      <w:r w:rsidRPr="002620E0">
        <w:rPr>
          <w:rFonts w:ascii="Calibri" w:eastAsia="Times New Roman" w:hAnsi="Calibri"/>
          <w:sz w:val="20"/>
          <w:szCs w:val="20"/>
          <w:lang w:val="en-US"/>
        </w:rPr>
        <w:t xml:space="preserve">Calibration curves were prepared by diluting DMSO stock solutions into Krebs buffer with 1% albumin (Krebs-Alb). Final calibration levels for thalidomide and antipyrine ranged from 0 to 1 </w:t>
      </w:r>
      <w:r w:rsidR="006C7821" w:rsidRPr="002620E0">
        <w:rPr>
          <w:rFonts w:ascii="Calibri" w:eastAsia="Times New Roman" w:hAnsi="Calibri" w:cs="Calibri"/>
          <w:sz w:val="20"/>
          <w:szCs w:val="20"/>
          <w:lang w:val="en-US"/>
        </w:rPr>
        <w:t>µ</w:t>
      </w:r>
      <w:r w:rsidRPr="002620E0">
        <w:rPr>
          <w:rFonts w:ascii="Calibri" w:eastAsia="Times New Roman" w:hAnsi="Calibri"/>
          <w:sz w:val="20"/>
          <w:szCs w:val="20"/>
          <w:lang w:val="en-US"/>
        </w:rPr>
        <w:t>g/mL, for amoxicillin from 0 to 5 µg/mL, and for valproic acid from 0 to 50 µg/</w:t>
      </w:r>
      <w:proofErr w:type="spellStart"/>
      <w:r w:rsidRPr="002620E0">
        <w:rPr>
          <w:rFonts w:ascii="Calibri" w:eastAsia="Times New Roman" w:hAnsi="Calibri"/>
          <w:sz w:val="20"/>
          <w:szCs w:val="20"/>
          <w:lang w:val="en-US"/>
        </w:rPr>
        <w:t>mL.</w:t>
      </w:r>
      <w:proofErr w:type="spellEnd"/>
      <w:r w:rsidRPr="002620E0">
        <w:rPr>
          <w:rFonts w:ascii="Calibri" w:eastAsia="Times New Roman" w:hAnsi="Calibri"/>
          <w:sz w:val="20"/>
          <w:szCs w:val="20"/>
          <w:lang w:val="en-US"/>
        </w:rPr>
        <w:t xml:space="preserve"> Blank and quality control samples were analyzed alongside each batch to ensure adequate method performance.</w:t>
      </w:r>
    </w:p>
    <w:p w14:paraId="45E08531" w14:textId="77777777" w:rsidR="00A9566A" w:rsidRPr="002620E0" w:rsidRDefault="00A9566A" w:rsidP="00A9566A">
      <w:pPr>
        <w:rPr>
          <w:sz w:val="20"/>
          <w:szCs w:val="20"/>
        </w:rPr>
      </w:pPr>
    </w:p>
    <w:p w14:paraId="44158F6F" w14:textId="3BA61EB6" w:rsidR="00D66483" w:rsidRDefault="00D66483">
      <w:r>
        <w:br w:type="page"/>
      </w:r>
    </w:p>
    <w:p w14:paraId="2884418F" w14:textId="77777777" w:rsidR="0024789B" w:rsidRDefault="0024789B" w:rsidP="0024789B">
      <w:pPr>
        <w:keepNext/>
        <w:spacing w:line="360" w:lineRule="auto"/>
        <w:jc w:val="both"/>
      </w:pPr>
      <w:r>
        <w:rPr>
          <w:noProof/>
          <w:lang w:val="en-US"/>
        </w:rPr>
        <w:lastRenderedPageBreak/>
        <w:drawing>
          <wp:inline distT="0" distB="0" distL="0" distR="0" wp14:anchorId="23910EAD" wp14:editId="0EECC5D6">
            <wp:extent cx="2952115" cy="2653665"/>
            <wp:effectExtent l="0" t="0" r="0" b="0"/>
            <wp:docPr id="73787625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a:extLst>
                        <a:ext uri="{28A0092B-C50C-407E-A947-70E740481C1C}">
                          <a14:useLocalDpi xmlns:a14="http://schemas.microsoft.com/office/drawing/2010/main" val="0"/>
                        </a:ext>
                      </a:extLst>
                    </a:blip>
                    <a:srcRect t="11817"/>
                    <a:stretch/>
                  </pic:blipFill>
                  <pic:spPr bwMode="auto">
                    <a:xfrm>
                      <a:off x="0" y="0"/>
                      <a:ext cx="2952115" cy="2653665"/>
                    </a:xfrm>
                    <a:prstGeom prst="rect">
                      <a:avLst/>
                    </a:prstGeom>
                    <a:noFill/>
                    <a:ln>
                      <a:noFill/>
                    </a:ln>
                    <a:extLst>
                      <a:ext uri="{53640926-AAD7-44D8-BBD7-CCE9431645EC}">
                        <a14:shadowObscured xmlns:a14="http://schemas.microsoft.com/office/drawing/2010/main"/>
                      </a:ext>
                    </a:extLst>
                  </pic:spPr>
                </pic:pic>
              </a:graphicData>
            </a:graphic>
          </wp:inline>
        </w:drawing>
      </w:r>
    </w:p>
    <w:p w14:paraId="74D3E071" w14:textId="5F7CE3A2" w:rsidR="0024789B" w:rsidRDefault="0024789B" w:rsidP="0024789B">
      <w:pPr>
        <w:pStyle w:val="Bijschrift"/>
        <w:spacing w:line="360" w:lineRule="auto"/>
        <w:jc w:val="both"/>
      </w:pPr>
      <w:r w:rsidRPr="003F15CF">
        <w:rPr>
          <w:b/>
          <w:bCs/>
        </w:rPr>
        <w:t>Fig. S1</w:t>
      </w:r>
      <w:r>
        <w:t xml:space="preserve"> Overview of the concentration of sodium-fluorescein in the basolateral compartment after 3 h for inserts without BeWo b30 cells.</w:t>
      </w:r>
      <w:r w:rsidRPr="003736B2">
        <w:t xml:space="preserve"> </w:t>
      </w:r>
      <w:r>
        <w:t xml:space="preserve">Data is depicted as </w:t>
      </w:r>
      <w:proofErr w:type="spellStart"/>
      <w:r>
        <w:t>mean+SD</w:t>
      </w:r>
      <w:proofErr w:type="spellEnd"/>
      <w:r w:rsidR="00671797">
        <w:t>. N=3 biological replicates</w:t>
      </w:r>
    </w:p>
    <w:p w14:paraId="7F56328D" w14:textId="77777777" w:rsidR="0024789B" w:rsidRDefault="0024789B" w:rsidP="0024789B">
      <w:pPr>
        <w:keepNext/>
        <w:spacing w:line="360" w:lineRule="auto"/>
        <w:jc w:val="both"/>
      </w:pPr>
      <w:r>
        <w:rPr>
          <w:noProof/>
          <w:lang w:val="en-US"/>
        </w:rPr>
        <w:drawing>
          <wp:inline distT="0" distB="0" distL="0" distR="0" wp14:anchorId="2C6E650E" wp14:editId="22279A69">
            <wp:extent cx="3933190" cy="2621915"/>
            <wp:effectExtent l="0" t="0" r="0" b="0"/>
            <wp:docPr id="45499953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t="12317"/>
                    <a:stretch/>
                  </pic:blipFill>
                  <pic:spPr bwMode="auto">
                    <a:xfrm>
                      <a:off x="0" y="0"/>
                      <a:ext cx="3933190" cy="2621915"/>
                    </a:xfrm>
                    <a:prstGeom prst="rect">
                      <a:avLst/>
                    </a:prstGeom>
                    <a:noFill/>
                    <a:ln>
                      <a:noFill/>
                    </a:ln>
                    <a:extLst>
                      <a:ext uri="{53640926-AAD7-44D8-BBD7-CCE9431645EC}">
                        <a14:shadowObscured xmlns:a14="http://schemas.microsoft.com/office/drawing/2010/main"/>
                      </a:ext>
                    </a:extLst>
                  </pic:spPr>
                </pic:pic>
              </a:graphicData>
            </a:graphic>
          </wp:inline>
        </w:drawing>
      </w:r>
    </w:p>
    <w:p w14:paraId="28DE53D2" w14:textId="41C9CEED" w:rsidR="0024789B" w:rsidRDefault="0024789B" w:rsidP="0024789B">
      <w:pPr>
        <w:pStyle w:val="Bijschrift"/>
        <w:spacing w:line="360" w:lineRule="auto"/>
        <w:jc w:val="both"/>
        <w:rPr>
          <w:noProof/>
        </w:rPr>
      </w:pPr>
      <w:r w:rsidRPr="003F15CF">
        <w:rPr>
          <w:b/>
          <w:bCs/>
        </w:rPr>
        <w:t>Fig. S2</w:t>
      </w:r>
      <w:r>
        <w:t xml:space="preserve"> Correlation between the TEER values and sodium-fluorescein concentration in the basolateral </w:t>
      </w:r>
      <w:r w:rsidR="00DA3361">
        <w:t xml:space="preserve">compartment </w:t>
      </w:r>
      <w:r>
        <w:t xml:space="preserve">at day 3, 6, 9 and 12 post seeding for the Beo b30 cells. Data is depicted as </w:t>
      </w:r>
      <w:proofErr w:type="spellStart"/>
      <w:r>
        <w:t>mean</w:t>
      </w:r>
      <w:r>
        <w:rPr>
          <w:rFonts w:cstheme="minorHAnsi"/>
        </w:rPr>
        <w:t>±</w:t>
      </w:r>
      <w:r>
        <w:t>SD</w:t>
      </w:r>
      <w:proofErr w:type="spellEnd"/>
      <w:r w:rsidR="00AC145D">
        <w:t>. N=3 biological replicates</w:t>
      </w:r>
    </w:p>
    <w:p w14:paraId="7A8AAA3D" w14:textId="77777777" w:rsidR="0024789B" w:rsidRDefault="0024789B" w:rsidP="0024789B">
      <w:pPr>
        <w:keepNext/>
        <w:spacing w:line="360" w:lineRule="auto"/>
        <w:jc w:val="both"/>
      </w:pPr>
      <w:r>
        <w:rPr>
          <w:noProof/>
        </w:rPr>
        <w:object w:dxaOrig="4365" w:dyaOrig="5441" w14:anchorId="79E44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in;height:273.6pt;mso-width-percent:0;mso-height-percent:0;mso-width-percent:0;mso-height-percent:0" o:ole="">
            <v:imagedata r:id="rId11" o:title=""/>
          </v:shape>
          <o:OLEObject Type="Embed" ProgID="Prism10.Document" ShapeID="_x0000_i1025" DrawAspect="Content" ObjectID="_1839646469" r:id="rId12"/>
        </w:object>
      </w:r>
    </w:p>
    <w:p w14:paraId="34B1EA8F" w14:textId="6F176DE8" w:rsidR="0024789B" w:rsidRDefault="0024789B" w:rsidP="0024789B">
      <w:pPr>
        <w:pStyle w:val="Bijschrift"/>
        <w:spacing w:line="360" w:lineRule="auto"/>
        <w:jc w:val="both"/>
      </w:pPr>
      <w:r w:rsidRPr="003F15CF">
        <w:rPr>
          <w:b/>
          <w:bCs/>
        </w:rPr>
        <w:t>Fig. S</w:t>
      </w:r>
      <w:r w:rsidR="00877312" w:rsidRPr="003F15CF">
        <w:rPr>
          <w:b/>
          <w:bCs/>
        </w:rPr>
        <w:t>3</w:t>
      </w:r>
      <w:r>
        <w:t xml:space="preserve"> effect on cell viability of antipyrine, amoxicillin, valproic acid and thalidomide as measured with MTT after exposure for 24 h.  Data is depicted as </w:t>
      </w:r>
      <w:proofErr w:type="spellStart"/>
      <w:r>
        <w:t>mean+SD</w:t>
      </w:r>
      <w:proofErr w:type="spellEnd"/>
      <w:r w:rsidR="00653E5E">
        <w:t>. N=3 biological replicates</w:t>
      </w:r>
    </w:p>
    <w:p w14:paraId="2880484B" w14:textId="6B71A9CC" w:rsidR="0024789B" w:rsidRDefault="002E1988" w:rsidP="0024789B">
      <w:pPr>
        <w:keepNext/>
        <w:spacing w:line="360" w:lineRule="auto"/>
        <w:jc w:val="both"/>
      </w:pPr>
      <w:r>
        <w:rPr>
          <w:noProof/>
        </w:rPr>
        <w:object w:dxaOrig="10457" w:dyaOrig="14683" w14:anchorId="464E53F9">
          <v:shape id="_x0000_i1026" type="#_x0000_t75" alt="" style="width:438.9pt;height:619.2pt;mso-width-percent:0;mso-height-percent:0;mso-width-percent:0;mso-height-percent:0" o:ole="">
            <v:imagedata r:id="rId13" o:title=""/>
          </v:shape>
          <o:OLEObject Type="Embed" ProgID="Prism10.Document" ShapeID="_x0000_i1026" DrawAspect="Content" ObjectID="_1839646470" r:id="rId14"/>
        </w:object>
      </w:r>
    </w:p>
    <w:p w14:paraId="5C621EA4" w14:textId="7F6DE84B" w:rsidR="0024789B" w:rsidRDefault="0024789B" w:rsidP="0024789B">
      <w:pPr>
        <w:pStyle w:val="Bijschrift"/>
        <w:spacing w:line="360" w:lineRule="auto"/>
        <w:jc w:val="both"/>
      </w:pPr>
      <w:r w:rsidRPr="003F15CF">
        <w:rPr>
          <w:b/>
          <w:bCs/>
        </w:rPr>
        <w:t>Fig. S</w:t>
      </w:r>
      <w:r w:rsidR="00877312" w:rsidRPr="003F15CF">
        <w:rPr>
          <w:b/>
          <w:bCs/>
        </w:rPr>
        <w:t>4</w:t>
      </w:r>
      <w:r>
        <w:t xml:space="preserve"> Overview of the stability of the tested compounds in the ex vivo placenta perfusion system and in a non-plastic set-up. a) stability of compounds in the ex vivo placenta perfusion system. b) stability in a glass </w:t>
      </w:r>
      <w:bookmarkStart w:id="1" w:name="OLE_LINK2"/>
      <w:r>
        <w:t xml:space="preserve">Erlenmeyer </w:t>
      </w:r>
      <w:bookmarkEnd w:id="1"/>
      <w:r>
        <w:t>set in a 37</w:t>
      </w:r>
      <w:r w:rsidR="00953002">
        <w:rPr>
          <w:rFonts w:ascii="Times New Roman" w:hAnsi="Times New Roman" w:cs="Times New Roman"/>
        </w:rPr>
        <w:t>°</w:t>
      </w:r>
      <w:r>
        <w:t>C water bath. c) Ln-transformation of the stability data from the ex vivo perfusion system as well as from the stability tested in a glass Erlenmeyer at 37</w:t>
      </w:r>
      <w:r w:rsidR="00953002">
        <w:rPr>
          <w:rFonts w:ascii="Times New Roman" w:hAnsi="Times New Roman" w:cs="Times New Roman"/>
        </w:rPr>
        <w:t>°</w:t>
      </w:r>
      <w:r>
        <w:t xml:space="preserve">C. </w:t>
      </w:r>
      <w:bookmarkStart w:id="2" w:name="OLE_LINK3"/>
      <w:r>
        <w:t xml:space="preserve">Data is depicted as </w:t>
      </w:r>
      <w:proofErr w:type="spellStart"/>
      <w:r>
        <w:t>mean</w:t>
      </w:r>
      <w:r>
        <w:rPr>
          <w:rFonts w:cstheme="minorHAnsi"/>
        </w:rPr>
        <w:t>±</w:t>
      </w:r>
      <w:r>
        <w:t>SD</w:t>
      </w:r>
      <w:bookmarkEnd w:id="2"/>
      <w:proofErr w:type="spellEnd"/>
      <w:r w:rsidR="00653E5E">
        <w:t>. N=3 replicates</w:t>
      </w:r>
    </w:p>
    <w:p w14:paraId="3B3E58AA" w14:textId="77777777" w:rsidR="0024789B" w:rsidRDefault="0024789B" w:rsidP="0024789B">
      <w:pPr>
        <w:keepNext/>
        <w:spacing w:line="360" w:lineRule="auto"/>
        <w:jc w:val="both"/>
      </w:pPr>
      <w:r>
        <w:rPr>
          <w:noProof/>
        </w:rPr>
        <w:object w:dxaOrig="11093" w:dyaOrig="12024" w14:anchorId="45F842C3">
          <v:shape id="_x0000_i1027" type="#_x0000_t75" alt="" style="width:453.9pt;height:490.25pt;mso-width-percent:0;mso-height-percent:0;mso-width-percent:0;mso-height-percent:0" o:ole="">
            <v:imagedata r:id="rId15" o:title=""/>
          </v:shape>
          <o:OLEObject Type="Embed" ProgID="Prism10.Document" ShapeID="_x0000_i1027" DrawAspect="Content" ObjectID="_1839646471" r:id="rId16"/>
        </w:object>
      </w:r>
    </w:p>
    <w:p w14:paraId="61DC387D" w14:textId="4D181945" w:rsidR="0024789B" w:rsidRDefault="0024789B" w:rsidP="0024789B">
      <w:pPr>
        <w:pStyle w:val="Bijschrift"/>
        <w:spacing w:line="360" w:lineRule="auto"/>
        <w:jc w:val="both"/>
      </w:pPr>
      <w:r w:rsidRPr="003F15CF">
        <w:rPr>
          <w:b/>
          <w:bCs/>
        </w:rPr>
        <w:t>Fig. S</w:t>
      </w:r>
      <w:r w:rsidR="00877312" w:rsidRPr="003F15CF">
        <w:rPr>
          <w:b/>
          <w:bCs/>
        </w:rPr>
        <w:t>5</w:t>
      </w:r>
      <w:r>
        <w:t xml:space="preserve"> </w:t>
      </w:r>
      <w:r w:rsidRPr="00C84FC0">
        <w:t xml:space="preserve">Overview of the stability of the tested compounds in the </w:t>
      </w:r>
      <w:r w:rsidR="00270E1F">
        <w:t>in vitro BeWo b30</w:t>
      </w:r>
      <w:r w:rsidRPr="00C84FC0">
        <w:t xml:space="preserve"> system. a) stability of compounds in </w:t>
      </w:r>
      <w:r w:rsidR="00AD5451">
        <w:t xml:space="preserve">empty </w:t>
      </w:r>
      <w:r w:rsidR="00270E1F">
        <w:t>collagen-coated</w:t>
      </w:r>
      <w:r w:rsidR="00AD5451">
        <w:t xml:space="preserve"> inserts</w:t>
      </w:r>
      <w:r>
        <w:t xml:space="preserve"> used for the BeWo b30 transfer experiments</w:t>
      </w:r>
      <w:r w:rsidRPr="00C84FC0">
        <w:t xml:space="preserve">. b) </w:t>
      </w:r>
      <w:r>
        <w:t xml:space="preserve">Ln-transformation of the stability data from the in vitro insert system. Data is depicted as </w:t>
      </w:r>
      <w:proofErr w:type="spellStart"/>
      <w:r>
        <w:t>mean</w:t>
      </w:r>
      <w:r>
        <w:rPr>
          <w:rFonts w:cstheme="minorHAnsi"/>
        </w:rPr>
        <w:t>±</w:t>
      </w:r>
      <w:r>
        <w:t>SD</w:t>
      </w:r>
      <w:proofErr w:type="spellEnd"/>
      <w:r w:rsidR="00653E5E">
        <w:t>. N=3 replicates</w:t>
      </w:r>
    </w:p>
    <w:p w14:paraId="586FFF3B" w14:textId="77777777" w:rsidR="0024789B" w:rsidRDefault="0024789B" w:rsidP="0024789B"/>
    <w:p w14:paraId="5B9F62E2" w14:textId="77777777" w:rsidR="0024789B" w:rsidRDefault="0024789B" w:rsidP="0024789B"/>
    <w:p w14:paraId="0CA159E3" w14:textId="77777777" w:rsidR="0024789B" w:rsidRDefault="0024789B" w:rsidP="0024789B"/>
    <w:p w14:paraId="25020E84" w14:textId="77777777" w:rsidR="0024789B" w:rsidRDefault="0024789B" w:rsidP="0024789B"/>
    <w:p w14:paraId="5AF3A881" w14:textId="1B8D45D1" w:rsidR="0024789B" w:rsidRDefault="004E742B" w:rsidP="0024789B">
      <w:pPr>
        <w:keepNext/>
        <w:spacing w:line="360" w:lineRule="auto"/>
        <w:jc w:val="both"/>
      </w:pPr>
      <w:r>
        <w:rPr>
          <w:noProof/>
        </w:rPr>
        <w:object w:dxaOrig="9670" w:dyaOrig="15907" w14:anchorId="6025FB5E">
          <v:shape id="_x0000_i1028" type="#_x0000_t75" alt="" style="width:341.2pt;height:561.6pt;mso-width-percent:0;mso-height-percent:0;mso-width-percent:0;mso-height-percent:0" o:ole="">
            <v:imagedata r:id="rId17" o:title=""/>
          </v:shape>
          <o:OLEObject Type="Embed" ProgID="Prism10.Document" ShapeID="_x0000_i1028" DrawAspect="Content" ObjectID="_1839646472" r:id="rId18"/>
        </w:object>
      </w:r>
    </w:p>
    <w:p w14:paraId="509452CD" w14:textId="1A5C773C" w:rsidR="0024789B" w:rsidRDefault="0024789B" w:rsidP="0024789B">
      <w:pPr>
        <w:pStyle w:val="Bijschrift"/>
        <w:spacing w:line="360" w:lineRule="auto"/>
        <w:jc w:val="both"/>
      </w:pPr>
      <w:r w:rsidRPr="003F15CF">
        <w:rPr>
          <w:b/>
          <w:bCs/>
        </w:rPr>
        <w:t>Fig. S</w:t>
      </w:r>
      <w:r w:rsidR="00877312" w:rsidRPr="003F15CF">
        <w:rPr>
          <w:b/>
          <w:bCs/>
        </w:rPr>
        <w:t>6</w:t>
      </w:r>
      <w:r>
        <w:t xml:space="preserve"> Overview of pre- and post-experimental TEER values for all </w:t>
      </w:r>
      <w:r w:rsidR="009F500E">
        <w:t xml:space="preserve">transfer </w:t>
      </w:r>
      <w:r>
        <w:t>experiments as performed with the BeWo b30 cells. a) data from day nine and ten post seeding for untreated BeWo b30 cells. b) pre- and post-experimental TEER data from the experiments where compounds were tested as mixture. c) pre- and post-experimental TEER data from experiments with antipyrine. d) pre- and post-experimental TEER data from experiments with amoxicillin. e) pre- and post-experimental TEER data from experiments with valproic acid.</w:t>
      </w:r>
      <w:r w:rsidRPr="00994760">
        <w:t xml:space="preserve"> </w:t>
      </w:r>
      <w:r>
        <w:t xml:space="preserve">f) pre- and post-experimental TEER data from experiments with thalidomide. Data are depicted as </w:t>
      </w:r>
      <w:proofErr w:type="spellStart"/>
      <w:r>
        <w:t>mean</w:t>
      </w:r>
      <w:r w:rsidR="00D80AC0">
        <w:rPr>
          <w:rFonts w:ascii="Times New Roman" w:hAnsi="Times New Roman" w:cs="Times New Roman"/>
        </w:rPr>
        <w:t>+</w:t>
      </w:r>
      <w:r>
        <w:t>SD</w:t>
      </w:r>
      <w:proofErr w:type="spellEnd"/>
      <w:r w:rsidR="00653E5E">
        <w:t>. N=3 biological replicates</w:t>
      </w:r>
      <w:r>
        <w:t xml:space="preserve">      </w:t>
      </w:r>
    </w:p>
    <w:p w14:paraId="65395890" w14:textId="641A73C2" w:rsidR="0024789B" w:rsidRDefault="00BA229C" w:rsidP="0024789B">
      <w:pPr>
        <w:keepNext/>
        <w:spacing w:line="360" w:lineRule="auto"/>
        <w:jc w:val="both"/>
      </w:pPr>
      <w:r>
        <w:rPr>
          <w:noProof/>
        </w:rPr>
        <w:lastRenderedPageBreak/>
        <w:drawing>
          <wp:inline distT="0" distB="0" distL="0" distR="0" wp14:anchorId="37933620" wp14:editId="1F8BD0B0">
            <wp:extent cx="3953534" cy="8077200"/>
            <wp:effectExtent l="0" t="0" r="8890" b="0"/>
            <wp:docPr id="814797280" name="Afbeelding 2" descr="Afbeelding met tekst, Lettertype, schermopname, handschrif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797280" name="Afbeelding 2" descr="Afbeelding met tekst, Lettertype, schermopname, handschrift&#10;&#10;Door AI gegenereerde inhoud is mogelijk onjuis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71870" cy="8114661"/>
                    </a:xfrm>
                    <a:prstGeom prst="rect">
                      <a:avLst/>
                    </a:prstGeom>
                  </pic:spPr>
                </pic:pic>
              </a:graphicData>
            </a:graphic>
          </wp:inline>
        </w:drawing>
      </w:r>
    </w:p>
    <w:p w14:paraId="64078133" w14:textId="6DD12836" w:rsidR="0024789B" w:rsidRDefault="0024789B" w:rsidP="0024789B">
      <w:pPr>
        <w:pStyle w:val="Bijschrift"/>
        <w:spacing w:line="360" w:lineRule="auto"/>
        <w:jc w:val="both"/>
      </w:pPr>
      <w:r w:rsidRPr="003F15CF">
        <w:rPr>
          <w:b/>
          <w:bCs/>
        </w:rPr>
        <w:t>Fig. S</w:t>
      </w:r>
      <w:r w:rsidR="00877312" w:rsidRPr="003F15CF">
        <w:rPr>
          <w:b/>
          <w:bCs/>
        </w:rPr>
        <w:t>7</w:t>
      </w:r>
      <w:r>
        <w:t xml:space="preserve"> P</w:t>
      </w:r>
      <w:r w:rsidRPr="009E5359">
        <w:t>ercentage of initial dose at different timepoints</w:t>
      </w:r>
      <w:r>
        <w:t xml:space="preserve"> in the apical and basolateral compartment </w:t>
      </w:r>
      <w:r w:rsidR="002B7B0A">
        <w:t xml:space="preserve">for the in vitro BeWo b30 </w:t>
      </w:r>
      <w:r w:rsidR="0086518A">
        <w:t xml:space="preserve">transfer </w:t>
      </w:r>
      <w:r w:rsidR="002B7B0A">
        <w:t xml:space="preserve">experiments </w:t>
      </w:r>
      <w:r>
        <w:t xml:space="preserve">over 24 h for compounds tested in mixture. a) transfer of antipyrine. b) transfer of amoxicillin. c) transfer of valproic acid. d) transfer of thalidomide. Data is given as </w:t>
      </w:r>
      <w:proofErr w:type="spellStart"/>
      <w:r>
        <w:t>mean</w:t>
      </w:r>
      <w:r>
        <w:rPr>
          <w:rFonts w:cstheme="minorHAnsi"/>
        </w:rPr>
        <w:t>±</w:t>
      </w:r>
      <w:r>
        <w:t>SD</w:t>
      </w:r>
      <w:proofErr w:type="spellEnd"/>
      <w:r w:rsidR="00653E5E">
        <w:t>. N=3 biological replicates</w:t>
      </w:r>
    </w:p>
    <w:p w14:paraId="0EF46928" w14:textId="39CAD777" w:rsidR="0024789B" w:rsidRDefault="00A415A4" w:rsidP="0024789B">
      <w:pPr>
        <w:pStyle w:val="Bijschrift"/>
        <w:keepNext/>
        <w:spacing w:line="360" w:lineRule="auto"/>
        <w:jc w:val="both"/>
      </w:pPr>
      <w:r>
        <w:rPr>
          <w:noProof/>
        </w:rPr>
        <w:lastRenderedPageBreak/>
        <w:drawing>
          <wp:inline distT="0" distB="0" distL="0" distR="0" wp14:anchorId="1558F54D" wp14:editId="3C96DB90">
            <wp:extent cx="3948294" cy="8067675"/>
            <wp:effectExtent l="0" t="0" r="0" b="0"/>
            <wp:docPr id="775093245" name="Afbeelding 1" descr="Afbeelding met tekst, Lettertype, schermopname, handschrif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93245" name="Afbeelding 1" descr="Afbeelding met tekst, Lettertype, schermopname, handschrift&#10;&#10;Door AI gegenereerde inhoud is mogelijk onjuis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56921" cy="8085303"/>
                    </a:xfrm>
                    <a:prstGeom prst="rect">
                      <a:avLst/>
                    </a:prstGeom>
                  </pic:spPr>
                </pic:pic>
              </a:graphicData>
            </a:graphic>
          </wp:inline>
        </w:drawing>
      </w:r>
    </w:p>
    <w:p w14:paraId="5172DF06" w14:textId="35774572" w:rsidR="0024789B" w:rsidRDefault="0024789B" w:rsidP="0024789B">
      <w:pPr>
        <w:pStyle w:val="Bijschrift"/>
        <w:spacing w:line="360" w:lineRule="auto"/>
        <w:jc w:val="both"/>
      </w:pPr>
      <w:r w:rsidRPr="003F15CF">
        <w:rPr>
          <w:b/>
          <w:bCs/>
        </w:rPr>
        <w:t>Fig. S</w:t>
      </w:r>
      <w:r w:rsidR="00877312" w:rsidRPr="003F15CF">
        <w:rPr>
          <w:b/>
          <w:bCs/>
        </w:rPr>
        <w:t>8</w:t>
      </w:r>
      <w:r>
        <w:t xml:space="preserve"> P</w:t>
      </w:r>
      <w:r w:rsidRPr="009E5359">
        <w:t>ercentage of initial dose at different timepoints</w:t>
      </w:r>
      <w:r>
        <w:t xml:space="preserve"> in the apical and basolateral compartment </w:t>
      </w:r>
      <w:r w:rsidR="00260467">
        <w:t xml:space="preserve">for the in vitro BeWo b30 </w:t>
      </w:r>
      <w:r w:rsidR="0086518A">
        <w:t xml:space="preserve">transfer </w:t>
      </w:r>
      <w:r w:rsidR="00260467">
        <w:t xml:space="preserve">experiments </w:t>
      </w:r>
      <w:r>
        <w:t xml:space="preserve">over 24 h for compounds tested separately. a) transfer of antipyrine. b) transfer of amoxicillin. c) transfer of valproic acid. d) transfer of thalidomide. Data is given as </w:t>
      </w:r>
      <w:proofErr w:type="spellStart"/>
      <w:r>
        <w:t>mean</w:t>
      </w:r>
      <w:r>
        <w:rPr>
          <w:rFonts w:cstheme="minorHAnsi"/>
        </w:rPr>
        <w:t>±</w:t>
      </w:r>
      <w:r>
        <w:t>SD</w:t>
      </w:r>
      <w:proofErr w:type="spellEnd"/>
      <w:r w:rsidR="00653E5E">
        <w:t>. N=3 biological replicates</w:t>
      </w:r>
    </w:p>
    <w:p w14:paraId="3EE2CB90" w14:textId="6C2FD987" w:rsidR="0024789B" w:rsidRDefault="004E742B" w:rsidP="0024789B">
      <w:pPr>
        <w:keepNext/>
        <w:spacing w:line="360" w:lineRule="auto"/>
        <w:jc w:val="both"/>
      </w:pPr>
      <w:r>
        <w:rPr>
          <w:noProof/>
        </w:rPr>
        <w:object w:dxaOrig="7145" w:dyaOrig="14666" w14:anchorId="12610C2A">
          <v:shape id="_x0000_i1029" type="#_x0000_t75" alt="" style="width:294.9pt;height:612.3pt;mso-width-percent:0;mso-height-percent:0;mso-width-percent:0;mso-height-percent:0" o:ole="">
            <v:imagedata r:id="rId21" o:title=""/>
          </v:shape>
          <o:OLEObject Type="Embed" ProgID="Prism10.Document" ShapeID="_x0000_i1029" DrawAspect="Content" ObjectID="_1839646473" r:id="rId22"/>
        </w:object>
      </w:r>
    </w:p>
    <w:p w14:paraId="1DA819BF" w14:textId="57DBACB3" w:rsidR="0024789B" w:rsidRPr="005F2831" w:rsidRDefault="0024789B" w:rsidP="0024789B">
      <w:pPr>
        <w:pStyle w:val="Bijschrift"/>
        <w:spacing w:line="360" w:lineRule="auto"/>
        <w:jc w:val="both"/>
      </w:pPr>
      <w:r w:rsidRPr="003F15CF">
        <w:rPr>
          <w:b/>
          <w:bCs/>
        </w:rPr>
        <w:t>Fig. S</w:t>
      </w:r>
      <w:r w:rsidR="00877312" w:rsidRPr="003F15CF">
        <w:rPr>
          <w:b/>
          <w:bCs/>
        </w:rPr>
        <w:t>9</w:t>
      </w:r>
      <w:r>
        <w:t xml:space="preserve"> P</w:t>
      </w:r>
      <w:r w:rsidRPr="009E5359">
        <w:t xml:space="preserve">ercentage of initial dose present in the </w:t>
      </w:r>
      <w:r>
        <w:t xml:space="preserve">foetal and maternal circulation </w:t>
      </w:r>
      <w:r w:rsidRPr="009E5359">
        <w:t>at different timepoints</w:t>
      </w:r>
      <w:r>
        <w:t xml:space="preserve"> </w:t>
      </w:r>
      <w:r w:rsidR="00260467">
        <w:t xml:space="preserve">for the ex vivo placenta perfusion </w:t>
      </w:r>
      <w:r w:rsidR="0086518A">
        <w:t xml:space="preserve">transfer </w:t>
      </w:r>
      <w:r w:rsidR="00260467">
        <w:t xml:space="preserve">experiments </w:t>
      </w:r>
      <w:r>
        <w:t xml:space="preserve">over 3h for compounds tested in mixture. a) transfer of antipyrine. b) transfer of amoxicillin. c) transfer of valproic acid. d) transfer of thalidomide. Data is given as </w:t>
      </w:r>
      <w:proofErr w:type="spellStart"/>
      <w:r>
        <w:t>mean</w:t>
      </w:r>
      <w:r>
        <w:rPr>
          <w:rFonts w:cstheme="minorHAnsi"/>
        </w:rPr>
        <w:t>±</w:t>
      </w:r>
      <w:r>
        <w:t>SD</w:t>
      </w:r>
      <w:proofErr w:type="spellEnd"/>
      <w:r w:rsidR="007F528D">
        <w:t>. N=4</w:t>
      </w:r>
      <w:r w:rsidR="00653E5E">
        <w:t xml:space="preserve"> biological replicates </w:t>
      </w:r>
    </w:p>
    <w:p w14:paraId="54F08456" w14:textId="77777777" w:rsidR="0024789B" w:rsidRPr="006D3E8C" w:rsidRDefault="0024789B" w:rsidP="0024789B"/>
    <w:p w14:paraId="7EEB90BE" w14:textId="77777777" w:rsidR="0024789B" w:rsidRDefault="0024789B" w:rsidP="0024789B">
      <w:pPr>
        <w:keepNext/>
        <w:spacing w:line="360" w:lineRule="auto"/>
        <w:jc w:val="both"/>
      </w:pPr>
      <w:r>
        <w:rPr>
          <w:noProof/>
        </w:rPr>
        <w:object w:dxaOrig="7860" w:dyaOrig="4990" w14:anchorId="301C5484">
          <v:shape id="_x0000_i1030" type="#_x0000_t75" alt="" style="width:366.9pt;height:209.1pt;mso-width-percent:0;mso-height-percent:0;mso-width-percent:0;mso-height-percent:0" o:ole="">
            <v:imagedata r:id="rId23" o:title="" croptop="7486f"/>
          </v:shape>
          <o:OLEObject Type="Embed" ProgID="Prism10.Document" ShapeID="_x0000_i1030" DrawAspect="Content" ObjectID="_1839646474" r:id="rId24"/>
        </w:object>
      </w:r>
    </w:p>
    <w:p w14:paraId="2E1CD7D7" w14:textId="196AE433" w:rsidR="0024789B" w:rsidRDefault="0024789B" w:rsidP="0024789B">
      <w:pPr>
        <w:pStyle w:val="Bijschrift"/>
        <w:spacing w:line="360" w:lineRule="auto"/>
        <w:jc w:val="both"/>
      </w:pPr>
      <w:r w:rsidRPr="003F15CF">
        <w:rPr>
          <w:b/>
          <w:bCs/>
        </w:rPr>
        <w:t>Fig. S</w:t>
      </w:r>
      <w:r w:rsidR="00877312" w:rsidRPr="003F15CF">
        <w:rPr>
          <w:b/>
          <w:bCs/>
        </w:rPr>
        <w:t>10</w:t>
      </w:r>
      <w:r>
        <w:t xml:space="preserve"> Overview of the percentage of the initial dose present in the perfused placental tissue after 180 minutes per successful experiment. Data is given as </w:t>
      </w:r>
      <w:proofErr w:type="spellStart"/>
      <w:r>
        <w:t>mean</w:t>
      </w:r>
      <w:r>
        <w:rPr>
          <w:rFonts w:cstheme="minorHAnsi"/>
        </w:rPr>
        <w:t>±</w:t>
      </w:r>
      <w:r>
        <w:t>SD</w:t>
      </w:r>
      <w:proofErr w:type="spellEnd"/>
      <w:r w:rsidR="000A4851">
        <w:t xml:space="preserve">. </w:t>
      </w:r>
      <w:r w:rsidR="00647A2C">
        <w:t>N=4 biological replicates.</w:t>
      </w:r>
    </w:p>
    <w:p w14:paraId="2A012D35" w14:textId="77777777" w:rsidR="002F1C9D" w:rsidRDefault="002F1C9D"/>
    <w:p w14:paraId="07F770FA" w14:textId="77777777" w:rsidR="004C3641" w:rsidRDefault="004C3641">
      <w:pPr>
        <w:sectPr w:rsidR="004C3641" w:rsidSect="00564FF4">
          <w:pgSz w:w="11906" w:h="16838"/>
          <w:pgMar w:top="1440" w:right="1440" w:bottom="1440" w:left="1440" w:header="708" w:footer="708" w:gutter="0"/>
          <w:cols w:space="708"/>
          <w:docGrid w:linePitch="360"/>
        </w:sectPr>
      </w:pPr>
    </w:p>
    <w:p w14:paraId="3C7CFDF5" w14:textId="1E48F23B" w:rsidR="00436CD8" w:rsidRDefault="00436CD8">
      <w:r w:rsidRPr="00655AA4">
        <w:rPr>
          <w:noProof/>
        </w:rPr>
        <w:lastRenderedPageBreak/>
        <w:drawing>
          <wp:inline distT="0" distB="0" distL="0" distR="0" wp14:anchorId="687FC9D7" wp14:editId="758F2B34">
            <wp:extent cx="9210675" cy="4380836"/>
            <wp:effectExtent l="0" t="0" r="0" b="1270"/>
            <wp:docPr id="1998942493" name="Afbeelding 1" descr="Afbeelding met tekst, schermopname, lijn, Parall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942493" name="Afbeelding 1" descr="Afbeelding met tekst, schermopname, lijn, Parallel&#10;&#10;Door AI gegenereerde inhoud is mogelijk onjuist."/>
                    <pic:cNvPicPr/>
                  </pic:nvPicPr>
                  <pic:blipFill>
                    <a:blip r:embed="rId25"/>
                    <a:stretch>
                      <a:fillRect/>
                    </a:stretch>
                  </pic:blipFill>
                  <pic:spPr>
                    <a:xfrm>
                      <a:off x="0" y="0"/>
                      <a:ext cx="9235955" cy="4392860"/>
                    </a:xfrm>
                    <a:prstGeom prst="rect">
                      <a:avLst/>
                    </a:prstGeom>
                  </pic:spPr>
                </pic:pic>
              </a:graphicData>
            </a:graphic>
          </wp:inline>
        </w:drawing>
      </w:r>
    </w:p>
    <w:p w14:paraId="3AB5EB01" w14:textId="5B7E1282" w:rsidR="004C3641" w:rsidRDefault="00761978" w:rsidP="00C259D8">
      <w:pPr>
        <w:pStyle w:val="Bijschrift"/>
        <w:spacing w:line="360" w:lineRule="auto"/>
        <w:jc w:val="both"/>
        <w:rPr>
          <w:i w:val="0"/>
          <w:iCs w:val="0"/>
        </w:rPr>
        <w:sectPr w:rsidR="004C3641" w:rsidSect="003549E6">
          <w:pgSz w:w="16838" w:h="11906" w:orient="landscape"/>
          <w:pgMar w:top="1440" w:right="1440" w:bottom="1440" w:left="1440" w:header="709" w:footer="709" w:gutter="0"/>
          <w:cols w:space="708"/>
          <w:docGrid w:linePitch="360"/>
        </w:sectPr>
      </w:pPr>
      <w:r w:rsidRPr="003F15CF">
        <w:rPr>
          <w:b/>
          <w:bCs/>
        </w:rPr>
        <w:t>Fig. S1</w:t>
      </w:r>
      <w:r>
        <w:rPr>
          <w:b/>
          <w:bCs/>
        </w:rPr>
        <w:t>1</w:t>
      </w:r>
      <w:r>
        <w:t xml:space="preserve"> </w:t>
      </w:r>
      <w:r w:rsidR="001D5452">
        <w:t>R</w:t>
      </w:r>
      <w:r>
        <w:t xml:space="preserve">epresentative chromatogram of LC-MS/MS measurements for the </w:t>
      </w:r>
      <w:r w:rsidR="008638CD">
        <w:t>4 measured compounds</w:t>
      </w:r>
      <w:r w:rsidR="004C3641">
        <w:t xml:space="preserve"> with their internal standard</w:t>
      </w:r>
      <w:r w:rsidR="008638CD">
        <w:t>.</w:t>
      </w:r>
    </w:p>
    <w:p w14:paraId="7A501080" w14:textId="77777777" w:rsidR="00761978" w:rsidRDefault="00761978"/>
    <w:sectPr w:rsidR="00761978" w:rsidSect="00564F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proofState w:spelling="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89B"/>
    <w:rsid w:val="00005267"/>
    <w:rsid w:val="000361D7"/>
    <w:rsid w:val="00044EB1"/>
    <w:rsid w:val="00062E22"/>
    <w:rsid w:val="000A06CD"/>
    <w:rsid w:val="000A4851"/>
    <w:rsid w:val="000B5759"/>
    <w:rsid w:val="000D3451"/>
    <w:rsid w:val="00121BD6"/>
    <w:rsid w:val="00135E53"/>
    <w:rsid w:val="0014205D"/>
    <w:rsid w:val="0016228C"/>
    <w:rsid w:val="001733B5"/>
    <w:rsid w:val="00184C4C"/>
    <w:rsid w:val="001B07F1"/>
    <w:rsid w:val="001B1B1B"/>
    <w:rsid w:val="001C159B"/>
    <w:rsid w:val="001C7C08"/>
    <w:rsid w:val="001D5452"/>
    <w:rsid w:val="001F04D6"/>
    <w:rsid w:val="002250F3"/>
    <w:rsid w:val="00226909"/>
    <w:rsid w:val="0024789B"/>
    <w:rsid w:val="00260467"/>
    <w:rsid w:val="002620E0"/>
    <w:rsid w:val="00262D58"/>
    <w:rsid w:val="00270E1F"/>
    <w:rsid w:val="00271EC9"/>
    <w:rsid w:val="0027259C"/>
    <w:rsid w:val="0029743D"/>
    <w:rsid w:val="002B6757"/>
    <w:rsid w:val="002B7B0A"/>
    <w:rsid w:val="002C2EA7"/>
    <w:rsid w:val="002E1988"/>
    <w:rsid w:val="002E6516"/>
    <w:rsid w:val="002F1C9D"/>
    <w:rsid w:val="00314313"/>
    <w:rsid w:val="0032336B"/>
    <w:rsid w:val="003256D7"/>
    <w:rsid w:val="00336310"/>
    <w:rsid w:val="00344F9B"/>
    <w:rsid w:val="00346901"/>
    <w:rsid w:val="003549E6"/>
    <w:rsid w:val="00357680"/>
    <w:rsid w:val="003862A0"/>
    <w:rsid w:val="00395127"/>
    <w:rsid w:val="003A0158"/>
    <w:rsid w:val="003C3E74"/>
    <w:rsid w:val="003D1880"/>
    <w:rsid w:val="003F15CF"/>
    <w:rsid w:val="003F6D34"/>
    <w:rsid w:val="004029A0"/>
    <w:rsid w:val="004358C8"/>
    <w:rsid w:val="00436B75"/>
    <w:rsid w:val="00436CD8"/>
    <w:rsid w:val="00450E8E"/>
    <w:rsid w:val="00465475"/>
    <w:rsid w:val="00490649"/>
    <w:rsid w:val="004B4BF4"/>
    <w:rsid w:val="004C3641"/>
    <w:rsid w:val="004D7549"/>
    <w:rsid w:val="004E742B"/>
    <w:rsid w:val="004F1055"/>
    <w:rsid w:val="004F7C98"/>
    <w:rsid w:val="0052372B"/>
    <w:rsid w:val="00555B77"/>
    <w:rsid w:val="00564FF4"/>
    <w:rsid w:val="0059344B"/>
    <w:rsid w:val="00596BFE"/>
    <w:rsid w:val="005C2E52"/>
    <w:rsid w:val="005D1132"/>
    <w:rsid w:val="00622C8B"/>
    <w:rsid w:val="00647A2C"/>
    <w:rsid w:val="006510F9"/>
    <w:rsid w:val="00653E5E"/>
    <w:rsid w:val="00655DDF"/>
    <w:rsid w:val="00671797"/>
    <w:rsid w:val="006801A8"/>
    <w:rsid w:val="006A4B21"/>
    <w:rsid w:val="006C2892"/>
    <w:rsid w:val="006C7821"/>
    <w:rsid w:val="006D1635"/>
    <w:rsid w:val="006D6722"/>
    <w:rsid w:val="006F3ADE"/>
    <w:rsid w:val="00704568"/>
    <w:rsid w:val="007071B8"/>
    <w:rsid w:val="00731F9B"/>
    <w:rsid w:val="00753D8D"/>
    <w:rsid w:val="00756234"/>
    <w:rsid w:val="00761978"/>
    <w:rsid w:val="007B4001"/>
    <w:rsid w:val="007E5212"/>
    <w:rsid w:val="007F528D"/>
    <w:rsid w:val="00813F1D"/>
    <w:rsid w:val="008329B0"/>
    <w:rsid w:val="008638CD"/>
    <w:rsid w:val="0086518A"/>
    <w:rsid w:val="00872410"/>
    <w:rsid w:val="00876F8F"/>
    <w:rsid w:val="00877312"/>
    <w:rsid w:val="008D2770"/>
    <w:rsid w:val="008E2534"/>
    <w:rsid w:val="008E73C5"/>
    <w:rsid w:val="008F4744"/>
    <w:rsid w:val="00926520"/>
    <w:rsid w:val="00953002"/>
    <w:rsid w:val="009A06F3"/>
    <w:rsid w:val="009C60BF"/>
    <w:rsid w:val="009D76BB"/>
    <w:rsid w:val="009E005D"/>
    <w:rsid w:val="009F500E"/>
    <w:rsid w:val="00A00668"/>
    <w:rsid w:val="00A04132"/>
    <w:rsid w:val="00A05887"/>
    <w:rsid w:val="00A10738"/>
    <w:rsid w:val="00A11EE2"/>
    <w:rsid w:val="00A24F70"/>
    <w:rsid w:val="00A415A4"/>
    <w:rsid w:val="00A554FF"/>
    <w:rsid w:val="00A60F64"/>
    <w:rsid w:val="00A93C7C"/>
    <w:rsid w:val="00A9566A"/>
    <w:rsid w:val="00AB0BA9"/>
    <w:rsid w:val="00AB7BAF"/>
    <w:rsid w:val="00AC145D"/>
    <w:rsid w:val="00AC28DC"/>
    <w:rsid w:val="00AD2F90"/>
    <w:rsid w:val="00AD5257"/>
    <w:rsid w:val="00AD5451"/>
    <w:rsid w:val="00AD7139"/>
    <w:rsid w:val="00B0423D"/>
    <w:rsid w:val="00B0647D"/>
    <w:rsid w:val="00B07ABF"/>
    <w:rsid w:val="00B12B7B"/>
    <w:rsid w:val="00B5449E"/>
    <w:rsid w:val="00B60966"/>
    <w:rsid w:val="00B67AD2"/>
    <w:rsid w:val="00B73B1C"/>
    <w:rsid w:val="00B859FE"/>
    <w:rsid w:val="00B96CD5"/>
    <w:rsid w:val="00B96EEC"/>
    <w:rsid w:val="00BA229C"/>
    <w:rsid w:val="00BA32BF"/>
    <w:rsid w:val="00BB30BD"/>
    <w:rsid w:val="00BC23A3"/>
    <w:rsid w:val="00BD66FE"/>
    <w:rsid w:val="00C11561"/>
    <w:rsid w:val="00C2102A"/>
    <w:rsid w:val="00C259D8"/>
    <w:rsid w:val="00C34930"/>
    <w:rsid w:val="00CA66D5"/>
    <w:rsid w:val="00CB1734"/>
    <w:rsid w:val="00CB3DED"/>
    <w:rsid w:val="00CC39FD"/>
    <w:rsid w:val="00CD7662"/>
    <w:rsid w:val="00CD7BC9"/>
    <w:rsid w:val="00CF44E3"/>
    <w:rsid w:val="00D000B9"/>
    <w:rsid w:val="00D1121C"/>
    <w:rsid w:val="00D13A25"/>
    <w:rsid w:val="00D3063F"/>
    <w:rsid w:val="00D4497B"/>
    <w:rsid w:val="00D61E40"/>
    <w:rsid w:val="00D66483"/>
    <w:rsid w:val="00D80AC0"/>
    <w:rsid w:val="00D87126"/>
    <w:rsid w:val="00D92360"/>
    <w:rsid w:val="00DA3361"/>
    <w:rsid w:val="00DC6AA2"/>
    <w:rsid w:val="00DD6457"/>
    <w:rsid w:val="00DF01F9"/>
    <w:rsid w:val="00DF6C2E"/>
    <w:rsid w:val="00E04017"/>
    <w:rsid w:val="00E37313"/>
    <w:rsid w:val="00E63341"/>
    <w:rsid w:val="00EC7FA2"/>
    <w:rsid w:val="00ED4044"/>
    <w:rsid w:val="00F02C22"/>
    <w:rsid w:val="00F15013"/>
    <w:rsid w:val="00F267D3"/>
    <w:rsid w:val="00F961A1"/>
    <w:rsid w:val="00F969AA"/>
    <w:rsid w:val="00FD6F00"/>
    <w:rsid w:val="00FE6A5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52CF8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789B"/>
  </w:style>
  <w:style w:type="paragraph" w:styleId="Kop1">
    <w:name w:val="heading 1"/>
    <w:basedOn w:val="Standaard"/>
    <w:next w:val="Standaard"/>
    <w:link w:val="Kop1Char"/>
    <w:uiPriority w:val="9"/>
    <w:qFormat/>
    <w:rsid w:val="002478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478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789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789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789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789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789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789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789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789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4789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789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789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789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789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789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789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789B"/>
    <w:rPr>
      <w:rFonts w:eastAsiaTheme="majorEastAsia" w:cstheme="majorBidi"/>
      <w:color w:val="272727" w:themeColor="text1" w:themeTint="D8"/>
    </w:rPr>
  </w:style>
  <w:style w:type="paragraph" w:styleId="Titel">
    <w:name w:val="Title"/>
    <w:basedOn w:val="Standaard"/>
    <w:next w:val="Standaard"/>
    <w:link w:val="TitelChar"/>
    <w:uiPriority w:val="10"/>
    <w:qFormat/>
    <w:rsid w:val="002478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789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789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789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789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789B"/>
    <w:rPr>
      <w:i/>
      <w:iCs/>
      <w:color w:val="404040" w:themeColor="text1" w:themeTint="BF"/>
    </w:rPr>
  </w:style>
  <w:style w:type="paragraph" w:styleId="Lijstalinea">
    <w:name w:val="List Paragraph"/>
    <w:basedOn w:val="Standaard"/>
    <w:uiPriority w:val="34"/>
    <w:qFormat/>
    <w:rsid w:val="0024789B"/>
    <w:pPr>
      <w:ind w:left="720"/>
      <w:contextualSpacing/>
    </w:pPr>
  </w:style>
  <w:style w:type="character" w:styleId="Intensievebenadrukking">
    <w:name w:val="Intense Emphasis"/>
    <w:basedOn w:val="Standaardalinea-lettertype"/>
    <w:uiPriority w:val="21"/>
    <w:qFormat/>
    <w:rsid w:val="0024789B"/>
    <w:rPr>
      <w:i/>
      <w:iCs/>
      <w:color w:val="0F4761" w:themeColor="accent1" w:themeShade="BF"/>
    </w:rPr>
  </w:style>
  <w:style w:type="paragraph" w:styleId="Duidelijkcitaat">
    <w:name w:val="Intense Quote"/>
    <w:basedOn w:val="Standaard"/>
    <w:next w:val="Standaard"/>
    <w:link w:val="DuidelijkcitaatChar"/>
    <w:uiPriority w:val="30"/>
    <w:qFormat/>
    <w:rsid w:val="002478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789B"/>
    <w:rPr>
      <w:i/>
      <w:iCs/>
      <w:color w:val="0F4761" w:themeColor="accent1" w:themeShade="BF"/>
    </w:rPr>
  </w:style>
  <w:style w:type="character" w:styleId="Intensieveverwijzing">
    <w:name w:val="Intense Reference"/>
    <w:basedOn w:val="Standaardalinea-lettertype"/>
    <w:uiPriority w:val="32"/>
    <w:qFormat/>
    <w:rsid w:val="0024789B"/>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24789B"/>
    <w:rPr>
      <w:sz w:val="16"/>
      <w:szCs w:val="16"/>
    </w:rPr>
  </w:style>
  <w:style w:type="paragraph" w:styleId="Bijschrift">
    <w:name w:val="caption"/>
    <w:basedOn w:val="Standaard"/>
    <w:next w:val="Standaard"/>
    <w:uiPriority w:val="35"/>
    <w:unhideWhenUsed/>
    <w:qFormat/>
    <w:rsid w:val="0024789B"/>
    <w:pPr>
      <w:spacing w:after="200" w:line="240" w:lineRule="auto"/>
    </w:pPr>
    <w:rPr>
      <w:i/>
      <w:iCs/>
      <w:color w:val="0E2841" w:themeColor="text2"/>
      <w:sz w:val="18"/>
      <w:szCs w:val="18"/>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table" w:styleId="Tabelraster">
    <w:name w:val="Table Grid"/>
    <w:basedOn w:val="Standaardtabel"/>
    <w:uiPriority w:val="39"/>
    <w:rsid w:val="006A4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756234"/>
    <w:rPr>
      <w:b/>
      <w:bCs/>
    </w:rPr>
  </w:style>
  <w:style w:type="character" w:customStyle="1" w:styleId="OnderwerpvanopmerkingChar">
    <w:name w:val="Onderwerp van opmerking Char"/>
    <w:basedOn w:val="TekstopmerkingChar"/>
    <w:link w:val="Onderwerpvanopmerking"/>
    <w:uiPriority w:val="99"/>
    <w:semiHidden/>
    <w:rsid w:val="00756234"/>
    <w:rPr>
      <w:b/>
      <w:bCs/>
      <w:sz w:val="20"/>
      <w:szCs w:val="20"/>
    </w:rPr>
  </w:style>
  <w:style w:type="character" w:styleId="Hyperlink">
    <w:name w:val="Hyperlink"/>
    <w:basedOn w:val="Standaardalinea-lettertype"/>
    <w:uiPriority w:val="99"/>
    <w:unhideWhenUsed/>
    <w:rsid w:val="004F7C98"/>
    <w:rPr>
      <w:color w:val="467886" w:themeColor="hyperlink"/>
      <w:u w:val="single"/>
    </w:rPr>
  </w:style>
  <w:style w:type="paragraph" w:styleId="Revisie">
    <w:name w:val="Revision"/>
    <w:hidden/>
    <w:uiPriority w:val="99"/>
    <w:semiHidden/>
    <w:rsid w:val="00DF01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mian.roelofsen@radboudumc.nl" TargetMode="External"/><Relationship Id="rId13" Type="http://schemas.openxmlformats.org/officeDocument/2006/relationships/image" Target="media/image4.emf"/><Relationship Id="rId18" Type="http://schemas.openxmlformats.org/officeDocument/2006/relationships/oleObject" Target="embeddings/oleObject4.bin"/><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image" Target="media/image6.emf"/><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emf"/><Relationship Id="rId24" Type="http://schemas.openxmlformats.org/officeDocument/2006/relationships/oleObject" Target="embeddings/oleObject6.bin"/><Relationship Id="rId5" Type="http://schemas.openxmlformats.org/officeDocument/2006/relationships/styles" Target="styles.xml"/><Relationship Id="rId15" Type="http://schemas.openxmlformats.org/officeDocument/2006/relationships/image" Target="media/image5.emf"/><Relationship Id="rId23" Type="http://schemas.openxmlformats.org/officeDocument/2006/relationships/image" Target="media/image10.emf"/><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oleObject" Target="embeddings/oleObject5.bin"/><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f48f41-1b4d-4625-83e3-026b201edaad">
      <Terms xmlns="http://schemas.microsoft.com/office/infopath/2007/PartnerControls"/>
    </lcf76f155ced4ddcb4097134ff3c332f>
    <Title0 xmlns="91f48f41-1b4d-4625-83e3-026b201eda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F40592B65B06142AC7F400A15209945" ma:contentTypeVersion="13" ma:contentTypeDescription="Een nieuw document maken." ma:contentTypeScope="" ma:versionID="8ed115e9ddadc6d23b90e3b3830f4237">
  <xsd:schema xmlns:xsd="http://www.w3.org/2001/XMLSchema" xmlns:xs="http://www.w3.org/2001/XMLSchema" xmlns:p="http://schemas.microsoft.com/office/2006/metadata/properties" xmlns:ns2="91f48f41-1b4d-4625-83e3-026b201edaad" targetNamespace="http://schemas.microsoft.com/office/2006/metadata/properties" ma:root="true" ma:fieldsID="272f208aeb86a40c1efee53d21039627" ns2:_="">
    <xsd:import namespace="91f48f41-1b4d-4625-83e3-026b201edaad"/>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LengthInSeconds" minOccurs="0"/>
                <xsd:element ref="ns2:MediaServiceBillingMetadata"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48f41-1b4d-4625-83e3-026b201edaad"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402ae21-27d8-4dae-ba5d-e9ed6ec9395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69C9E-38CB-4D21-ACA8-851F593B6B83}">
  <ds:schemaRefs>
    <ds:schemaRef ds:uri="http://schemas.microsoft.com/office/2006/metadata/properties"/>
    <ds:schemaRef ds:uri="http://schemas.microsoft.com/office/infopath/2007/PartnerControls"/>
    <ds:schemaRef ds:uri="91f48f41-1b4d-4625-83e3-026b201edaad"/>
  </ds:schemaRefs>
</ds:datastoreItem>
</file>

<file path=customXml/itemProps2.xml><?xml version="1.0" encoding="utf-8"?>
<ds:datastoreItem xmlns:ds="http://schemas.openxmlformats.org/officeDocument/2006/customXml" ds:itemID="{F7461372-C3D6-4307-B6D2-8E94C7281AE0}">
  <ds:schemaRefs>
    <ds:schemaRef ds:uri="http://schemas.microsoft.com/sharepoint/v3/contenttype/forms"/>
  </ds:schemaRefs>
</ds:datastoreItem>
</file>

<file path=customXml/itemProps3.xml><?xml version="1.0" encoding="utf-8"?>
<ds:datastoreItem xmlns:ds="http://schemas.openxmlformats.org/officeDocument/2006/customXml" ds:itemID="{75324032-0250-4EDD-93F4-830E8CB01A42}">
  <ds:schemaRefs>
    <ds:schemaRef ds:uri="http://schemas.openxmlformats.org/officeDocument/2006/bibliography"/>
  </ds:schemaRefs>
</ds:datastoreItem>
</file>

<file path=customXml/itemProps4.xml><?xml version="1.0" encoding="utf-8"?>
<ds:datastoreItem xmlns:ds="http://schemas.openxmlformats.org/officeDocument/2006/customXml" ds:itemID="{FD28BF02-4A03-4DB6-82F6-CF773F220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48f41-1b4d-4625-83e3-026b201ed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8e7cbfc-aada-455b-9bec-375d9b80e092}" enabled="1" method="Standard" siteId="{f66fae02-5d36-495b-bfe0-78a6ff9f8e6e}" removed="0"/>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2597</Words>
  <Characters>14807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2026-02-09T08:57:00Z</cp:lastPrinted>
  <dcterms:created xsi:type="dcterms:W3CDTF">2026-04-17T07:24:00Z</dcterms:created>
  <dcterms:modified xsi:type="dcterms:W3CDTF">2026-05-07T06:07:00Z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0x010100FF40592B65B06142AC7F400A15209945</vt:lpwstr>
  </property>
  <property fmtid="{D5CDD505-2E9C-101B-9397-08002B2CF9AE}" pid="3" name="MediaServiceImageTags">
    <vt:lpwstr/>
  </property>
</Properties>
</file>