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C13A8" w14:textId="2D82EA05" w:rsidR="00D37F0D" w:rsidRDefault="00D37F0D" w:rsidP="00B03696">
      <w:r>
        <w:rPr>
          <w:noProof/>
        </w:rPr>
        <w:drawing>
          <wp:inline distT="0" distB="0" distL="0" distR="0" wp14:anchorId="6394F404" wp14:editId="460EC727">
            <wp:extent cx="5943600" cy="20834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F1562" w14:textId="73635977" w:rsidR="00B03696" w:rsidRDefault="00B03696" w:rsidP="00B03696">
      <w:r w:rsidRPr="00C4181F">
        <w:rPr>
          <w:rFonts w:hint="eastAsia"/>
        </w:rPr>
        <w:t>F</w:t>
      </w:r>
      <w:r w:rsidRPr="00C4181F">
        <w:t>ig S1. TLQP-21 slightly repressed the body weight (A), food intake (B), and fasting blood glucose levels (C) in T2DM mice (**p&lt;0.01 vs. control, #p&lt;0.05 vs. T2DM).</w:t>
      </w:r>
    </w:p>
    <w:p w14:paraId="5C407007" w14:textId="53696960" w:rsidR="00B03696" w:rsidRPr="00C4181F" w:rsidRDefault="00D37F0D" w:rsidP="00B03696">
      <w:r>
        <w:rPr>
          <w:noProof/>
        </w:rPr>
        <w:lastRenderedPageBreak/>
        <w:drawing>
          <wp:inline distT="0" distB="0" distL="0" distR="0" wp14:anchorId="3618FBCB" wp14:editId="39462796">
            <wp:extent cx="5684520" cy="67417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674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3AD63" w14:textId="40743335" w:rsidR="002A4106" w:rsidRDefault="00B03696" w:rsidP="00B03696">
      <w:r w:rsidRPr="00C4181F">
        <w:rPr>
          <w:rFonts w:hint="eastAsia"/>
        </w:rPr>
        <w:t>F</w:t>
      </w:r>
      <w:r w:rsidRPr="00C4181F">
        <w:t>ig S2. TLQP-21 did not show impacts on the differentiation of EPCs to ECs. The expression of CD31 in each group was detected using the immunofluorescence assay (**p&lt;0.01 vs. control, &amp;&amp;p&lt;0.01 vs. HG+ TLQP-21).</w:t>
      </w:r>
    </w:p>
    <w:sectPr w:rsidR="002A4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96"/>
    <w:rsid w:val="002A4106"/>
    <w:rsid w:val="00B03696"/>
    <w:rsid w:val="00D3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5B2E4"/>
  <w15:chartTrackingRefBased/>
  <w15:docId w15:val="{9D910F71-B269-4E05-A1E8-478D86502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696"/>
    <w:pPr>
      <w:widowControl w:val="0"/>
      <w:spacing w:after="0" w:line="240" w:lineRule="auto"/>
      <w:jc w:val="both"/>
    </w:pPr>
    <w:rPr>
      <w:rFonts w:ascii="Times New Roman" w:eastAsia="仿宋" w:hAnsi="Times New Roman" w:cs="Times New Roman"/>
      <w:kern w:val="2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</Words>
  <Characters>324</Characters>
  <Application>Microsoft Office Word</Application>
  <DocSecurity>0</DocSecurity>
  <Lines>2</Lines>
  <Paragraphs>1</Paragraphs>
  <ScaleCrop>false</ScaleCrop>
  <Company>Springer Nature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B</dc:creator>
  <cp:keywords/>
  <dc:description/>
  <cp:lastModifiedBy>Anoop B</cp:lastModifiedBy>
  <cp:revision>2</cp:revision>
  <dcterms:created xsi:type="dcterms:W3CDTF">2023-10-23T11:27:00Z</dcterms:created>
  <dcterms:modified xsi:type="dcterms:W3CDTF">2023-10-23T11:30:00Z</dcterms:modified>
</cp:coreProperties>
</file>