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CDACA" w14:textId="797ACDFB" w:rsidR="001363CA" w:rsidRDefault="001363CA" w:rsidP="00AB37A9">
      <w:pPr>
        <w:jc w:val="center"/>
      </w:pPr>
    </w:p>
    <w:p w14:paraId="6606AC37" w14:textId="0F4CE89D" w:rsidR="001363CA" w:rsidRPr="00D0036E" w:rsidRDefault="001363CA" w:rsidP="001363CA">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Methods</w:t>
      </w:r>
    </w:p>
    <w:p w14:paraId="077F2364"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Chemicals, drugs, and solvents</w:t>
      </w:r>
    </w:p>
    <w:p w14:paraId="033AF2BE" w14:textId="6D08F38F"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Vancomycin® vials (500,000 IU) were purchased from Sigma-Tec (Sigma Pharmaceutical Industries, MO, USA). Carbopol 934 P was provided by Chemical Industries Development Company (Giza, Egypt). Triethanolamine was supplied from Morgan Chemicals IND. CO. (Cairo, Egypt). Standard commercial antibiotic discs, Vancomycin 30 µg and Amikacin 30 µg for Gram-positive bacteria were used as a positive control. All solvents used in the extraction and isolation procedures were supplied by PioChem. (Cairo, Egypt) and were of analytical grade.</w:t>
      </w:r>
    </w:p>
    <w:p w14:paraId="6D28026C"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Plant extraction and identification </w:t>
      </w:r>
    </w:p>
    <w:p w14:paraId="32F1CBFE" w14:textId="77777777" w:rsidR="007A10D8" w:rsidRPr="00D0036E" w:rsidRDefault="007A10D8" w:rsidP="007A10D8">
      <w:pPr>
        <w:spacing w:after="0" w:line="360" w:lineRule="auto"/>
        <w:jc w:val="both"/>
        <w:rPr>
          <w:rFonts w:asciiTheme="majorBidi" w:hAnsiTheme="majorBidi" w:cstheme="majorBidi"/>
          <w:b/>
          <w:bCs/>
          <w:sz w:val="24"/>
          <w:szCs w:val="24"/>
        </w:rPr>
      </w:pPr>
      <w:bookmarkStart w:id="0" w:name="_Hlk171396410"/>
      <w:r w:rsidRPr="00D0036E">
        <w:rPr>
          <w:rFonts w:asciiTheme="majorBidi" w:hAnsiTheme="majorBidi" w:cstheme="majorBidi"/>
          <w:b/>
          <w:bCs/>
          <w:sz w:val="24"/>
          <w:szCs w:val="24"/>
        </w:rPr>
        <w:t>Plant material, extraction, fractionation, and isolation</w:t>
      </w:r>
    </w:p>
    <w:p w14:paraId="0FE71F4C" w14:textId="1B6382D5"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i/>
          <w:iCs/>
          <w:sz w:val="24"/>
          <w:szCs w:val="24"/>
        </w:rPr>
        <w:t>Euphorbia grantii</w:t>
      </w:r>
      <w:r w:rsidRPr="00D0036E">
        <w:rPr>
          <w:rFonts w:asciiTheme="majorBidi" w:hAnsiTheme="majorBidi" w:cstheme="majorBidi"/>
          <w:sz w:val="24"/>
          <w:szCs w:val="24"/>
        </w:rPr>
        <w:t xml:space="preserve"> Oliv. </w:t>
      </w:r>
      <w:bookmarkStart w:id="1" w:name="_Hlk123403891"/>
      <w:r w:rsidRPr="00D0036E">
        <w:rPr>
          <w:rFonts w:asciiTheme="majorBidi" w:hAnsiTheme="majorBidi" w:cstheme="majorBidi"/>
          <w:sz w:val="24"/>
          <w:szCs w:val="24"/>
        </w:rPr>
        <w:t xml:space="preserve">aerial parts </w:t>
      </w:r>
      <w:bookmarkEnd w:id="1"/>
      <w:r w:rsidRPr="00D0036E">
        <w:rPr>
          <w:rFonts w:asciiTheme="majorBidi" w:hAnsiTheme="majorBidi" w:cstheme="majorBidi"/>
          <w:sz w:val="24"/>
          <w:szCs w:val="24"/>
        </w:rPr>
        <w:t xml:space="preserve">were collected from El-Orman Botanic Garden, Giza, Egypt. The details of the isolation procedure was previously published, to obtain </w:t>
      </w:r>
      <w:r w:rsidRPr="00D0036E">
        <w:rPr>
          <w:rFonts w:asciiTheme="majorBidi" w:hAnsiTheme="majorBidi" w:cstheme="majorBidi"/>
          <w:b/>
          <w:bCs/>
          <w:sz w:val="24"/>
          <w:szCs w:val="24"/>
        </w:rPr>
        <w:t>compound 1</w:t>
      </w:r>
      <w:r w:rsidRPr="00D0036E">
        <w:rPr>
          <w:rFonts w:asciiTheme="majorBidi" w:hAnsiTheme="majorBidi" w:cstheme="majorBidi"/>
          <w:sz w:val="24"/>
          <w:szCs w:val="24"/>
        </w:rPr>
        <w:t xml:space="preserve"> (110 mg) </w:t>
      </w:r>
      <w:r w:rsidRPr="00D0036E">
        <w:rPr>
          <w:rFonts w:asciiTheme="majorBidi" w:hAnsiTheme="majorBidi" w:cstheme="majorBidi"/>
          <w:b/>
          <w:bCs/>
          <w:sz w:val="24"/>
          <w:szCs w:val="24"/>
        </w:rPr>
        <w:t>(Fig. S1)</w:t>
      </w:r>
      <w:r w:rsidRPr="00D0036E">
        <w:rPr>
          <w:rFonts w:asciiTheme="majorBidi" w:hAnsiTheme="majorBidi" w:cstheme="majorBidi"/>
          <w:sz w:val="24"/>
          <w:szCs w:val="24"/>
        </w:rPr>
        <w:t xml:space="preserve">. </w:t>
      </w:r>
    </w:p>
    <w:p w14:paraId="475DDB1A" w14:textId="77777777"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Ten kilograms of fresh plant material were dried to give 600 g of dried minced plant (powder). The air-dried plant material was extracted by methanol (5 L x 5) by maceration for 3 days. The collected extract was filtered and evaporated under reduced pressure to give 81.5 g of dry residue. A part of the total methanolic extract (50 g) was fractionated in methanol, water, and dichloromethane (DCM) with ratio 1:1:1, to yield 2 fractions; DCM, 30 g and the remaining mother liquor (ML), 22 g.</w:t>
      </w:r>
    </w:p>
    <w:p w14:paraId="76AB4AC2" w14:textId="77777777"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 xml:space="preserve">The DCM fraction (13 g) was fractionated by silica gel chromatography using </w:t>
      </w:r>
      <w:r w:rsidRPr="00D0036E">
        <w:rPr>
          <w:rFonts w:asciiTheme="majorBidi" w:hAnsiTheme="majorBidi" w:cstheme="majorBidi"/>
          <w:i/>
          <w:iCs/>
          <w:sz w:val="24"/>
          <w:szCs w:val="24"/>
        </w:rPr>
        <w:t>n-</w:t>
      </w:r>
      <w:r w:rsidRPr="00D0036E">
        <w:rPr>
          <w:rFonts w:asciiTheme="majorBidi" w:hAnsiTheme="majorBidi" w:cstheme="majorBidi"/>
          <w:sz w:val="24"/>
          <w:szCs w:val="24"/>
        </w:rPr>
        <w:t>hexane: ethyl acetate (EtOAc) as eluent to get 5 subfractions as follows; as follows; Fr.</w:t>
      </w:r>
      <w:r w:rsidRPr="00D0036E">
        <w:rPr>
          <w:rFonts w:asciiTheme="majorBidi" w:hAnsiTheme="majorBidi" w:cstheme="majorBidi"/>
          <w:b/>
          <w:bCs/>
          <w:sz w:val="24"/>
          <w:szCs w:val="24"/>
        </w:rPr>
        <w:t>1</w:t>
      </w:r>
      <w:r w:rsidRPr="00D0036E">
        <w:rPr>
          <w:rFonts w:asciiTheme="majorBidi" w:hAnsiTheme="majorBidi" w:cstheme="majorBidi"/>
          <w:sz w:val="24"/>
          <w:szCs w:val="24"/>
        </w:rPr>
        <w:t xml:space="preserve"> (2.4 g), Fr. </w:t>
      </w:r>
      <w:r w:rsidRPr="00D0036E">
        <w:rPr>
          <w:rFonts w:asciiTheme="majorBidi" w:hAnsiTheme="majorBidi" w:cstheme="majorBidi"/>
          <w:b/>
          <w:bCs/>
          <w:sz w:val="24"/>
          <w:szCs w:val="24"/>
        </w:rPr>
        <w:t>2</w:t>
      </w:r>
      <w:r w:rsidRPr="00D0036E">
        <w:rPr>
          <w:rFonts w:asciiTheme="majorBidi" w:hAnsiTheme="majorBidi" w:cstheme="majorBidi"/>
          <w:sz w:val="24"/>
          <w:szCs w:val="24"/>
        </w:rPr>
        <w:t xml:space="preserve"> (3 g), Fr. </w:t>
      </w:r>
      <w:r w:rsidRPr="00D0036E">
        <w:rPr>
          <w:rFonts w:asciiTheme="majorBidi" w:hAnsiTheme="majorBidi" w:cstheme="majorBidi"/>
          <w:b/>
          <w:bCs/>
          <w:sz w:val="24"/>
          <w:szCs w:val="24"/>
        </w:rPr>
        <w:t>3</w:t>
      </w:r>
      <w:r w:rsidRPr="00D0036E">
        <w:rPr>
          <w:rFonts w:asciiTheme="majorBidi" w:hAnsiTheme="majorBidi" w:cstheme="majorBidi"/>
          <w:sz w:val="24"/>
          <w:szCs w:val="24"/>
        </w:rPr>
        <w:t xml:space="preserve"> (2 g), Fr. 4 (1.4 g), and Fr. </w:t>
      </w:r>
      <w:r w:rsidRPr="00D0036E">
        <w:rPr>
          <w:rFonts w:asciiTheme="majorBidi" w:hAnsiTheme="majorBidi" w:cstheme="majorBidi"/>
          <w:b/>
          <w:bCs/>
          <w:sz w:val="24"/>
          <w:szCs w:val="24"/>
        </w:rPr>
        <w:t>5</w:t>
      </w:r>
      <w:r w:rsidRPr="00D0036E">
        <w:rPr>
          <w:rFonts w:asciiTheme="majorBidi" w:hAnsiTheme="majorBidi" w:cstheme="majorBidi"/>
          <w:sz w:val="24"/>
          <w:szCs w:val="24"/>
        </w:rPr>
        <w:t xml:space="preserve"> (eluted with 100% methanol, 1.8 g).  Fr. 1 (2 g) was chromatographed with isocratic mobile phase </w:t>
      </w:r>
      <w:r w:rsidRPr="00D0036E">
        <w:rPr>
          <w:rFonts w:asciiTheme="majorBidi" w:hAnsiTheme="majorBidi" w:cstheme="majorBidi"/>
          <w:i/>
          <w:iCs/>
          <w:sz w:val="24"/>
          <w:szCs w:val="24"/>
        </w:rPr>
        <w:t>n-</w:t>
      </w:r>
      <w:r w:rsidRPr="00D0036E">
        <w:rPr>
          <w:rFonts w:asciiTheme="majorBidi" w:hAnsiTheme="majorBidi" w:cstheme="majorBidi"/>
          <w:sz w:val="24"/>
          <w:szCs w:val="24"/>
        </w:rPr>
        <w:t xml:space="preserve">hexane: EtOAc (95: 5) and 150 mL was collected in each subfractions. The same subfractions were collected to yield 3 main subfractions. Subfraction I weighed 350 mg which was re-chromatographed by MPLC column using isocratic elution of </w:t>
      </w:r>
      <w:r w:rsidRPr="00D0036E">
        <w:rPr>
          <w:rFonts w:asciiTheme="majorBidi" w:hAnsiTheme="majorBidi" w:cstheme="majorBidi"/>
          <w:i/>
          <w:iCs/>
          <w:sz w:val="24"/>
          <w:szCs w:val="24"/>
        </w:rPr>
        <w:t>n-</w:t>
      </w:r>
      <w:r w:rsidRPr="00D0036E">
        <w:rPr>
          <w:rFonts w:asciiTheme="majorBidi" w:hAnsiTheme="majorBidi" w:cstheme="majorBidi"/>
          <w:sz w:val="24"/>
          <w:szCs w:val="24"/>
        </w:rPr>
        <w:t xml:space="preserve">hexane: EtOAc (18.5:1.5), to obtain </w:t>
      </w:r>
      <w:r w:rsidRPr="00D0036E">
        <w:rPr>
          <w:rFonts w:asciiTheme="majorBidi" w:hAnsiTheme="majorBidi" w:cstheme="majorBidi"/>
          <w:b/>
          <w:bCs/>
          <w:sz w:val="24"/>
          <w:szCs w:val="24"/>
        </w:rPr>
        <w:t>compound 1</w:t>
      </w:r>
      <w:r w:rsidRPr="00D0036E">
        <w:rPr>
          <w:rFonts w:asciiTheme="majorBidi" w:hAnsiTheme="majorBidi" w:cstheme="majorBidi"/>
          <w:sz w:val="24"/>
          <w:szCs w:val="24"/>
        </w:rPr>
        <w:t xml:space="preserve"> (5-13, 5 mL, 110 mg).</w:t>
      </w:r>
    </w:p>
    <w:p w14:paraId="245FFE46"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Spectral data</w:t>
      </w:r>
    </w:p>
    <w:p w14:paraId="11AA7868" w14:textId="77777777"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vertAlign w:val="superscript"/>
        </w:rPr>
        <w:t>1</w:t>
      </w:r>
      <w:r w:rsidRPr="00D0036E">
        <w:rPr>
          <w:rFonts w:asciiTheme="majorBidi" w:hAnsiTheme="majorBidi" w:cstheme="majorBidi"/>
          <w:sz w:val="24"/>
          <w:szCs w:val="24"/>
        </w:rPr>
        <w:t>H-NMR ppm (400 MHz,  CDCL</w:t>
      </w:r>
      <w:r w:rsidRPr="00D0036E">
        <w:rPr>
          <w:rFonts w:asciiTheme="majorBidi" w:hAnsiTheme="majorBidi" w:cstheme="majorBidi"/>
          <w:sz w:val="24"/>
          <w:szCs w:val="24"/>
          <w:vertAlign w:val="subscript"/>
        </w:rPr>
        <w:t>3</w:t>
      </w:r>
      <w:r w:rsidRPr="00D0036E">
        <w:rPr>
          <w:rFonts w:asciiTheme="majorBidi" w:hAnsiTheme="majorBidi" w:cstheme="majorBidi"/>
          <w:sz w:val="24"/>
          <w:szCs w:val="24"/>
        </w:rPr>
        <w:t xml:space="preserve">) </w:t>
      </w:r>
      <w:bookmarkStart w:id="2" w:name="_Hlk172300830"/>
      <w:r w:rsidRPr="00D0036E">
        <w:rPr>
          <w:rFonts w:asciiTheme="majorBidi" w:hAnsiTheme="majorBidi" w:cstheme="majorBidi"/>
          <w:b/>
          <w:bCs/>
          <w:sz w:val="24"/>
          <w:szCs w:val="24"/>
        </w:rPr>
        <w:t>(Table S1 and Fig. S2)</w:t>
      </w:r>
      <w:bookmarkEnd w:id="2"/>
      <w:r w:rsidRPr="00D0036E">
        <w:rPr>
          <w:rFonts w:asciiTheme="majorBidi" w:hAnsiTheme="majorBidi" w:cstheme="majorBidi"/>
          <w:sz w:val="24"/>
          <w:szCs w:val="24"/>
        </w:rPr>
        <w:t xml:space="preserve">; 1.92, 1.67 (2H, </w:t>
      </w:r>
      <w:r w:rsidRPr="00D0036E">
        <w:rPr>
          <w:rFonts w:asciiTheme="majorBidi" w:hAnsiTheme="majorBidi" w:cstheme="majorBidi"/>
          <w:i/>
          <w:iCs/>
          <w:sz w:val="24"/>
          <w:szCs w:val="24"/>
        </w:rPr>
        <w:t>ddd</w:t>
      </w:r>
      <w:r w:rsidRPr="00D0036E">
        <w:rPr>
          <w:rFonts w:asciiTheme="majorBidi" w:hAnsiTheme="majorBidi" w:cstheme="majorBidi"/>
          <w:sz w:val="24"/>
          <w:szCs w:val="24"/>
        </w:rPr>
        <w:t xml:space="preserve">, H-1), 2.35, 2.26 (2H, </w:t>
      </w:r>
      <w:r w:rsidRPr="00D0036E">
        <w:rPr>
          <w:rFonts w:asciiTheme="majorBidi" w:hAnsiTheme="majorBidi" w:cstheme="majorBidi"/>
          <w:i/>
          <w:iCs/>
          <w:sz w:val="24"/>
          <w:szCs w:val="24"/>
        </w:rPr>
        <w:t>ddd</w:t>
      </w:r>
      <w:r w:rsidRPr="00D0036E">
        <w:rPr>
          <w:rFonts w:asciiTheme="majorBidi" w:hAnsiTheme="majorBidi" w:cstheme="majorBidi"/>
          <w:sz w:val="24"/>
          <w:szCs w:val="24"/>
        </w:rPr>
        <w:t xml:space="preserve">, H-2), 2.24 (1H, </w:t>
      </w:r>
      <w:r w:rsidRPr="00D0036E">
        <w:rPr>
          <w:rFonts w:asciiTheme="majorBidi" w:hAnsiTheme="majorBidi" w:cstheme="majorBidi"/>
          <w:i/>
          <w:iCs/>
          <w:sz w:val="24"/>
          <w:szCs w:val="24"/>
        </w:rPr>
        <w:t>q</w:t>
      </w:r>
      <w:r w:rsidRPr="00D0036E">
        <w:rPr>
          <w:rFonts w:asciiTheme="majorBidi" w:hAnsiTheme="majorBidi" w:cstheme="majorBidi"/>
          <w:sz w:val="24"/>
          <w:szCs w:val="24"/>
        </w:rPr>
        <w:t xml:space="preserve">, H-4), 1.70, 1.30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H-6), 1.49, 1.39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H-7), 1.38 (1H, </w:t>
      </w:r>
      <w:r w:rsidRPr="00D0036E">
        <w:rPr>
          <w:rFonts w:asciiTheme="majorBidi" w:hAnsiTheme="majorBidi" w:cstheme="majorBidi"/>
          <w:i/>
          <w:iCs/>
          <w:sz w:val="24"/>
          <w:szCs w:val="24"/>
        </w:rPr>
        <w:t>dd</w:t>
      </w:r>
      <w:r w:rsidRPr="00D0036E">
        <w:rPr>
          <w:rFonts w:asciiTheme="majorBidi" w:hAnsiTheme="majorBidi" w:cstheme="majorBidi"/>
          <w:sz w:val="24"/>
          <w:szCs w:val="24"/>
        </w:rPr>
        <w:t xml:space="preserve">, H-8), 1.54 (1H,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H-10), 1.44, 1.26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H-11), 1.33, 1.32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H-12), 1.47, </w:t>
      </w:r>
      <w:r w:rsidRPr="00D0036E">
        <w:rPr>
          <w:rFonts w:asciiTheme="majorBidi" w:hAnsiTheme="majorBidi" w:cstheme="majorBidi"/>
          <w:sz w:val="24"/>
          <w:szCs w:val="24"/>
        </w:rPr>
        <w:lastRenderedPageBreak/>
        <w:t xml:space="preserve">1.27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H-15), 1.59, 1.18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H-16), 1.56 (1H,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H-18), 1.37, 1.21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H-19), 1.51, 1.32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H-21), 1.51, 0.98 (2H, </w:t>
      </w:r>
      <w:r w:rsidRPr="00D0036E">
        <w:rPr>
          <w:rFonts w:asciiTheme="majorBidi" w:hAnsiTheme="majorBidi" w:cstheme="majorBidi"/>
          <w:i/>
          <w:iCs/>
          <w:sz w:val="24"/>
          <w:szCs w:val="24"/>
        </w:rPr>
        <w:t>m</w:t>
      </w:r>
      <w:r w:rsidRPr="00D0036E">
        <w:rPr>
          <w:rFonts w:asciiTheme="majorBidi" w:hAnsiTheme="majorBidi" w:cstheme="majorBidi"/>
          <w:sz w:val="24"/>
          <w:szCs w:val="24"/>
        </w:rPr>
        <w:t xml:space="preserve">, H-22), 0.88 (3H, </w:t>
      </w:r>
      <w:r w:rsidRPr="00D0036E">
        <w:rPr>
          <w:rFonts w:asciiTheme="majorBidi" w:hAnsiTheme="majorBidi" w:cstheme="majorBidi"/>
          <w:i/>
          <w:iCs/>
          <w:sz w:val="24"/>
          <w:szCs w:val="24"/>
        </w:rPr>
        <w:t>d</w:t>
      </w:r>
      <w:r w:rsidRPr="00D0036E">
        <w:rPr>
          <w:rFonts w:asciiTheme="majorBidi" w:hAnsiTheme="majorBidi" w:cstheme="majorBidi"/>
          <w:sz w:val="24"/>
          <w:szCs w:val="24"/>
        </w:rPr>
        <w:t xml:space="preserve">, H-23), 0.65 (3H,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H-24), 0.82 (1H,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H-25), 1.11 (1H,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H-26), 1.14 (1H,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H-27), 1.19 (1H,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H-28), 1.16 (1H, </w:t>
      </w:r>
      <w:r w:rsidRPr="00D0036E">
        <w:rPr>
          <w:rFonts w:asciiTheme="majorBidi" w:hAnsiTheme="majorBidi" w:cstheme="majorBidi"/>
          <w:i/>
          <w:iCs/>
          <w:sz w:val="24"/>
          <w:szCs w:val="24"/>
        </w:rPr>
        <w:t>s</w:t>
      </w:r>
      <w:r w:rsidRPr="00D0036E">
        <w:rPr>
          <w:rFonts w:asciiTheme="majorBidi" w:hAnsiTheme="majorBidi" w:cstheme="majorBidi"/>
          <w:sz w:val="24"/>
          <w:szCs w:val="24"/>
        </w:rPr>
        <w:t xml:space="preserve">, H-29), 0.93(1H, </w:t>
      </w:r>
      <w:r w:rsidRPr="00D0036E">
        <w:rPr>
          <w:rFonts w:asciiTheme="majorBidi" w:hAnsiTheme="majorBidi" w:cstheme="majorBidi"/>
          <w:i/>
          <w:iCs/>
          <w:sz w:val="24"/>
          <w:szCs w:val="24"/>
        </w:rPr>
        <w:t>s</w:t>
      </w:r>
      <w:r w:rsidRPr="00D0036E">
        <w:rPr>
          <w:rFonts w:asciiTheme="majorBidi" w:hAnsiTheme="majorBidi" w:cstheme="majorBidi"/>
          <w:sz w:val="24"/>
          <w:szCs w:val="24"/>
        </w:rPr>
        <w:t>, H-30).</w:t>
      </w:r>
    </w:p>
    <w:p w14:paraId="53D9F15E" w14:textId="77777777"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vertAlign w:val="superscript"/>
        </w:rPr>
        <w:t>13</w:t>
      </w:r>
      <w:r w:rsidRPr="00D0036E">
        <w:rPr>
          <w:rFonts w:asciiTheme="majorBidi" w:hAnsiTheme="majorBidi" w:cstheme="majorBidi"/>
          <w:sz w:val="24"/>
          <w:szCs w:val="24"/>
        </w:rPr>
        <w:t>C-NMR ppm (100 MHz,  CDCL</w:t>
      </w:r>
      <w:r w:rsidRPr="00D0036E">
        <w:rPr>
          <w:rFonts w:asciiTheme="majorBidi" w:hAnsiTheme="majorBidi" w:cstheme="majorBidi"/>
          <w:sz w:val="24"/>
          <w:szCs w:val="24"/>
          <w:vertAlign w:val="subscript"/>
        </w:rPr>
        <w:t>3</w:t>
      </w:r>
      <w:r w:rsidRPr="00D0036E">
        <w:rPr>
          <w:rFonts w:asciiTheme="majorBidi" w:hAnsiTheme="majorBidi" w:cstheme="majorBidi"/>
          <w:sz w:val="24"/>
          <w:szCs w:val="24"/>
        </w:rPr>
        <w:t xml:space="preserve">) </w:t>
      </w:r>
      <w:r w:rsidRPr="00D0036E">
        <w:rPr>
          <w:rFonts w:asciiTheme="majorBidi" w:hAnsiTheme="majorBidi" w:cstheme="majorBidi"/>
          <w:b/>
          <w:bCs/>
          <w:sz w:val="24"/>
          <w:szCs w:val="24"/>
        </w:rPr>
        <w:t>(Table S1 and Fig. S3)</w:t>
      </w:r>
      <w:r w:rsidRPr="00D0036E">
        <w:rPr>
          <w:rFonts w:asciiTheme="majorBidi" w:hAnsiTheme="majorBidi" w:cstheme="majorBidi"/>
          <w:sz w:val="24"/>
          <w:szCs w:val="24"/>
        </w:rPr>
        <w:t xml:space="preserve">; 22.29 (C-1), 41.54 (C-2), 213.25 (C-3), 58.23 (C-4), 42.15 (C-5), 41.29 (C-6), 18.24 (C-7), 53.11 (C-8), 37.45(C-9), 59.48 (C-10), 35.63 (C-11), 30.51 (C-12), 39.70 (C-13),  38.30 (C-14), 32.42 (C-15), 36.01 (C-16), 30.00 (C-17),  42.80 (C-18), 35.35 (C-19), 28.17 (C-20), 32.77 (C-21), 39.26 (C-22), 6.83 (C-23), 14.66 (C-24), 17.95 (C-25), 20.26 (C-26), 18.67 (C-27), 32.09 (C-28), 35.03 (C-29), 31.79 (C-30). </w:t>
      </w:r>
    </w:p>
    <w:bookmarkEnd w:id="0"/>
    <w:p w14:paraId="7F99B685"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Molecular characterization of MRSA isolates</w:t>
      </w:r>
    </w:p>
    <w:p w14:paraId="46FBFEE2" w14:textId="020BB08B"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sz w:val="24"/>
          <w:szCs w:val="24"/>
        </w:rPr>
        <w:t xml:space="preserve">The MRSA strain was isolated from the intensive care unit of a tertiary care hospital in Cairo, Egypt. All laboratory works were performed according to CLSI guidelines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&lt;EndNote&gt;&lt;Cite&gt;&lt;Author&gt;Cockerill&lt;/Author&gt;&lt;Year&gt;2012&lt;/Year&gt;&lt;RecNum&gt;808&lt;/RecNum&gt;&lt;DisplayText&gt;[1]&lt;/DisplayText&gt;&lt;record&gt;&lt;rec-number&gt;808&lt;/rec-number&gt;&lt;foreign-keys&gt;&lt;key app="EN" db-id="s22fs5xsds9rvmep05i5das05ezxwt59p0fx" timestamp="1696305859"&gt;808&lt;/key&gt;&lt;/foreign-keys&gt;&lt;ref-type name="Journal Article"&gt;17&lt;/ref-type&gt;&lt;contributors&gt;&lt;authors&gt;&lt;author&gt;Cockerill, Franklin R&lt;/author&gt;&lt;author&gt;Wikler, M&lt;/author&gt;&lt;author&gt;Bush, K&lt;/author&gt;&lt;author&gt;Dudley, M&lt;/author&gt;&lt;author&gt;Eliopoulos, G&lt;/author&gt;&lt;author&gt;Hardy, D&lt;/author&gt;&lt;/authors&gt;&lt;/contributors&gt;&lt;titles&gt;&lt;title&gt;Clinical and laboratory standards institute&lt;/title&gt;&lt;secondary-title&gt;Performance standards for antimicrobial susceptibility testing: twenty-second informational supplement&lt;/secondary-title&gt;&lt;/titles&gt;&lt;periodical&gt;&lt;full-title&gt;Performance standards for antimicrobial susceptibility testing: twenty-second informational supplement&lt;/full-title&gt;&lt;/periodical&gt;&lt;dates&gt;&lt;year&gt;2012&lt;/year&gt;&lt;/dates&gt;&lt;urls&gt;&lt;/urls&gt;&lt;/record&gt;&lt;/Cite&gt;&lt;/EndNote&gt;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[1]</w:t>
      </w:r>
      <w:r w:rsidRPr="00D0036E">
        <w:rPr>
          <w:rFonts w:asciiTheme="majorBidi" w:hAnsiTheme="majorBidi" w:cstheme="majorBidi"/>
          <w:b/>
          <w:bCs/>
          <w:sz w:val="24"/>
          <w:szCs w:val="24"/>
        </w:rPr>
        <w:fldChar w:fldCharType="end"/>
      </w:r>
      <w:r w:rsidRPr="00D0036E">
        <w:rPr>
          <w:rFonts w:asciiTheme="majorBidi" w:hAnsiTheme="majorBidi" w:cstheme="majorBidi"/>
          <w:sz w:val="24"/>
          <w:szCs w:val="24"/>
        </w:rPr>
        <w:t>.</w:t>
      </w:r>
      <w:r w:rsidRPr="00D0036E">
        <w:rPr>
          <w:rFonts w:asciiTheme="majorBidi" w:hAnsiTheme="majorBidi" w:cstheme="majorBidi"/>
          <w:b/>
          <w:bCs/>
          <w:sz w:val="24"/>
          <w:szCs w:val="24"/>
        </w:rPr>
        <w:t xml:space="preserve"> </w:t>
      </w:r>
      <w:r w:rsidRPr="00D0036E">
        <w:rPr>
          <w:rFonts w:asciiTheme="majorBidi" w:hAnsiTheme="majorBidi" w:cstheme="majorBidi"/>
          <w:sz w:val="24"/>
          <w:szCs w:val="24"/>
        </w:rPr>
        <w:t xml:space="preserve">The isolated MRSA strain was previously identified phenotypically and genotypically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&lt;EndNote&gt;&lt;Cite&gt;&lt;Author&gt;Rana&lt;/Author&gt;&lt;Year&gt;2018&lt;/Year&gt;&lt;RecNum&gt;948&lt;/RecNum&gt;&lt;DisplayText&gt;[2]&lt;/DisplayText&gt;&lt;record&gt;&lt;rec-number&gt;948&lt;/rec-number&gt;&lt;foreign-keys&gt;&lt;key app="EN" db-id="fasvdfaz6529tre5d51vaed7axad0aszz9sx" timestamp="1715933973"&gt;948&lt;/key&gt;&lt;/foreign-keys&gt;&lt;ref-type name="Journal Article"&gt;17&lt;/ref-type&gt;&lt;contributors&gt;&lt;authors&gt;&lt;author&gt;Rana, Elshimy&lt;/author&gt;&lt;author&gt;Rania, Abdelmonem Khattab&lt;/author&gt;&lt;author&gt;Hamdallah, Zedan&lt;/author&gt;&lt;author&gt;Alaa, El-Din Shawky Hosny&lt;/author&gt;&lt;author&gt;Tarek, H Elmorsy&lt;/author&gt;&lt;/authors&gt;&lt;/contributors&gt;&lt;titles&gt;&lt;title&gt;Study on prevalence and genetic discrimination of methicillin-resistant Staphylococcus aureus (MRSA) in Egyptian hospitals&lt;/title&gt;&lt;secondary-title&gt;African Journal of Microbiology Research&lt;/secondary-title&gt;&lt;/titles&gt;&lt;periodical&gt;&lt;full-title&gt;African Journal of Microbiology Research&lt;/full-title&gt;&lt;/periodical&gt;&lt;pages&gt;629-646&lt;/pages&gt;&lt;volume&gt;12&lt;/volume&gt;&lt;number&gt;27&lt;/number&gt;&lt;dates&gt;&lt;year&gt;2018&lt;/year&gt;&lt;/dates&gt;&lt;isbn&gt;1996-0808&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[2]</w:t>
      </w:r>
      <w:r w:rsidRPr="00D0036E">
        <w:rPr>
          <w:rFonts w:asciiTheme="majorBidi" w:hAnsiTheme="majorBidi" w:cstheme="majorBidi"/>
          <w:b/>
          <w:bCs/>
          <w:sz w:val="24"/>
          <w:szCs w:val="24"/>
        </w:rPr>
        <w:fldChar w:fldCharType="end"/>
      </w:r>
      <w:r w:rsidRPr="00D0036E">
        <w:rPr>
          <w:rFonts w:asciiTheme="majorBidi" w:hAnsiTheme="majorBidi" w:cstheme="majorBidi"/>
          <w:sz w:val="24"/>
          <w:szCs w:val="24"/>
        </w:rPr>
        <w:t>.</w:t>
      </w:r>
    </w:p>
    <w:p w14:paraId="4C6DFF24" w14:textId="77777777" w:rsidR="007A10D8" w:rsidRPr="00D0036E" w:rsidRDefault="007A10D8" w:rsidP="007A10D8">
      <w:pPr>
        <w:spacing w:after="0" w:line="360" w:lineRule="auto"/>
        <w:jc w:val="both"/>
        <w:rPr>
          <w:rFonts w:asciiTheme="majorBidi" w:hAnsiTheme="majorBidi" w:cstheme="majorBidi"/>
          <w:b/>
          <w:bCs/>
          <w:sz w:val="24"/>
          <w:szCs w:val="24"/>
        </w:rPr>
      </w:pPr>
      <w:bookmarkStart w:id="3" w:name="_Hlk172300515"/>
      <w:r w:rsidRPr="00D0036E">
        <w:rPr>
          <w:rFonts w:asciiTheme="majorBidi" w:hAnsiTheme="majorBidi" w:cstheme="majorBidi"/>
          <w:b/>
          <w:bCs/>
          <w:sz w:val="24"/>
          <w:szCs w:val="24"/>
        </w:rPr>
        <w:t xml:space="preserve">Conventional and differential real-time PCR </w:t>
      </w:r>
    </w:p>
    <w:bookmarkEnd w:id="3"/>
    <w:p w14:paraId="32E1D628" w14:textId="0DD8AC1C" w:rsidR="007A10D8" w:rsidRPr="00D0036E" w:rsidRDefault="007A10D8" w:rsidP="007A10D8">
      <w:pPr>
        <w:spacing w:after="0" w:line="360" w:lineRule="auto"/>
        <w:ind w:firstLine="720"/>
        <w:jc w:val="both"/>
        <w:rPr>
          <w:rFonts w:asciiTheme="majorBidi" w:hAnsiTheme="majorBidi" w:cstheme="majorBidi"/>
          <w:color w:val="212121"/>
          <w:sz w:val="24"/>
          <w:szCs w:val="24"/>
          <w:shd w:val="clear" w:color="auto" w:fill="FFFFFF"/>
        </w:rPr>
      </w:pPr>
      <w:r w:rsidRPr="00D0036E">
        <w:rPr>
          <w:rFonts w:asciiTheme="majorBidi" w:hAnsiTheme="majorBidi" w:cstheme="majorBidi"/>
          <w:sz w:val="24"/>
          <w:szCs w:val="24"/>
        </w:rPr>
        <w:t>Primers used were supplied from Metabion (Germany)</w:t>
      </w:r>
      <w:r w:rsidRPr="00D0036E">
        <w:rPr>
          <w:rFonts w:asciiTheme="majorBidi" w:hAnsiTheme="majorBidi" w:cstheme="majorBidi"/>
          <w:b/>
          <w:bCs/>
          <w:sz w:val="24"/>
          <w:szCs w:val="24"/>
        </w:rPr>
        <w:t xml:space="preserve"> </w:t>
      </w:r>
      <w:r w:rsidRPr="00D0036E">
        <w:rPr>
          <w:rFonts w:asciiTheme="majorBidi" w:hAnsiTheme="majorBidi" w:cstheme="majorBidi"/>
          <w:sz w:val="24"/>
          <w:szCs w:val="24"/>
        </w:rPr>
        <w:t xml:space="preserve">and sequences for the target genes were listed in </w:t>
      </w:r>
      <w:r w:rsidRPr="00D0036E">
        <w:rPr>
          <w:rFonts w:asciiTheme="majorBidi" w:hAnsiTheme="majorBidi" w:cstheme="majorBidi"/>
          <w:b/>
          <w:bCs/>
          <w:sz w:val="24"/>
          <w:szCs w:val="24"/>
        </w:rPr>
        <w:t>Table</w:t>
      </w:r>
      <w:r w:rsidRPr="00D0036E">
        <w:rPr>
          <w:rFonts w:asciiTheme="majorBidi" w:hAnsiTheme="majorBidi" w:cstheme="majorBidi"/>
          <w:sz w:val="24"/>
          <w:szCs w:val="24"/>
        </w:rPr>
        <w:t xml:space="preserve"> </w:t>
      </w:r>
      <w:r w:rsidRPr="00D0036E">
        <w:rPr>
          <w:rFonts w:asciiTheme="majorBidi" w:hAnsiTheme="majorBidi" w:cstheme="majorBidi"/>
          <w:b/>
          <w:bCs/>
          <w:sz w:val="24"/>
          <w:szCs w:val="24"/>
        </w:rPr>
        <w:t>S2</w:t>
      </w:r>
      <w:r w:rsidRPr="00D0036E">
        <w:rPr>
          <w:rFonts w:asciiTheme="majorBidi" w:hAnsiTheme="majorBidi" w:cstheme="majorBidi"/>
          <w:sz w:val="24"/>
          <w:szCs w:val="24"/>
        </w:rPr>
        <w:t>. The details were mentioned in the supplementary file.</w:t>
      </w:r>
    </w:p>
    <w:p w14:paraId="1CE17A59" w14:textId="77777777" w:rsidR="007A10D8" w:rsidRPr="00D0036E" w:rsidRDefault="007A10D8" w:rsidP="007A10D8">
      <w:pPr>
        <w:spacing w:after="0" w:line="360" w:lineRule="auto"/>
        <w:ind w:firstLine="720"/>
        <w:jc w:val="both"/>
        <w:rPr>
          <w:rFonts w:asciiTheme="majorBidi" w:hAnsiTheme="majorBidi" w:cstheme="majorBidi"/>
          <w:sz w:val="24"/>
          <w:szCs w:val="24"/>
        </w:rPr>
      </w:pPr>
    </w:p>
    <w:p w14:paraId="50BCD36B"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i/>
          <w:iCs/>
          <w:sz w:val="24"/>
          <w:szCs w:val="24"/>
        </w:rPr>
        <w:t>In vitro</w:t>
      </w:r>
      <w:r w:rsidRPr="00D0036E">
        <w:rPr>
          <w:rFonts w:asciiTheme="majorBidi" w:hAnsiTheme="majorBidi" w:cstheme="majorBidi"/>
          <w:b/>
          <w:bCs/>
          <w:sz w:val="24"/>
          <w:szCs w:val="24"/>
        </w:rPr>
        <w:t xml:space="preserve"> antimicrobial efficacy of friedelin (FRN)</w:t>
      </w:r>
    </w:p>
    <w:p w14:paraId="77079D0A"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Disc diffusion assay  </w:t>
      </w:r>
    </w:p>
    <w:p w14:paraId="7A207B6B" w14:textId="76D90566" w:rsidR="007A10D8" w:rsidRPr="00D0036E" w:rsidRDefault="007A10D8" w:rsidP="007A10D8">
      <w:pPr>
        <w:spacing w:after="0" w:line="360" w:lineRule="auto"/>
        <w:ind w:firstLine="720"/>
        <w:jc w:val="both"/>
        <w:rPr>
          <w:rFonts w:asciiTheme="majorBidi" w:hAnsiTheme="majorBidi" w:cstheme="majorBidi"/>
          <w:b/>
          <w:bCs/>
          <w:color w:val="FF0000"/>
          <w:sz w:val="24"/>
          <w:szCs w:val="24"/>
        </w:rPr>
      </w:pPr>
      <w:r w:rsidRPr="00D0036E">
        <w:rPr>
          <w:rFonts w:asciiTheme="majorBidi" w:hAnsiTheme="majorBidi" w:cstheme="majorBidi"/>
          <w:sz w:val="24"/>
          <w:szCs w:val="24"/>
        </w:rPr>
        <w:t xml:space="preserve">Antimicrobial activities of FRN were first screened for its inhibitory zone by the agar disc-diffusion method using Mueller-Hinton agar (Sigma-Aldrich, USA) media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&lt;EndNote&gt;&lt;Cite&gt;&lt;Author&gt;Bauer&lt;/Author&gt;&lt;Year&gt;1966&lt;/Year&gt;&lt;RecNum&gt;814&lt;/RecNum&gt;&lt;DisplayText&gt;[3]&lt;/DisplayText&gt;&lt;record&gt;&lt;rec-number&gt;814&lt;/rec-number&gt;&lt;foreign-keys&gt;&lt;key app="EN" db-id="s22fs5xsds9rvmep05i5das05ezxwt59p0fx" timestamp="1696306269"&gt;814&lt;/key&gt;&lt;/foreign-keys&gt;&lt;ref-type name="Journal Article"&gt;17&lt;/ref-type&gt;&lt;contributors&gt;&lt;authors&gt;&lt;author&gt;Bauer, AW&lt;/author&gt;&lt;author&gt;Kirby, WMM&lt;/author&gt;&lt;author&gt;Sherris, John C&lt;/author&gt;&lt;author&gt;Turck, Marvin&lt;/author&gt;&lt;/authors&gt;&lt;/contributors&gt;&lt;titles&gt;&lt;title&gt;Antibiotic susceptibility testing by a standardized single disk method&lt;/title&gt;&lt;secondary-title&gt;American journal of clinical pathology&lt;/secondary-title&gt;&lt;/titles&gt;&lt;periodical&gt;&lt;full-title&gt;American journal of clinical pathology&lt;/full-title&gt;&lt;/periodical&gt;&lt;pages&gt;493-496&lt;/pages&gt;&lt;volume&gt;45&lt;/volume&gt;&lt;number&gt;4_ts&lt;/number&gt;&lt;dates&gt;&lt;year&gt;1966&lt;/year&gt;&lt;/dates&gt;&lt;urls&gt;&lt;/urls&gt;&lt;/record&gt;&lt;/Cite&gt;&lt;/EndNote&gt;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[3]</w:t>
      </w:r>
      <w:r w:rsidRPr="00D0036E">
        <w:rPr>
          <w:rFonts w:asciiTheme="majorBidi" w:hAnsiTheme="majorBidi" w:cstheme="majorBidi"/>
          <w:b/>
          <w:bCs/>
          <w:sz w:val="24"/>
          <w:szCs w:val="24"/>
        </w:rPr>
        <w:fldChar w:fldCharType="end"/>
      </w:r>
      <w:r w:rsidRPr="00D0036E">
        <w:rPr>
          <w:rFonts w:asciiTheme="majorBidi" w:hAnsiTheme="majorBidi" w:cstheme="majorBidi"/>
          <w:b/>
          <w:bCs/>
          <w:sz w:val="24"/>
          <w:szCs w:val="24"/>
        </w:rPr>
        <w:t>.</w:t>
      </w:r>
      <w:r w:rsidRPr="00D0036E">
        <w:rPr>
          <w:rFonts w:asciiTheme="majorBidi" w:hAnsiTheme="majorBidi" w:cstheme="majorBidi"/>
          <w:sz w:val="24"/>
          <w:szCs w:val="24"/>
        </w:rPr>
        <w:t xml:space="preserve"> The tests were performed in triplicates and repeated twice</w:t>
      </w:r>
      <w:r w:rsidRPr="00D0036E">
        <w:rPr>
          <w:rFonts w:asciiTheme="majorBidi" w:hAnsiTheme="majorBidi" w:cstheme="majorBidi"/>
          <w:b/>
          <w:bCs/>
          <w:sz w:val="24"/>
          <w:szCs w:val="24"/>
        </w:rPr>
        <w:t>.</w:t>
      </w:r>
    </w:p>
    <w:p w14:paraId="4B2BC290"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Minimum inhibitory concentration (MIC)</w:t>
      </w:r>
    </w:p>
    <w:p w14:paraId="68D3F08B" w14:textId="38CBC1A9" w:rsidR="007A10D8" w:rsidRPr="00D0036E" w:rsidRDefault="007A10D8" w:rsidP="007A10D8">
      <w:pPr>
        <w:spacing w:after="0" w:line="360" w:lineRule="auto"/>
        <w:ind w:firstLine="720"/>
        <w:jc w:val="both"/>
        <w:rPr>
          <w:rFonts w:asciiTheme="majorBidi" w:hAnsiTheme="majorBidi" w:cstheme="majorBidi"/>
          <w:b/>
          <w:bCs/>
          <w:sz w:val="24"/>
          <w:szCs w:val="24"/>
        </w:rPr>
      </w:pPr>
      <w:r w:rsidRPr="00D0036E">
        <w:rPr>
          <w:rFonts w:asciiTheme="majorBidi" w:hAnsiTheme="majorBidi" w:cstheme="majorBidi"/>
          <w:sz w:val="24"/>
          <w:szCs w:val="24"/>
        </w:rPr>
        <w:t xml:space="preserve">The minimum inhibitory concentration (MIC) was determined by the microbroth dilution method using Mueller-Hinton broth (Difco, USA). Different concentrations were prepared by two-fold serial dilution from 4096 µg /mL to 2 µg /mL. Positive control (VAN) was serially diluted from 64 to 0.12 µg /mL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&lt;EndNote&gt;&lt;Cite&gt;&lt;Author&gt;Caldwell&lt;/Author&gt;&lt;Year&gt;2020&lt;/Year&gt;&lt;RecNum&gt;815&lt;/RecNum&gt;&lt;DisplayText&gt;[4, 5]&lt;/DisplayText&gt;&lt;record&gt;&lt;rec-number&gt;815&lt;/rec-number&gt;&lt;foreign-keys&gt;&lt;key app="EN" db-id="s22fs5xsds9rvmep05i5das05ezxwt59p0fx" timestamp="1696306321"&gt;815&lt;/key&gt;&lt;/foreign-keys&gt;&lt;ref-type name="Journal Article"&gt;17&lt;/ref-type&gt;&lt;contributors&gt;&lt;authors&gt;&lt;author&gt;Caldwell, Michael D&lt;/author&gt;&lt;/authors&gt;&lt;/contributors&gt;&lt;titles&gt;&lt;title&gt;Bacteria and antibiotics in wound healing&lt;/title&gt;&lt;secondary-title&gt;Surgical Clinics&lt;/secondary-title&gt;&lt;/titles&gt;&lt;periodical&gt;&lt;full-title&gt;Surgical Clinics&lt;/full-title&gt;&lt;/periodical&gt;&lt;pages&gt;757-776&lt;/pages&gt;&lt;volume&gt;100&lt;/volume&gt;&lt;number&gt;4&lt;/number&gt;&lt;dates&gt;&lt;year&gt;2020&lt;/year&gt;&lt;/dates&gt;&lt;isbn&gt;0039-6109&lt;/isbn&gt;&lt;urls&gt;&lt;/urls&gt;&lt;/record&gt;&lt;/Cite&gt;&lt;Cite&gt;&lt;Author&gt;Wiegand&lt;/Author&gt;&lt;Year&gt;2008&lt;/Year&gt;&lt;RecNum&gt;816&lt;/RecNum&gt;&lt;record&gt;&lt;rec-number&gt;816&lt;/rec-number&gt;&lt;foreign-keys&gt;&lt;key app="EN" db-id="s22fs5xsds9rvmep05i5das05ezxwt59p0fx" timestamp="1696306366"&gt;816&lt;/key&gt;&lt;/foreign-keys&gt;&lt;ref-type name="Journal Article"&gt;17&lt;/ref-type&gt;&lt;contributors&gt;&lt;authors&gt;&lt;author&gt;Wiegand, Irith&lt;/author&gt;&lt;author&gt;Hilpert, Kai&lt;/author&gt;&lt;author&gt;Hancock, Robert EW&lt;/author&gt;&lt;/authors&gt;&lt;/contributors&gt;&lt;titles&gt;&lt;title&gt;Agar and broth dilution methods to determine the minimal inhibitory concentration (MIC) of antimicrobial substances&lt;/title&gt;&lt;secondary-title&gt;Nature protocols&lt;/secondary-title&gt;&lt;/titles&gt;&lt;periodical&gt;&lt;full-title&gt;Nature protocols&lt;/full-title&gt;&lt;/periodical&gt;&lt;pages&gt;163-175&lt;/pages&gt;&lt;volume&gt;3&lt;/volume&gt;&lt;number&gt;2&lt;/number&gt;&lt;dates&gt;&lt;year&gt;2008&lt;/year&gt;&lt;/dates&gt;&lt;isbn&gt;1754-2189&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[4, 5]</w:t>
      </w:r>
      <w:r w:rsidRPr="00D0036E">
        <w:rPr>
          <w:rFonts w:asciiTheme="majorBidi" w:hAnsiTheme="majorBidi" w:cstheme="majorBidi"/>
          <w:b/>
          <w:bCs/>
          <w:sz w:val="24"/>
          <w:szCs w:val="24"/>
        </w:rPr>
        <w:fldChar w:fldCharType="end"/>
      </w:r>
      <w:r w:rsidRPr="00D0036E">
        <w:rPr>
          <w:rFonts w:asciiTheme="majorBidi" w:hAnsiTheme="majorBidi" w:cstheme="majorBidi"/>
          <w:b/>
          <w:bCs/>
          <w:sz w:val="24"/>
          <w:szCs w:val="24"/>
        </w:rPr>
        <w:t>.</w:t>
      </w:r>
    </w:p>
    <w:p w14:paraId="25ECB5F6" w14:textId="56684A22" w:rsidR="001F2E37" w:rsidRPr="00D0036E" w:rsidRDefault="001F2E37" w:rsidP="001F2E37">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Gel formulation</w:t>
      </w:r>
    </w:p>
    <w:p w14:paraId="260C38DB" w14:textId="7CCF5C7F" w:rsidR="001F2E37" w:rsidRPr="00D0036E" w:rsidRDefault="001F2E37" w:rsidP="001F2E37">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t>Sodium carboxymethyl cellulose (NaCMC, average molecular weight 250,000 g/mol) was purchased from Sigma-Aldrich Co., St. Louis, USA. Propylene glycol, 95% ethanol, and sodium benzoate were procured from El-Nasr Pharmaceuticals (Cairo, Egypt).</w:t>
      </w:r>
      <w:r w:rsidRPr="00D0036E">
        <w:rPr>
          <w:rFonts w:ascii="Merriweather" w:hAnsi="Merriweather"/>
          <w:color w:val="222222"/>
          <w:sz w:val="27"/>
          <w:szCs w:val="27"/>
          <w:shd w:val="clear" w:color="auto" w:fill="FFFFFF"/>
        </w:rPr>
        <w:t xml:space="preserve"> </w:t>
      </w:r>
      <w:r w:rsidRPr="00D0036E">
        <w:rPr>
          <w:rFonts w:asciiTheme="majorBidi" w:hAnsiTheme="majorBidi" w:cstheme="majorBidi"/>
          <w:sz w:val="24"/>
          <w:szCs w:val="24"/>
        </w:rPr>
        <w:t xml:space="preserve">Friedelin-loaded hydrogel </w:t>
      </w:r>
      <w:r w:rsidRPr="00D0036E">
        <w:rPr>
          <w:rFonts w:asciiTheme="majorBidi" w:hAnsiTheme="majorBidi" w:cstheme="majorBidi"/>
          <w:sz w:val="24"/>
          <w:szCs w:val="24"/>
        </w:rPr>
        <w:lastRenderedPageBreak/>
        <w:t>was prepared under aseptic conditions by dispersing NaCMC (4% </w:t>
      </w:r>
      <w:r w:rsidRPr="00D0036E">
        <w:rPr>
          <w:rFonts w:asciiTheme="majorBidi" w:hAnsiTheme="majorBidi" w:cstheme="majorBidi"/>
          <w:i/>
          <w:iCs/>
          <w:sz w:val="24"/>
          <w:szCs w:val="24"/>
        </w:rPr>
        <w:t>w/v</w:t>
      </w:r>
      <w:r w:rsidRPr="00D0036E">
        <w:rPr>
          <w:rFonts w:asciiTheme="majorBidi" w:hAnsiTheme="majorBidi" w:cstheme="majorBidi"/>
          <w:sz w:val="24"/>
          <w:szCs w:val="24"/>
        </w:rPr>
        <w:t>) in propylene glycol in a porcelain dish. After that, the compound was added to the propylene glycol dispersion. In a beaker, sodium benzoate (1% </w:t>
      </w:r>
      <w:r w:rsidRPr="00D0036E">
        <w:rPr>
          <w:rFonts w:asciiTheme="majorBidi" w:hAnsiTheme="majorBidi" w:cstheme="majorBidi"/>
          <w:i/>
          <w:iCs/>
          <w:sz w:val="24"/>
          <w:szCs w:val="24"/>
        </w:rPr>
        <w:t>w/v</w:t>
      </w:r>
      <w:r w:rsidRPr="00D0036E">
        <w:rPr>
          <w:rFonts w:asciiTheme="majorBidi" w:hAnsiTheme="majorBidi" w:cstheme="majorBidi"/>
          <w:sz w:val="24"/>
          <w:szCs w:val="24"/>
        </w:rPr>
        <w:t>), which acted as a preservative, was dissolved in water. Then, the propylene glycol dispersion was added gradually to the beaker containing water and placed on a hotplate stirrer adjusted at 60 °C and 100 rpm. Finally, the gel was transferred into sterilized vials and stored in the refrigerator till further use.</w:t>
      </w:r>
    </w:p>
    <w:p w14:paraId="25BFE35B"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i/>
          <w:iCs/>
          <w:sz w:val="24"/>
          <w:szCs w:val="24"/>
        </w:rPr>
        <w:t>In vivo</w:t>
      </w:r>
      <w:r w:rsidRPr="00D0036E">
        <w:rPr>
          <w:rFonts w:asciiTheme="majorBidi" w:hAnsiTheme="majorBidi" w:cstheme="majorBidi"/>
          <w:b/>
          <w:bCs/>
          <w:sz w:val="24"/>
          <w:szCs w:val="24"/>
        </w:rPr>
        <w:t xml:space="preserve"> animal model</w:t>
      </w:r>
    </w:p>
    <w:p w14:paraId="4D81F240"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Animals and wound induction </w:t>
      </w:r>
    </w:p>
    <w:p w14:paraId="0D375313" w14:textId="2D4898A5" w:rsidR="007A10D8" w:rsidRPr="00D0036E" w:rsidRDefault="007A10D8" w:rsidP="007A10D8">
      <w:pPr>
        <w:spacing w:after="0" w:line="360" w:lineRule="auto"/>
        <w:ind w:firstLine="720"/>
        <w:jc w:val="both"/>
        <w:rPr>
          <w:rFonts w:asciiTheme="majorBidi" w:hAnsiTheme="majorBidi" w:cstheme="majorBidi"/>
          <w:sz w:val="24"/>
          <w:szCs w:val="24"/>
        </w:rPr>
      </w:pPr>
      <w:bookmarkStart w:id="4" w:name="_Hlk143766153"/>
      <w:bookmarkStart w:id="5" w:name="_Hlk136247558"/>
      <w:r w:rsidRPr="00D0036E">
        <w:rPr>
          <w:rFonts w:asciiTheme="majorBidi" w:hAnsiTheme="majorBidi" w:cstheme="majorBidi"/>
          <w:sz w:val="24"/>
          <w:szCs w:val="24"/>
        </w:rPr>
        <w:t xml:space="preserve">35-adult male BALB/c mice </w:t>
      </w:r>
      <w:bookmarkEnd w:id="4"/>
      <w:r w:rsidRPr="00D0036E">
        <w:rPr>
          <w:rFonts w:asciiTheme="majorBidi" w:hAnsiTheme="majorBidi" w:cstheme="majorBidi"/>
          <w:sz w:val="24"/>
          <w:szCs w:val="24"/>
        </w:rPr>
        <w:t xml:space="preserve">(8-12 weeks old) with average weight 20-25 g were obtained from Holding Company of Biological Products and Vaccines (VACSERA), Helwan, Egypt. All mice were housed in plastic cages (3 or 4 mouse/ cage) in a well-ventilated environment and received a daily illumination of 12 hours of light. They were fed on dry commercial standard pellets and gained access to tap water </w:t>
      </w:r>
      <w:r w:rsidRPr="00D0036E">
        <w:rPr>
          <w:rFonts w:asciiTheme="majorBidi" w:hAnsiTheme="majorBidi" w:cstheme="majorBidi"/>
          <w:i/>
          <w:iCs/>
          <w:sz w:val="24"/>
          <w:szCs w:val="24"/>
        </w:rPr>
        <w:t xml:space="preserve">ad- libitum </w:t>
      </w:r>
      <w:r w:rsidRPr="00D0036E">
        <w:rPr>
          <w:rFonts w:asciiTheme="majorBidi" w:hAnsiTheme="majorBidi" w:cstheme="majorBidi"/>
          <w:sz w:val="24"/>
          <w:szCs w:val="24"/>
        </w:rPr>
        <w:t>throughout the experimental period. They were acclimatized to the environment for 2 weeks prior to the onset of the experiment to ensure their healthy state.</w:t>
      </w:r>
      <w:bookmarkEnd w:id="5"/>
      <w:r w:rsidRPr="00D0036E">
        <w:rPr>
          <w:rFonts w:asciiTheme="majorBidi" w:hAnsiTheme="majorBidi" w:cstheme="majorBidi"/>
          <w:sz w:val="24"/>
          <w:szCs w:val="24"/>
        </w:rPr>
        <w:t xml:space="preserve"> </w:t>
      </w:r>
    </w:p>
    <w:p w14:paraId="1E7AC0DE" w14:textId="1EA8817B"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Prior to the wound induction, the mice were anesthetized with intramuscular injection of 50 mg/kg bwt Ketamine and 8 mg/kg bwt Xylazine. After that, the exposed skin area on the dorsal middle line of each mouse was shaved and cleaned with 70% ethanol, then the full-thickness circular wound (2 mm in diameter) was created using a sterile biopsy punch then separated individually (1 mouse/ cage). The MRSA-infected wound model was performed in all mice except the control non-infected group according to</w:t>
      </w:r>
      <w:r w:rsidRPr="00D0036E">
        <w:rPr>
          <w:rFonts w:asciiTheme="majorBidi" w:hAnsiTheme="majorBidi" w:cstheme="majorBidi"/>
          <w:b/>
          <w:bCs/>
          <w:sz w:val="24"/>
          <w:szCs w:val="24"/>
        </w:rPr>
        <w:t xml:space="preserve">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&lt;EndNote&gt;&lt;Cite&gt;&lt;Author&gt;El-Gayar&lt;/Author&gt;&lt;Year&gt;2016&lt;/Year&gt;&lt;RecNum&gt;817&lt;/RecNum&gt;&lt;DisplayText&gt;[6]&lt;/DisplayText&gt;&lt;record&gt;&lt;rec-number&gt;817&lt;/rec-number&gt;&lt;foreign-keys&gt;&lt;key app="EN" db-id="s22fs5xsds9rvmep05i5das05ezxwt59p0fx" timestamp="1696306412"&gt;817&lt;/key&gt;&lt;/foreign-keys&gt;&lt;ref-type name="Journal Article"&gt;17&lt;/ref-type&gt;&lt;contributors&gt;&lt;authors&gt;&lt;author&gt;El-Gayar, Mona H&lt;/author&gt;&lt;author&gt;Aboshanab, Khaled M&lt;/author&gt;&lt;author&gt;Aboulwafa, Mohammad M&lt;/author&gt;&lt;author&gt;Hassouna, Nadia A&lt;/author&gt;&lt;/authors&gt;&lt;/contributors&gt;&lt;titles&gt;&lt;title&gt;Antivirulence and wound healing effects of royal jelly and garlic extract for the control of MRSA skin infections&lt;/title&gt;&lt;secondary-title&gt;Wound Medicine&lt;/secondary-title&gt;&lt;/titles&gt;&lt;periodical&gt;&lt;full-title&gt;Wound Medicine&lt;/full-title&gt;&lt;/periodical&gt;&lt;pages&gt;18-27&lt;/pages&gt;&lt;volume&gt;13&lt;/volume&gt;&lt;dates&gt;&lt;year&gt;2016&lt;/year&gt;&lt;/dates&gt;&lt;isbn&gt;2213-9095&lt;/isbn&gt;&lt;urls&gt;&lt;/urls&gt;&lt;/record&gt;&lt;/Cite&gt;&lt;/EndNote&gt;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[6]</w:t>
      </w:r>
      <w:r w:rsidRPr="00D0036E">
        <w:rPr>
          <w:rFonts w:asciiTheme="majorBidi" w:hAnsiTheme="majorBidi" w:cstheme="majorBidi"/>
          <w:b/>
          <w:bCs/>
          <w:sz w:val="24"/>
          <w:szCs w:val="24"/>
        </w:rPr>
        <w:fldChar w:fldCharType="end"/>
      </w:r>
      <w:r w:rsidRPr="00D0036E">
        <w:rPr>
          <w:rFonts w:asciiTheme="majorBidi" w:hAnsiTheme="majorBidi" w:cstheme="majorBidi"/>
          <w:sz w:val="24"/>
          <w:szCs w:val="24"/>
        </w:rPr>
        <w:t>. Within 5 min after wound induction, 10</w:t>
      </w:r>
      <w:r w:rsidRPr="00D0036E">
        <w:rPr>
          <w:rFonts w:asciiTheme="majorBidi" w:hAnsiTheme="majorBidi" w:cstheme="majorBidi"/>
          <w:sz w:val="24"/>
          <w:szCs w:val="24"/>
          <w:vertAlign w:val="superscript"/>
        </w:rPr>
        <w:t xml:space="preserve">9 </w:t>
      </w:r>
      <w:r w:rsidRPr="00D0036E">
        <w:rPr>
          <w:rFonts w:asciiTheme="majorBidi" w:hAnsiTheme="majorBidi" w:cstheme="majorBidi"/>
          <w:sz w:val="24"/>
          <w:szCs w:val="24"/>
        </w:rPr>
        <w:t xml:space="preserve">CFU MRSA was inoculated on the wound bed using small gauze. </w:t>
      </w:r>
      <w:r w:rsidRPr="00D0036E">
        <w:rPr>
          <w:rFonts w:asciiTheme="majorBidi" w:hAnsiTheme="majorBidi" w:cstheme="majorBidi"/>
          <w:color w:val="242424"/>
          <w:sz w:val="24"/>
          <w:szCs w:val="24"/>
          <w:shd w:val="clear" w:color="auto" w:fill="FFFFFF"/>
        </w:rPr>
        <w:t xml:space="preserve">Treatment started locally for 10 consecutive days and involved the application of </w:t>
      </w:r>
      <w:r w:rsidRPr="00D0036E">
        <w:rPr>
          <w:rFonts w:asciiTheme="majorBidi" w:hAnsiTheme="majorBidi" w:cstheme="majorBidi"/>
          <w:color w:val="212121"/>
          <w:sz w:val="24"/>
          <w:szCs w:val="24"/>
          <w:shd w:val="clear" w:color="auto" w:fill="FFFFFF"/>
        </w:rPr>
        <w:t>hydrogel was applied directly to the backs of mice wound formed on the back of the mouse twice a day.</w:t>
      </w:r>
    </w:p>
    <w:p w14:paraId="6645CAA1" w14:textId="77777777" w:rsidR="007A10D8" w:rsidRPr="00D0036E" w:rsidRDefault="007A10D8" w:rsidP="007A10D8">
      <w:pPr>
        <w:spacing w:after="0" w:line="360" w:lineRule="auto"/>
        <w:ind w:firstLine="720"/>
        <w:jc w:val="both"/>
        <w:rPr>
          <w:rFonts w:asciiTheme="majorBidi" w:hAnsiTheme="majorBidi" w:cstheme="majorBidi"/>
          <w:sz w:val="24"/>
          <w:szCs w:val="24"/>
        </w:rPr>
      </w:pPr>
      <w:bookmarkStart w:id="6" w:name="_Hlk136247566"/>
      <w:r w:rsidRPr="00D0036E">
        <w:rPr>
          <w:rFonts w:asciiTheme="majorBidi" w:hAnsiTheme="majorBidi" w:cstheme="majorBidi"/>
          <w:sz w:val="24"/>
          <w:szCs w:val="24"/>
        </w:rPr>
        <w:t>Mice were randomly divided into 5 groups (n=7) and the topical treatment were given twice daily for 10 days as follows:</w:t>
      </w:r>
    </w:p>
    <w:p w14:paraId="1E7B755B" w14:textId="77777777" w:rsidR="007A10D8" w:rsidRPr="00D0036E" w:rsidRDefault="007A10D8" w:rsidP="007A10D8">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t xml:space="preserve">Group I: non-infected wound </w:t>
      </w:r>
      <w:bookmarkStart w:id="7" w:name="_Hlk136250115"/>
      <w:r w:rsidRPr="00D0036E">
        <w:rPr>
          <w:rFonts w:asciiTheme="majorBidi" w:hAnsiTheme="majorBidi" w:cstheme="majorBidi"/>
          <w:sz w:val="24"/>
          <w:szCs w:val="24"/>
        </w:rPr>
        <w:t xml:space="preserve">given </w:t>
      </w:r>
      <w:bookmarkEnd w:id="7"/>
      <w:r w:rsidRPr="00D0036E">
        <w:rPr>
          <w:rFonts w:asciiTheme="majorBidi" w:hAnsiTheme="majorBidi" w:cstheme="majorBidi"/>
          <w:sz w:val="24"/>
          <w:szCs w:val="24"/>
          <w:lang w:val="en-GB"/>
        </w:rPr>
        <w:t>Carpobol hydrogel</w:t>
      </w:r>
      <w:r w:rsidRPr="00D0036E">
        <w:rPr>
          <w:rFonts w:asciiTheme="majorBidi" w:hAnsiTheme="majorBidi" w:cstheme="majorBidi"/>
          <w:sz w:val="24"/>
          <w:szCs w:val="24"/>
        </w:rPr>
        <w:t>.</w:t>
      </w:r>
    </w:p>
    <w:p w14:paraId="0151E8FF" w14:textId="77777777" w:rsidR="007A10D8" w:rsidRPr="00D0036E" w:rsidRDefault="007A10D8" w:rsidP="007A10D8">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t xml:space="preserve">Group II: </w:t>
      </w:r>
      <w:bookmarkStart w:id="8" w:name="_Hlk135765545"/>
      <w:r w:rsidRPr="00D0036E">
        <w:rPr>
          <w:rFonts w:asciiTheme="majorBidi" w:hAnsiTheme="majorBidi" w:cstheme="majorBidi"/>
          <w:sz w:val="24"/>
          <w:szCs w:val="24"/>
        </w:rPr>
        <w:t>MRSA-infected-wound</w:t>
      </w:r>
      <w:bookmarkEnd w:id="8"/>
      <w:r w:rsidRPr="00D0036E">
        <w:rPr>
          <w:rFonts w:asciiTheme="majorBidi" w:hAnsiTheme="majorBidi" w:cstheme="majorBidi"/>
          <w:sz w:val="24"/>
          <w:szCs w:val="24"/>
        </w:rPr>
        <w:t xml:space="preserve"> given </w:t>
      </w:r>
      <w:r w:rsidRPr="00D0036E">
        <w:rPr>
          <w:rFonts w:asciiTheme="majorBidi" w:hAnsiTheme="majorBidi" w:cstheme="majorBidi"/>
          <w:sz w:val="24"/>
          <w:szCs w:val="24"/>
          <w:lang w:val="en-GB"/>
        </w:rPr>
        <w:t>Carpobol hydrogel</w:t>
      </w:r>
      <w:r w:rsidRPr="00D0036E">
        <w:rPr>
          <w:rFonts w:asciiTheme="majorBidi" w:hAnsiTheme="majorBidi" w:cstheme="majorBidi"/>
          <w:sz w:val="24"/>
          <w:szCs w:val="24"/>
        </w:rPr>
        <w:t>.</w:t>
      </w:r>
    </w:p>
    <w:p w14:paraId="3E64364F" w14:textId="77777777" w:rsidR="007A10D8" w:rsidRPr="00D0036E" w:rsidRDefault="007A10D8" w:rsidP="007A10D8">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t>Group III: MRSA-infected-wound treated with 50 ppm VAN</w:t>
      </w:r>
      <w:r w:rsidRPr="00D0036E">
        <w:rPr>
          <w:rFonts w:asciiTheme="majorBidi" w:eastAsia="Calibri" w:hAnsiTheme="majorBidi" w:cstheme="majorBidi"/>
          <w:sz w:val="24"/>
          <w:szCs w:val="24"/>
          <w:lang w:val="en-GB"/>
        </w:rPr>
        <w:t xml:space="preserve"> </w:t>
      </w:r>
      <w:bookmarkStart w:id="9" w:name="_Hlk142024067"/>
      <w:r w:rsidRPr="00D0036E">
        <w:rPr>
          <w:rFonts w:asciiTheme="majorBidi" w:hAnsiTheme="majorBidi" w:cstheme="majorBidi"/>
          <w:sz w:val="24"/>
          <w:szCs w:val="24"/>
          <w:lang w:val="en-GB"/>
        </w:rPr>
        <w:t xml:space="preserve">in </w:t>
      </w:r>
      <w:bookmarkStart w:id="10" w:name="_Hlk149552885"/>
      <w:r w:rsidRPr="00D0036E">
        <w:rPr>
          <w:rFonts w:asciiTheme="majorBidi" w:hAnsiTheme="majorBidi" w:cstheme="majorBidi"/>
          <w:sz w:val="24"/>
          <w:szCs w:val="24"/>
          <w:lang w:val="en-GB"/>
        </w:rPr>
        <w:t xml:space="preserve">Carpobol </w:t>
      </w:r>
      <w:bookmarkEnd w:id="9"/>
      <w:r w:rsidRPr="00D0036E">
        <w:rPr>
          <w:rFonts w:asciiTheme="majorBidi" w:hAnsiTheme="majorBidi" w:cstheme="majorBidi"/>
          <w:sz w:val="24"/>
          <w:szCs w:val="24"/>
          <w:lang w:val="en-GB"/>
        </w:rPr>
        <w:t>hydrogel</w:t>
      </w:r>
      <w:bookmarkEnd w:id="10"/>
      <w:r w:rsidRPr="00D0036E">
        <w:rPr>
          <w:rFonts w:asciiTheme="majorBidi" w:hAnsiTheme="majorBidi" w:cstheme="majorBidi"/>
          <w:sz w:val="24"/>
          <w:szCs w:val="24"/>
          <w:lang w:val="en-GB"/>
        </w:rPr>
        <w:t>.</w:t>
      </w:r>
    </w:p>
    <w:p w14:paraId="25844CF8" w14:textId="7E5517CA" w:rsidR="007A10D8" w:rsidRPr="00D0036E" w:rsidRDefault="007A10D8" w:rsidP="007A10D8">
      <w:pPr>
        <w:spacing w:after="0" w:line="360" w:lineRule="auto"/>
        <w:jc w:val="both"/>
        <w:rPr>
          <w:rFonts w:asciiTheme="majorBidi" w:hAnsiTheme="majorBidi" w:cstheme="majorBidi"/>
          <w:b/>
          <w:bCs/>
          <w:color w:val="FF0000"/>
          <w:sz w:val="24"/>
          <w:szCs w:val="24"/>
        </w:rPr>
      </w:pPr>
      <w:r w:rsidRPr="00D0036E">
        <w:rPr>
          <w:rFonts w:asciiTheme="majorBidi" w:hAnsiTheme="majorBidi" w:cstheme="majorBidi"/>
          <w:sz w:val="24"/>
          <w:szCs w:val="24"/>
        </w:rPr>
        <w:t xml:space="preserve">Group IV: MRSA-infected-wound </w:t>
      </w:r>
      <w:bookmarkStart w:id="11" w:name="_Hlk135765640"/>
      <w:r w:rsidRPr="00D0036E">
        <w:rPr>
          <w:rFonts w:asciiTheme="majorBidi" w:hAnsiTheme="majorBidi" w:cstheme="majorBidi"/>
          <w:sz w:val="24"/>
          <w:szCs w:val="24"/>
        </w:rPr>
        <w:t>treated with 20 ppm FRN</w:t>
      </w:r>
      <w:r w:rsidRPr="00D0036E">
        <w:rPr>
          <w:rFonts w:asciiTheme="majorBidi" w:hAnsiTheme="majorBidi" w:cstheme="majorBidi"/>
          <w:sz w:val="24"/>
          <w:szCs w:val="24"/>
          <w:lang w:val="en-GB"/>
        </w:rPr>
        <w:t xml:space="preserve"> in Carpobol hydrogel </w:t>
      </w:r>
      <w:bookmarkStart w:id="12" w:name="_Hlk143600522"/>
      <w:r w:rsidRPr="00D0036E">
        <w:rPr>
          <w:rFonts w:asciiTheme="majorBidi" w:hAnsiTheme="majorBidi" w:cstheme="majorBidi"/>
          <w:b/>
          <w:bCs/>
          <w:sz w:val="24"/>
          <w:szCs w:val="24"/>
          <w:lang w:val="en-GB"/>
        </w:rPr>
        <w:fldChar w:fldCharType="begin"/>
      </w:r>
      <w:r w:rsidRPr="00D0036E">
        <w:rPr>
          <w:rFonts w:asciiTheme="majorBidi" w:hAnsiTheme="majorBidi" w:cstheme="majorBidi"/>
          <w:b/>
          <w:bCs/>
          <w:sz w:val="24"/>
          <w:szCs w:val="24"/>
          <w:lang w:val="en-GB"/>
        </w:rPr>
        <w:instrText xml:space="preserve"> ADDIN EN.CITE &lt;EndNote&gt;&lt;Cite&gt;&lt;Author&gt;Antonisamy&lt;/Author&gt;&lt;Year&gt;2011&lt;/Year&gt;&lt;RecNum&gt;784&lt;/RecNum&gt;&lt;DisplayText&gt;[7]&lt;/DisplayText&gt;&lt;record&gt;&lt;rec-number&gt;784&lt;/rec-number&gt;&lt;foreign-keys&gt;&lt;key app="EN" db-id="s22fs5xsds9rvmep05i5das05ezxwt59p0fx" timestamp="1694012669"&gt;784&lt;/key&gt;&lt;/foreign-keys&gt;&lt;ref-type name="Journal Article"&gt;17&lt;/ref-type&gt;&lt;contributors&gt;&lt;authors&gt;&lt;author&gt;Antonisamy, Paulrayer&lt;/author&gt;&lt;author&gt;Duraipandiyan, Veeramuthu&lt;/author&gt;&lt;author&gt;Ignacimuthu, Savarimuthu&lt;/author&gt;&lt;/authors&gt;&lt;/contributors&gt;&lt;titles&gt;&lt;title&gt;Anti-inflammatory, analgesic and antipyretic effects of friedelin isolated from Azima tetracantha Lam. in mouse and rat models&lt;/title&gt;&lt;secondary-title&gt;Journal of pharmacy and pharmacology&lt;/secondary-title&gt;&lt;/titles&gt;&lt;periodical&gt;&lt;full-title&gt;Journal of pharmacy and pharmacology&lt;/full-title&gt;&lt;/periodical&gt;&lt;pages&gt;1070-1077&lt;/pages&gt;&lt;volume&gt;63&lt;/volume&gt;&lt;number&gt;8&lt;/number&gt;&lt;dates&gt;&lt;year&gt;2011&lt;/year&gt;&lt;/dates&gt;&lt;isbn&gt;2042-7158&lt;/isbn&gt;&lt;urls&gt;&lt;/urls&gt;&lt;/record&gt;&lt;/Cite&gt;&lt;/EndNote&gt;</w:instrText>
      </w:r>
      <w:r w:rsidRPr="00D0036E">
        <w:rPr>
          <w:rFonts w:asciiTheme="majorBidi" w:hAnsiTheme="majorBidi" w:cstheme="majorBidi"/>
          <w:b/>
          <w:bCs/>
          <w:sz w:val="24"/>
          <w:szCs w:val="24"/>
          <w:lang w:val="en-GB"/>
        </w:rPr>
        <w:fldChar w:fldCharType="separate"/>
      </w:r>
      <w:r w:rsidRPr="00D0036E">
        <w:rPr>
          <w:rFonts w:asciiTheme="majorBidi" w:hAnsiTheme="majorBidi" w:cstheme="majorBidi"/>
          <w:b/>
          <w:bCs/>
          <w:noProof/>
          <w:sz w:val="24"/>
          <w:szCs w:val="24"/>
          <w:lang w:val="en-GB"/>
        </w:rPr>
        <w:t>[7]</w:t>
      </w:r>
      <w:r w:rsidRPr="00D0036E">
        <w:rPr>
          <w:rFonts w:asciiTheme="majorBidi" w:hAnsiTheme="majorBidi" w:cstheme="majorBidi"/>
          <w:b/>
          <w:bCs/>
          <w:sz w:val="24"/>
          <w:szCs w:val="24"/>
          <w:lang w:val="en-GB"/>
        </w:rPr>
        <w:fldChar w:fldCharType="end"/>
      </w:r>
      <w:r w:rsidRPr="00D0036E">
        <w:rPr>
          <w:rFonts w:asciiTheme="majorBidi" w:hAnsiTheme="majorBidi" w:cstheme="majorBidi"/>
          <w:sz w:val="24"/>
          <w:szCs w:val="24"/>
          <w:lang w:val="en-GB"/>
        </w:rPr>
        <w:t>.</w:t>
      </w:r>
    </w:p>
    <w:bookmarkEnd w:id="11"/>
    <w:bookmarkEnd w:id="12"/>
    <w:p w14:paraId="5F8983FC" w14:textId="6DE48ADF" w:rsidR="007A10D8" w:rsidRPr="00D0036E" w:rsidRDefault="007A10D8" w:rsidP="007A10D8">
      <w:pPr>
        <w:spacing w:after="0" w:line="360" w:lineRule="auto"/>
        <w:jc w:val="both"/>
        <w:rPr>
          <w:rFonts w:asciiTheme="majorBidi" w:hAnsiTheme="majorBidi" w:cstheme="majorBidi"/>
          <w:b/>
          <w:bCs/>
          <w:color w:val="FF0000"/>
          <w:sz w:val="24"/>
          <w:szCs w:val="24"/>
        </w:rPr>
      </w:pPr>
      <w:r w:rsidRPr="00D0036E">
        <w:rPr>
          <w:rFonts w:asciiTheme="majorBidi" w:hAnsiTheme="majorBidi" w:cstheme="majorBidi"/>
          <w:sz w:val="24"/>
          <w:szCs w:val="24"/>
        </w:rPr>
        <w:t>Group V: MRSA-infected-wound treated with 40 ppm FRN</w:t>
      </w:r>
      <w:r w:rsidRPr="00D0036E">
        <w:rPr>
          <w:rFonts w:asciiTheme="majorBidi" w:hAnsiTheme="majorBidi" w:cstheme="majorBidi"/>
          <w:sz w:val="24"/>
          <w:szCs w:val="24"/>
          <w:lang w:val="en-GB"/>
        </w:rPr>
        <w:t xml:space="preserve"> in Carpobol hydrogel </w:t>
      </w:r>
      <w:r w:rsidRPr="00D0036E">
        <w:rPr>
          <w:rFonts w:asciiTheme="majorBidi" w:hAnsiTheme="majorBidi" w:cstheme="majorBidi"/>
          <w:b/>
          <w:bCs/>
          <w:sz w:val="24"/>
          <w:szCs w:val="24"/>
          <w:lang w:val="en-GB"/>
        </w:rPr>
        <w:fldChar w:fldCharType="begin"/>
      </w:r>
      <w:r w:rsidRPr="00D0036E">
        <w:rPr>
          <w:rFonts w:asciiTheme="majorBidi" w:hAnsiTheme="majorBidi" w:cstheme="majorBidi"/>
          <w:b/>
          <w:bCs/>
          <w:sz w:val="24"/>
          <w:szCs w:val="24"/>
          <w:lang w:val="en-GB"/>
        </w:rPr>
        <w:instrText xml:space="preserve"> ADDIN EN.CITE &lt;EndNote&gt;&lt;Cite&gt;&lt;Author&gt;Antonisamy&lt;/Author&gt;&lt;Year&gt;2011&lt;/Year&gt;&lt;RecNum&gt;784&lt;/RecNum&gt;&lt;DisplayText&gt;[7]&lt;/DisplayText&gt;&lt;record&gt;&lt;rec-number&gt;784&lt;/rec-number&gt;&lt;foreign-keys&gt;&lt;key app="EN" db-id="s22fs5xsds9rvmep05i5das05ezxwt59p0fx" timestamp="1694012669"&gt;784&lt;/key&gt;&lt;/foreign-keys&gt;&lt;ref-type name="Journal Article"&gt;17&lt;/ref-type&gt;&lt;contributors&gt;&lt;authors&gt;&lt;author&gt;Antonisamy, Paulrayer&lt;/author&gt;&lt;author&gt;Duraipandiyan, Veeramuthu&lt;/author&gt;&lt;author&gt;Ignacimuthu, Savarimuthu&lt;/author&gt;&lt;/authors&gt;&lt;/contributors&gt;&lt;titles&gt;&lt;title&gt;Anti-inflammatory, analgesic and antipyretic effects of friedelin isolated from Azima tetracantha Lam. in mouse and rat models&lt;/title&gt;&lt;secondary-title&gt;Journal of pharmacy and pharmacology&lt;/secondary-title&gt;&lt;/titles&gt;&lt;periodical&gt;&lt;full-title&gt;Journal of pharmacy and pharmacology&lt;/full-title&gt;&lt;/periodical&gt;&lt;pages&gt;1070-1077&lt;/pages&gt;&lt;volume&gt;63&lt;/volume&gt;&lt;number&gt;8&lt;/number&gt;&lt;dates&gt;&lt;year&gt;2011&lt;/year&gt;&lt;/dates&gt;&lt;isbn&gt;2042-7158&lt;/isbn&gt;&lt;urls&gt;&lt;/urls&gt;&lt;/record&gt;&lt;/Cite&gt;&lt;/EndNote&gt;</w:instrText>
      </w:r>
      <w:r w:rsidRPr="00D0036E">
        <w:rPr>
          <w:rFonts w:asciiTheme="majorBidi" w:hAnsiTheme="majorBidi" w:cstheme="majorBidi"/>
          <w:b/>
          <w:bCs/>
          <w:sz w:val="24"/>
          <w:szCs w:val="24"/>
          <w:lang w:val="en-GB"/>
        </w:rPr>
        <w:fldChar w:fldCharType="separate"/>
      </w:r>
      <w:r w:rsidRPr="00D0036E">
        <w:rPr>
          <w:rFonts w:asciiTheme="majorBidi" w:hAnsiTheme="majorBidi" w:cstheme="majorBidi"/>
          <w:b/>
          <w:bCs/>
          <w:noProof/>
          <w:sz w:val="24"/>
          <w:szCs w:val="24"/>
          <w:lang w:val="en-GB"/>
        </w:rPr>
        <w:t>[7]</w:t>
      </w:r>
      <w:r w:rsidRPr="00D0036E">
        <w:rPr>
          <w:rFonts w:asciiTheme="majorBidi" w:hAnsiTheme="majorBidi" w:cstheme="majorBidi"/>
          <w:b/>
          <w:bCs/>
          <w:sz w:val="24"/>
          <w:szCs w:val="24"/>
          <w:lang w:val="en-GB"/>
        </w:rPr>
        <w:fldChar w:fldCharType="end"/>
      </w:r>
      <w:r w:rsidRPr="00D0036E">
        <w:rPr>
          <w:rFonts w:asciiTheme="majorBidi" w:hAnsiTheme="majorBidi" w:cstheme="majorBidi"/>
          <w:sz w:val="24"/>
          <w:szCs w:val="24"/>
          <w:lang w:val="en-GB"/>
        </w:rPr>
        <w:t>.</w:t>
      </w:r>
    </w:p>
    <w:p w14:paraId="399935BC" w14:textId="77777777" w:rsidR="007A10D8" w:rsidRPr="00D0036E" w:rsidRDefault="007A10D8" w:rsidP="007A10D8">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lastRenderedPageBreak/>
        <w:t>The progression of wound healing was monitored by measuring the size of wound at 0, 3, 7, 10 days post-excision using graded ruler to record the wound contraction as follows:</w:t>
      </w:r>
    </w:p>
    <w:p w14:paraId="45AF494F" w14:textId="77777777" w:rsidR="007A10D8" w:rsidRPr="00D0036E" w:rsidRDefault="007A10D8" w:rsidP="007A10D8">
      <w:pPr>
        <w:spacing w:after="0" w:line="360" w:lineRule="auto"/>
        <w:jc w:val="both"/>
        <w:rPr>
          <w:rFonts w:asciiTheme="majorBidi" w:eastAsiaTheme="minorEastAsia" w:hAnsiTheme="majorBidi" w:cstheme="majorBidi"/>
          <w:sz w:val="24"/>
          <w:szCs w:val="24"/>
        </w:rPr>
      </w:pPr>
      <m:oMathPara>
        <m:oMath>
          <m:r>
            <m:rPr>
              <m:sty m:val="p"/>
            </m:rPr>
            <w:rPr>
              <w:rFonts w:ascii="Cambria Math" w:eastAsiaTheme="minorEastAsia" w:hAnsi="Cambria Math" w:cstheme="majorBidi"/>
              <w:sz w:val="24"/>
              <w:szCs w:val="24"/>
            </w:rPr>
            <m:t>wound contraction</m:t>
          </m:r>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initial wound size-specific day wound size</m:t>
              </m:r>
            </m:num>
            <m:den>
              <m:r>
                <w:rPr>
                  <w:rFonts w:ascii="Cambria Math" w:eastAsiaTheme="minorEastAsia" w:hAnsi="Cambria Math" w:cstheme="majorBidi"/>
                  <w:sz w:val="24"/>
                  <w:szCs w:val="24"/>
                </w:rPr>
                <m:t>initial wound size</m:t>
              </m:r>
            </m:den>
          </m:f>
          <m:r>
            <w:rPr>
              <w:rFonts w:ascii="Cambria Math" w:eastAsiaTheme="minorEastAsia" w:hAnsi="Cambria Math" w:cstheme="majorBidi"/>
              <w:sz w:val="24"/>
              <w:szCs w:val="24"/>
            </w:rPr>
            <m:t>x 100</m:t>
          </m:r>
        </m:oMath>
      </m:oMathPara>
    </w:p>
    <w:p w14:paraId="709C37A2"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Sampling</w:t>
      </w:r>
    </w:p>
    <w:p w14:paraId="340F3D2F" w14:textId="77777777"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 xml:space="preserve">After 10 days post-infection, all mice were humanly euthanized by cervical dislocation to collect specimens from the skin wound area. Some specimens were preserved in 10% neutral buffered formalin for 48 h to perform histopathological and immunohistochemical examination, while others kept at -80°c for few minutes to perform the bacteriological and molecular studies. </w:t>
      </w:r>
      <w:bookmarkEnd w:id="6"/>
    </w:p>
    <w:p w14:paraId="47AB0D50" w14:textId="77777777" w:rsidR="007A10D8" w:rsidRPr="00D0036E" w:rsidRDefault="007A10D8" w:rsidP="007A10D8">
      <w:pPr>
        <w:spacing w:after="0" w:line="360" w:lineRule="auto"/>
        <w:jc w:val="both"/>
        <w:rPr>
          <w:rFonts w:asciiTheme="majorBidi" w:hAnsiTheme="majorBidi" w:cstheme="majorBidi"/>
          <w:b/>
          <w:bCs/>
          <w:sz w:val="24"/>
          <w:szCs w:val="24"/>
        </w:rPr>
      </w:pPr>
      <w:bookmarkStart w:id="13" w:name="_Hlk172301012"/>
      <w:r w:rsidRPr="00D0036E">
        <w:rPr>
          <w:rFonts w:asciiTheme="majorBidi" w:hAnsiTheme="majorBidi" w:cstheme="majorBidi"/>
          <w:b/>
          <w:bCs/>
          <w:sz w:val="24"/>
          <w:szCs w:val="24"/>
        </w:rPr>
        <w:t>Re-isolation and quantification of bacteria in the wound bed</w:t>
      </w:r>
    </w:p>
    <w:p w14:paraId="72BAEFC9" w14:textId="49641CF0"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 xml:space="preserve">To measure the viable bacterial cells within the wound, </w:t>
      </w:r>
      <w:bookmarkEnd w:id="13"/>
      <w:r w:rsidRPr="00D0036E">
        <w:rPr>
          <w:rFonts w:asciiTheme="majorBidi" w:hAnsiTheme="majorBidi" w:cstheme="majorBidi"/>
          <w:sz w:val="24"/>
          <w:szCs w:val="24"/>
        </w:rPr>
        <w:t>a 4 mm disposable skin biopsy punch (Acutderm Inc., Fort Lauderdale, FL) was used to remove a disc of wound bed material. The disc was placed in 1.0 ml of sterile PBS in a stomacher bag and manually disrupted. Serial 10-fold dilutions of homogenate were plated via spiral plater (Autoplate; Advanced Instruments, Inc., Norwood, MA) onto eosin methylene blue (EMB) agar (Becton, Dickinson and Co., Sparks, MD). Plates were incubated overnight at 37°C, and then CFU were enumerated.</w:t>
      </w:r>
    </w:p>
    <w:p w14:paraId="70992EA3" w14:textId="088DF7B2"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Conventional and differential real-time PCR </w:t>
      </w:r>
    </w:p>
    <w:p w14:paraId="3F9F176E" w14:textId="44DFEA4A" w:rsidR="007A10D8" w:rsidRPr="00D0036E" w:rsidRDefault="007A10D8" w:rsidP="007A10D8">
      <w:pPr>
        <w:spacing w:after="0" w:line="360" w:lineRule="auto"/>
        <w:ind w:firstLine="720"/>
        <w:jc w:val="both"/>
        <w:rPr>
          <w:rFonts w:asciiTheme="majorBidi" w:hAnsiTheme="majorBidi" w:cstheme="majorBidi"/>
          <w:color w:val="212121"/>
          <w:sz w:val="24"/>
          <w:szCs w:val="24"/>
          <w:shd w:val="clear" w:color="auto" w:fill="FFFFFF"/>
        </w:rPr>
      </w:pPr>
      <w:r w:rsidRPr="00D0036E">
        <w:rPr>
          <w:rFonts w:asciiTheme="majorBidi" w:hAnsiTheme="majorBidi" w:cstheme="majorBidi"/>
          <w:sz w:val="24"/>
          <w:szCs w:val="24"/>
          <w:lang w:val="en-GB"/>
        </w:rPr>
        <w:t xml:space="preserve">The DNA were isolated from all isolates using Gene jet Genomic DNA Purification Kit (Thermo Scientific, EU) </w:t>
      </w:r>
      <w:r w:rsidRPr="00D0036E">
        <w:rPr>
          <w:rFonts w:asciiTheme="majorBidi" w:hAnsiTheme="majorBidi" w:cstheme="majorBidi"/>
          <w:sz w:val="24"/>
          <w:szCs w:val="24"/>
        </w:rPr>
        <w:t xml:space="preserve">following the manufacturer’s recommendations. The PCR reaction was set as follows:1 µL of each primer were mixed with 12.5 µL Emerald Amp Max PCR Master Mix (Takara, Japan), and 5 µL DNA template in an Applied biosystem 9700 thermocyclers (Thermo Fisher). The products of PCR were separated by electrophoresis on 1.5% agarose gel (Applichem, Germany, GmbH) in 1x TBE buffer at room temperature. The gel was then photographed by a gel documentation system (Alpha Innotech, Biometra) and the data was analyzed through computer software. The total RNA extraction was performed following the “Enzymatic Lysis” procedure of QIAamp RNeasy Mini kit (Qiagen, Germany, GmbH). The primer </w:t>
      </w:r>
      <w:bookmarkStart w:id="14" w:name="_Hlk172300465"/>
      <w:r w:rsidRPr="00D0036E">
        <w:rPr>
          <w:rFonts w:asciiTheme="majorBidi" w:hAnsiTheme="majorBidi" w:cstheme="majorBidi"/>
          <w:sz w:val="24"/>
          <w:szCs w:val="24"/>
        </w:rPr>
        <w:t xml:space="preserve">sequences for the target genes were collected in </w:t>
      </w:r>
      <w:r w:rsidRPr="00D0036E">
        <w:rPr>
          <w:rFonts w:asciiTheme="majorBidi" w:hAnsiTheme="majorBidi" w:cstheme="majorBidi"/>
          <w:b/>
          <w:bCs/>
          <w:sz w:val="24"/>
          <w:szCs w:val="24"/>
        </w:rPr>
        <w:t xml:space="preserve">Table </w:t>
      </w:r>
      <w:bookmarkEnd w:id="14"/>
      <w:r w:rsidRPr="00D0036E">
        <w:rPr>
          <w:rFonts w:asciiTheme="majorBidi" w:hAnsiTheme="majorBidi" w:cstheme="majorBidi"/>
          <w:b/>
          <w:bCs/>
          <w:sz w:val="24"/>
          <w:szCs w:val="24"/>
        </w:rPr>
        <w:t>S2</w:t>
      </w:r>
      <w:r w:rsidRPr="00D0036E">
        <w:rPr>
          <w:rFonts w:asciiTheme="majorBidi" w:hAnsiTheme="majorBidi" w:cstheme="majorBidi"/>
          <w:sz w:val="24"/>
          <w:szCs w:val="24"/>
        </w:rPr>
        <w:t xml:space="preserve">. For preparation of the real time PCR mixture, </w:t>
      </w:r>
      <w:r w:rsidRPr="00D0036E">
        <w:rPr>
          <w:rFonts w:asciiTheme="majorBidi" w:hAnsiTheme="majorBidi" w:cstheme="majorBidi"/>
          <w:color w:val="1D2228"/>
          <w:sz w:val="24"/>
          <w:szCs w:val="24"/>
          <w:shd w:val="clear" w:color="auto" w:fill="FFFFFF"/>
        </w:rPr>
        <w:t>QuantiTect SYBR Green PCR Master Mix (Qiagen, Germany, GmbH) and RevertAid Reverse Transcriptase (200 U/L) (Thermo Fisher) were used then the reaction</w:t>
      </w:r>
      <w:r w:rsidRPr="00D0036E">
        <w:rPr>
          <w:rFonts w:ascii="Helvetica" w:hAnsi="Helvetica"/>
          <w:color w:val="1D2228"/>
          <w:sz w:val="18"/>
          <w:szCs w:val="18"/>
          <w:shd w:val="clear" w:color="auto" w:fill="FFFFFF"/>
        </w:rPr>
        <w:t xml:space="preserve"> </w:t>
      </w:r>
      <w:r w:rsidRPr="00D0036E">
        <w:rPr>
          <w:rFonts w:asciiTheme="majorBidi" w:hAnsiTheme="majorBidi" w:cstheme="majorBidi"/>
          <w:color w:val="212121"/>
          <w:sz w:val="24"/>
          <w:szCs w:val="24"/>
          <w:shd w:val="clear" w:color="auto" w:fill="FFFFFF"/>
        </w:rPr>
        <w:t xml:space="preserve"> was carried out in BioRad thermocycler with the following thermal cycling steps: an initial denaturation at 94°C for 3 min, followed by 40 cycles of (denaturation at 94°C for 30 s, annealing at 57°C for 30s, and extension at 72°C for 30 s). The </w:t>
      </w:r>
      <w:r w:rsidRPr="00D0036E">
        <w:rPr>
          <w:rFonts w:asciiTheme="majorBidi" w:hAnsiTheme="majorBidi" w:cstheme="majorBidi"/>
          <w:color w:val="212121"/>
          <w:sz w:val="24"/>
          <w:szCs w:val="24"/>
          <w:shd w:val="clear" w:color="auto" w:fill="FFFFFF"/>
        </w:rPr>
        <w:lastRenderedPageBreak/>
        <w:t>amplicons were electrophoresed on 1.5% agarose gel. The fold change in the expression was calculated using the 2</w:t>
      </w:r>
      <w:r w:rsidRPr="00D0036E">
        <w:rPr>
          <w:rFonts w:asciiTheme="majorBidi" w:hAnsiTheme="majorBidi" w:cstheme="majorBidi"/>
          <w:color w:val="212121"/>
          <w:sz w:val="24"/>
          <w:szCs w:val="24"/>
          <w:shd w:val="clear" w:color="auto" w:fill="FFFFFF"/>
          <w:vertAlign w:val="superscript"/>
        </w:rPr>
        <w:t>-ΔΔCt</w:t>
      </w:r>
      <w:r w:rsidRPr="00D0036E">
        <w:rPr>
          <w:rFonts w:asciiTheme="majorBidi" w:hAnsiTheme="majorBidi" w:cstheme="majorBidi"/>
          <w:color w:val="212121"/>
          <w:sz w:val="24"/>
          <w:szCs w:val="24"/>
          <w:shd w:val="clear" w:color="auto" w:fill="FFFFFF"/>
        </w:rPr>
        <w:t> method.</w:t>
      </w:r>
    </w:p>
    <w:p w14:paraId="65CAEC79" w14:textId="77777777" w:rsidR="007A10D8" w:rsidRPr="00D0036E" w:rsidRDefault="007A10D8" w:rsidP="007A10D8">
      <w:pPr>
        <w:spacing w:after="0" w:line="360" w:lineRule="auto"/>
        <w:jc w:val="both"/>
        <w:rPr>
          <w:rFonts w:asciiTheme="majorBidi" w:hAnsiTheme="majorBidi" w:cstheme="majorBidi"/>
          <w:b/>
          <w:bCs/>
          <w:strike/>
          <w:sz w:val="24"/>
          <w:szCs w:val="24"/>
        </w:rPr>
      </w:pPr>
      <w:bookmarkStart w:id="15" w:name="_Hlk136447876"/>
      <w:r w:rsidRPr="00D0036E">
        <w:rPr>
          <w:rFonts w:asciiTheme="majorBidi" w:hAnsiTheme="majorBidi" w:cstheme="majorBidi"/>
          <w:b/>
          <w:bCs/>
          <w:sz w:val="24"/>
          <w:szCs w:val="24"/>
        </w:rPr>
        <w:t>Quantitative RT-PCR analysis of PGS-2 and TNF-α genes</w:t>
      </w:r>
    </w:p>
    <w:bookmarkEnd w:id="15"/>
    <w:p w14:paraId="34DECF8D" w14:textId="03F422BA" w:rsidR="007A10D8" w:rsidRPr="00D0036E" w:rsidRDefault="007A10D8" w:rsidP="007A10D8">
      <w:pPr>
        <w:shd w:val="clear" w:color="auto" w:fill="FFFFFF"/>
        <w:spacing w:after="0" w:line="360" w:lineRule="auto"/>
        <w:ind w:firstLine="720"/>
        <w:jc w:val="both"/>
        <w:rPr>
          <w:rFonts w:asciiTheme="majorBidi" w:eastAsia="Times New Roman" w:hAnsiTheme="majorBidi" w:cstheme="majorBidi"/>
          <w:b/>
          <w:bCs/>
          <w:sz w:val="24"/>
          <w:szCs w:val="24"/>
        </w:rPr>
      </w:pPr>
      <w:r w:rsidRPr="00D0036E">
        <w:rPr>
          <w:rFonts w:asciiTheme="majorBidi" w:eastAsia="Times New Roman" w:hAnsiTheme="majorBidi" w:cstheme="majorBidi"/>
          <w:sz w:val="24"/>
          <w:szCs w:val="24"/>
        </w:rPr>
        <w:t xml:space="preserve">Using the Qiagen RNeasy kit (Qiagen AB, Hilden, Germany), the total RNA was extracted and purified in accordance with the manufacturer's instructions. Then, according with the manufacturer's instructions to convert the isolated RNA to cDNA. The quantitative PCR assays for TNF-α and PTGS-2 were designed and validated </w:t>
      </w:r>
      <w:r w:rsidRPr="00D0036E">
        <w:rPr>
          <w:rFonts w:asciiTheme="majorBidi" w:eastAsia="Times New Roman" w:hAnsiTheme="majorBidi" w:cstheme="majorBidi"/>
          <w:b/>
          <w:bCs/>
          <w:sz w:val="24"/>
          <w:szCs w:val="24"/>
        </w:rPr>
        <w:t>(Table S3)</w:t>
      </w:r>
      <w:r w:rsidRPr="00D0036E">
        <w:rPr>
          <w:rFonts w:asciiTheme="majorBidi" w:eastAsia="Times New Roman" w:hAnsiTheme="majorBidi" w:cstheme="majorBidi"/>
          <w:sz w:val="24"/>
          <w:szCs w:val="24"/>
        </w:rPr>
        <w:t>. The Primer3 website (</w:t>
      </w:r>
      <w:hyperlink r:id="rId4" w:history="1">
        <w:r w:rsidRPr="00D0036E">
          <w:rPr>
            <w:rStyle w:val="Hyperlink"/>
            <w:rFonts w:asciiTheme="majorBidi" w:eastAsia="Times New Roman" w:hAnsiTheme="majorBidi" w:cstheme="majorBidi"/>
            <w:sz w:val="24"/>
            <w:szCs w:val="24"/>
          </w:rPr>
          <w:t>https://primer3.ut.ee/</w:t>
        </w:r>
      </w:hyperlink>
      <w:r w:rsidRPr="00D0036E">
        <w:rPr>
          <w:rFonts w:asciiTheme="majorBidi" w:eastAsia="Times New Roman" w:hAnsiTheme="majorBidi" w:cstheme="majorBidi"/>
          <w:sz w:val="24"/>
          <w:szCs w:val="24"/>
        </w:rPr>
        <w:t>) was used to design the used primer sets. The details of the method were previously published</w:t>
      </w:r>
      <w:r w:rsidRPr="00D0036E">
        <w:rPr>
          <w:rFonts w:asciiTheme="majorBidi" w:eastAsia="Times New Roman" w:hAnsiTheme="majorBidi" w:cstheme="majorBidi"/>
          <w:b/>
          <w:bCs/>
          <w:sz w:val="24"/>
          <w:szCs w:val="24"/>
        </w:rPr>
        <w:t xml:space="preserve"> </w:t>
      </w:r>
      <w:r w:rsidRPr="00D0036E">
        <w:rPr>
          <w:rFonts w:asciiTheme="majorBidi" w:eastAsia="Times New Roman" w:hAnsiTheme="majorBidi" w:cstheme="majorBidi"/>
          <w:b/>
          <w:bCs/>
          <w:sz w:val="24"/>
          <w:szCs w:val="24"/>
        </w:rPr>
        <w:fldChar w:fldCharType="begin"/>
      </w:r>
      <w:r w:rsidRPr="00D0036E">
        <w:rPr>
          <w:rFonts w:asciiTheme="majorBidi" w:eastAsia="Times New Roman" w:hAnsiTheme="majorBidi" w:cstheme="majorBidi"/>
          <w:b/>
          <w:bCs/>
          <w:sz w:val="24"/>
          <w:szCs w:val="24"/>
        </w:rPr>
        <w:instrText xml:space="preserve"> ADDIN EN.CITE &lt;EndNote&gt;&lt;Cite&gt;&lt;Author&gt;Farid&lt;/Author&gt;&lt;Year&gt;2023&lt;/Year&gt;&lt;RecNum&gt;818&lt;/RecNum&gt;&lt;DisplayText&gt;[8]&lt;/DisplayText&gt;&lt;record&gt;&lt;rec-number&gt;818&lt;/rec-number&gt;&lt;foreign-keys&gt;&lt;key app="EN" db-id="s22fs5xsds9rvmep05i5das05ezxwt59p0fx" timestamp="1696306482"&gt;818&lt;/key&gt;&lt;/foreign-keys&gt;&lt;ref-type name="Journal Article"&gt;17&lt;/ref-type&gt;&lt;contributors&gt;&lt;authors&gt;&lt;author&gt;Farid, Mariam F&lt;/author&gt;&lt;author&gt;Abouelela, Yara S&lt;/author&gt;&lt;author&gt;Yasin, Noha AE&lt;/author&gt;&lt;author&gt;Al-Mokaddem, Asmaa K&lt;/author&gt;&lt;author&gt;Prince, Abdelbary&lt;/author&gt;&lt;author&gt;Ibrahim, Marwa A&lt;/author&gt;&lt;author&gt;Rizk, Hamdy&lt;/author&gt;&lt;/authors&gt;&lt;/contributors&gt;&lt;titles&gt;&lt;title&gt;Laser-activated autologous adipose tissue-derived stromal vascular fraction restores spinal cord architecture and function in multiple sclerosis cat model&lt;/title&gt;&lt;secondary-title&gt;Stem Cell Research &amp;amp; Therapy&lt;/secondary-title&gt;&lt;/titles&gt;&lt;periodical&gt;&lt;full-title&gt;Stem Cell Research &amp;amp; Therapy&lt;/full-title&gt;&lt;/periodical&gt;&lt;pages&gt;1-16&lt;/pages&gt;&lt;volume&gt;14&lt;/volume&gt;&lt;number&gt;1&lt;/number&gt;&lt;dates&gt;&lt;year&gt;2023&lt;/year&gt;&lt;/dates&gt;&lt;isbn&gt;1757-6512&lt;/isbn&gt;&lt;urls&gt;&lt;/urls&gt;&lt;/record&gt;&lt;/Cite&gt;&lt;/EndNote&gt;</w:instrText>
      </w:r>
      <w:r w:rsidRPr="00D0036E">
        <w:rPr>
          <w:rFonts w:asciiTheme="majorBidi" w:eastAsia="Times New Roman" w:hAnsiTheme="majorBidi" w:cstheme="majorBidi"/>
          <w:b/>
          <w:bCs/>
          <w:sz w:val="24"/>
          <w:szCs w:val="24"/>
        </w:rPr>
        <w:fldChar w:fldCharType="separate"/>
      </w:r>
      <w:r w:rsidRPr="00D0036E">
        <w:rPr>
          <w:rFonts w:asciiTheme="majorBidi" w:eastAsia="Times New Roman" w:hAnsiTheme="majorBidi" w:cstheme="majorBidi"/>
          <w:b/>
          <w:bCs/>
          <w:noProof/>
          <w:sz w:val="24"/>
          <w:szCs w:val="24"/>
        </w:rPr>
        <w:t>[8]</w:t>
      </w:r>
      <w:r w:rsidRPr="00D0036E">
        <w:rPr>
          <w:rFonts w:asciiTheme="majorBidi" w:eastAsia="Times New Roman" w:hAnsiTheme="majorBidi" w:cstheme="majorBidi"/>
          <w:b/>
          <w:bCs/>
          <w:sz w:val="24"/>
          <w:szCs w:val="24"/>
        </w:rPr>
        <w:fldChar w:fldCharType="end"/>
      </w:r>
      <w:r w:rsidRPr="00D0036E">
        <w:rPr>
          <w:rFonts w:asciiTheme="majorBidi" w:eastAsia="Times New Roman" w:hAnsiTheme="majorBidi" w:cstheme="majorBidi"/>
          <w:b/>
          <w:bCs/>
          <w:sz w:val="24"/>
          <w:szCs w:val="24"/>
        </w:rPr>
        <w:t>.</w:t>
      </w:r>
      <w:r w:rsidRPr="00D0036E">
        <w:rPr>
          <w:rFonts w:asciiTheme="majorBidi" w:eastAsia="Times New Roman" w:hAnsiTheme="majorBidi" w:cstheme="majorBidi"/>
          <w:sz w:val="24"/>
          <w:szCs w:val="24"/>
        </w:rPr>
        <w:t xml:space="preserve"> Relative gene expression levels were calculated by normalizing gene expression of each gene using beta actin gene and the ΔΔCt method </w:t>
      </w:r>
      <w:hyperlink r:id="rId5" w:anchor="b35%20#b36" w:history="1"/>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&lt;EndNote&gt;&lt;Cite&gt;&lt;Author&gt;Livak&lt;/Author&gt;&lt;Year&gt;2001&lt;/Year&gt;&lt;RecNum&gt;213&lt;/RecNum&gt;&lt;DisplayText&gt;[9]&lt;/DisplayText&gt;&lt;record&gt;&lt;rec-number&gt;213&lt;/rec-number&gt;&lt;foreign-keys&gt;&lt;key app="EN" db-id="fasvdfaz6529tre5d51vaed7axad0aszz9sx" timestamp="1705166992"&gt;213&lt;/key&gt;&lt;/foreign-keys&gt;&lt;ref-type name="Journal Article"&gt;17&lt;/ref-type&gt;&lt;contributors&gt;&lt;authors&gt;&lt;author&gt;Livak, Kenneth J&lt;/author&gt;&lt;author&gt;Schmittgen, Thomas D&lt;/author&gt;&lt;/authors&gt;&lt;/contributors&gt;&lt;titles&gt;&lt;title&gt;Analysis of relative gene expression data using real-time quantitative PCR and the 2− ΔΔCT method&lt;/title&gt;&lt;secondary-title&gt;methods&lt;/secondary-title&gt;&lt;/titles&gt;&lt;periodical&gt;&lt;full-title&gt;methods&lt;/full-title&gt;&lt;/periodical&gt;&lt;pages&gt;402-408&lt;/pages&gt;&lt;volume&gt;25&lt;/volume&gt;&lt;number&gt;4&lt;/number&gt;&lt;dates&gt;&lt;year&gt;2001&lt;/year&gt;&lt;/dates&gt;&lt;isbn&gt;1046-2023&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[9]</w:t>
      </w:r>
      <w:r w:rsidRPr="00D0036E">
        <w:rPr>
          <w:rFonts w:asciiTheme="majorBidi" w:hAnsiTheme="majorBidi" w:cstheme="majorBidi"/>
          <w:b/>
          <w:bCs/>
          <w:sz w:val="24"/>
          <w:szCs w:val="24"/>
        </w:rPr>
        <w:fldChar w:fldCharType="end"/>
      </w:r>
      <w:r w:rsidRPr="00D0036E">
        <w:rPr>
          <w:rFonts w:asciiTheme="majorBidi" w:eastAsia="Times New Roman" w:hAnsiTheme="majorBidi" w:cstheme="majorBidi"/>
          <w:b/>
          <w:bCs/>
          <w:sz w:val="24"/>
          <w:szCs w:val="24"/>
        </w:rPr>
        <w:t>.</w:t>
      </w:r>
    </w:p>
    <w:p w14:paraId="7A655F95"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Histopathology </w:t>
      </w:r>
    </w:p>
    <w:p w14:paraId="1E10CEF1" w14:textId="5839881D"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 xml:space="preserve">Formalin fixed skin tissue samples were processed by the conventional method using ascending grade of alcohol and xylene following method of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&lt;EndNote&gt;&lt;Cite&gt;&lt;Author&gt;Bancroft&lt;/Author&gt;&lt;Year&gt;2008&lt;/Year&gt;&lt;RecNum&gt;294&lt;/RecNum&gt;&lt;DisplayText&gt;[10]&lt;/DisplayText&gt;&lt;record&gt;&lt;rec-number&gt;294&lt;/rec-number&gt;&lt;foreign-keys&gt;&lt;key app="EN" db-id="fasvdfaz6529tre5d51vaed7axad0aszz9sx" timestamp="1705913445"&gt;294&lt;/key&gt;&lt;/foreign-keys&gt;&lt;ref-type name="Book"&gt;6&lt;/ref-type&gt;&lt;contributors&gt;&lt;authors&gt;&lt;author&gt;Bancroft, John D&lt;/author&gt;&lt;author&gt;Gamble, Marilyn&lt;/author&gt;&lt;/authors&gt;&lt;/contributors&gt;&lt;titles&gt;&lt;title&gt;Theory and practice of histological techniques&lt;/title&gt;&lt;/titles&gt;&lt;dates&gt;&lt;year&gt;2008&lt;/year&gt;&lt;/dates&gt;&lt;publisher&gt;Elsevier health sciences&lt;/publisher&gt;&lt;isbn&gt;0443102791&lt;/isbn&gt;&lt;urls&gt;&lt;/urls&gt;&lt;/record&gt;&lt;/Cite&gt;&lt;/EndNote&gt;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[10]</w:t>
      </w:r>
      <w:r w:rsidRPr="00D0036E">
        <w:rPr>
          <w:rFonts w:asciiTheme="majorBidi" w:hAnsiTheme="majorBidi" w:cstheme="majorBidi"/>
          <w:b/>
          <w:bCs/>
          <w:sz w:val="24"/>
          <w:szCs w:val="24"/>
        </w:rPr>
        <w:fldChar w:fldCharType="end"/>
      </w:r>
      <w:r w:rsidRPr="00D0036E">
        <w:rPr>
          <w:rFonts w:asciiTheme="majorBidi" w:hAnsiTheme="majorBidi" w:cstheme="majorBidi"/>
          <w:b/>
          <w:bCs/>
          <w:sz w:val="24"/>
          <w:szCs w:val="24"/>
        </w:rPr>
        <w:t>.</w:t>
      </w:r>
      <w:r w:rsidRPr="00D0036E">
        <w:rPr>
          <w:rFonts w:asciiTheme="majorBidi" w:hAnsiTheme="majorBidi" w:cstheme="majorBidi"/>
          <w:sz w:val="24"/>
          <w:szCs w:val="24"/>
        </w:rPr>
        <w:t xml:space="preserve"> After that, samples were imbedded in paraffin wax and sliced in to 4.5</w:t>
      </w:r>
      <w:r w:rsidRPr="00D0036E">
        <w:rPr>
          <w:rFonts w:asciiTheme="majorBidi" w:hAnsiTheme="majorBidi" w:cstheme="majorBidi"/>
          <w:sz w:val="20"/>
          <w:szCs w:val="20"/>
        </w:rPr>
        <w:t xml:space="preserve"> </w:t>
      </w:r>
      <w:bookmarkStart w:id="16" w:name="_Hlk136447448"/>
      <w:r w:rsidRPr="00D0036E">
        <w:rPr>
          <w:rFonts w:asciiTheme="majorBidi" w:hAnsiTheme="majorBidi" w:cstheme="majorBidi"/>
          <w:sz w:val="24"/>
          <w:szCs w:val="24"/>
        </w:rPr>
        <w:t>μm</w:t>
      </w:r>
      <w:bookmarkEnd w:id="16"/>
      <w:r w:rsidRPr="00D0036E">
        <w:rPr>
          <w:rFonts w:asciiTheme="majorBidi" w:hAnsiTheme="majorBidi" w:cstheme="majorBidi"/>
          <w:sz w:val="24"/>
          <w:szCs w:val="24"/>
        </w:rPr>
        <w:t xml:space="preserve"> sections. All sections were stained by hematoxylin and eosin (H&amp;E) and examined under BX43 light Olympus microscope (</w:t>
      </w:r>
      <w:r w:rsidRPr="00D0036E">
        <w:rPr>
          <w:rFonts w:asciiTheme="majorBidi" w:hAnsiTheme="majorBidi" w:cstheme="majorBidi"/>
          <w:sz w:val="24"/>
          <w:szCs w:val="24"/>
          <w:shd w:val="clear" w:color="auto" w:fill="FFFFFF"/>
        </w:rPr>
        <w:t>Olympus Corporation, Tokyo, Japan)</w:t>
      </w:r>
      <w:r w:rsidRPr="00D0036E">
        <w:rPr>
          <w:rFonts w:asciiTheme="majorBidi" w:hAnsiTheme="majorBidi" w:cstheme="majorBidi"/>
          <w:sz w:val="24"/>
          <w:szCs w:val="24"/>
        </w:rPr>
        <w:t xml:space="preserve"> to evaluate the extent of wound healing in different experimental groups. Images were captured by Olympus DP27 digital camera </w:t>
      </w:r>
      <w:r w:rsidRPr="00D0036E">
        <w:rPr>
          <w:rFonts w:asciiTheme="majorBidi" w:hAnsiTheme="majorBidi" w:cstheme="majorBidi"/>
          <w:color w:val="222222"/>
          <w:sz w:val="24"/>
          <w:szCs w:val="24"/>
          <w:shd w:val="clear" w:color="auto" w:fill="FFFFFF"/>
        </w:rPr>
        <w:t>(</w:t>
      </w:r>
      <w:r w:rsidRPr="00D0036E">
        <w:rPr>
          <w:rFonts w:asciiTheme="majorBidi" w:hAnsiTheme="majorBidi" w:cstheme="majorBidi"/>
          <w:color w:val="000000"/>
          <w:sz w:val="24"/>
          <w:szCs w:val="24"/>
          <w:shd w:val="clear" w:color="auto" w:fill="FFFFFF"/>
        </w:rPr>
        <w:t>Olympus</w:t>
      </w:r>
      <w:r w:rsidRPr="00D0036E">
        <w:rPr>
          <w:rFonts w:asciiTheme="majorBidi" w:hAnsiTheme="majorBidi" w:cstheme="majorBidi"/>
          <w:color w:val="222222"/>
          <w:sz w:val="24"/>
          <w:szCs w:val="24"/>
          <w:shd w:val="clear" w:color="auto" w:fill="FFFFFF"/>
        </w:rPr>
        <w:t xml:space="preserve"> Corporation, Tokyo, Japan) </w:t>
      </w:r>
      <w:r w:rsidRPr="00D0036E">
        <w:rPr>
          <w:rFonts w:asciiTheme="majorBidi" w:hAnsiTheme="majorBidi" w:cstheme="majorBidi"/>
          <w:sz w:val="24"/>
          <w:szCs w:val="24"/>
        </w:rPr>
        <w:t xml:space="preserve">attached to cell sense dimension software. </w:t>
      </w:r>
    </w:p>
    <w:p w14:paraId="05DFB81D" w14:textId="246F699B"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 xml:space="preserve">The extent of wound healing in all sections were qualitatively evaluated using classical semi-quantitative scoring system according to the method portrayed by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&lt;EndNote&gt;&lt;Cite&gt;&lt;Author&gt;Khalaf&lt;/Author&gt;&lt;Year&gt;2019&lt;/Year&gt;&lt;RecNum&gt;302&lt;/RecNum&gt;&lt;DisplayText&gt;[11]&lt;/DisplayText&gt;&lt;record&gt;&lt;rec-number&gt;302&lt;/rec-number&gt;&lt;foreign-keys&gt;&lt;key app="EN" db-id="fasvdfaz6529tre5d51vaed7axad0aszz9sx" timestamp="1705913903"&gt;302&lt;/key&gt;&lt;/foreign-keys&gt;&lt;ref-type name="Journal Article"&gt;17&lt;/ref-type&gt;&lt;contributors&gt;&lt;authors&gt;&lt;author&gt;Khalaf, Azem A&lt;/author&gt;&lt;author&gt;Hassanen, Eman I&lt;/author&gt;&lt;author&gt;Zaki, Amr R&lt;/author&gt;&lt;author&gt;Tohamy, Adel F&lt;/author&gt;&lt;author&gt;Ibrahim, Marwa A&lt;/author&gt;&lt;/authors&gt;&lt;/contributors&gt;&lt;titles&gt;&lt;title&gt;Histopathological, immunohistochemical, and molecular studies for determination of wound age and vitality in rats&lt;/title&gt;&lt;secondary-title&gt;International Wound Journal&lt;/secondary-title&gt;&lt;/titles&gt;&lt;periodical&gt;&lt;full-title&gt;International Wound Journal&lt;/full-title&gt;&lt;/periodical&gt;&lt;pages&gt;1416-1425&lt;/pages&gt;&lt;volume&gt;16&lt;/volume&gt;&lt;number&gt;6&lt;/number&gt;&lt;dates&gt;&lt;year&gt;2019&lt;/year&gt;&lt;/dates&gt;&lt;isbn&gt;1742-4801&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[11]</w:t>
      </w:r>
      <w:r w:rsidRPr="00D0036E">
        <w:rPr>
          <w:rFonts w:asciiTheme="majorBidi" w:hAnsiTheme="majorBidi" w:cstheme="majorBidi"/>
          <w:b/>
          <w:bCs/>
          <w:sz w:val="24"/>
          <w:szCs w:val="24"/>
        </w:rPr>
        <w:fldChar w:fldCharType="end"/>
      </w:r>
      <w:r w:rsidRPr="00D0036E">
        <w:rPr>
          <w:rFonts w:asciiTheme="majorBidi" w:hAnsiTheme="majorBidi" w:cstheme="majorBidi"/>
          <w:b/>
          <w:bCs/>
          <w:sz w:val="24"/>
          <w:szCs w:val="24"/>
        </w:rPr>
        <w:t>.</w:t>
      </w:r>
      <w:r w:rsidRPr="00D0036E">
        <w:rPr>
          <w:rFonts w:asciiTheme="majorBidi" w:hAnsiTheme="majorBidi" w:cstheme="majorBidi"/>
          <w:sz w:val="24"/>
          <w:szCs w:val="24"/>
        </w:rPr>
        <w:t xml:space="preserve"> All stages of wound healing include, Re-epithelization, vascular congestion, exudation, hemorrhage, inflammatory cells infiltration, angiogenesis, granulation tissue formation, and collagen organization were blindly graded in all sections. Based on the progression of those criteria, a four-point grading scale was used as follows: (-) =</w:t>
      </w:r>
      <w:r w:rsidR="0023421C" w:rsidRPr="00D0036E">
        <w:rPr>
          <w:rFonts w:asciiTheme="majorBidi" w:hAnsiTheme="majorBidi" w:cstheme="majorBidi"/>
          <w:sz w:val="24"/>
          <w:szCs w:val="24"/>
        </w:rPr>
        <w:t xml:space="preserve"> zero</w:t>
      </w:r>
      <w:r w:rsidRPr="00D0036E">
        <w:rPr>
          <w:rFonts w:asciiTheme="majorBidi" w:hAnsiTheme="majorBidi" w:cstheme="majorBidi"/>
          <w:sz w:val="24"/>
          <w:szCs w:val="24"/>
        </w:rPr>
        <w:t xml:space="preserve"> (no</w:t>
      </w:r>
      <w:r w:rsidR="00682A9E" w:rsidRPr="00D0036E">
        <w:rPr>
          <w:rFonts w:asciiTheme="majorBidi" w:hAnsiTheme="majorBidi" w:cstheme="majorBidi"/>
          <w:sz w:val="24"/>
          <w:szCs w:val="24"/>
        </w:rPr>
        <w:t>n</w:t>
      </w:r>
      <w:r w:rsidRPr="00D0036E">
        <w:rPr>
          <w:rFonts w:asciiTheme="majorBidi" w:hAnsiTheme="majorBidi" w:cstheme="majorBidi"/>
          <w:sz w:val="24"/>
          <w:szCs w:val="24"/>
        </w:rPr>
        <w:t>), (+) = &lt;25% (slight), (++) = 25%:50% (moderate), (+++) = 50-75% (marked), and (++++) = &gt; 75% (</w:t>
      </w:r>
      <w:r w:rsidR="0023421C" w:rsidRPr="00D0036E">
        <w:rPr>
          <w:rFonts w:asciiTheme="majorBidi" w:hAnsiTheme="majorBidi" w:cstheme="majorBidi"/>
          <w:sz w:val="24"/>
          <w:szCs w:val="24"/>
        </w:rPr>
        <w:t>extensive sever</w:t>
      </w:r>
      <w:r w:rsidRPr="00D0036E">
        <w:rPr>
          <w:rFonts w:asciiTheme="majorBidi" w:hAnsiTheme="majorBidi" w:cstheme="majorBidi"/>
          <w:sz w:val="24"/>
          <w:szCs w:val="24"/>
        </w:rPr>
        <w:t xml:space="preserve">).  </w:t>
      </w:r>
    </w:p>
    <w:p w14:paraId="72A6EBBA"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Immunohistochemistry </w:t>
      </w:r>
    </w:p>
    <w:p w14:paraId="08AE2B72" w14:textId="517674DF"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The deparaffinized and dehydrated skin tissue sections were washed in PBS-T, microwaved for antigen retrieval, and blocked in</w:t>
      </w:r>
      <w:r w:rsidRPr="00D0036E">
        <w:rPr>
          <w:rFonts w:asciiTheme="majorBidi" w:hAnsiTheme="majorBidi" w:cstheme="majorBidi"/>
          <w:sz w:val="20"/>
          <w:szCs w:val="20"/>
        </w:rPr>
        <w:t xml:space="preserve"> </w:t>
      </w:r>
      <w:r w:rsidRPr="00D0036E">
        <w:rPr>
          <w:rFonts w:asciiTheme="majorBidi" w:hAnsiTheme="majorBidi" w:cstheme="majorBidi"/>
          <w:sz w:val="24"/>
          <w:szCs w:val="24"/>
        </w:rPr>
        <w:t xml:space="preserve">1% bovine serum albumin. Afterwards, sections were incubated with primary antibody against vascular endothelial growth factor (VEGF) and alpha smooth muscle actin (α-SMA) (Abcam, </w:t>
      </w:r>
      <w:r w:rsidRPr="00D0036E">
        <w:rPr>
          <w:rFonts w:asciiTheme="majorBidi" w:hAnsiTheme="majorBidi" w:cstheme="majorBidi"/>
          <w:color w:val="222222"/>
          <w:sz w:val="24"/>
          <w:szCs w:val="24"/>
          <w:shd w:val="clear" w:color="auto" w:fill="FFFFFF"/>
        </w:rPr>
        <w:t>Cambridge, UK</w:t>
      </w:r>
      <w:r w:rsidRPr="00D0036E">
        <w:rPr>
          <w:rFonts w:asciiTheme="majorBidi" w:hAnsiTheme="majorBidi" w:cstheme="majorBidi"/>
          <w:sz w:val="24"/>
          <w:szCs w:val="24"/>
        </w:rPr>
        <w:t xml:space="preserve">) at 1:200 dilutions overnight. Lately, they were washed and incubated with reagents included in antigen detection system (Power‐Stain 1.0 </w:t>
      </w:r>
      <w:r w:rsidRPr="00D0036E">
        <w:rPr>
          <w:rFonts w:asciiTheme="majorBidi" w:hAnsiTheme="majorBidi" w:cstheme="majorBidi"/>
          <w:sz w:val="24"/>
          <w:szCs w:val="24"/>
        </w:rPr>
        <w:lastRenderedPageBreak/>
        <w:t xml:space="preserve">Poly HRP DAP Kit; Sakura). Finally, sections were counterstained by hematoxylin, mounted by a DPX mounting medium and then examined under a light microscope to evaluate the severity of </w:t>
      </w:r>
      <w:r w:rsidR="0023421C" w:rsidRPr="00D0036E">
        <w:rPr>
          <w:rFonts w:asciiTheme="majorBidi" w:hAnsiTheme="majorBidi" w:cstheme="majorBidi"/>
          <w:sz w:val="24"/>
          <w:szCs w:val="24"/>
        </w:rPr>
        <w:t>immunoexpression</w:t>
      </w:r>
      <w:r w:rsidRPr="00D0036E">
        <w:rPr>
          <w:rFonts w:asciiTheme="majorBidi" w:hAnsiTheme="majorBidi" w:cstheme="majorBidi"/>
          <w:sz w:val="24"/>
          <w:szCs w:val="24"/>
        </w:rPr>
        <w:t>.</w:t>
      </w:r>
    </w:p>
    <w:p w14:paraId="1CC5650C" w14:textId="120C46D8" w:rsidR="007A10D8" w:rsidRPr="00D0036E" w:rsidRDefault="007A10D8" w:rsidP="007A10D8">
      <w:pPr>
        <w:spacing w:after="0" w:line="360" w:lineRule="auto"/>
        <w:jc w:val="both"/>
        <w:rPr>
          <w:rFonts w:asciiTheme="majorBidi" w:hAnsiTheme="majorBidi" w:cstheme="majorBidi"/>
          <w:sz w:val="24"/>
          <w:szCs w:val="24"/>
        </w:rPr>
      </w:pPr>
      <w:r w:rsidRPr="00D0036E">
        <w:rPr>
          <w:rFonts w:asciiTheme="majorBidi" w:hAnsiTheme="majorBidi" w:cstheme="majorBidi"/>
          <w:sz w:val="24"/>
          <w:szCs w:val="24"/>
        </w:rPr>
        <w:tab/>
        <w:t>The</w:t>
      </w:r>
      <w:r w:rsidRPr="00D0036E">
        <w:rPr>
          <w:rFonts w:asciiTheme="majorBidi" w:hAnsiTheme="majorBidi" w:cstheme="majorBidi"/>
          <w:color w:val="000000"/>
          <w:sz w:val="24"/>
          <w:szCs w:val="24"/>
          <w:shd w:val="clear" w:color="auto" w:fill="FFFFFF"/>
        </w:rPr>
        <w:t> immunohistochemical (IHC)</w:t>
      </w:r>
      <w:r w:rsidRPr="00D0036E">
        <w:rPr>
          <w:rFonts w:asciiTheme="majorBidi" w:hAnsiTheme="majorBidi" w:cstheme="majorBidi"/>
          <w:sz w:val="24"/>
          <w:szCs w:val="24"/>
        </w:rPr>
        <w:t xml:space="preserve"> results were analyzed using a combination of quantitative and qualitative methods. The relative percentage of immunopositively cells were calculated in relation to the total number of target cells using Image J software. Afterwards, the qualitative results were categorized in six-pointed grading scale as the following: (1) 0–5%, (2) 5–25%, (3) 25–50%, (4) 50–75%, (5) 75–95%, (6) &gt;95%). Additionally, we assessed the intensity of immunostaining for each marker in various groups. The intensity is categorized in four-pointed grading scale as the following: (0, negative; 1, weak positive; 2, moderate positive; and 3, strong positive). The final score is calculated by adding each score </w:t>
      </w:r>
      <w:r w:rsidRPr="00D0036E">
        <w:rPr>
          <w:rFonts w:asciiTheme="majorBidi" w:hAnsiTheme="majorBidi" w:cstheme="majorBidi"/>
          <w:b/>
          <w:bCs/>
          <w:sz w:val="24"/>
          <w:szCs w:val="24"/>
        </w:rPr>
        <w:t xml:space="preserve"> </w:t>
      </w:r>
      <w:r w:rsidRPr="00D0036E">
        <w:rPr>
          <w:rFonts w:asciiTheme="majorBidi" w:hAnsiTheme="majorBidi" w:cstheme="majorBidi"/>
          <w:b/>
          <w:bCs/>
          <w:sz w:val="24"/>
          <w:szCs w:val="24"/>
        </w:rPr>
        <w:fldChar w:fldCharType="begin"/>
      </w:r>
      <w:r w:rsidRPr="00D0036E">
        <w:rPr>
          <w:rFonts w:asciiTheme="majorBidi" w:hAnsiTheme="majorBidi" w:cstheme="majorBidi"/>
          <w:b/>
          <w:bCs/>
          <w:sz w:val="24"/>
          <w:szCs w:val="24"/>
        </w:rPr>
        <w:instrText xml:space="preserve"> ADDIN EN.CITE &lt;EndNote&gt;&lt;Cite&gt;&lt;Author&gt;Tzankov&lt;/Author&gt;&lt;Year&gt;2010&lt;/Year&gt;&lt;RecNum&gt;822&lt;/RecNum&gt;&lt;DisplayText&gt;[12]&lt;/DisplayText&gt;&lt;record&gt;&lt;rec-number&gt;822&lt;/rec-number&gt;&lt;foreign-keys&gt;&lt;key app="EN" db-id="s22fs5xsds9rvmep05i5das05ezxwt59p0fx" timestamp="1696306696"&gt;822&lt;/key&gt;&lt;/foreign-keys&gt;&lt;ref-type name="Journal Article"&gt;17&lt;/ref-type&gt;&lt;contributors&gt;&lt;authors&gt;&lt;author&gt;Tzankov, Alexandar&lt;/author&gt;&lt;author&gt;Zlobec, Inti&lt;/author&gt;&lt;author&gt;Went, Philip&lt;/author&gt;&lt;author&gt;Robl, Hannes&lt;/author&gt;&lt;author&gt;Hoeller, Sylvia&lt;/author&gt;&lt;author&gt;Dirnhofer, Stephan&lt;/author&gt;&lt;/authors&gt;&lt;/contributors&gt;&lt;titles&gt;&lt;title&gt;Prognostic immunophenotypic biomarker studies in diffuse large B cell lymphoma with special emphasis on rational determination of cut-off scores&lt;/title&gt;&lt;secondary-title&gt;Leukemia &amp;amp; lymphoma&lt;/secondary-title&gt;&lt;/titles&gt;&lt;periodical&gt;&lt;full-title&gt;Leukemia &amp;amp; lymphoma&lt;/full-title&gt;&lt;/periodical&gt;&lt;pages&gt;199-212&lt;/pages&gt;&lt;volume&gt;51&lt;/volume&gt;&lt;number&gt;2&lt;/number&gt;&lt;dates&gt;&lt;year&gt;2010&lt;/year&gt;&lt;/dates&gt;&lt;isbn&gt;1042-8194&lt;/isbn&gt;&lt;urls&gt;&lt;/urls&gt;&lt;/record&gt;&lt;/Cite&gt;&lt;/EndNote&gt;</w:instrText>
      </w:r>
      <w:r w:rsidRPr="00D0036E">
        <w:rPr>
          <w:rFonts w:asciiTheme="majorBidi" w:hAnsiTheme="majorBidi" w:cstheme="majorBidi"/>
          <w:b/>
          <w:bCs/>
          <w:sz w:val="24"/>
          <w:szCs w:val="24"/>
        </w:rPr>
        <w:fldChar w:fldCharType="separate"/>
      </w:r>
      <w:r w:rsidRPr="00D0036E">
        <w:rPr>
          <w:rFonts w:asciiTheme="majorBidi" w:hAnsiTheme="majorBidi" w:cstheme="majorBidi"/>
          <w:b/>
          <w:bCs/>
          <w:noProof/>
          <w:sz w:val="24"/>
          <w:szCs w:val="24"/>
        </w:rPr>
        <w:t>[12]</w:t>
      </w:r>
      <w:r w:rsidRPr="00D0036E">
        <w:rPr>
          <w:rFonts w:asciiTheme="majorBidi" w:hAnsiTheme="majorBidi" w:cstheme="majorBidi"/>
          <w:b/>
          <w:bCs/>
          <w:sz w:val="24"/>
          <w:szCs w:val="24"/>
        </w:rPr>
        <w:fldChar w:fldCharType="end"/>
      </w:r>
      <w:r w:rsidRPr="00D0036E">
        <w:rPr>
          <w:rFonts w:asciiTheme="majorBidi" w:hAnsiTheme="majorBidi" w:cstheme="majorBidi"/>
          <w:b/>
          <w:bCs/>
          <w:sz w:val="24"/>
          <w:szCs w:val="24"/>
        </w:rPr>
        <w:t>.</w:t>
      </w:r>
    </w:p>
    <w:p w14:paraId="5BC22C6A" w14:textId="77777777" w:rsidR="007A10D8" w:rsidRPr="00D0036E" w:rsidRDefault="007A10D8" w:rsidP="007A10D8">
      <w:pPr>
        <w:spacing w:after="0" w:line="360" w:lineRule="auto"/>
        <w:jc w:val="both"/>
        <w:rPr>
          <w:rFonts w:asciiTheme="majorBidi" w:hAnsiTheme="majorBidi" w:cstheme="majorBidi"/>
          <w:b/>
          <w:bCs/>
          <w:sz w:val="24"/>
          <w:szCs w:val="24"/>
        </w:rPr>
      </w:pPr>
      <w:r w:rsidRPr="00D0036E">
        <w:rPr>
          <w:rFonts w:asciiTheme="majorBidi" w:hAnsiTheme="majorBidi" w:cstheme="majorBidi"/>
          <w:b/>
          <w:bCs/>
          <w:sz w:val="24"/>
          <w:szCs w:val="24"/>
        </w:rPr>
        <w:t xml:space="preserve">Statistical analysis </w:t>
      </w:r>
    </w:p>
    <w:p w14:paraId="432EBB0B" w14:textId="621ADFC5" w:rsidR="007A10D8" w:rsidRPr="00D0036E" w:rsidRDefault="007A10D8" w:rsidP="007A10D8">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t>All parametric values were shown as means ± standard error of mean (SEM). Results were analyzed using one-way ANOVA and post-hoc Duncan's test in SPSS version 20. P values &lt; 0.05 indicate statistical significance. The immunohistochemistry score was expressed as median ± IQR and analyzed using the Kruskal-Wallis H test and Mann-Whitney U test.</w:t>
      </w:r>
    </w:p>
    <w:p w14:paraId="51560C70" w14:textId="77777777" w:rsidR="007A10D8" w:rsidRPr="00D0036E" w:rsidRDefault="007A10D8" w:rsidP="001363CA">
      <w:pPr>
        <w:spacing w:after="0" w:line="360" w:lineRule="auto"/>
        <w:jc w:val="both"/>
        <w:rPr>
          <w:rFonts w:asciiTheme="majorBidi" w:hAnsiTheme="majorBidi" w:cstheme="majorBidi"/>
          <w:b/>
          <w:bCs/>
          <w:sz w:val="24"/>
          <w:szCs w:val="24"/>
        </w:rPr>
      </w:pPr>
    </w:p>
    <w:p w14:paraId="3DC6B4D5" w14:textId="77777777" w:rsidR="00093522" w:rsidRPr="00D0036E" w:rsidRDefault="00093522" w:rsidP="001363CA">
      <w:pPr>
        <w:spacing w:after="0" w:line="360" w:lineRule="auto"/>
        <w:ind w:firstLine="720"/>
        <w:jc w:val="both"/>
        <w:rPr>
          <w:rFonts w:asciiTheme="majorBidi" w:hAnsiTheme="majorBidi" w:cstheme="majorBidi"/>
          <w:sz w:val="24"/>
          <w:szCs w:val="24"/>
        </w:rPr>
      </w:pPr>
    </w:p>
    <w:p w14:paraId="57024BF8" w14:textId="2C7BA7A0" w:rsidR="001363CA" w:rsidRPr="00D0036E" w:rsidRDefault="001363CA" w:rsidP="00093522">
      <w:pPr>
        <w:spacing w:after="0" w:line="360" w:lineRule="auto"/>
        <w:ind w:firstLine="720"/>
        <w:jc w:val="both"/>
        <w:rPr>
          <w:rFonts w:asciiTheme="majorBidi" w:hAnsiTheme="majorBidi" w:cstheme="majorBidi"/>
          <w:sz w:val="24"/>
          <w:szCs w:val="24"/>
        </w:rPr>
      </w:pPr>
      <w:r w:rsidRPr="00D0036E">
        <w:rPr>
          <w:rFonts w:asciiTheme="majorBidi" w:hAnsiTheme="majorBidi" w:cstheme="majorBidi"/>
          <w:sz w:val="24"/>
          <w:szCs w:val="24"/>
        </w:rPr>
        <w:br w:type="page"/>
      </w:r>
    </w:p>
    <w:p w14:paraId="5FB1BFBA" w14:textId="77777777" w:rsidR="001363CA" w:rsidRPr="00D0036E" w:rsidRDefault="001363CA" w:rsidP="001363CA">
      <w:pPr>
        <w:spacing w:after="0" w:line="360" w:lineRule="auto"/>
        <w:ind w:firstLine="720"/>
        <w:jc w:val="both"/>
        <w:rPr>
          <w:rFonts w:asciiTheme="majorBidi" w:hAnsiTheme="majorBidi" w:cstheme="majorBidi"/>
          <w:sz w:val="24"/>
          <w:szCs w:val="24"/>
        </w:rPr>
      </w:pPr>
    </w:p>
    <w:p w14:paraId="29559DFD" w14:textId="74C71C49" w:rsidR="001363CA" w:rsidRPr="00D0036E" w:rsidRDefault="001363CA" w:rsidP="001363CA">
      <w:pPr>
        <w:jc w:val="center"/>
      </w:pPr>
      <w:r w:rsidRPr="00D0036E">
        <w:object w:dxaOrig="2983" w:dyaOrig="2548" w14:anchorId="773CF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27.5pt" o:ole="">
            <v:imagedata r:id="rId6" o:title=""/>
          </v:shape>
          <o:OLEObject Type="Embed" ProgID="ChemDraw.Document.6.0" ShapeID="_x0000_i1025" DrawAspect="Content" ObjectID="_1798210713" r:id="rId7"/>
        </w:object>
      </w:r>
    </w:p>
    <w:p w14:paraId="73BBE5D8" w14:textId="77777777" w:rsidR="00AB37A9" w:rsidRPr="00D0036E" w:rsidRDefault="00AB37A9" w:rsidP="00AB37A9">
      <w:pPr>
        <w:jc w:val="center"/>
        <w:rPr>
          <w:rFonts w:asciiTheme="majorBidi" w:hAnsiTheme="majorBidi" w:cstheme="majorBidi"/>
          <w:b/>
          <w:bCs/>
          <w:sz w:val="24"/>
          <w:szCs w:val="24"/>
        </w:rPr>
      </w:pPr>
    </w:p>
    <w:p w14:paraId="1E7CC6A9" w14:textId="1EF5DAF0" w:rsidR="00AB37A9" w:rsidRPr="00D0036E" w:rsidRDefault="00AB37A9" w:rsidP="00AB37A9">
      <w:pPr>
        <w:jc w:val="center"/>
        <w:rPr>
          <w:rFonts w:asciiTheme="majorBidi" w:hAnsiTheme="majorBidi" w:cstheme="majorBidi"/>
          <w:sz w:val="24"/>
          <w:szCs w:val="24"/>
        </w:rPr>
      </w:pPr>
      <w:r w:rsidRPr="00D0036E">
        <w:rPr>
          <w:rFonts w:asciiTheme="majorBidi" w:hAnsiTheme="majorBidi" w:cstheme="majorBidi"/>
          <w:b/>
          <w:bCs/>
          <w:sz w:val="24"/>
          <w:szCs w:val="24"/>
        </w:rPr>
        <w:t>Fig. S1.</w:t>
      </w:r>
      <w:r w:rsidRPr="00D0036E">
        <w:rPr>
          <w:rFonts w:asciiTheme="majorBidi" w:hAnsiTheme="majorBidi" w:cstheme="majorBidi"/>
          <w:sz w:val="24"/>
          <w:szCs w:val="24"/>
        </w:rPr>
        <w:t xml:space="preserve"> The chemical structure of friedelin.</w:t>
      </w:r>
    </w:p>
    <w:p w14:paraId="6111804B" w14:textId="7773AD43" w:rsidR="00AB37A9" w:rsidRPr="00D0036E" w:rsidRDefault="00AB37A9">
      <w:pPr>
        <w:rPr>
          <w:rFonts w:asciiTheme="majorBidi" w:hAnsiTheme="majorBidi" w:cstheme="majorBidi"/>
          <w:sz w:val="24"/>
          <w:szCs w:val="24"/>
        </w:rPr>
      </w:pPr>
      <w:r w:rsidRPr="00D0036E">
        <w:rPr>
          <w:rFonts w:asciiTheme="majorBidi" w:hAnsiTheme="majorBidi" w:cstheme="majorBidi"/>
          <w:sz w:val="24"/>
          <w:szCs w:val="24"/>
        </w:rPr>
        <w:br w:type="page"/>
      </w:r>
    </w:p>
    <w:p w14:paraId="2BCAD263" w14:textId="77777777" w:rsidR="00AB37A9" w:rsidRPr="00D0036E" w:rsidRDefault="00AB37A9" w:rsidP="00AB37A9">
      <w:pPr>
        <w:jc w:val="center"/>
        <w:rPr>
          <w:rFonts w:asciiTheme="majorBidi" w:hAnsiTheme="majorBidi" w:cstheme="majorBidi"/>
          <w:sz w:val="24"/>
          <w:szCs w:val="24"/>
        </w:rPr>
      </w:pPr>
    </w:p>
    <w:p w14:paraId="3EA2E407" w14:textId="77777777" w:rsidR="001476BF" w:rsidRPr="00D0036E" w:rsidRDefault="001476BF"/>
    <w:p w14:paraId="51F5B173" w14:textId="59BC0E48" w:rsidR="008667EE" w:rsidRPr="00D0036E" w:rsidRDefault="001476BF">
      <w:r w:rsidRPr="00D0036E">
        <w:rPr>
          <w:noProof/>
        </w:rPr>
        <w:drawing>
          <wp:anchor distT="0" distB="0" distL="114300" distR="114300" simplePos="0" relativeHeight="251659264" behindDoc="0" locked="0" layoutInCell="1" allowOverlap="1" wp14:anchorId="0E8E085C" wp14:editId="79E35A68">
            <wp:simplePos x="0" y="0"/>
            <wp:positionH relativeFrom="column">
              <wp:posOffset>0</wp:posOffset>
            </wp:positionH>
            <wp:positionV relativeFrom="paragraph">
              <wp:posOffset>285750</wp:posOffset>
            </wp:positionV>
            <wp:extent cx="5943600" cy="4140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140835"/>
                    </a:xfrm>
                    <a:prstGeom prst="rect">
                      <a:avLst/>
                    </a:prstGeom>
                    <a:noFill/>
                    <a:ln>
                      <a:noFill/>
                    </a:ln>
                  </pic:spPr>
                </pic:pic>
              </a:graphicData>
            </a:graphic>
          </wp:anchor>
        </w:drawing>
      </w:r>
    </w:p>
    <w:p w14:paraId="67D0C09C" w14:textId="77777777" w:rsidR="001476BF" w:rsidRPr="00D0036E" w:rsidRDefault="001476BF" w:rsidP="001476BF"/>
    <w:p w14:paraId="3A8BEE3E" w14:textId="77777777" w:rsidR="001476BF" w:rsidRPr="00D0036E" w:rsidRDefault="001476BF" w:rsidP="001476BF"/>
    <w:p w14:paraId="1710ABE4" w14:textId="0C2BCBC7" w:rsidR="001476BF" w:rsidRPr="00D0036E" w:rsidRDefault="001476BF" w:rsidP="001476BF">
      <w:pPr>
        <w:rPr>
          <w:rFonts w:asciiTheme="majorBidi" w:hAnsiTheme="majorBidi" w:cstheme="majorBidi"/>
          <w:sz w:val="24"/>
          <w:szCs w:val="24"/>
        </w:rPr>
      </w:pPr>
      <w:r w:rsidRPr="00D0036E">
        <w:tab/>
      </w:r>
      <w:r w:rsidRPr="00D0036E">
        <w:rPr>
          <w:rFonts w:asciiTheme="majorBidi" w:hAnsiTheme="majorBidi" w:cstheme="majorBidi"/>
          <w:b/>
          <w:bCs/>
          <w:sz w:val="24"/>
          <w:szCs w:val="24"/>
        </w:rPr>
        <w:t>Fig. S</w:t>
      </w:r>
      <w:r w:rsidR="00AB37A9" w:rsidRPr="00D0036E">
        <w:rPr>
          <w:rFonts w:asciiTheme="majorBidi" w:hAnsiTheme="majorBidi" w:cstheme="majorBidi"/>
          <w:b/>
          <w:bCs/>
          <w:sz w:val="24"/>
          <w:szCs w:val="24"/>
        </w:rPr>
        <w:t>2</w:t>
      </w:r>
      <w:r w:rsidRPr="00D0036E">
        <w:rPr>
          <w:rFonts w:asciiTheme="majorBidi" w:hAnsiTheme="majorBidi" w:cstheme="majorBidi"/>
          <w:b/>
          <w:bCs/>
          <w:sz w:val="24"/>
          <w:szCs w:val="24"/>
        </w:rPr>
        <w:t>.</w:t>
      </w:r>
      <w:r w:rsidRPr="00D0036E">
        <w:rPr>
          <w:rFonts w:asciiTheme="majorBidi" w:hAnsiTheme="majorBidi" w:cstheme="majorBidi"/>
          <w:sz w:val="24"/>
          <w:szCs w:val="24"/>
        </w:rPr>
        <w:t xml:space="preserve"> </w:t>
      </w:r>
      <w:r w:rsidRPr="00D0036E">
        <w:rPr>
          <w:rFonts w:asciiTheme="majorBidi" w:hAnsiTheme="majorBidi" w:cstheme="majorBidi"/>
          <w:sz w:val="24"/>
          <w:szCs w:val="24"/>
          <w:vertAlign w:val="superscript"/>
        </w:rPr>
        <w:t>1</w:t>
      </w:r>
      <w:r w:rsidRPr="00D0036E">
        <w:rPr>
          <w:rFonts w:asciiTheme="majorBidi" w:hAnsiTheme="majorBidi" w:cstheme="majorBidi"/>
          <w:sz w:val="24"/>
          <w:szCs w:val="24"/>
        </w:rPr>
        <w:t>H-NMR of friedelin.</w:t>
      </w:r>
    </w:p>
    <w:p w14:paraId="2B819A8C" w14:textId="77777777" w:rsidR="001476BF" w:rsidRPr="00D0036E" w:rsidRDefault="001476BF">
      <w:pPr>
        <w:rPr>
          <w:rFonts w:asciiTheme="majorBidi" w:hAnsiTheme="majorBidi" w:cstheme="majorBidi"/>
          <w:sz w:val="24"/>
          <w:szCs w:val="24"/>
        </w:rPr>
      </w:pPr>
      <w:r w:rsidRPr="00D0036E">
        <w:rPr>
          <w:rFonts w:asciiTheme="majorBidi" w:hAnsiTheme="majorBidi" w:cstheme="majorBidi"/>
          <w:sz w:val="24"/>
          <w:szCs w:val="24"/>
        </w:rPr>
        <w:br w:type="page"/>
      </w:r>
    </w:p>
    <w:p w14:paraId="01AC45C7" w14:textId="77777777" w:rsidR="001476BF" w:rsidRPr="00D0036E" w:rsidRDefault="001476BF" w:rsidP="001476BF">
      <w:pPr>
        <w:rPr>
          <w:b/>
          <w:bCs/>
        </w:rPr>
      </w:pPr>
    </w:p>
    <w:p w14:paraId="194F99B5" w14:textId="6FE6BB4C" w:rsidR="001476BF" w:rsidRPr="00D0036E" w:rsidRDefault="001476BF" w:rsidP="001476BF">
      <w:pPr>
        <w:rPr>
          <w:rFonts w:asciiTheme="majorBidi" w:hAnsiTheme="majorBidi" w:cstheme="majorBidi"/>
          <w:b/>
          <w:bCs/>
          <w:sz w:val="24"/>
          <w:szCs w:val="24"/>
        </w:rPr>
      </w:pPr>
      <w:r w:rsidRPr="00D0036E">
        <w:rPr>
          <w:b/>
          <w:bCs/>
        </w:rPr>
        <w:object w:dxaOrig="17901" w:dyaOrig="12491" w14:anchorId="3812EDBF">
          <v:shape id="_x0000_i1026" type="#_x0000_t75" style="width:467pt;height:326pt" o:ole="">
            <v:imagedata r:id="rId9" o:title=""/>
          </v:shape>
          <o:OLEObject Type="Embed" ProgID="MestReNova.Document.1" ShapeID="_x0000_i1026" DrawAspect="Content" ObjectID="_1798210714" r:id="rId10"/>
        </w:object>
      </w:r>
    </w:p>
    <w:p w14:paraId="134E3C41" w14:textId="759F022C" w:rsidR="001476BF" w:rsidRPr="00D0036E" w:rsidRDefault="001476BF" w:rsidP="001476BF">
      <w:pPr>
        <w:tabs>
          <w:tab w:val="left" w:pos="8270"/>
        </w:tabs>
      </w:pPr>
    </w:p>
    <w:p w14:paraId="776599A0" w14:textId="77777777" w:rsidR="001476BF" w:rsidRPr="00D0036E" w:rsidRDefault="001476BF" w:rsidP="001476BF"/>
    <w:p w14:paraId="5BA6638A" w14:textId="77777777" w:rsidR="001476BF" w:rsidRPr="00D0036E" w:rsidRDefault="001476BF" w:rsidP="001476BF"/>
    <w:p w14:paraId="2C984F0F" w14:textId="20379B47" w:rsidR="001476BF" w:rsidRPr="00D0036E" w:rsidRDefault="001476BF" w:rsidP="001476BF">
      <w:pPr>
        <w:rPr>
          <w:rFonts w:asciiTheme="majorBidi" w:hAnsiTheme="majorBidi" w:cstheme="majorBidi"/>
          <w:sz w:val="24"/>
          <w:szCs w:val="24"/>
        </w:rPr>
      </w:pPr>
      <w:r w:rsidRPr="00D0036E">
        <w:tab/>
      </w:r>
      <w:r w:rsidRPr="00D0036E">
        <w:rPr>
          <w:rFonts w:asciiTheme="majorBidi" w:hAnsiTheme="majorBidi" w:cstheme="majorBidi"/>
          <w:b/>
          <w:bCs/>
          <w:sz w:val="24"/>
          <w:szCs w:val="24"/>
        </w:rPr>
        <w:t>Fig. S</w:t>
      </w:r>
      <w:r w:rsidR="00AB37A9" w:rsidRPr="00D0036E">
        <w:rPr>
          <w:rFonts w:asciiTheme="majorBidi" w:hAnsiTheme="majorBidi" w:cstheme="majorBidi"/>
          <w:b/>
          <w:bCs/>
          <w:sz w:val="24"/>
          <w:szCs w:val="24"/>
        </w:rPr>
        <w:t>3</w:t>
      </w:r>
      <w:r w:rsidRPr="00D0036E">
        <w:rPr>
          <w:rFonts w:asciiTheme="majorBidi" w:hAnsiTheme="majorBidi" w:cstheme="majorBidi"/>
          <w:b/>
          <w:bCs/>
          <w:sz w:val="24"/>
          <w:szCs w:val="24"/>
        </w:rPr>
        <w:t xml:space="preserve">. </w:t>
      </w:r>
      <w:r w:rsidRPr="00D0036E">
        <w:rPr>
          <w:rFonts w:asciiTheme="majorBidi" w:hAnsiTheme="majorBidi" w:cstheme="majorBidi"/>
          <w:sz w:val="24"/>
          <w:szCs w:val="24"/>
          <w:vertAlign w:val="superscript"/>
        </w:rPr>
        <w:t>13</w:t>
      </w:r>
      <w:r w:rsidRPr="00D0036E">
        <w:rPr>
          <w:rFonts w:asciiTheme="majorBidi" w:hAnsiTheme="majorBidi" w:cstheme="majorBidi"/>
          <w:sz w:val="24"/>
          <w:szCs w:val="24"/>
        </w:rPr>
        <w:t>C-NMR of friedelin.</w:t>
      </w:r>
    </w:p>
    <w:p w14:paraId="1A670528" w14:textId="27A506BF" w:rsidR="00CB3118" w:rsidRPr="00D0036E" w:rsidRDefault="00CB3118">
      <w:r w:rsidRPr="00D0036E">
        <w:br w:type="page"/>
      </w:r>
    </w:p>
    <w:p w14:paraId="65D9F2AF" w14:textId="249C4799" w:rsidR="00CB3118" w:rsidRPr="00D0036E" w:rsidRDefault="00CB3118" w:rsidP="00CB3118">
      <w:pPr>
        <w:tabs>
          <w:tab w:val="left" w:pos="8140"/>
        </w:tabs>
        <w:rPr>
          <w:rFonts w:asciiTheme="majorBidi" w:hAnsiTheme="majorBidi" w:cstheme="majorBidi"/>
          <w:b/>
          <w:bCs/>
          <w:sz w:val="24"/>
          <w:szCs w:val="24"/>
        </w:rPr>
      </w:pPr>
      <w:r w:rsidRPr="00D0036E">
        <w:rPr>
          <w:rFonts w:asciiTheme="majorBidi" w:hAnsiTheme="majorBidi" w:cstheme="majorBidi"/>
          <w:b/>
          <w:bCs/>
          <w:noProof/>
          <w:sz w:val="24"/>
          <w:szCs w:val="24"/>
        </w:rPr>
        <w:lastRenderedPageBreak/>
        <w:drawing>
          <wp:inline distT="0" distB="0" distL="0" distR="0" wp14:anchorId="4B3FB39A" wp14:editId="1C73B664">
            <wp:extent cx="5943600" cy="1916430"/>
            <wp:effectExtent l="0" t="0" r="0" b="7620"/>
            <wp:docPr id="1929354201" name="Picture 1" descr="A blurry imag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54201" name="Picture 1" descr="A blurry image of a build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16430"/>
                    </a:xfrm>
                    <a:prstGeom prst="rect">
                      <a:avLst/>
                    </a:prstGeom>
                    <a:noFill/>
                    <a:ln>
                      <a:noFill/>
                    </a:ln>
                  </pic:spPr>
                </pic:pic>
              </a:graphicData>
            </a:graphic>
          </wp:inline>
        </w:drawing>
      </w:r>
    </w:p>
    <w:p w14:paraId="0DCA5F0F" w14:textId="09E86542" w:rsidR="00710A1E" w:rsidRPr="00D0036E" w:rsidRDefault="00710A1E" w:rsidP="00CB3118">
      <w:pPr>
        <w:tabs>
          <w:tab w:val="left" w:pos="8140"/>
        </w:tabs>
        <w:rPr>
          <w:rFonts w:asciiTheme="majorBidi" w:hAnsiTheme="majorBidi" w:cstheme="majorBidi"/>
          <w:b/>
          <w:bCs/>
          <w:sz w:val="24"/>
          <w:szCs w:val="24"/>
        </w:rPr>
      </w:pPr>
      <w:r w:rsidRPr="00D0036E">
        <w:rPr>
          <w:noProof/>
        </w:rPr>
        <w:drawing>
          <wp:inline distT="0" distB="0" distL="0" distR="0" wp14:anchorId="6914C807" wp14:editId="7FF5E84C">
            <wp:extent cx="2978150" cy="4252384"/>
            <wp:effectExtent l="0" t="0" r="0" b="0"/>
            <wp:docPr id="1455882313" name="Picture 1" descr="A blurry imag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82313" name="Picture 1" descr="A blurry image of a buildi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9089" cy="4253725"/>
                    </a:xfrm>
                    <a:prstGeom prst="rect">
                      <a:avLst/>
                    </a:prstGeom>
                    <a:noFill/>
                    <a:ln>
                      <a:noFill/>
                    </a:ln>
                  </pic:spPr>
                </pic:pic>
              </a:graphicData>
            </a:graphic>
          </wp:inline>
        </w:drawing>
      </w:r>
    </w:p>
    <w:p w14:paraId="4BE1673A" w14:textId="77777777" w:rsidR="00CB3118" w:rsidRPr="00D0036E" w:rsidRDefault="00CB3118" w:rsidP="001476BF">
      <w:pPr>
        <w:tabs>
          <w:tab w:val="left" w:pos="8140"/>
        </w:tabs>
        <w:rPr>
          <w:rFonts w:asciiTheme="majorBidi" w:hAnsiTheme="majorBidi" w:cstheme="majorBidi"/>
          <w:b/>
          <w:bCs/>
          <w:sz w:val="24"/>
          <w:szCs w:val="24"/>
        </w:rPr>
      </w:pPr>
    </w:p>
    <w:p w14:paraId="01008477" w14:textId="473D0A88" w:rsidR="001476BF" w:rsidRPr="00D0036E" w:rsidRDefault="00CB3118" w:rsidP="001476BF">
      <w:pPr>
        <w:tabs>
          <w:tab w:val="left" w:pos="8140"/>
        </w:tabs>
        <w:rPr>
          <w:rFonts w:asciiTheme="majorBidi" w:hAnsiTheme="majorBidi" w:cstheme="majorBidi"/>
          <w:sz w:val="24"/>
          <w:szCs w:val="24"/>
        </w:rPr>
      </w:pPr>
      <w:r w:rsidRPr="00D0036E">
        <w:rPr>
          <w:rFonts w:asciiTheme="majorBidi" w:hAnsiTheme="majorBidi" w:cstheme="majorBidi"/>
          <w:b/>
          <w:bCs/>
          <w:sz w:val="24"/>
          <w:szCs w:val="24"/>
        </w:rPr>
        <w:t>Fig. S4.</w:t>
      </w:r>
      <w:r w:rsidRPr="00D0036E">
        <w:t xml:space="preserve"> </w:t>
      </w:r>
      <w:r w:rsidRPr="00D0036E">
        <w:rPr>
          <w:rFonts w:asciiTheme="majorBidi" w:hAnsiTheme="majorBidi" w:cstheme="majorBidi"/>
          <w:sz w:val="24"/>
          <w:szCs w:val="24"/>
        </w:rPr>
        <w:t>Uncropped Gels image.</w:t>
      </w:r>
    </w:p>
    <w:p w14:paraId="3ED17321" w14:textId="77777777" w:rsidR="001476BF" w:rsidRPr="00D0036E" w:rsidRDefault="001476BF" w:rsidP="001476BF"/>
    <w:p w14:paraId="5362403E" w14:textId="77777777" w:rsidR="001476BF" w:rsidRPr="00D0036E" w:rsidRDefault="001476BF" w:rsidP="001476BF"/>
    <w:p w14:paraId="7E074843" w14:textId="77777777" w:rsidR="001476BF" w:rsidRPr="00D0036E" w:rsidRDefault="001476BF" w:rsidP="001476BF"/>
    <w:p w14:paraId="6A09CE2C" w14:textId="77777777" w:rsidR="001476BF" w:rsidRPr="00D0036E" w:rsidRDefault="001476BF" w:rsidP="001476BF"/>
    <w:p w14:paraId="07661D53" w14:textId="525BC2DE" w:rsidR="001476BF" w:rsidRPr="00D0036E" w:rsidRDefault="001476BF">
      <w:pPr>
        <w:rPr>
          <w:rFonts w:asciiTheme="majorBidi" w:hAnsiTheme="majorBidi" w:cstheme="majorBidi"/>
          <w:sz w:val="24"/>
          <w:szCs w:val="24"/>
        </w:rPr>
      </w:pPr>
      <w:r w:rsidRPr="00D0036E">
        <w:br w:type="page"/>
      </w:r>
      <w:r w:rsidRPr="00D0036E">
        <w:rPr>
          <w:rFonts w:asciiTheme="majorBidi" w:hAnsiTheme="majorBidi" w:cstheme="majorBidi"/>
          <w:b/>
          <w:bCs/>
          <w:sz w:val="24"/>
          <w:szCs w:val="24"/>
        </w:rPr>
        <w:lastRenderedPageBreak/>
        <w:t>Table S1.</w:t>
      </w:r>
      <w:r w:rsidRPr="00D0036E">
        <w:rPr>
          <w:rFonts w:asciiTheme="majorBidi" w:hAnsiTheme="majorBidi" w:cstheme="majorBidi"/>
          <w:sz w:val="24"/>
          <w:szCs w:val="24"/>
        </w:rPr>
        <w:t xml:space="preserve"> </w:t>
      </w:r>
      <w:r w:rsidRPr="00D0036E">
        <w:rPr>
          <w:rFonts w:asciiTheme="majorBidi" w:hAnsiTheme="majorBidi" w:cstheme="majorBidi"/>
          <w:sz w:val="24"/>
          <w:szCs w:val="24"/>
          <w:vertAlign w:val="superscript"/>
        </w:rPr>
        <w:t>1</w:t>
      </w:r>
      <w:r w:rsidRPr="00D0036E">
        <w:rPr>
          <w:rFonts w:asciiTheme="majorBidi" w:hAnsiTheme="majorBidi" w:cstheme="majorBidi"/>
          <w:sz w:val="24"/>
          <w:szCs w:val="24"/>
        </w:rPr>
        <w:t xml:space="preserve">H-NMR and </w:t>
      </w:r>
      <w:r w:rsidRPr="00D0036E">
        <w:rPr>
          <w:rFonts w:asciiTheme="majorBidi" w:hAnsiTheme="majorBidi" w:cstheme="majorBidi"/>
          <w:sz w:val="24"/>
          <w:szCs w:val="24"/>
          <w:vertAlign w:val="superscript"/>
        </w:rPr>
        <w:t>13</w:t>
      </w:r>
      <w:r w:rsidRPr="00D0036E">
        <w:rPr>
          <w:rFonts w:asciiTheme="majorBidi" w:hAnsiTheme="majorBidi" w:cstheme="majorBidi"/>
          <w:sz w:val="24"/>
          <w:szCs w:val="24"/>
        </w:rPr>
        <w:t xml:space="preserve">C-NMR data of friedelin </w:t>
      </w:r>
      <w:r w:rsidR="00216C33" w:rsidRPr="00D0036E">
        <w:rPr>
          <w:rFonts w:asciiTheme="majorBidi" w:hAnsiTheme="majorBidi" w:cstheme="majorBidi"/>
          <w:sz w:val="24"/>
          <w:szCs w:val="24"/>
        </w:rPr>
        <w:t>as compared to reference data.</w:t>
      </w:r>
    </w:p>
    <w:tbl>
      <w:tblPr>
        <w:tblStyle w:val="TableGrid"/>
        <w:tblW w:w="0" w:type="auto"/>
        <w:tblLayout w:type="fixed"/>
        <w:tblLook w:val="04A0" w:firstRow="1" w:lastRow="0" w:firstColumn="1" w:lastColumn="0" w:noHBand="0" w:noVBand="1"/>
      </w:tblPr>
      <w:tblGrid>
        <w:gridCol w:w="540"/>
        <w:gridCol w:w="1156"/>
        <w:gridCol w:w="1276"/>
        <w:gridCol w:w="1134"/>
        <w:gridCol w:w="1026"/>
      </w:tblGrid>
      <w:tr w:rsidR="001476BF" w:rsidRPr="00D0036E" w14:paraId="5A555680" w14:textId="77777777" w:rsidTr="00216C33">
        <w:trPr>
          <w:trHeight w:val="344"/>
        </w:trPr>
        <w:tc>
          <w:tcPr>
            <w:tcW w:w="2972" w:type="dxa"/>
            <w:gridSpan w:val="3"/>
          </w:tcPr>
          <w:p w14:paraId="56EF4775"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b/>
                <w:bCs/>
                <w:vertAlign w:val="superscript"/>
              </w:rPr>
              <w:t>1</w:t>
            </w:r>
            <w:r w:rsidRPr="00D0036E">
              <w:rPr>
                <w:rFonts w:asciiTheme="majorBidi" w:hAnsiTheme="majorBidi" w:cstheme="majorBidi"/>
                <w:b/>
                <w:bCs/>
              </w:rPr>
              <w:t>H-NMR</w:t>
            </w:r>
          </w:p>
        </w:tc>
        <w:tc>
          <w:tcPr>
            <w:tcW w:w="2160" w:type="dxa"/>
            <w:gridSpan w:val="2"/>
          </w:tcPr>
          <w:p w14:paraId="34952FBE" w14:textId="77777777" w:rsidR="001476BF" w:rsidRPr="00D0036E" w:rsidRDefault="001476BF" w:rsidP="00CF7A83">
            <w:pPr>
              <w:tabs>
                <w:tab w:val="left" w:pos="8240"/>
              </w:tabs>
              <w:jc w:val="center"/>
              <w:rPr>
                <w:rFonts w:asciiTheme="majorBidi" w:hAnsiTheme="majorBidi" w:cstheme="majorBidi"/>
                <w:b/>
                <w:bCs/>
                <w:vertAlign w:val="superscript"/>
              </w:rPr>
            </w:pPr>
            <w:r w:rsidRPr="00D0036E">
              <w:rPr>
                <w:rFonts w:asciiTheme="majorBidi" w:hAnsiTheme="majorBidi" w:cstheme="majorBidi"/>
                <w:b/>
                <w:bCs/>
                <w:vertAlign w:val="superscript"/>
              </w:rPr>
              <w:t>13</w:t>
            </w:r>
            <w:r w:rsidRPr="00D0036E">
              <w:rPr>
                <w:rFonts w:asciiTheme="majorBidi" w:hAnsiTheme="majorBidi" w:cstheme="majorBidi"/>
                <w:b/>
                <w:bCs/>
              </w:rPr>
              <w:t>C-NMR</w:t>
            </w:r>
          </w:p>
        </w:tc>
      </w:tr>
      <w:tr w:rsidR="001476BF" w:rsidRPr="00D0036E" w14:paraId="59266AE7" w14:textId="77777777" w:rsidTr="00216C33">
        <w:trPr>
          <w:trHeight w:val="318"/>
        </w:trPr>
        <w:tc>
          <w:tcPr>
            <w:tcW w:w="540" w:type="dxa"/>
          </w:tcPr>
          <w:p w14:paraId="16E45B79"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No.</w:t>
            </w:r>
          </w:p>
        </w:tc>
        <w:tc>
          <w:tcPr>
            <w:tcW w:w="1156" w:type="dxa"/>
          </w:tcPr>
          <w:p w14:paraId="5195E4C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i/>
                <w:iCs/>
              </w:rPr>
              <w:t>δ</w:t>
            </w:r>
            <w:r w:rsidRPr="00D0036E">
              <w:rPr>
                <w:rFonts w:asciiTheme="majorBidi" w:hAnsiTheme="majorBidi" w:cstheme="majorBidi"/>
              </w:rPr>
              <w:t>Φ</w:t>
            </w:r>
          </w:p>
        </w:tc>
        <w:tc>
          <w:tcPr>
            <w:tcW w:w="1276" w:type="dxa"/>
          </w:tcPr>
          <w:p w14:paraId="7E77A759" w14:textId="77777777" w:rsidR="001476BF" w:rsidRPr="00D0036E" w:rsidRDefault="001476BF" w:rsidP="00CF7A83">
            <w:pPr>
              <w:tabs>
                <w:tab w:val="left" w:pos="8240"/>
              </w:tabs>
              <w:jc w:val="center"/>
              <w:rPr>
                <w:rFonts w:asciiTheme="majorBidi" w:hAnsiTheme="majorBidi" w:cstheme="majorBidi"/>
                <w:b/>
                <w:bCs/>
              </w:rPr>
            </w:pPr>
            <w:r w:rsidRPr="00D0036E">
              <w:rPr>
                <w:rFonts w:asciiTheme="majorBidi" w:hAnsiTheme="majorBidi" w:cstheme="majorBidi"/>
                <w:i/>
                <w:iCs/>
              </w:rPr>
              <w:t>δ</w:t>
            </w:r>
            <w:r w:rsidRPr="00D0036E">
              <w:rPr>
                <w:rFonts w:asciiTheme="majorBidi" w:hAnsiTheme="majorBidi" w:cstheme="majorBidi"/>
                <w:b/>
                <w:bCs/>
              </w:rPr>
              <w:t>#</w:t>
            </w:r>
          </w:p>
        </w:tc>
        <w:tc>
          <w:tcPr>
            <w:tcW w:w="1134" w:type="dxa"/>
          </w:tcPr>
          <w:p w14:paraId="4F5BEC7B" w14:textId="77777777" w:rsidR="001476BF" w:rsidRPr="00D0036E" w:rsidRDefault="001476BF" w:rsidP="00CF7A83">
            <w:pPr>
              <w:tabs>
                <w:tab w:val="left" w:pos="8240"/>
              </w:tabs>
              <w:jc w:val="center"/>
              <w:rPr>
                <w:rFonts w:asciiTheme="majorBidi" w:hAnsiTheme="majorBidi" w:cstheme="majorBidi"/>
                <w:i/>
                <w:iCs/>
              </w:rPr>
            </w:pPr>
            <w:r w:rsidRPr="00D0036E">
              <w:rPr>
                <w:rFonts w:asciiTheme="majorBidi" w:hAnsiTheme="majorBidi" w:cstheme="majorBidi"/>
                <w:i/>
                <w:iCs/>
              </w:rPr>
              <w:t>δ</w:t>
            </w:r>
            <w:r w:rsidRPr="00D0036E">
              <w:rPr>
                <w:rFonts w:asciiTheme="majorBidi" w:hAnsiTheme="majorBidi" w:cstheme="majorBidi"/>
              </w:rPr>
              <w:t>Φ</w:t>
            </w:r>
          </w:p>
        </w:tc>
        <w:tc>
          <w:tcPr>
            <w:tcW w:w="1026" w:type="dxa"/>
          </w:tcPr>
          <w:p w14:paraId="148BFAEF" w14:textId="77777777" w:rsidR="001476BF" w:rsidRPr="00D0036E" w:rsidRDefault="001476BF" w:rsidP="00CF7A83">
            <w:pPr>
              <w:tabs>
                <w:tab w:val="left" w:pos="8240"/>
              </w:tabs>
              <w:jc w:val="center"/>
              <w:rPr>
                <w:rFonts w:asciiTheme="majorBidi" w:hAnsiTheme="majorBidi" w:cstheme="majorBidi"/>
                <w:i/>
                <w:iCs/>
              </w:rPr>
            </w:pPr>
            <w:r w:rsidRPr="00D0036E">
              <w:rPr>
                <w:rFonts w:asciiTheme="majorBidi" w:hAnsiTheme="majorBidi" w:cstheme="majorBidi"/>
                <w:i/>
                <w:iCs/>
              </w:rPr>
              <w:t>δ</w:t>
            </w:r>
            <w:r w:rsidRPr="00D0036E">
              <w:rPr>
                <w:rFonts w:asciiTheme="majorBidi" w:hAnsiTheme="majorBidi" w:cstheme="majorBidi"/>
                <w:b/>
                <w:bCs/>
              </w:rPr>
              <w:t>#</w:t>
            </w:r>
          </w:p>
        </w:tc>
      </w:tr>
      <w:tr w:rsidR="001476BF" w:rsidRPr="00D0036E" w14:paraId="1F5A16C8" w14:textId="77777777" w:rsidTr="00216C33">
        <w:trPr>
          <w:trHeight w:val="1093"/>
        </w:trPr>
        <w:tc>
          <w:tcPr>
            <w:tcW w:w="540" w:type="dxa"/>
          </w:tcPr>
          <w:p w14:paraId="31E01615" w14:textId="77777777" w:rsidR="001476BF" w:rsidRPr="00D0036E" w:rsidRDefault="001476BF" w:rsidP="00CF7A83">
            <w:pPr>
              <w:tabs>
                <w:tab w:val="left" w:pos="8240"/>
              </w:tabs>
              <w:jc w:val="both"/>
              <w:rPr>
                <w:rFonts w:asciiTheme="majorBidi" w:hAnsiTheme="majorBidi" w:cstheme="majorBidi"/>
                <w:b/>
                <w:bCs/>
                <w:u w:val="single"/>
              </w:rPr>
            </w:pPr>
            <w:r w:rsidRPr="00D0036E">
              <w:rPr>
                <w:rFonts w:asciiTheme="majorBidi" w:hAnsiTheme="majorBidi" w:cstheme="majorBidi"/>
              </w:rPr>
              <w:t>1</w:t>
            </w:r>
          </w:p>
        </w:tc>
        <w:tc>
          <w:tcPr>
            <w:tcW w:w="1156" w:type="dxa"/>
          </w:tcPr>
          <w:p w14:paraId="7CBBE843"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1.92, 1.67</w:t>
            </w:r>
          </w:p>
          <w:p w14:paraId="4FCA3AD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(2H,ddd)</w:t>
            </w:r>
          </w:p>
        </w:tc>
        <w:tc>
          <w:tcPr>
            <w:tcW w:w="1276" w:type="dxa"/>
          </w:tcPr>
          <w:p w14:paraId="1C41191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1.95, 1.71 (2H,ddd)</w:t>
            </w:r>
          </w:p>
        </w:tc>
        <w:tc>
          <w:tcPr>
            <w:tcW w:w="1134" w:type="dxa"/>
          </w:tcPr>
          <w:p w14:paraId="086D256F"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22.29</w:t>
            </w:r>
          </w:p>
        </w:tc>
        <w:tc>
          <w:tcPr>
            <w:tcW w:w="1026" w:type="dxa"/>
          </w:tcPr>
          <w:p w14:paraId="5E41DA21"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22.3</w:t>
            </w:r>
          </w:p>
        </w:tc>
      </w:tr>
      <w:tr w:rsidR="001476BF" w:rsidRPr="00D0036E" w14:paraId="2F593CE5" w14:textId="77777777" w:rsidTr="00216C33">
        <w:trPr>
          <w:trHeight w:val="1083"/>
        </w:trPr>
        <w:tc>
          <w:tcPr>
            <w:tcW w:w="540" w:type="dxa"/>
          </w:tcPr>
          <w:p w14:paraId="5E28B49F" w14:textId="77777777" w:rsidR="001476BF" w:rsidRPr="00D0036E" w:rsidRDefault="001476BF" w:rsidP="00CF7A83">
            <w:pPr>
              <w:tabs>
                <w:tab w:val="left" w:pos="8240"/>
              </w:tabs>
              <w:jc w:val="both"/>
              <w:rPr>
                <w:rFonts w:asciiTheme="majorBidi" w:hAnsiTheme="majorBidi" w:cstheme="majorBidi"/>
                <w:b/>
                <w:bCs/>
                <w:u w:val="single"/>
              </w:rPr>
            </w:pPr>
            <w:r w:rsidRPr="00D0036E">
              <w:rPr>
                <w:rFonts w:asciiTheme="majorBidi" w:hAnsiTheme="majorBidi" w:cstheme="majorBidi"/>
              </w:rPr>
              <w:t>2</w:t>
            </w:r>
          </w:p>
        </w:tc>
        <w:tc>
          <w:tcPr>
            <w:tcW w:w="1156" w:type="dxa"/>
          </w:tcPr>
          <w:p w14:paraId="5AA619EB"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2.35, 2.26</w:t>
            </w:r>
          </w:p>
          <w:p w14:paraId="313D244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(2H,ddd)</w:t>
            </w:r>
          </w:p>
        </w:tc>
        <w:tc>
          <w:tcPr>
            <w:tcW w:w="1276" w:type="dxa"/>
          </w:tcPr>
          <w:p w14:paraId="11A4FAA8"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2.37, 2.27</w:t>
            </w:r>
          </w:p>
          <w:p w14:paraId="0130AA1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(2H,ddd)</w:t>
            </w:r>
          </w:p>
        </w:tc>
        <w:tc>
          <w:tcPr>
            <w:tcW w:w="1134" w:type="dxa"/>
          </w:tcPr>
          <w:p w14:paraId="42FB0562"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41.54</w:t>
            </w:r>
          </w:p>
        </w:tc>
        <w:tc>
          <w:tcPr>
            <w:tcW w:w="1026" w:type="dxa"/>
          </w:tcPr>
          <w:p w14:paraId="330A5B31"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41.5</w:t>
            </w:r>
          </w:p>
        </w:tc>
      </w:tr>
      <w:tr w:rsidR="001476BF" w:rsidRPr="00D0036E" w14:paraId="0B36108B" w14:textId="77777777" w:rsidTr="00216C33">
        <w:trPr>
          <w:trHeight w:val="817"/>
        </w:trPr>
        <w:tc>
          <w:tcPr>
            <w:tcW w:w="540" w:type="dxa"/>
          </w:tcPr>
          <w:p w14:paraId="0D81EBB8" w14:textId="77777777" w:rsidR="001476BF" w:rsidRPr="00D0036E" w:rsidRDefault="001476BF" w:rsidP="00CF7A83">
            <w:pPr>
              <w:tabs>
                <w:tab w:val="left" w:pos="8240"/>
              </w:tabs>
              <w:jc w:val="both"/>
              <w:rPr>
                <w:rFonts w:asciiTheme="majorBidi" w:hAnsiTheme="majorBidi" w:cstheme="majorBidi"/>
                <w:b/>
                <w:bCs/>
                <w:u w:val="single"/>
              </w:rPr>
            </w:pPr>
            <w:r w:rsidRPr="00D0036E">
              <w:rPr>
                <w:rFonts w:asciiTheme="majorBidi" w:hAnsiTheme="majorBidi" w:cstheme="majorBidi"/>
              </w:rPr>
              <w:t>3</w:t>
            </w:r>
          </w:p>
        </w:tc>
        <w:tc>
          <w:tcPr>
            <w:tcW w:w="1156" w:type="dxa"/>
          </w:tcPr>
          <w:p w14:paraId="4C3CB31B"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4FAFF4AA"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2C4A0024"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213.25</w:t>
            </w:r>
          </w:p>
        </w:tc>
        <w:tc>
          <w:tcPr>
            <w:tcW w:w="1026" w:type="dxa"/>
          </w:tcPr>
          <w:p w14:paraId="2DF42B83"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213.2</w:t>
            </w:r>
          </w:p>
        </w:tc>
      </w:tr>
      <w:tr w:rsidR="001476BF" w:rsidRPr="00D0036E" w14:paraId="2607E8C0" w14:textId="77777777" w:rsidTr="00216C33">
        <w:trPr>
          <w:trHeight w:val="541"/>
        </w:trPr>
        <w:tc>
          <w:tcPr>
            <w:tcW w:w="540" w:type="dxa"/>
          </w:tcPr>
          <w:p w14:paraId="342550B4" w14:textId="77777777" w:rsidR="001476BF" w:rsidRPr="00D0036E" w:rsidRDefault="001476BF" w:rsidP="00CF7A83">
            <w:pPr>
              <w:tabs>
                <w:tab w:val="left" w:pos="8240"/>
              </w:tabs>
              <w:jc w:val="both"/>
              <w:rPr>
                <w:rFonts w:asciiTheme="majorBidi" w:hAnsiTheme="majorBidi" w:cstheme="majorBidi"/>
                <w:b/>
                <w:bCs/>
                <w:u w:val="single"/>
              </w:rPr>
            </w:pPr>
            <w:r w:rsidRPr="00D0036E">
              <w:rPr>
                <w:rFonts w:asciiTheme="majorBidi" w:hAnsiTheme="majorBidi" w:cstheme="majorBidi"/>
              </w:rPr>
              <w:t>4</w:t>
            </w:r>
          </w:p>
        </w:tc>
        <w:tc>
          <w:tcPr>
            <w:tcW w:w="1156" w:type="dxa"/>
          </w:tcPr>
          <w:p w14:paraId="1695E9A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2.24 (1H,q)</w:t>
            </w:r>
          </w:p>
        </w:tc>
        <w:tc>
          <w:tcPr>
            <w:tcW w:w="1276" w:type="dxa"/>
          </w:tcPr>
          <w:p w14:paraId="103254F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2.25 (1H,q)</w:t>
            </w:r>
          </w:p>
        </w:tc>
        <w:tc>
          <w:tcPr>
            <w:tcW w:w="1134" w:type="dxa"/>
          </w:tcPr>
          <w:p w14:paraId="75F317CB"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58.23</w:t>
            </w:r>
          </w:p>
        </w:tc>
        <w:tc>
          <w:tcPr>
            <w:tcW w:w="1026" w:type="dxa"/>
          </w:tcPr>
          <w:p w14:paraId="09E4B532"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58.2</w:t>
            </w:r>
          </w:p>
        </w:tc>
      </w:tr>
      <w:tr w:rsidR="001476BF" w:rsidRPr="00D0036E" w14:paraId="203FE606" w14:textId="77777777" w:rsidTr="00216C33">
        <w:trPr>
          <w:trHeight w:val="275"/>
        </w:trPr>
        <w:tc>
          <w:tcPr>
            <w:tcW w:w="540" w:type="dxa"/>
          </w:tcPr>
          <w:p w14:paraId="1878E053" w14:textId="77777777" w:rsidR="001476BF" w:rsidRPr="00D0036E" w:rsidRDefault="001476BF" w:rsidP="00CF7A83">
            <w:pPr>
              <w:tabs>
                <w:tab w:val="left" w:pos="8240"/>
              </w:tabs>
              <w:jc w:val="both"/>
              <w:rPr>
                <w:rFonts w:asciiTheme="majorBidi" w:hAnsiTheme="majorBidi" w:cstheme="majorBidi"/>
                <w:b/>
                <w:bCs/>
                <w:u w:val="single"/>
              </w:rPr>
            </w:pPr>
            <w:r w:rsidRPr="00D0036E">
              <w:rPr>
                <w:rFonts w:asciiTheme="majorBidi" w:hAnsiTheme="majorBidi" w:cstheme="majorBidi"/>
              </w:rPr>
              <w:t>5</w:t>
            </w:r>
          </w:p>
        </w:tc>
        <w:tc>
          <w:tcPr>
            <w:tcW w:w="1156" w:type="dxa"/>
          </w:tcPr>
          <w:p w14:paraId="70428A12"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43B7BE0A"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7B0255E1"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42.15</w:t>
            </w:r>
          </w:p>
        </w:tc>
        <w:tc>
          <w:tcPr>
            <w:tcW w:w="1026" w:type="dxa"/>
          </w:tcPr>
          <w:p w14:paraId="23A5872F"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42.1</w:t>
            </w:r>
          </w:p>
        </w:tc>
      </w:tr>
      <w:tr w:rsidR="001476BF" w:rsidRPr="00D0036E" w14:paraId="5A6DE98D" w14:textId="77777777" w:rsidTr="00216C33">
        <w:trPr>
          <w:trHeight w:val="817"/>
        </w:trPr>
        <w:tc>
          <w:tcPr>
            <w:tcW w:w="540" w:type="dxa"/>
          </w:tcPr>
          <w:p w14:paraId="4E6846C0"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6</w:t>
            </w:r>
          </w:p>
        </w:tc>
        <w:tc>
          <w:tcPr>
            <w:tcW w:w="1156" w:type="dxa"/>
          </w:tcPr>
          <w:p w14:paraId="116F1409"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1.70, 1.30</w:t>
            </w:r>
          </w:p>
          <w:p w14:paraId="6D606067"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276" w:type="dxa"/>
          </w:tcPr>
          <w:p w14:paraId="255F4608"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1.74,1.28</w:t>
            </w:r>
          </w:p>
          <w:p w14:paraId="530E6910"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134" w:type="dxa"/>
          </w:tcPr>
          <w:p w14:paraId="6AE16194"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41.29</w:t>
            </w:r>
          </w:p>
        </w:tc>
        <w:tc>
          <w:tcPr>
            <w:tcW w:w="1026" w:type="dxa"/>
          </w:tcPr>
          <w:p w14:paraId="636951A4"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41.3</w:t>
            </w:r>
          </w:p>
        </w:tc>
      </w:tr>
      <w:tr w:rsidR="001476BF" w:rsidRPr="00D0036E" w14:paraId="0C511FF5" w14:textId="77777777" w:rsidTr="00216C33">
        <w:trPr>
          <w:trHeight w:val="807"/>
        </w:trPr>
        <w:tc>
          <w:tcPr>
            <w:tcW w:w="540" w:type="dxa"/>
          </w:tcPr>
          <w:p w14:paraId="45A5B26B"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7</w:t>
            </w:r>
          </w:p>
        </w:tc>
        <w:tc>
          <w:tcPr>
            <w:tcW w:w="1156" w:type="dxa"/>
          </w:tcPr>
          <w:p w14:paraId="00BA97CE"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1.49, 1.39</w:t>
            </w:r>
          </w:p>
          <w:p w14:paraId="115E60A7"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276" w:type="dxa"/>
          </w:tcPr>
          <w:p w14:paraId="6CAE9D97"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1.49, 1.36</w:t>
            </w:r>
          </w:p>
          <w:p w14:paraId="01E094AB"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134" w:type="dxa"/>
          </w:tcPr>
          <w:p w14:paraId="1FB42815"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18.24</w:t>
            </w:r>
          </w:p>
        </w:tc>
        <w:tc>
          <w:tcPr>
            <w:tcW w:w="1026" w:type="dxa"/>
          </w:tcPr>
          <w:p w14:paraId="5D727DCE"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18.2</w:t>
            </w:r>
          </w:p>
        </w:tc>
      </w:tr>
      <w:tr w:rsidR="001476BF" w:rsidRPr="00D0036E" w14:paraId="0705E3F7" w14:textId="77777777" w:rsidTr="00216C33">
        <w:trPr>
          <w:trHeight w:val="817"/>
        </w:trPr>
        <w:tc>
          <w:tcPr>
            <w:tcW w:w="540" w:type="dxa"/>
          </w:tcPr>
          <w:p w14:paraId="1F439E7F"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8</w:t>
            </w:r>
          </w:p>
        </w:tc>
        <w:tc>
          <w:tcPr>
            <w:tcW w:w="1156" w:type="dxa"/>
          </w:tcPr>
          <w:p w14:paraId="0024333A"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1.38</w:t>
            </w:r>
          </w:p>
          <w:p w14:paraId="07CDD752"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(1H, dd)</w:t>
            </w:r>
          </w:p>
        </w:tc>
        <w:tc>
          <w:tcPr>
            <w:tcW w:w="1276" w:type="dxa"/>
          </w:tcPr>
          <w:p w14:paraId="7ECA0E72"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1.38</w:t>
            </w:r>
          </w:p>
          <w:p w14:paraId="289939B2"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(1H, dd)</w:t>
            </w:r>
          </w:p>
        </w:tc>
        <w:tc>
          <w:tcPr>
            <w:tcW w:w="1134" w:type="dxa"/>
          </w:tcPr>
          <w:p w14:paraId="194729D3"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53.11</w:t>
            </w:r>
          </w:p>
        </w:tc>
        <w:tc>
          <w:tcPr>
            <w:tcW w:w="1026" w:type="dxa"/>
          </w:tcPr>
          <w:p w14:paraId="5A1C340E"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53.1</w:t>
            </w:r>
          </w:p>
        </w:tc>
      </w:tr>
      <w:tr w:rsidR="001476BF" w:rsidRPr="00D0036E" w14:paraId="47413044" w14:textId="77777777" w:rsidTr="00216C33">
        <w:trPr>
          <w:trHeight w:val="275"/>
        </w:trPr>
        <w:tc>
          <w:tcPr>
            <w:tcW w:w="540" w:type="dxa"/>
          </w:tcPr>
          <w:p w14:paraId="08073D45"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9</w:t>
            </w:r>
          </w:p>
        </w:tc>
        <w:tc>
          <w:tcPr>
            <w:tcW w:w="1156" w:type="dxa"/>
          </w:tcPr>
          <w:p w14:paraId="18C63EE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08691984"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43048364"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37.45</w:t>
            </w:r>
          </w:p>
        </w:tc>
        <w:tc>
          <w:tcPr>
            <w:tcW w:w="1026" w:type="dxa"/>
          </w:tcPr>
          <w:p w14:paraId="1F317423"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37.4</w:t>
            </w:r>
          </w:p>
        </w:tc>
      </w:tr>
      <w:tr w:rsidR="001476BF" w:rsidRPr="00D0036E" w14:paraId="66E038EE" w14:textId="77777777" w:rsidTr="00216C33">
        <w:trPr>
          <w:trHeight w:val="541"/>
        </w:trPr>
        <w:tc>
          <w:tcPr>
            <w:tcW w:w="540" w:type="dxa"/>
          </w:tcPr>
          <w:p w14:paraId="2AE57A78"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10</w:t>
            </w:r>
          </w:p>
        </w:tc>
        <w:tc>
          <w:tcPr>
            <w:tcW w:w="1156" w:type="dxa"/>
          </w:tcPr>
          <w:p w14:paraId="4098184C"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1.54 (1H,m)</w:t>
            </w:r>
          </w:p>
        </w:tc>
        <w:tc>
          <w:tcPr>
            <w:tcW w:w="1276" w:type="dxa"/>
          </w:tcPr>
          <w:p w14:paraId="25E8F91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1.53(1H,m)</w:t>
            </w:r>
          </w:p>
        </w:tc>
        <w:tc>
          <w:tcPr>
            <w:tcW w:w="1134" w:type="dxa"/>
          </w:tcPr>
          <w:p w14:paraId="75A9E81C"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59.48</w:t>
            </w:r>
          </w:p>
        </w:tc>
        <w:tc>
          <w:tcPr>
            <w:tcW w:w="1026" w:type="dxa"/>
          </w:tcPr>
          <w:p w14:paraId="123A6FD0"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59.5</w:t>
            </w:r>
          </w:p>
        </w:tc>
      </w:tr>
      <w:tr w:rsidR="001476BF" w:rsidRPr="00D0036E" w14:paraId="281F421E" w14:textId="77777777" w:rsidTr="00216C33">
        <w:trPr>
          <w:trHeight w:val="817"/>
        </w:trPr>
        <w:tc>
          <w:tcPr>
            <w:tcW w:w="540" w:type="dxa"/>
          </w:tcPr>
          <w:p w14:paraId="42F4EF68"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11</w:t>
            </w:r>
          </w:p>
        </w:tc>
        <w:tc>
          <w:tcPr>
            <w:tcW w:w="1156" w:type="dxa"/>
          </w:tcPr>
          <w:p w14:paraId="499146AB"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1.44, 1.26</w:t>
            </w:r>
          </w:p>
          <w:p w14:paraId="6550D87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276" w:type="dxa"/>
          </w:tcPr>
          <w:p w14:paraId="698C94CF"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1.45, 1.26</w:t>
            </w:r>
          </w:p>
          <w:p w14:paraId="5135ABA7"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134" w:type="dxa"/>
          </w:tcPr>
          <w:p w14:paraId="1307196F"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35.63</w:t>
            </w:r>
          </w:p>
        </w:tc>
        <w:tc>
          <w:tcPr>
            <w:tcW w:w="1026" w:type="dxa"/>
          </w:tcPr>
          <w:p w14:paraId="12678328"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35.6</w:t>
            </w:r>
          </w:p>
        </w:tc>
      </w:tr>
      <w:tr w:rsidR="001476BF" w:rsidRPr="00D0036E" w14:paraId="6DA0C948" w14:textId="77777777" w:rsidTr="00216C33">
        <w:trPr>
          <w:trHeight w:val="817"/>
        </w:trPr>
        <w:tc>
          <w:tcPr>
            <w:tcW w:w="540" w:type="dxa"/>
          </w:tcPr>
          <w:p w14:paraId="52382F4C"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12</w:t>
            </w:r>
          </w:p>
        </w:tc>
        <w:tc>
          <w:tcPr>
            <w:tcW w:w="1156" w:type="dxa"/>
          </w:tcPr>
          <w:p w14:paraId="507B4B81"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1.33, 1.32</w:t>
            </w:r>
          </w:p>
          <w:p w14:paraId="250C65F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276" w:type="dxa"/>
          </w:tcPr>
          <w:p w14:paraId="67B15162"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1.33, 1.32</w:t>
            </w:r>
          </w:p>
          <w:p w14:paraId="188BF877"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134" w:type="dxa"/>
          </w:tcPr>
          <w:p w14:paraId="4CC7BB3B"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30.51</w:t>
            </w:r>
          </w:p>
        </w:tc>
        <w:tc>
          <w:tcPr>
            <w:tcW w:w="1026" w:type="dxa"/>
          </w:tcPr>
          <w:p w14:paraId="2566A3A5"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30.5</w:t>
            </w:r>
          </w:p>
        </w:tc>
      </w:tr>
      <w:tr w:rsidR="001476BF" w:rsidRPr="00D0036E" w14:paraId="2ED4016D" w14:textId="77777777" w:rsidTr="00216C33">
        <w:trPr>
          <w:trHeight w:val="265"/>
        </w:trPr>
        <w:tc>
          <w:tcPr>
            <w:tcW w:w="540" w:type="dxa"/>
          </w:tcPr>
          <w:p w14:paraId="4C56AEEA"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13</w:t>
            </w:r>
          </w:p>
        </w:tc>
        <w:tc>
          <w:tcPr>
            <w:tcW w:w="1156" w:type="dxa"/>
          </w:tcPr>
          <w:p w14:paraId="3481263E"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59A4ED31"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272C5462"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39.70</w:t>
            </w:r>
          </w:p>
        </w:tc>
        <w:tc>
          <w:tcPr>
            <w:tcW w:w="1026" w:type="dxa"/>
          </w:tcPr>
          <w:p w14:paraId="6AADF66F"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39.7</w:t>
            </w:r>
          </w:p>
        </w:tc>
      </w:tr>
      <w:tr w:rsidR="001476BF" w:rsidRPr="00D0036E" w14:paraId="1E10C76F" w14:textId="77777777" w:rsidTr="00216C33">
        <w:trPr>
          <w:trHeight w:val="275"/>
        </w:trPr>
        <w:tc>
          <w:tcPr>
            <w:tcW w:w="540" w:type="dxa"/>
          </w:tcPr>
          <w:p w14:paraId="16478B2A"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14</w:t>
            </w:r>
          </w:p>
        </w:tc>
        <w:tc>
          <w:tcPr>
            <w:tcW w:w="1156" w:type="dxa"/>
          </w:tcPr>
          <w:p w14:paraId="51B2988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4B9378AB"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73892656"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38.30</w:t>
            </w:r>
          </w:p>
        </w:tc>
        <w:tc>
          <w:tcPr>
            <w:tcW w:w="1026" w:type="dxa"/>
          </w:tcPr>
          <w:p w14:paraId="6F90B8DC"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38.3</w:t>
            </w:r>
          </w:p>
        </w:tc>
      </w:tr>
      <w:tr w:rsidR="001476BF" w:rsidRPr="00D0036E" w14:paraId="025034EE" w14:textId="77777777" w:rsidTr="00216C33">
        <w:trPr>
          <w:trHeight w:val="817"/>
        </w:trPr>
        <w:tc>
          <w:tcPr>
            <w:tcW w:w="540" w:type="dxa"/>
          </w:tcPr>
          <w:p w14:paraId="04BFBC61"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15</w:t>
            </w:r>
          </w:p>
        </w:tc>
        <w:tc>
          <w:tcPr>
            <w:tcW w:w="1156" w:type="dxa"/>
          </w:tcPr>
          <w:p w14:paraId="4AAA7A8D"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1.47, 1.27</w:t>
            </w:r>
          </w:p>
          <w:p w14:paraId="092C5E99"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276" w:type="dxa"/>
          </w:tcPr>
          <w:p w14:paraId="0635D23A"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1.47,1.27</w:t>
            </w:r>
          </w:p>
          <w:p w14:paraId="59CEA8DA"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134" w:type="dxa"/>
          </w:tcPr>
          <w:p w14:paraId="68308C5C"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32.42</w:t>
            </w:r>
          </w:p>
        </w:tc>
        <w:tc>
          <w:tcPr>
            <w:tcW w:w="1026" w:type="dxa"/>
          </w:tcPr>
          <w:p w14:paraId="2985851B"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32.4</w:t>
            </w:r>
          </w:p>
        </w:tc>
      </w:tr>
      <w:tr w:rsidR="001476BF" w:rsidRPr="00D0036E" w14:paraId="68E15FE3" w14:textId="77777777" w:rsidTr="00216C33">
        <w:trPr>
          <w:trHeight w:val="817"/>
        </w:trPr>
        <w:tc>
          <w:tcPr>
            <w:tcW w:w="540" w:type="dxa"/>
          </w:tcPr>
          <w:p w14:paraId="5A0B32F3"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16</w:t>
            </w:r>
          </w:p>
        </w:tc>
        <w:tc>
          <w:tcPr>
            <w:tcW w:w="1156" w:type="dxa"/>
          </w:tcPr>
          <w:p w14:paraId="7AAE7FB9"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1.59, 1.18</w:t>
            </w:r>
          </w:p>
        </w:tc>
        <w:tc>
          <w:tcPr>
            <w:tcW w:w="1276" w:type="dxa"/>
          </w:tcPr>
          <w:p w14:paraId="1366DF2F"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1.58,1.35</w:t>
            </w:r>
          </w:p>
          <w:p w14:paraId="6C8CD507"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134" w:type="dxa"/>
          </w:tcPr>
          <w:p w14:paraId="71D56E44"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36.01</w:t>
            </w:r>
          </w:p>
        </w:tc>
        <w:tc>
          <w:tcPr>
            <w:tcW w:w="1026" w:type="dxa"/>
          </w:tcPr>
          <w:p w14:paraId="23F4294E"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36.0</w:t>
            </w:r>
          </w:p>
        </w:tc>
      </w:tr>
      <w:tr w:rsidR="001476BF" w:rsidRPr="00D0036E" w14:paraId="1E035422" w14:textId="77777777" w:rsidTr="00216C33">
        <w:trPr>
          <w:trHeight w:val="265"/>
        </w:trPr>
        <w:tc>
          <w:tcPr>
            <w:tcW w:w="540" w:type="dxa"/>
          </w:tcPr>
          <w:p w14:paraId="29287D67"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17</w:t>
            </w:r>
          </w:p>
        </w:tc>
        <w:tc>
          <w:tcPr>
            <w:tcW w:w="1156" w:type="dxa"/>
          </w:tcPr>
          <w:p w14:paraId="115FAE84"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1EB6A61E"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600F8E29"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30.00</w:t>
            </w:r>
          </w:p>
        </w:tc>
        <w:tc>
          <w:tcPr>
            <w:tcW w:w="1026" w:type="dxa"/>
          </w:tcPr>
          <w:p w14:paraId="4FCD9CC0"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30.0</w:t>
            </w:r>
          </w:p>
        </w:tc>
      </w:tr>
      <w:tr w:rsidR="001476BF" w:rsidRPr="00D0036E" w14:paraId="1855F4E0" w14:textId="77777777" w:rsidTr="00216C33">
        <w:trPr>
          <w:trHeight w:val="541"/>
        </w:trPr>
        <w:tc>
          <w:tcPr>
            <w:tcW w:w="540" w:type="dxa"/>
          </w:tcPr>
          <w:p w14:paraId="00BF62CA"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lastRenderedPageBreak/>
              <w:t>18</w:t>
            </w:r>
          </w:p>
        </w:tc>
        <w:tc>
          <w:tcPr>
            <w:tcW w:w="1156" w:type="dxa"/>
          </w:tcPr>
          <w:p w14:paraId="493D88F8"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1.56 (1H,m)</w:t>
            </w:r>
          </w:p>
        </w:tc>
        <w:tc>
          <w:tcPr>
            <w:tcW w:w="1276" w:type="dxa"/>
          </w:tcPr>
          <w:p w14:paraId="58BC64AA"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1.56(1H,m)</w:t>
            </w:r>
          </w:p>
        </w:tc>
        <w:tc>
          <w:tcPr>
            <w:tcW w:w="1134" w:type="dxa"/>
          </w:tcPr>
          <w:p w14:paraId="4E6EB981"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42.80</w:t>
            </w:r>
          </w:p>
        </w:tc>
        <w:tc>
          <w:tcPr>
            <w:tcW w:w="1026" w:type="dxa"/>
          </w:tcPr>
          <w:p w14:paraId="08CF6B59"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42.8</w:t>
            </w:r>
          </w:p>
        </w:tc>
      </w:tr>
      <w:tr w:rsidR="001476BF" w:rsidRPr="00D0036E" w14:paraId="1285336E" w14:textId="77777777" w:rsidTr="00216C33">
        <w:trPr>
          <w:trHeight w:val="817"/>
        </w:trPr>
        <w:tc>
          <w:tcPr>
            <w:tcW w:w="540" w:type="dxa"/>
          </w:tcPr>
          <w:p w14:paraId="349FEA0D"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19</w:t>
            </w:r>
          </w:p>
        </w:tc>
        <w:tc>
          <w:tcPr>
            <w:tcW w:w="1156" w:type="dxa"/>
          </w:tcPr>
          <w:p w14:paraId="75E2C2CC"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1.37, 1.21</w:t>
            </w:r>
          </w:p>
          <w:p w14:paraId="1757F04B"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276" w:type="dxa"/>
          </w:tcPr>
          <w:p w14:paraId="23AA1B2E"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1.37,1.22</w:t>
            </w:r>
          </w:p>
          <w:p w14:paraId="4FE1747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(2H,m)</w:t>
            </w:r>
          </w:p>
        </w:tc>
        <w:tc>
          <w:tcPr>
            <w:tcW w:w="1134" w:type="dxa"/>
          </w:tcPr>
          <w:p w14:paraId="173D3739"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35.35</w:t>
            </w:r>
          </w:p>
        </w:tc>
        <w:tc>
          <w:tcPr>
            <w:tcW w:w="1026" w:type="dxa"/>
          </w:tcPr>
          <w:p w14:paraId="227C3836"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35.3</w:t>
            </w:r>
          </w:p>
        </w:tc>
      </w:tr>
      <w:tr w:rsidR="001476BF" w:rsidRPr="00D0036E" w14:paraId="527A9743" w14:textId="77777777" w:rsidTr="00216C33">
        <w:trPr>
          <w:trHeight w:val="275"/>
        </w:trPr>
        <w:tc>
          <w:tcPr>
            <w:tcW w:w="540" w:type="dxa"/>
          </w:tcPr>
          <w:p w14:paraId="1B12C533"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20</w:t>
            </w:r>
          </w:p>
        </w:tc>
        <w:tc>
          <w:tcPr>
            <w:tcW w:w="1156" w:type="dxa"/>
          </w:tcPr>
          <w:p w14:paraId="3A23FEE2"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276" w:type="dxa"/>
          </w:tcPr>
          <w:p w14:paraId="11F5F746"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w:t>
            </w:r>
          </w:p>
        </w:tc>
        <w:tc>
          <w:tcPr>
            <w:tcW w:w="1134" w:type="dxa"/>
          </w:tcPr>
          <w:p w14:paraId="241C03BC"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28.17</w:t>
            </w:r>
          </w:p>
        </w:tc>
        <w:tc>
          <w:tcPr>
            <w:tcW w:w="1026" w:type="dxa"/>
          </w:tcPr>
          <w:p w14:paraId="61C80BD3"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28.2</w:t>
            </w:r>
          </w:p>
        </w:tc>
      </w:tr>
      <w:tr w:rsidR="001476BF" w:rsidRPr="00D0036E" w14:paraId="4BD92526" w14:textId="77777777" w:rsidTr="00216C33">
        <w:trPr>
          <w:trHeight w:val="817"/>
        </w:trPr>
        <w:tc>
          <w:tcPr>
            <w:tcW w:w="540" w:type="dxa"/>
          </w:tcPr>
          <w:p w14:paraId="4409B79C"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21</w:t>
            </w:r>
          </w:p>
        </w:tc>
        <w:tc>
          <w:tcPr>
            <w:tcW w:w="1156" w:type="dxa"/>
          </w:tcPr>
          <w:p w14:paraId="43D5C672"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1.51, 1.32</w:t>
            </w:r>
          </w:p>
          <w:p w14:paraId="7B2AD708"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276" w:type="dxa"/>
          </w:tcPr>
          <w:p w14:paraId="35884305"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1.50,1.31</w:t>
            </w:r>
          </w:p>
          <w:p w14:paraId="477FED0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134" w:type="dxa"/>
          </w:tcPr>
          <w:p w14:paraId="11B634EA"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32.77</w:t>
            </w:r>
          </w:p>
        </w:tc>
        <w:tc>
          <w:tcPr>
            <w:tcW w:w="1026" w:type="dxa"/>
          </w:tcPr>
          <w:p w14:paraId="1618AE08"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32.8</w:t>
            </w:r>
          </w:p>
        </w:tc>
      </w:tr>
      <w:tr w:rsidR="001476BF" w:rsidRPr="00D0036E" w14:paraId="300F5468" w14:textId="77777777" w:rsidTr="00216C33">
        <w:trPr>
          <w:trHeight w:val="807"/>
        </w:trPr>
        <w:tc>
          <w:tcPr>
            <w:tcW w:w="540" w:type="dxa"/>
          </w:tcPr>
          <w:p w14:paraId="6472FE24"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22</w:t>
            </w:r>
          </w:p>
        </w:tc>
        <w:tc>
          <w:tcPr>
            <w:tcW w:w="1156" w:type="dxa"/>
          </w:tcPr>
          <w:p w14:paraId="2A8C9507"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1.51, 0.98</w:t>
            </w:r>
          </w:p>
          <w:p w14:paraId="6E3E013C"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276" w:type="dxa"/>
          </w:tcPr>
          <w:p w14:paraId="5BC256E0"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1.51, 0.95</w:t>
            </w:r>
          </w:p>
          <w:p w14:paraId="498BC7C9"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(2H, m)</w:t>
            </w:r>
          </w:p>
        </w:tc>
        <w:tc>
          <w:tcPr>
            <w:tcW w:w="1134" w:type="dxa"/>
          </w:tcPr>
          <w:p w14:paraId="127C3FE4"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39.26</w:t>
            </w:r>
          </w:p>
        </w:tc>
        <w:tc>
          <w:tcPr>
            <w:tcW w:w="1026" w:type="dxa"/>
          </w:tcPr>
          <w:p w14:paraId="43ABC773" w14:textId="77777777" w:rsidR="001476BF" w:rsidRPr="00D0036E" w:rsidRDefault="001476BF" w:rsidP="00CF7A83">
            <w:pPr>
              <w:jc w:val="center"/>
              <w:rPr>
                <w:rFonts w:asciiTheme="majorBidi" w:hAnsiTheme="majorBidi" w:cstheme="majorBidi"/>
              </w:rPr>
            </w:pPr>
            <w:r w:rsidRPr="00D0036E">
              <w:rPr>
                <w:rFonts w:asciiTheme="majorBidi" w:hAnsiTheme="majorBidi" w:cstheme="majorBidi"/>
              </w:rPr>
              <w:t>39.2</w:t>
            </w:r>
          </w:p>
        </w:tc>
      </w:tr>
      <w:tr w:rsidR="001476BF" w:rsidRPr="00D0036E" w14:paraId="17B37E80" w14:textId="77777777" w:rsidTr="00216C33">
        <w:trPr>
          <w:trHeight w:val="962"/>
        </w:trPr>
        <w:tc>
          <w:tcPr>
            <w:tcW w:w="540" w:type="dxa"/>
          </w:tcPr>
          <w:p w14:paraId="5725D426"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23</w:t>
            </w:r>
          </w:p>
        </w:tc>
        <w:tc>
          <w:tcPr>
            <w:tcW w:w="1156" w:type="dxa"/>
          </w:tcPr>
          <w:p w14:paraId="6148A2C0"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0.88 (3H, d)</w:t>
            </w:r>
          </w:p>
        </w:tc>
        <w:tc>
          <w:tcPr>
            <w:tcW w:w="1276" w:type="dxa"/>
          </w:tcPr>
          <w:p w14:paraId="3A987DA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0.88 (3H, d)</w:t>
            </w:r>
          </w:p>
        </w:tc>
        <w:tc>
          <w:tcPr>
            <w:tcW w:w="1134" w:type="dxa"/>
          </w:tcPr>
          <w:p w14:paraId="0718A08C"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6.83</w:t>
            </w:r>
          </w:p>
        </w:tc>
        <w:tc>
          <w:tcPr>
            <w:tcW w:w="1026" w:type="dxa"/>
          </w:tcPr>
          <w:p w14:paraId="56D3D587"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7.0</w:t>
            </w:r>
          </w:p>
        </w:tc>
      </w:tr>
      <w:tr w:rsidR="001476BF" w:rsidRPr="00D0036E" w14:paraId="6CDD7D13" w14:textId="77777777" w:rsidTr="00216C33">
        <w:trPr>
          <w:trHeight w:val="541"/>
        </w:trPr>
        <w:tc>
          <w:tcPr>
            <w:tcW w:w="540" w:type="dxa"/>
          </w:tcPr>
          <w:p w14:paraId="5C08C1E6"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24</w:t>
            </w:r>
          </w:p>
        </w:tc>
        <w:tc>
          <w:tcPr>
            <w:tcW w:w="1156" w:type="dxa"/>
          </w:tcPr>
          <w:p w14:paraId="570386BF"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0.65 (3H, s)</w:t>
            </w:r>
          </w:p>
        </w:tc>
        <w:tc>
          <w:tcPr>
            <w:tcW w:w="1276" w:type="dxa"/>
          </w:tcPr>
          <w:p w14:paraId="3D552055"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0.73 (3H, s)</w:t>
            </w:r>
          </w:p>
        </w:tc>
        <w:tc>
          <w:tcPr>
            <w:tcW w:w="1134" w:type="dxa"/>
          </w:tcPr>
          <w:p w14:paraId="05C639A5"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14.66</w:t>
            </w:r>
          </w:p>
        </w:tc>
        <w:tc>
          <w:tcPr>
            <w:tcW w:w="1026" w:type="dxa"/>
          </w:tcPr>
          <w:p w14:paraId="209E1D79"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14.6</w:t>
            </w:r>
          </w:p>
        </w:tc>
      </w:tr>
      <w:tr w:rsidR="001476BF" w:rsidRPr="00D0036E" w14:paraId="589E47A0" w14:textId="77777777" w:rsidTr="00216C33">
        <w:trPr>
          <w:trHeight w:val="265"/>
        </w:trPr>
        <w:tc>
          <w:tcPr>
            <w:tcW w:w="540" w:type="dxa"/>
          </w:tcPr>
          <w:p w14:paraId="0814451B"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25</w:t>
            </w:r>
          </w:p>
        </w:tc>
        <w:tc>
          <w:tcPr>
            <w:tcW w:w="1156" w:type="dxa"/>
          </w:tcPr>
          <w:p w14:paraId="0CABD26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0.82</w:t>
            </w:r>
          </w:p>
        </w:tc>
        <w:tc>
          <w:tcPr>
            <w:tcW w:w="1276" w:type="dxa"/>
          </w:tcPr>
          <w:p w14:paraId="36B2CE92"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0.87</w:t>
            </w:r>
          </w:p>
        </w:tc>
        <w:tc>
          <w:tcPr>
            <w:tcW w:w="1134" w:type="dxa"/>
          </w:tcPr>
          <w:p w14:paraId="04AB9022"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17.95</w:t>
            </w:r>
          </w:p>
        </w:tc>
        <w:tc>
          <w:tcPr>
            <w:tcW w:w="1026" w:type="dxa"/>
          </w:tcPr>
          <w:p w14:paraId="44C51AB4"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17.9</w:t>
            </w:r>
          </w:p>
        </w:tc>
      </w:tr>
      <w:tr w:rsidR="001476BF" w:rsidRPr="00D0036E" w14:paraId="49C99FD2" w14:textId="77777777" w:rsidTr="00216C33">
        <w:trPr>
          <w:trHeight w:val="551"/>
        </w:trPr>
        <w:tc>
          <w:tcPr>
            <w:tcW w:w="540" w:type="dxa"/>
          </w:tcPr>
          <w:p w14:paraId="4B2EB5F7"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26</w:t>
            </w:r>
          </w:p>
        </w:tc>
        <w:tc>
          <w:tcPr>
            <w:tcW w:w="1156" w:type="dxa"/>
          </w:tcPr>
          <w:p w14:paraId="5A07B3B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1.11</w:t>
            </w:r>
          </w:p>
        </w:tc>
        <w:tc>
          <w:tcPr>
            <w:tcW w:w="1276" w:type="dxa"/>
          </w:tcPr>
          <w:p w14:paraId="7485B43D"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1.01</w:t>
            </w:r>
          </w:p>
        </w:tc>
        <w:tc>
          <w:tcPr>
            <w:tcW w:w="1134" w:type="dxa"/>
          </w:tcPr>
          <w:p w14:paraId="48607CAC"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20.26</w:t>
            </w:r>
          </w:p>
        </w:tc>
        <w:tc>
          <w:tcPr>
            <w:tcW w:w="1026" w:type="dxa"/>
          </w:tcPr>
          <w:p w14:paraId="389BBDB5"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20.2</w:t>
            </w:r>
          </w:p>
        </w:tc>
      </w:tr>
      <w:tr w:rsidR="001476BF" w:rsidRPr="00D0036E" w14:paraId="71E0ED22" w14:textId="77777777" w:rsidTr="00216C33">
        <w:trPr>
          <w:trHeight w:val="541"/>
        </w:trPr>
        <w:tc>
          <w:tcPr>
            <w:tcW w:w="540" w:type="dxa"/>
          </w:tcPr>
          <w:p w14:paraId="570517AD"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27</w:t>
            </w:r>
          </w:p>
        </w:tc>
        <w:tc>
          <w:tcPr>
            <w:tcW w:w="1156" w:type="dxa"/>
          </w:tcPr>
          <w:p w14:paraId="796A204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1.14</w:t>
            </w:r>
          </w:p>
        </w:tc>
        <w:tc>
          <w:tcPr>
            <w:tcW w:w="1276" w:type="dxa"/>
          </w:tcPr>
          <w:p w14:paraId="77649110"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1.05</w:t>
            </w:r>
          </w:p>
        </w:tc>
        <w:tc>
          <w:tcPr>
            <w:tcW w:w="1134" w:type="dxa"/>
          </w:tcPr>
          <w:p w14:paraId="681E1436"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18.67</w:t>
            </w:r>
          </w:p>
        </w:tc>
        <w:tc>
          <w:tcPr>
            <w:tcW w:w="1026" w:type="dxa"/>
          </w:tcPr>
          <w:p w14:paraId="64FA5021"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18.6</w:t>
            </w:r>
          </w:p>
        </w:tc>
      </w:tr>
      <w:tr w:rsidR="001476BF" w:rsidRPr="00D0036E" w14:paraId="38E2FAFF" w14:textId="77777777" w:rsidTr="00216C33">
        <w:trPr>
          <w:trHeight w:val="541"/>
        </w:trPr>
        <w:tc>
          <w:tcPr>
            <w:tcW w:w="540" w:type="dxa"/>
          </w:tcPr>
          <w:p w14:paraId="5CF627D0"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28</w:t>
            </w:r>
          </w:p>
        </w:tc>
        <w:tc>
          <w:tcPr>
            <w:tcW w:w="1156" w:type="dxa"/>
          </w:tcPr>
          <w:p w14:paraId="6A623725"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1.19</w:t>
            </w:r>
          </w:p>
        </w:tc>
        <w:tc>
          <w:tcPr>
            <w:tcW w:w="1276" w:type="dxa"/>
          </w:tcPr>
          <w:p w14:paraId="54EA6573"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1.18</w:t>
            </w:r>
          </w:p>
        </w:tc>
        <w:tc>
          <w:tcPr>
            <w:tcW w:w="1134" w:type="dxa"/>
          </w:tcPr>
          <w:p w14:paraId="3F42D2E8"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32.09</w:t>
            </w:r>
          </w:p>
        </w:tc>
        <w:tc>
          <w:tcPr>
            <w:tcW w:w="1026" w:type="dxa"/>
          </w:tcPr>
          <w:p w14:paraId="01A1D7DD"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32.1</w:t>
            </w:r>
          </w:p>
        </w:tc>
      </w:tr>
      <w:tr w:rsidR="001476BF" w:rsidRPr="00D0036E" w14:paraId="4F36ABE8" w14:textId="77777777" w:rsidTr="00216C33">
        <w:trPr>
          <w:trHeight w:val="541"/>
        </w:trPr>
        <w:tc>
          <w:tcPr>
            <w:tcW w:w="540" w:type="dxa"/>
          </w:tcPr>
          <w:p w14:paraId="76C3EDF0"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29</w:t>
            </w:r>
          </w:p>
        </w:tc>
        <w:tc>
          <w:tcPr>
            <w:tcW w:w="1156" w:type="dxa"/>
          </w:tcPr>
          <w:p w14:paraId="558C0BAB"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1.16</w:t>
            </w:r>
          </w:p>
        </w:tc>
        <w:tc>
          <w:tcPr>
            <w:tcW w:w="1276" w:type="dxa"/>
          </w:tcPr>
          <w:p w14:paraId="78A88625"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1.00</w:t>
            </w:r>
          </w:p>
        </w:tc>
        <w:tc>
          <w:tcPr>
            <w:tcW w:w="1134" w:type="dxa"/>
          </w:tcPr>
          <w:p w14:paraId="742F3046"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35.03</w:t>
            </w:r>
          </w:p>
        </w:tc>
        <w:tc>
          <w:tcPr>
            <w:tcW w:w="1026" w:type="dxa"/>
          </w:tcPr>
          <w:p w14:paraId="515BF0EE"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35.0</w:t>
            </w:r>
          </w:p>
        </w:tc>
      </w:tr>
      <w:tr w:rsidR="001476BF" w:rsidRPr="00D0036E" w14:paraId="0CE272AC" w14:textId="77777777" w:rsidTr="00216C33">
        <w:trPr>
          <w:trHeight w:val="551"/>
        </w:trPr>
        <w:tc>
          <w:tcPr>
            <w:tcW w:w="540" w:type="dxa"/>
          </w:tcPr>
          <w:p w14:paraId="7F6DCE20" w14:textId="77777777" w:rsidR="001476BF" w:rsidRPr="00D0036E" w:rsidRDefault="001476BF" w:rsidP="00CF7A83">
            <w:pPr>
              <w:tabs>
                <w:tab w:val="left" w:pos="8240"/>
              </w:tabs>
              <w:jc w:val="both"/>
              <w:rPr>
                <w:rFonts w:asciiTheme="majorBidi" w:hAnsiTheme="majorBidi" w:cstheme="majorBidi"/>
              </w:rPr>
            </w:pPr>
            <w:r w:rsidRPr="00D0036E">
              <w:rPr>
                <w:rFonts w:asciiTheme="majorBidi" w:hAnsiTheme="majorBidi" w:cstheme="majorBidi"/>
              </w:rPr>
              <w:t>30</w:t>
            </w:r>
          </w:p>
        </w:tc>
        <w:tc>
          <w:tcPr>
            <w:tcW w:w="1156" w:type="dxa"/>
          </w:tcPr>
          <w:p w14:paraId="3289A294"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0.93</w:t>
            </w:r>
          </w:p>
        </w:tc>
        <w:tc>
          <w:tcPr>
            <w:tcW w:w="1276" w:type="dxa"/>
          </w:tcPr>
          <w:p w14:paraId="652ED278" w14:textId="77777777" w:rsidR="001476BF" w:rsidRPr="00D0036E" w:rsidRDefault="001476BF" w:rsidP="00CF7A83">
            <w:pPr>
              <w:tabs>
                <w:tab w:val="left" w:pos="8240"/>
              </w:tabs>
              <w:jc w:val="center"/>
              <w:rPr>
                <w:rFonts w:asciiTheme="majorBidi" w:hAnsiTheme="majorBidi" w:cstheme="majorBidi"/>
                <w:b/>
                <w:bCs/>
                <w:u w:val="single"/>
              </w:rPr>
            </w:pPr>
            <w:r w:rsidRPr="00D0036E">
              <w:rPr>
                <w:rFonts w:asciiTheme="majorBidi" w:hAnsiTheme="majorBidi" w:cstheme="majorBidi"/>
              </w:rPr>
              <w:t>0.94</w:t>
            </w:r>
          </w:p>
        </w:tc>
        <w:tc>
          <w:tcPr>
            <w:tcW w:w="1134" w:type="dxa"/>
          </w:tcPr>
          <w:p w14:paraId="504D231B"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31.79</w:t>
            </w:r>
          </w:p>
        </w:tc>
        <w:tc>
          <w:tcPr>
            <w:tcW w:w="1026" w:type="dxa"/>
          </w:tcPr>
          <w:p w14:paraId="3A4890A9" w14:textId="77777777" w:rsidR="001476BF" w:rsidRPr="00D0036E" w:rsidRDefault="001476BF" w:rsidP="00CF7A83">
            <w:pPr>
              <w:tabs>
                <w:tab w:val="left" w:pos="8240"/>
              </w:tabs>
              <w:jc w:val="center"/>
              <w:rPr>
                <w:rFonts w:asciiTheme="majorBidi" w:hAnsiTheme="majorBidi" w:cstheme="majorBidi"/>
              </w:rPr>
            </w:pPr>
            <w:r w:rsidRPr="00D0036E">
              <w:rPr>
                <w:rFonts w:asciiTheme="majorBidi" w:hAnsiTheme="majorBidi" w:cstheme="majorBidi"/>
              </w:rPr>
              <w:t>31.8</w:t>
            </w:r>
          </w:p>
        </w:tc>
      </w:tr>
    </w:tbl>
    <w:p w14:paraId="384C01D6" w14:textId="77777777" w:rsidR="001476BF" w:rsidRPr="00D0036E" w:rsidRDefault="001476BF" w:rsidP="001476BF"/>
    <w:p w14:paraId="6210C394" w14:textId="01A76DAB" w:rsidR="00216C33" w:rsidRPr="00D0036E" w:rsidRDefault="00216C33" w:rsidP="00216C33">
      <w:pPr>
        <w:rPr>
          <w:rFonts w:asciiTheme="majorBidi" w:hAnsiTheme="majorBidi" w:cstheme="majorBidi"/>
          <w:sz w:val="20"/>
          <w:szCs w:val="20"/>
        </w:rPr>
      </w:pPr>
      <w:r w:rsidRPr="00D0036E">
        <w:rPr>
          <w:rFonts w:asciiTheme="majorBidi" w:hAnsiTheme="majorBidi" w:cstheme="majorBidi"/>
          <w:sz w:val="20"/>
          <w:szCs w:val="20"/>
        </w:rPr>
        <w:t xml:space="preserve">Φ </w:t>
      </w:r>
      <w:bookmarkStart w:id="17" w:name="_Hlk114858844"/>
      <w:r w:rsidRPr="00D0036E">
        <w:rPr>
          <w:rFonts w:asciiTheme="majorBidi" w:hAnsiTheme="majorBidi" w:cstheme="majorBidi"/>
          <w:sz w:val="20"/>
          <w:szCs w:val="20"/>
        </w:rPr>
        <w:t xml:space="preserve">→ </w:t>
      </w:r>
      <w:bookmarkEnd w:id="17"/>
      <w:r w:rsidRPr="00D0036E">
        <w:rPr>
          <w:rFonts w:asciiTheme="majorBidi" w:hAnsiTheme="majorBidi" w:cstheme="majorBidi"/>
          <w:sz w:val="20"/>
          <w:szCs w:val="20"/>
        </w:rPr>
        <w:t xml:space="preserve">isolated compounds, # → data from literature </w:t>
      </w:r>
      <w:r w:rsidRPr="00D0036E">
        <w:rPr>
          <w:rFonts w:asciiTheme="majorBidi" w:hAnsiTheme="majorBidi" w:cstheme="majorBidi"/>
          <w:sz w:val="20"/>
          <w:szCs w:val="20"/>
        </w:rPr>
        <w:fldChar w:fldCharType="begin"/>
      </w:r>
      <w:r w:rsidR="007A10D8" w:rsidRPr="00D0036E">
        <w:rPr>
          <w:rFonts w:asciiTheme="majorBidi" w:hAnsiTheme="majorBidi" w:cstheme="majorBidi"/>
          <w:sz w:val="20"/>
          <w:szCs w:val="20"/>
        </w:rPr>
        <w:instrText xml:space="preserve"> ADDIN EN.CITE &lt;EndNote&gt;&lt;Cite&gt;&lt;Author&gt;Mann&lt;/Author&gt;&lt;Year&gt;2011&lt;/Year&gt;&lt;RecNum&gt;35&lt;/RecNum&gt;&lt;DisplayText&gt;[13]&lt;/DisplayText&gt;&lt;record&gt;&lt;rec-number&gt;35&lt;/rec-number&gt;&lt;foreign-keys&gt;&lt;key app="EN" db-id="e05xvdww8pd2zqeas51xw0wrz20209ts0p9a" timestamp="1663959612"&gt;35&lt;/key&gt;&lt;/foreign-keys&gt;&lt;ref-type name="Journal Article"&gt;17&lt;/ref-type&gt;&lt;contributors&gt;&lt;authors&gt;&lt;author&gt;Mann, Abdullahi&lt;/author&gt;&lt;author&gt;Ibrahim, Kolo&lt;/author&gt;&lt;author&gt;Oyewale, Adebayo O&lt;/author&gt;&lt;author&gt;Amupitan, Joseph O&lt;/author&gt;&lt;author&gt;Fatope, Majekodumi O&lt;/author&gt;&lt;author&gt;Okogun, Joseph I %J American Journal of Chemistry&lt;/author&gt;&lt;/authors&gt;&lt;/contributors&gt;&lt;titles&gt;&lt;title&gt;Antimycobacterial friedelane-terpenoid from the root bark of Terminalia avicennioides&lt;/title&gt;&lt;/titles&gt;&lt;pages&gt;52-55&lt;/pages&gt;&lt;volume&gt;1&lt;/volume&gt;&lt;number&gt;2&lt;/number&gt;&lt;dates&gt;&lt;year&gt;2011&lt;/year&gt;&lt;/dates&gt;&lt;urls&gt;&lt;/urls&gt;&lt;/record&gt;&lt;/Cite&gt;&lt;/EndNote&gt;</w:instrText>
      </w:r>
      <w:r w:rsidRPr="00D0036E">
        <w:rPr>
          <w:rFonts w:asciiTheme="majorBidi" w:hAnsiTheme="majorBidi" w:cstheme="majorBidi"/>
          <w:sz w:val="20"/>
          <w:szCs w:val="20"/>
        </w:rPr>
        <w:fldChar w:fldCharType="separate"/>
      </w:r>
      <w:r w:rsidR="007A10D8" w:rsidRPr="00D0036E">
        <w:rPr>
          <w:rFonts w:asciiTheme="majorBidi" w:hAnsiTheme="majorBidi" w:cstheme="majorBidi"/>
          <w:noProof/>
          <w:sz w:val="20"/>
          <w:szCs w:val="20"/>
        </w:rPr>
        <w:t>[13]</w:t>
      </w:r>
      <w:r w:rsidRPr="00D0036E">
        <w:rPr>
          <w:rFonts w:asciiTheme="majorBidi" w:hAnsiTheme="majorBidi" w:cstheme="majorBidi"/>
          <w:sz w:val="20"/>
          <w:szCs w:val="20"/>
        </w:rPr>
        <w:fldChar w:fldCharType="end"/>
      </w:r>
      <w:r w:rsidRPr="00D0036E">
        <w:rPr>
          <w:rFonts w:asciiTheme="majorBidi" w:hAnsiTheme="majorBidi" w:cstheme="majorBidi"/>
          <w:sz w:val="20"/>
          <w:szCs w:val="20"/>
        </w:rPr>
        <w:t>.</w:t>
      </w:r>
    </w:p>
    <w:p w14:paraId="482DDBEF" w14:textId="1D5EC3D1" w:rsidR="007A10D8" w:rsidRPr="00D0036E" w:rsidRDefault="007A10D8" w:rsidP="007A10D8">
      <w:pPr>
        <w:spacing w:after="0" w:line="360" w:lineRule="auto"/>
        <w:jc w:val="both"/>
        <w:rPr>
          <w:rFonts w:asciiTheme="majorBidi" w:hAnsiTheme="majorBidi" w:cstheme="majorBidi"/>
          <w:b/>
          <w:bCs/>
          <w:color w:val="212121"/>
          <w:sz w:val="24"/>
          <w:szCs w:val="24"/>
          <w:shd w:val="clear" w:color="auto" w:fill="FFFFFF"/>
        </w:rPr>
      </w:pPr>
      <w:r w:rsidRPr="00D0036E">
        <w:rPr>
          <w:rFonts w:asciiTheme="majorBidi" w:hAnsiTheme="majorBidi" w:cstheme="majorBidi"/>
          <w:b/>
          <w:bCs/>
          <w:color w:val="212121"/>
          <w:sz w:val="24"/>
          <w:szCs w:val="24"/>
          <w:shd w:val="clear" w:color="auto" w:fill="FFFFFF"/>
        </w:rPr>
        <w:t xml:space="preserve">Table S2. Primers sequences of the target genes of MRSA isolates </w:t>
      </w: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4289"/>
        <w:gridCol w:w="1843"/>
        <w:gridCol w:w="1311"/>
      </w:tblGrid>
      <w:tr w:rsidR="007A10D8" w:rsidRPr="00D0036E" w14:paraId="29797EB6" w14:textId="77777777" w:rsidTr="00E77946">
        <w:trPr>
          <w:trHeight w:val="505"/>
          <w:jc w:val="center"/>
        </w:trPr>
        <w:tc>
          <w:tcPr>
            <w:tcW w:w="1565" w:type="dxa"/>
            <w:vMerge w:val="restart"/>
            <w:shd w:val="clear" w:color="auto" w:fill="auto"/>
          </w:tcPr>
          <w:p w14:paraId="225B2D87" w14:textId="77777777" w:rsidR="007A10D8" w:rsidRPr="00D0036E" w:rsidRDefault="007A10D8" w:rsidP="00E77946">
            <w:pPr>
              <w:spacing w:before="120" w:after="0" w:line="240" w:lineRule="auto"/>
              <w:jc w:val="center"/>
              <w:rPr>
                <w:rFonts w:asciiTheme="majorBidi" w:hAnsiTheme="majorBidi" w:cstheme="majorBidi"/>
                <w:b/>
                <w:bCs/>
              </w:rPr>
            </w:pPr>
            <w:r w:rsidRPr="00D0036E">
              <w:rPr>
                <w:rFonts w:asciiTheme="majorBidi" w:hAnsiTheme="majorBidi" w:cstheme="majorBidi"/>
                <w:b/>
                <w:bCs/>
              </w:rPr>
              <w:t>Target gene</w:t>
            </w:r>
          </w:p>
        </w:tc>
        <w:tc>
          <w:tcPr>
            <w:tcW w:w="4289" w:type="dxa"/>
            <w:vMerge w:val="restart"/>
            <w:shd w:val="clear" w:color="auto" w:fill="auto"/>
          </w:tcPr>
          <w:p w14:paraId="1EEE5562" w14:textId="77777777" w:rsidR="007A10D8" w:rsidRPr="00D0036E" w:rsidRDefault="007A10D8" w:rsidP="00E77946">
            <w:pPr>
              <w:spacing w:before="120" w:after="0" w:line="240" w:lineRule="auto"/>
              <w:jc w:val="center"/>
              <w:rPr>
                <w:rFonts w:asciiTheme="majorBidi" w:hAnsiTheme="majorBidi" w:cstheme="majorBidi"/>
                <w:b/>
                <w:bCs/>
              </w:rPr>
            </w:pPr>
            <w:r w:rsidRPr="00D0036E">
              <w:rPr>
                <w:rFonts w:asciiTheme="majorBidi" w:hAnsiTheme="majorBidi" w:cstheme="majorBidi"/>
                <w:b/>
                <w:bCs/>
              </w:rPr>
              <w:t>Primers sequences</w:t>
            </w:r>
          </w:p>
        </w:tc>
        <w:tc>
          <w:tcPr>
            <w:tcW w:w="1843" w:type="dxa"/>
            <w:vMerge w:val="restart"/>
            <w:shd w:val="clear" w:color="auto" w:fill="auto"/>
          </w:tcPr>
          <w:p w14:paraId="384E5310" w14:textId="77777777" w:rsidR="007A10D8" w:rsidRPr="00D0036E" w:rsidRDefault="007A10D8" w:rsidP="00E77946">
            <w:pPr>
              <w:spacing w:before="120" w:after="0" w:line="240" w:lineRule="auto"/>
              <w:jc w:val="center"/>
              <w:rPr>
                <w:rFonts w:asciiTheme="majorBidi" w:hAnsiTheme="majorBidi" w:cstheme="majorBidi"/>
                <w:b/>
                <w:bCs/>
              </w:rPr>
            </w:pPr>
            <w:r w:rsidRPr="00D0036E">
              <w:rPr>
                <w:rFonts w:asciiTheme="majorBidi" w:hAnsiTheme="majorBidi" w:cstheme="majorBidi"/>
                <w:b/>
                <w:bCs/>
              </w:rPr>
              <w:t>Amplified segment (bp)</w:t>
            </w:r>
          </w:p>
        </w:tc>
        <w:tc>
          <w:tcPr>
            <w:tcW w:w="1311" w:type="dxa"/>
            <w:vMerge w:val="restart"/>
            <w:shd w:val="clear" w:color="auto" w:fill="auto"/>
          </w:tcPr>
          <w:p w14:paraId="2FD56B13" w14:textId="77777777" w:rsidR="007A10D8" w:rsidRPr="00D0036E" w:rsidRDefault="007A10D8" w:rsidP="00E77946">
            <w:pPr>
              <w:spacing w:before="120" w:after="0" w:line="240" w:lineRule="auto"/>
              <w:jc w:val="center"/>
              <w:rPr>
                <w:rFonts w:asciiTheme="majorBidi" w:hAnsiTheme="majorBidi" w:cstheme="majorBidi"/>
                <w:b/>
                <w:bCs/>
              </w:rPr>
            </w:pPr>
            <w:r w:rsidRPr="00D0036E">
              <w:rPr>
                <w:rFonts w:asciiTheme="majorBidi" w:hAnsiTheme="majorBidi" w:cstheme="majorBidi"/>
                <w:b/>
                <w:bCs/>
              </w:rPr>
              <w:t>Reference</w:t>
            </w:r>
          </w:p>
        </w:tc>
      </w:tr>
      <w:tr w:rsidR="007A10D8" w:rsidRPr="00D0036E" w14:paraId="019D07AC" w14:textId="77777777" w:rsidTr="00E77946">
        <w:trPr>
          <w:trHeight w:val="545"/>
          <w:jc w:val="center"/>
        </w:trPr>
        <w:tc>
          <w:tcPr>
            <w:tcW w:w="1565" w:type="dxa"/>
            <w:vMerge/>
            <w:shd w:val="clear" w:color="auto" w:fill="auto"/>
          </w:tcPr>
          <w:p w14:paraId="34FED88C" w14:textId="77777777" w:rsidR="007A10D8" w:rsidRPr="00D0036E" w:rsidRDefault="007A10D8" w:rsidP="00E77946">
            <w:pPr>
              <w:spacing w:before="120" w:after="0" w:line="240" w:lineRule="auto"/>
              <w:jc w:val="both"/>
              <w:rPr>
                <w:rFonts w:asciiTheme="majorBidi" w:hAnsiTheme="majorBidi" w:cstheme="majorBidi"/>
                <w:b/>
                <w:bCs/>
              </w:rPr>
            </w:pPr>
          </w:p>
        </w:tc>
        <w:tc>
          <w:tcPr>
            <w:tcW w:w="4289" w:type="dxa"/>
            <w:vMerge/>
            <w:shd w:val="clear" w:color="auto" w:fill="auto"/>
          </w:tcPr>
          <w:p w14:paraId="2FC630D4" w14:textId="77777777" w:rsidR="007A10D8" w:rsidRPr="00D0036E" w:rsidRDefault="007A10D8" w:rsidP="00E77946">
            <w:pPr>
              <w:spacing w:before="120" w:after="0" w:line="240" w:lineRule="auto"/>
              <w:jc w:val="both"/>
              <w:rPr>
                <w:rFonts w:asciiTheme="majorBidi" w:hAnsiTheme="majorBidi" w:cstheme="majorBidi"/>
                <w:b/>
                <w:bCs/>
              </w:rPr>
            </w:pPr>
          </w:p>
        </w:tc>
        <w:tc>
          <w:tcPr>
            <w:tcW w:w="1843" w:type="dxa"/>
            <w:vMerge/>
            <w:shd w:val="clear" w:color="auto" w:fill="auto"/>
          </w:tcPr>
          <w:p w14:paraId="614BF0CF" w14:textId="77777777" w:rsidR="007A10D8" w:rsidRPr="00D0036E" w:rsidRDefault="007A10D8" w:rsidP="00E77946">
            <w:pPr>
              <w:spacing w:before="120" w:after="0" w:line="240" w:lineRule="auto"/>
              <w:jc w:val="both"/>
              <w:rPr>
                <w:rFonts w:asciiTheme="majorBidi" w:hAnsiTheme="majorBidi" w:cstheme="majorBidi"/>
                <w:b/>
                <w:bCs/>
              </w:rPr>
            </w:pPr>
          </w:p>
        </w:tc>
        <w:tc>
          <w:tcPr>
            <w:tcW w:w="1311" w:type="dxa"/>
            <w:vMerge/>
            <w:shd w:val="clear" w:color="auto" w:fill="auto"/>
          </w:tcPr>
          <w:p w14:paraId="39620D17"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56E9CD25" w14:textId="77777777" w:rsidTr="00E77946">
        <w:trPr>
          <w:trHeight w:val="398"/>
          <w:jc w:val="center"/>
        </w:trPr>
        <w:tc>
          <w:tcPr>
            <w:tcW w:w="1565" w:type="dxa"/>
            <w:vMerge w:val="restart"/>
            <w:shd w:val="clear" w:color="auto" w:fill="auto"/>
          </w:tcPr>
          <w:p w14:paraId="003BFC93"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mecA</w:t>
            </w:r>
          </w:p>
        </w:tc>
        <w:tc>
          <w:tcPr>
            <w:tcW w:w="4289" w:type="dxa"/>
            <w:shd w:val="clear" w:color="auto" w:fill="auto"/>
          </w:tcPr>
          <w:p w14:paraId="18553187"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GTA GAA ATG ACT GAA CGT CCG ATA A</w:t>
            </w:r>
          </w:p>
        </w:tc>
        <w:tc>
          <w:tcPr>
            <w:tcW w:w="1843" w:type="dxa"/>
            <w:vMerge w:val="restart"/>
            <w:shd w:val="clear" w:color="auto" w:fill="auto"/>
          </w:tcPr>
          <w:p w14:paraId="1759C7C5"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310</w:t>
            </w:r>
          </w:p>
        </w:tc>
        <w:tc>
          <w:tcPr>
            <w:tcW w:w="1311" w:type="dxa"/>
            <w:vMerge w:val="restart"/>
            <w:shd w:val="clear" w:color="auto" w:fill="auto"/>
          </w:tcPr>
          <w:p w14:paraId="6A5195B9" w14:textId="30F6E0ED" w:rsidR="007A10D8" w:rsidRPr="00D0036E" w:rsidRDefault="007A10D8" w:rsidP="00E77946">
            <w:pPr>
              <w:tabs>
                <w:tab w:val="center" w:pos="777"/>
              </w:tabs>
              <w:spacing w:before="120" w:after="0" w:line="240" w:lineRule="auto"/>
              <w:rPr>
                <w:rFonts w:asciiTheme="majorBidi" w:hAnsiTheme="majorBidi" w:cstheme="majorBidi"/>
                <w:b/>
                <w:bCs/>
              </w:rPr>
            </w:pPr>
            <w:r w:rsidRPr="00D0036E">
              <w:rPr>
                <w:rFonts w:asciiTheme="majorBidi" w:hAnsiTheme="majorBidi" w:cstheme="majorBidi"/>
                <w:b/>
                <w:bCs/>
              </w:rPr>
              <w:fldChar w:fldCharType="begin"/>
            </w:r>
            <w:r w:rsidRPr="00D0036E">
              <w:rPr>
                <w:rFonts w:asciiTheme="majorBidi" w:hAnsiTheme="majorBidi" w:cstheme="majorBidi"/>
                <w:b/>
                <w:bCs/>
              </w:rPr>
              <w:instrText xml:space="preserve"> ADDIN EN.CITE &lt;EndNote&gt;&lt;Cite&gt;&lt;Author&gt;McClure&lt;/Author&gt;&lt;Year&gt;2006&lt;/Year&gt;&lt;RecNum&gt;809&lt;/RecNum&gt;&lt;DisplayText&gt;[14]&lt;/DisplayText&gt;&lt;record&gt;&lt;rec-number&gt;809&lt;/rec-number&gt;&lt;foreign-keys&gt;&lt;key app="EN" db-id="s22fs5xsds9rvmep05i5das05ezxwt59p0fx" timestamp="1696305947"&gt;809&lt;/key&gt;&lt;/foreign-keys&gt;&lt;ref-type name="Journal Article"&gt;17&lt;/ref-type&gt;&lt;contributors&gt;&lt;authors&gt;&lt;author&gt;McClure, Jo-Ann&lt;/author&gt;&lt;author&gt;Conly, John M&lt;/author&gt;&lt;author&gt;Lau, Vicky&lt;/author&gt;&lt;author&gt;Elsayed, Sameer&lt;/author&gt;&lt;author&gt;Louie, Thomas&lt;/author&gt;&lt;author&gt;Hutchins, Wendy&lt;/author&gt;&lt;author&gt;Zhang, Kunyan&lt;/author&gt;&lt;/authors&gt;&lt;/contributors&gt;&lt;titles&gt;&lt;title&gt;Novel multiplex PCR assay for detection of the staphylococcal virulence marker Panton-Valentine leukocidin genes and simultaneous discrimination of methicillin-susceptible from-resistant staphylococci&lt;/title&gt;&lt;secondary-title&gt;Journal of clinical microbiology&lt;/secondary-title&gt;&lt;/titles&gt;&lt;periodical&gt;&lt;full-title&gt;Journal of clinical microbiology&lt;/full-title&gt;&lt;/periodical&gt;&lt;pages&gt;1141-1144&lt;/pages&gt;&lt;volume&gt;44&lt;/volume&gt;&lt;number&gt;3&lt;/number&gt;&lt;dates&gt;&lt;year&gt;2006&lt;/year&gt;&lt;/dates&gt;&lt;isbn&gt;0095-1137&lt;/isbn&gt;&lt;urls&gt;&lt;/urls&gt;&lt;/record&gt;&lt;/Cite&gt;&lt;/EndNote&gt;</w:instrText>
            </w:r>
            <w:r w:rsidRPr="00D0036E">
              <w:rPr>
                <w:rFonts w:asciiTheme="majorBidi" w:hAnsiTheme="majorBidi" w:cstheme="majorBidi"/>
                <w:b/>
                <w:bCs/>
              </w:rPr>
              <w:fldChar w:fldCharType="separate"/>
            </w:r>
            <w:r w:rsidRPr="00D0036E">
              <w:rPr>
                <w:rFonts w:asciiTheme="majorBidi" w:hAnsiTheme="majorBidi" w:cstheme="majorBidi"/>
                <w:b/>
                <w:bCs/>
                <w:noProof/>
              </w:rPr>
              <w:t>[14]</w:t>
            </w:r>
            <w:r w:rsidRPr="00D0036E">
              <w:rPr>
                <w:rFonts w:asciiTheme="majorBidi" w:hAnsiTheme="majorBidi" w:cstheme="majorBidi"/>
                <w:b/>
                <w:bCs/>
              </w:rPr>
              <w:fldChar w:fldCharType="end"/>
            </w:r>
          </w:p>
        </w:tc>
      </w:tr>
      <w:tr w:rsidR="007A10D8" w:rsidRPr="00D0036E" w14:paraId="1DECE1A5" w14:textId="77777777" w:rsidTr="00E77946">
        <w:trPr>
          <w:trHeight w:val="397"/>
          <w:jc w:val="center"/>
        </w:trPr>
        <w:tc>
          <w:tcPr>
            <w:tcW w:w="1565" w:type="dxa"/>
            <w:vMerge/>
            <w:shd w:val="clear" w:color="auto" w:fill="auto"/>
          </w:tcPr>
          <w:p w14:paraId="626FF6B5"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7C5857AA"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CCA ATT CCA CAT TGT TTC GGT CTA A</w:t>
            </w:r>
          </w:p>
        </w:tc>
        <w:tc>
          <w:tcPr>
            <w:tcW w:w="1843" w:type="dxa"/>
            <w:vMerge/>
            <w:shd w:val="clear" w:color="auto" w:fill="auto"/>
          </w:tcPr>
          <w:p w14:paraId="642813C2"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708AF52E"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280D6FB6" w14:textId="77777777" w:rsidTr="00E77946">
        <w:trPr>
          <w:trHeight w:val="207"/>
          <w:jc w:val="center"/>
        </w:trPr>
        <w:tc>
          <w:tcPr>
            <w:tcW w:w="1565" w:type="dxa"/>
            <w:vMerge w:val="restart"/>
            <w:shd w:val="clear" w:color="auto" w:fill="auto"/>
          </w:tcPr>
          <w:p w14:paraId="23993B34"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Seb</w:t>
            </w:r>
          </w:p>
        </w:tc>
        <w:tc>
          <w:tcPr>
            <w:tcW w:w="4289" w:type="dxa"/>
            <w:shd w:val="clear" w:color="auto" w:fill="auto"/>
          </w:tcPr>
          <w:p w14:paraId="4880FF93"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GTATGGTGGTGTAACTGAGC</w:t>
            </w:r>
          </w:p>
        </w:tc>
        <w:tc>
          <w:tcPr>
            <w:tcW w:w="1843" w:type="dxa"/>
            <w:vMerge w:val="restart"/>
            <w:shd w:val="clear" w:color="auto" w:fill="auto"/>
          </w:tcPr>
          <w:p w14:paraId="17D98166"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164</w:t>
            </w:r>
          </w:p>
        </w:tc>
        <w:tc>
          <w:tcPr>
            <w:tcW w:w="1311" w:type="dxa"/>
            <w:vMerge w:val="restart"/>
            <w:shd w:val="clear" w:color="auto" w:fill="auto"/>
          </w:tcPr>
          <w:p w14:paraId="0E45D51D" w14:textId="3E9E475D" w:rsidR="007A10D8" w:rsidRPr="00D0036E" w:rsidRDefault="007A10D8" w:rsidP="00E77946">
            <w:pPr>
              <w:spacing w:before="120" w:after="0" w:line="240" w:lineRule="auto"/>
              <w:jc w:val="both"/>
              <w:rPr>
                <w:rFonts w:asciiTheme="majorBidi" w:hAnsiTheme="majorBidi" w:cstheme="majorBidi"/>
                <w:b/>
                <w:bCs/>
              </w:rPr>
            </w:pPr>
            <w:r w:rsidRPr="00D0036E">
              <w:rPr>
                <w:rFonts w:asciiTheme="majorBidi" w:hAnsiTheme="majorBidi" w:cstheme="majorBidi"/>
                <w:b/>
                <w:bCs/>
              </w:rPr>
              <w:fldChar w:fldCharType="begin"/>
            </w:r>
            <w:r w:rsidRPr="00D0036E">
              <w:rPr>
                <w:rFonts w:asciiTheme="majorBidi" w:hAnsiTheme="majorBidi" w:cstheme="majorBidi"/>
                <w:b/>
                <w:bCs/>
              </w:rPr>
              <w:instrText xml:space="preserve"> ADDIN EN.CITE &lt;EndNote&gt;&lt;Cite&gt;&lt;Author&gt;Mehrotra&lt;/Author&gt;&lt;Year&gt;2000&lt;/Year&gt;&lt;RecNum&gt;810&lt;/RecNum&gt;&lt;DisplayText&gt;[15]&lt;/DisplayText&gt;&lt;record&gt;&lt;rec-number&gt;810&lt;/rec-number&gt;&lt;foreign-keys&gt;&lt;key app="EN" db-id="s22fs5xsds9rvmep05i5das05ezxwt59p0fx" timestamp="1696306074"&gt;810&lt;/key&gt;&lt;/foreign-keys&gt;&lt;ref-type name="Journal Article"&gt;17&lt;/ref-type&gt;&lt;contributors&gt;&lt;authors&gt;&lt;author&gt;Mehrotra, Manisha&lt;/author&gt;&lt;author&gt;Wang, Gehua&lt;/author&gt;&lt;author&gt;Johnson, Wendy M&lt;/author&gt;&lt;/authors&gt;&lt;/contributors&gt;&lt;titles&gt;&lt;title&gt;Multiplex PCR for detection of genes for Staphylococcus aureus enterotoxins, exfoliative toxins, toxic shock syndrome toxin 1, and methicillin resistance&lt;/title&gt;&lt;secondary-title&gt;Journal of clinical microbiology&lt;/secondary-title&gt;&lt;/titles&gt;&lt;periodical&gt;&lt;full-title&gt;Journal of clinical microbiology&lt;/full-title&gt;&lt;/periodical&gt;&lt;pages&gt;1032-1035&lt;/pages&gt;&lt;volume&gt;38&lt;/volume&gt;&lt;number&gt;3&lt;/number&gt;&lt;dates&gt;&lt;year&gt;2000&lt;/year&gt;&lt;/dates&gt;&lt;isbn&gt;1098-660X&lt;/isbn&gt;&lt;urls&gt;&lt;/urls&gt;&lt;/record&gt;&lt;/Cite&gt;&lt;/EndNote&gt;</w:instrText>
            </w:r>
            <w:r w:rsidRPr="00D0036E">
              <w:rPr>
                <w:rFonts w:asciiTheme="majorBidi" w:hAnsiTheme="majorBidi" w:cstheme="majorBidi"/>
                <w:b/>
                <w:bCs/>
              </w:rPr>
              <w:fldChar w:fldCharType="separate"/>
            </w:r>
            <w:r w:rsidRPr="00D0036E">
              <w:rPr>
                <w:rFonts w:asciiTheme="majorBidi" w:hAnsiTheme="majorBidi" w:cstheme="majorBidi"/>
                <w:b/>
                <w:bCs/>
                <w:noProof/>
              </w:rPr>
              <w:t>[15]</w:t>
            </w:r>
            <w:r w:rsidRPr="00D0036E">
              <w:rPr>
                <w:rFonts w:asciiTheme="majorBidi" w:hAnsiTheme="majorBidi" w:cstheme="majorBidi"/>
                <w:b/>
                <w:bCs/>
              </w:rPr>
              <w:fldChar w:fldCharType="end"/>
            </w:r>
          </w:p>
        </w:tc>
      </w:tr>
      <w:tr w:rsidR="007A10D8" w:rsidRPr="00D0036E" w14:paraId="57437D6A" w14:textId="77777777" w:rsidTr="00E77946">
        <w:trPr>
          <w:trHeight w:val="326"/>
          <w:jc w:val="center"/>
        </w:trPr>
        <w:tc>
          <w:tcPr>
            <w:tcW w:w="1565" w:type="dxa"/>
            <w:vMerge/>
            <w:shd w:val="clear" w:color="auto" w:fill="auto"/>
          </w:tcPr>
          <w:p w14:paraId="2683591C"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17FE3F4C"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CCAAATAGTGACGAGTTAGG</w:t>
            </w:r>
          </w:p>
        </w:tc>
        <w:tc>
          <w:tcPr>
            <w:tcW w:w="1843" w:type="dxa"/>
            <w:vMerge/>
            <w:shd w:val="clear" w:color="auto" w:fill="auto"/>
          </w:tcPr>
          <w:p w14:paraId="0FCEFBF6"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12A4CC6F"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6A9F5E49" w14:textId="77777777" w:rsidTr="00E77946">
        <w:trPr>
          <w:trHeight w:val="168"/>
          <w:jc w:val="center"/>
        </w:trPr>
        <w:tc>
          <w:tcPr>
            <w:tcW w:w="1565" w:type="dxa"/>
            <w:vMerge w:val="restart"/>
            <w:shd w:val="clear" w:color="auto" w:fill="auto"/>
          </w:tcPr>
          <w:p w14:paraId="532F2319"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Sed</w:t>
            </w:r>
          </w:p>
        </w:tc>
        <w:tc>
          <w:tcPr>
            <w:tcW w:w="4289" w:type="dxa"/>
            <w:shd w:val="clear" w:color="auto" w:fill="auto"/>
          </w:tcPr>
          <w:p w14:paraId="52625CE2"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CCAATAATAGGAGAAAATAAAAG</w:t>
            </w:r>
          </w:p>
        </w:tc>
        <w:tc>
          <w:tcPr>
            <w:tcW w:w="1843" w:type="dxa"/>
            <w:vMerge w:val="restart"/>
            <w:shd w:val="clear" w:color="auto" w:fill="auto"/>
          </w:tcPr>
          <w:p w14:paraId="22922C09"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278</w:t>
            </w:r>
          </w:p>
        </w:tc>
        <w:tc>
          <w:tcPr>
            <w:tcW w:w="1311" w:type="dxa"/>
            <w:vMerge/>
            <w:shd w:val="clear" w:color="auto" w:fill="auto"/>
          </w:tcPr>
          <w:p w14:paraId="5CB01841"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7367E839" w14:textId="77777777" w:rsidTr="00E77946">
        <w:trPr>
          <w:trHeight w:val="356"/>
          <w:jc w:val="center"/>
        </w:trPr>
        <w:tc>
          <w:tcPr>
            <w:tcW w:w="1565" w:type="dxa"/>
            <w:vMerge/>
            <w:shd w:val="clear" w:color="auto" w:fill="auto"/>
          </w:tcPr>
          <w:p w14:paraId="7EF10D34"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0094794F"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ATTGGTATTTTTTTTCGTTC</w:t>
            </w:r>
          </w:p>
        </w:tc>
        <w:tc>
          <w:tcPr>
            <w:tcW w:w="1843" w:type="dxa"/>
            <w:vMerge/>
            <w:shd w:val="clear" w:color="auto" w:fill="auto"/>
          </w:tcPr>
          <w:p w14:paraId="5AFE7116"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6E454B55"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49FEE712" w14:textId="77777777" w:rsidTr="00E77946">
        <w:trPr>
          <w:trHeight w:val="183"/>
          <w:jc w:val="center"/>
        </w:trPr>
        <w:tc>
          <w:tcPr>
            <w:tcW w:w="1565" w:type="dxa"/>
            <w:vMerge w:val="restart"/>
            <w:shd w:val="clear" w:color="auto" w:fill="auto"/>
          </w:tcPr>
          <w:p w14:paraId="7444C5B8"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lastRenderedPageBreak/>
              <w:t>Tsst</w:t>
            </w:r>
          </w:p>
        </w:tc>
        <w:tc>
          <w:tcPr>
            <w:tcW w:w="4289" w:type="dxa"/>
            <w:shd w:val="clear" w:color="auto" w:fill="auto"/>
          </w:tcPr>
          <w:p w14:paraId="0D621D28"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ACCCCTGTTCCCTTATCATC</w:t>
            </w:r>
          </w:p>
        </w:tc>
        <w:tc>
          <w:tcPr>
            <w:tcW w:w="1843" w:type="dxa"/>
            <w:vMerge w:val="restart"/>
            <w:shd w:val="clear" w:color="auto" w:fill="auto"/>
          </w:tcPr>
          <w:p w14:paraId="08053E02"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326</w:t>
            </w:r>
          </w:p>
        </w:tc>
        <w:tc>
          <w:tcPr>
            <w:tcW w:w="1311" w:type="dxa"/>
            <w:vMerge/>
            <w:shd w:val="clear" w:color="auto" w:fill="auto"/>
          </w:tcPr>
          <w:p w14:paraId="4C28883A"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2D06A77F" w14:textId="77777777" w:rsidTr="00E77946">
        <w:trPr>
          <w:trHeight w:val="341"/>
          <w:jc w:val="center"/>
        </w:trPr>
        <w:tc>
          <w:tcPr>
            <w:tcW w:w="1565" w:type="dxa"/>
            <w:vMerge/>
            <w:shd w:val="clear" w:color="auto" w:fill="auto"/>
          </w:tcPr>
          <w:p w14:paraId="52F37AC0"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61B8F017"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TTTTCAGTATTTGTAACGCC</w:t>
            </w:r>
          </w:p>
        </w:tc>
        <w:tc>
          <w:tcPr>
            <w:tcW w:w="1843" w:type="dxa"/>
            <w:vMerge/>
            <w:shd w:val="clear" w:color="auto" w:fill="auto"/>
          </w:tcPr>
          <w:p w14:paraId="0EDF821E"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2F8F719F"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2AFBFC37" w14:textId="77777777" w:rsidTr="00E77946">
        <w:trPr>
          <w:trHeight w:val="311"/>
          <w:jc w:val="center"/>
        </w:trPr>
        <w:tc>
          <w:tcPr>
            <w:tcW w:w="1565" w:type="dxa"/>
            <w:vMerge w:val="restart"/>
            <w:shd w:val="clear" w:color="auto" w:fill="auto"/>
          </w:tcPr>
          <w:p w14:paraId="73547898"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Hlg</w:t>
            </w:r>
          </w:p>
        </w:tc>
        <w:tc>
          <w:tcPr>
            <w:tcW w:w="4289" w:type="dxa"/>
            <w:shd w:val="clear" w:color="auto" w:fill="auto"/>
          </w:tcPr>
          <w:p w14:paraId="0AA347AC"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GCCAATCCGTTATTAGAAAATGC</w:t>
            </w:r>
          </w:p>
        </w:tc>
        <w:tc>
          <w:tcPr>
            <w:tcW w:w="1843" w:type="dxa"/>
            <w:vMerge w:val="restart"/>
            <w:shd w:val="clear" w:color="auto" w:fill="auto"/>
          </w:tcPr>
          <w:p w14:paraId="35014D0E"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937</w:t>
            </w:r>
          </w:p>
        </w:tc>
        <w:tc>
          <w:tcPr>
            <w:tcW w:w="1311" w:type="dxa"/>
            <w:vMerge w:val="restart"/>
            <w:shd w:val="clear" w:color="auto" w:fill="auto"/>
          </w:tcPr>
          <w:p w14:paraId="0DF5D513" w14:textId="28825CEA" w:rsidR="007A10D8" w:rsidRPr="00D0036E" w:rsidRDefault="007A10D8" w:rsidP="00E77946">
            <w:pPr>
              <w:spacing w:before="120" w:after="0" w:line="240" w:lineRule="auto"/>
              <w:jc w:val="both"/>
              <w:rPr>
                <w:rFonts w:asciiTheme="majorBidi" w:hAnsiTheme="majorBidi" w:cstheme="majorBidi"/>
                <w:b/>
                <w:bCs/>
              </w:rPr>
            </w:pPr>
            <w:r w:rsidRPr="00D0036E">
              <w:rPr>
                <w:rFonts w:asciiTheme="majorBidi" w:hAnsiTheme="majorBidi" w:cstheme="majorBidi"/>
                <w:b/>
                <w:bCs/>
              </w:rPr>
              <w:fldChar w:fldCharType="begin"/>
            </w:r>
            <w:r w:rsidRPr="00D0036E">
              <w:rPr>
                <w:rFonts w:asciiTheme="majorBidi" w:hAnsiTheme="majorBidi" w:cstheme="majorBidi"/>
                <w:b/>
                <w:bCs/>
              </w:rPr>
              <w:instrText xml:space="preserve"> ADDIN EN.CITE &lt;EndNote&gt;&lt;Cite&gt;&lt;Author&gt;Kumar&lt;/Author&gt;&lt;Year&gt;2009&lt;/Year&gt;&lt;RecNum&gt;811&lt;/RecNum&gt;&lt;DisplayText&gt;[16]&lt;/DisplayText&gt;&lt;record&gt;&lt;rec-number&gt;811&lt;/rec-number&gt;&lt;foreign-keys&gt;&lt;key app="EN" db-id="s22fs5xsds9rvmep05i5das05ezxwt59p0fx" timestamp="1696306133"&gt;811&lt;/key&gt;&lt;/foreign-keys&gt;&lt;ref-type name="Journal Article"&gt;17&lt;/ref-type&gt;&lt;contributors&gt;&lt;authors&gt;&lt;author&gt;Kumar, J Dinesh&lt;/author&gt;&lt;author&gt;Negi, Yogesh K&lt;/author&gt;&lt;author&gt;Gaur, Abhishek&lt;/author&gt;&lt;author&gt;Khanna, Deepshikha&lt;/author&gt;&lt;/authors&gt;&lt;/contributors&gt;&lt;titles&gt;&lt;title&gt;Detection of virulence genes in Staphylococcus aureus isolated from paper currency&lt;/title&gt;&lt;secondary-title&gt;International Journal of Infectious Diseases&lt;/secondary-title&gt;&lt;/titles&gt;&lt;periodical&gt;&lt;full-title&gt;International Journal of Infectious Diseases&lt;/full-title&gt;&lt;/periodical&gt;&lt;pages&gt;e450-e455&lt;/pages&gt;&lt;volume&gt;13&lt;/volume&gt;&lt;number&gt;6&lt;/number&gt;&lt;dates&gt;&lt;year&gt;2009&lt;/year&gt;&lt;/dates&gt;&lt;isbn&gt;1201-9712&lt;/isbn&gt;&lt;urls&gt;&lt;/urls&gt;&lt;/record&gt;&lt;/Cite&gt;&lt;/EndNote&gt;</w:instrText>
            </w:r>
            <w:r w:rsidRPr="00D0036E">
              <w:rPr>
                <w:rFonts w:asciiTheme="majorBidi" w:hAnsiTheme="majorBidi" w:cstheme="majorBidi"/>
                <w:b/>
                <w:bCs/>
              </w:rPr>
              <w:fldChar w:fldCharType="separate"/>
            </w:r>
            <w:r w:rsidRPr="00D0036E">
              <w:rPr>
                <w:rFonts w:asciiTheme="majorBidi" w:hAnsiTheme="majorBidi" w:cstheme="majorBidi"/>
                <w:b/>
                <w:bCs/>
                <w:noProof/>
              </w:rPr>
              <w:t>[16]</w:t>
            </w:r>
            <w:r w:rsidRPr="00D0036E">
              <w:rPr>
                <w:rFonts w:asciiTheme="majorBidi" w:hAnsiTheme="majorBidi" w:cstheme="majorBidi"/>
                <w:b/>
                <w:bCs/>
              </w:rPr>
              <w:fldChar w:fldCharType="end"/>
            </w:r>
          </w:p>
        </w:tc>
      </w:tr>
      <w:tr w:rsidR="007A10D8" w:rsidRPr="00D0036E" w14:paraId="22EFB348" w14:textId="77777777" w:rsidTr="00E77946">
        <w:trPr>
          <w:trHeight w:val="212"/>
          <w:jc w:val="center"/>
        </w:trPr>
        <w:tc>
          <w:tcPr>
            <w:tcW w:w="1565" w:type="dxa"/>
            <w:vMerge/>
            <w:shd w:val="clear" w:color="auto" w:fill="auto"/>
          </w:tcPr>
          <w:p w14:paraId="20079A4E"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5EB77162"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CCATAGACGTAGCAACGGAT</w:t>
            </w:r>
          </w:p>
        </w:tc>
        <w:tc>
          <w:tcPr>
            <w:tcW w:w="1843" w:type="dxa"/>
            <w:vMerge/>
            <w:shd w:val="clear" w:color="auto" w:fill="auto"/>
          </w:tcPr>
          <w:p w14:paraId="3E85AEA5"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2989B4F4"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3A9991D7" w14:textId="77777777" w:rsidTr="00E77946">
        <w:trPr>
          <w:trHeight w:val="212"/>
          <w:jc w:val="center"/>
        </w:trPr>
        <w:tc>
          <w:tcPr>
            <w:tcW w:w="1565" w:type="dxa"/>
            <w:vMerge w:val="restart"/>
            <w:shd w:val="clear" w:color="auto" w:fill="auto"/>
          </w:tcPr>
          <w:p w14:paraId="60BDA54D"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icaA</w:t>
            </w:r>
          </w:p>
        </w:tc>
        <w:tc>
          <w:tcPr>
            <w:tcW w:w="4289" w:type="dxa"/>
            <w:shd w:val="clear" w:color="auto" w:fill="auto"/>
          </w:tcPr>
          <w:p w14:paraId="667B5423" w14:textId="77777777" w:rsidR="007A10D8" w:rsidRPr="00D0036E" w:rsidRDefault="007A10D8" w:rsidP="00E77946">
            <w:pPr>
              <w:spacing w:before="120" w:after="0" w:line="240" w:lineRule="auto"/>
              <w:jc w:val="both"/>
              <w:rPr>
                <w:rFonts w:asciiTheme="majorBidi" w:hAnsiTheme="majorBidi" w:cstheme="majorBidi"/>
                <w:rtl/>
              </w:rPr>
            </w:pPr>
            <w:r w:rsidRPr="00D0036E">
              <w:rPr>
                <w:rFonts w:asciiTheme="majorBidi" w:hAnsiTheme="majorBidi" w:cstheme="majorBidi"/>
              </w:rPr>
              <w:t>CCT AAC TAA CGA AAG GTA G</w:t>
            </w:r>
          </w:p>
        </w:tc>
        <w:tc>
          <w:tcPr>
            <w:tcW w:w="1843" w:type="dxa"/>
            <w:vMerge w:val="restart"/>
            <w:shd w:val="clear" w:color="auto" w:fill="auto"/>
          </w:tcPr>
          <w:p w14:paraId="2457A266"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1315</w:t>
            </w:r>
          </w:p>
        </w:tc>
        <w:tc>
          <w:tcPr>
            <w:tcW w:w="1311" w:type="dxa"/>
            <w:vMerge w:val="restart"/>
            <w:shd w:val="clear" w:color="auto" w:fill="auto"/>
          </w:tcPr>
          <w:p w14:paraId="50FDFB2B" w14:textId="691218B2" w:rsidR="007A10D8" w:rsidRPr="00D0036E" w:rsidRDefault="007A10D8" w:rsidP="00E77946">
            <w:pPr>
              <w:spacing w:before="120" w:after="0" w:line="240" w:lineRule="auto"/>
              <w:jc w:val="both"/>
              <w:rPr>
                <w:rFonts w:asciiTheme="majorBidi" w:hAnsiTheme="majorBidi" w:cstheme="majorBidi"/>
                <w:b/>
                <w:bCs/>
              </w:rPr>
            </w:pPr>
            <w:r w:rsidRPr="00D0036E">
              <w:rPr>
                <w:rFonts w:asciiTheme="majorBidi" w:hAnsiTheme="majorBidi" w:cstheme="majorBidi"/>
                <w:b/>
                <w:bCs/>
              </w:rPr>
              <w:fldChar w:fldCharType="begin"/>
            </w:r>
            <w:r w:rsidRPr="00D0036E">
              <w:rPr>
                <w:rFonts w:asciiTheme="majorBidi" w:hAnsiTheme="majorBidi" w:cstheme="majorBidi"/>
                <w:b/>
                <w:bCs/>
              </w:rPr>
              <w:instrText xml:space="preserve"> ADDIN EN.CITE &lt;EndNote&gt;&lt;Cite&gt;&lt;Author&gt;Ciftci&lt;/Author&gt;&lt;Year&gt;2009&lt;/Year&gt;&lt;RecNum&gt;812&lt;/RecNum&gt;&lt;DisplayText&gt;[17]&lt;/DisplayText&gt;&lt;record&gt;&lt;rec-number&gt;812&lt;/rec-number&gt;&lt;foreign-keys&gt;&lt;key app="EN" db-id="s22fs5xsds9rvmep05i5das05ezxwt59p0fx" timestamp="1696306180"&gt;812&lt;/key&gt;&lt;/foreign-keys&gt;&lt;ref-type name="Journal Article"&gt;17&lt;/ref-type&gt;&lt;contributors&gt;&lt;authors&gt;&lt;author&gt;Ciftci, Alper&lt;/author&gt;&lt;author&gt;Findik, Arzu&lt;/author&gt;&lt;author&gt;Onuk, Ertan Emek&lt;/author&gt;&lt;author&gt;Savasan, Serap&lt;/author&gt;&lt;/authors&gt;&lt;/contributors&gt;&lt;titles&gt;&lt;title&gt;Detection of methicillin resistance and slime factor production of Staphylococcus aureus in bovine mastitis&lt;/title&gt;&lt;secondary-title&gt;Brazilian Journal of Microbiology&lt;/secondary-title&gt;&lt;/titles&gt;&lt;periodical&gt;&lt;full-title&gt;Brazilian journal of microbiology&lt;/full-title&gt;&lt;/periodical&gt;&lt;pages&gt;254-261&lt;/pages&gt;&lt;volume&gt;40&lt;/volume&gt;&lt;dates&gt;&lt;year&gt;2009&lt;/year&gt;&lt;/dates&gt;&lt;isbn&gt;1517-8382&lt;/isbn&gt;&lt;urls&gt;&lt;/urls&gt;&lt;/record&gt;&lt;/Cite&gt;&lt;/EndNote&gt;</w:instrText>
            </w:r>
            <w:r w:rsidRPr="00D0036E">
              <w:rPr>
                <w:rFonts w:asciiTheme="majorBidi" w:hAnsiTheme="majorBidi" w:cstheme="majorBidi"/>
                <w:b/>
                <w:bCs/>
              </w:rPr>
              <w:fldChar w:fldCharType="separate"/>
            </w:r>
            <w:r w:rsidRPr="00D0036E">
              <w:rPr>
                <w:rFonts w:asciiTheme="majorBidi" w:hAnsiTheme="majorBidi" w:cstheme="majorBidi"/>
                <w:b/>
                <w:bCs/>
                <w:noProof/>
              </w:rPr>
              <w:t>[17]</w:t>
            </w:r>
            <w:r w:rsidRPr="00D0036E">
              <w:rPr>
                <w:rFonts w:asciiTheme="majorBidi" w:hAnsiTheme="majorBidi" w:cstheme="majorBidi"/>
                <w:b/>
                <w:bCs/>
              </w:rPr>
              <w:fldChar w:fldCharType="end"/>
            </w:r>
          </w:p>
        </w:tc>
      </w:tr>
      <w:tr w:rsidR="007A10D8" w:rsidRPr="00D0036E" w14:paraId="4236870E" w14:textId="77777777" w:rsidTr="00E77946">
        <w:trPr>
          <w:trHeight w:val="311"/>
          <w:jc w:val="center"/>
        </w:trPr>
        <w:tc>
          <w:tcPr>
            <w:tcW w:w="1565" w:type="dxa"/>
            <w:vMerge/>
            <w:shd w:val="clear" w:color="auto" w:fill="auto"/>
          </w:tcPr>
          <w:p w14:paraId="307CAA31"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3999DF69"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AAG ATA TAG CGATAA GTG C</w:t>
            </w:r>
          </w:p>
        </w:tc>
        <w:tc>
          <w:tcPr>
            <w:tcW w:w="1843" w:type="dxa"/>
            <w:vMerge/>
            <w:shd w:val="clear" w:color="auto" w:fill="auto"/>
          </w:tcPr>
          <w:p w14:paraId="5F1C8F2B"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65AD3E29"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6B790126" w14:textId="77777777" w:rsidTr="00E77946">
        <w:trPr>
          <w:trHeight w:val="257"/>
          <w:jc w:val="center"/>
        </w:trPr>
        <w:tc>
          <w:tcPr>
            <w:tcW w:w="1565" w:type="dxa"/>
            <w:vMerge w:val="restart"/>
            <w:shd w:val="clear" w:color="auto" w:fill="auto"/>
          </w:tcPr>
          <w:p w14:paraId="40E80DF6"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icaD</w:t>
            </w:r>
          </w:p>
        </w:tc>
        <w:tc>
          <w:tcPr>
            <w:tcW w:w="4289" w:type="dxa"/>
            <w:shd w:val="clear" w:color="auto" w:fill="auto"/>
          </w:tcPr>
          <w:p w14:paraId="216C6319"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AAA CGTAAG AGA GGT GG</w:t>
            </w:r>
          </w:p>
        </w:tc>
        <w:tc>
          <w:tcPr>
            <w:tcW w:w="1843" w:type="dxa"/>
            <w:vMerge w:val="restart"/>
            <w:shd w:val="clear" w:color="auto" w:fill="auto"/>
          </w:tcPr>
          <w:p w14:paraId="5622698F"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381</w:t>
            </w:r>
          </w:p>
        </w:tc>
        <w:tc>
          <w:tcPr>
            <w:tcW w:w="1311" w:type="dxa"/>
            <w:vMerge/>
            <w:shd w:val="clear" w:color="auto" w:fill="auto"/>
          </w:tcPr>
          <w:p w14:paraId="013864A0"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33BE3670" w14:textId="77777777" w:rsidTr="00E77946">
        <w:trPr>
          <w:trHeight w:val="267"/>
          <w:jc w:val="center"/>
        </w:trPr>
        <w:tc>
          <w:tcPr>
            <w:tcW w:w="1565" w:type="dxa"/>
            <w:vMerge/>
            <w:shd w:val="clear" w:color="auto" w:fill="auto"/>
          </w:tcPr>
          <w:p w14:paraId="1C2E0366"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2C4510FC"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GGC AAT ATG ATC AAGATA</w:t>
            </w:r>
          </w:p>
        </w:tc>
        <w:tc>
          <w:tcPr>
            <w:tcW w:w="1843" w:type="dxa"/>
            <w:vMerge/>
            <w:shd w:val="clear" w:color="auto" w:fill="auto"/>
          </w:tcPr>
          <w:p w14:paraId="70A95E79" w14:textId="77777777" w:rsidR="007A10D8" w:rsidRPr="00D0036E" w:rsidRDefault="007A10D8" w:rsidP="00E77946">
            <w:pPr>
              <w:spacing w:before="120" w:after="0" w:line="240" w:lineRule="auto"/>
              <w:jc w:val="both"/>
              <w:rPr>
                <w:rFonts w:asciiTheme="majorBidi" w:hAnsiTheme="majorBidi" w:cstheme="majorBidi"/>
              </w:rPr>
            </w:pPr>
          </w:p>
        </w:tc>
        <w:tc>
          <w:tcPr>
            <w:tcW w:w="1311" w:type="dxa"/>
            <w:vMerge/>
            <w:shd w:val="clear" w:color="auto" w:fill="auto"/>
          </w:tcPr>
          <w:p w14:paraId="2C9A3A60" w14:textId="77777777" w:rsidR="007A10D8" w:rsidRPr="00D0036E" w:rsidRDefault="007A10D8" w:rsidP="00E77946">
            <w:pPr>
              <w:spacing w:before="120" w:after="0" w:line="240" w:lineRule="auto"/>
              <w:jc w:val="both"/>
              <w:rPr>
                <w:rFonts w:asciiTheme="majorBidi" w:hAnsiTheme="majorBidi" w:cstheme="majorBidi"/>
                <w:b/>
                <w:bCs/>
              </w:rPr>
            </w:pPr>
          </w:p>
        </w:tc>
      </w:tr>
      <w:tr w:rsidR="007A10D8" w:rsidRPr="00D0036E" w14:paraId="5C4E8ABC" w14:textId="77777777" w:rsidTr="00E77946">
        <w:trPr>
          <w:trHeight w:val="257"/>
          <w:jc w:val="center"/>
        </w:trPr>
        <w:tc>
          <w:tcPr>
            <w:tcW w:w="1565" w:type="dxa"/>
            <w:vMerge w:val="restart"/>
            <w:shd w:val="clear" w:color="auto" w:fill="auto"/>
          </w:tcPr>
          <w:p w14:paraId="233B3E0E" w14:textId="77777777" w:rsidR="007A10D8" w:rsidRPr="00D0036E" w:rsidRDefault="007A10D8" w:rsidP="00E77946">
            <w:pPr>
              <w:spacing w:before="120" w:after="0" w:line="240" w:lineRule="auto"/>
              <w:jc w:val="both"/>
              <w:rPr>
                <w:rFonts w:asciiTheme="majorBidi" w:hAnsiTheme="majorBidi" w:cstheme="majorBidi"/>
                <w:b/>
                <w:bCs/>
                <w:i/>
                <w:iCs/>
              </w:rPr>
            </w:pPr>
            <w:r w:rsidRPr="00D0036E">
              <w:rPr>
                <w:rFonts w:asciiTheme="majorBidi" w:hAnsiTheme="majorBidi" w:cstheme="majorBidi"/>
                <w:b/>
                <w:bCs/>
                <w:i/>
                <w:iCs/>
              </w:rPr>
              <w:t>fnbA</w:t>
            </w:r>
          </w:p>
        </w:tc>
        <w:tc>
          <w:tcPr>
            <w:tcW w:w="4289" w:type="dxa"/>
            <w:shd w:val="clear" w:color="auto" w:fill="auto"/>
          </w:tcPr>
          <w:p w14:paraId="32C870FC"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CATAAATTGGGAGCAGCATCA</w:t>
            </w:r>
          </w:p>
        </w:tc>
        <w:tc>
          <w:tcPr>
            <w:tcW w:w="1843" w:type="dxa"/>
            <w:vMerge w:val="restart"/>
            <w:shd w:val="clear" w:color="auto" w:fill="auto"/>
          </w:tcPr>
          <w:p w14:paraId="4EA33B7A"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127</w:t>
            </w:r>
          </w:p>
        </w:tc>
        <w:tc>
          <w:tcPr>
            <w:tcW w:w="1311" w:type="dxa"/>
            <w:vMerge w:val="restart"/>
            <w:shd w:val="clear" w:color="auto" w:fill="auto"/>
          </w:tcPr>
          <w:p w14:paraId="672D9F8B" w14:textId="4112BB2C" w:rsidR="007A10D8" w:rsidRPr="00D0036E" w:rsidRDefault="007A10D8" w:rsidP="00E77946">
            <w:pPr>
              <w:spacing w:before="120" w:after="0" w:line="240" w:lineRule="auto"/>
              <w:jc w:val="both"/>
              <w:rPr>
                <w:rFonts w:asciiTheme="majorBidi" w:hAnsiTheme="majorBidi" w:cstheme="majorBidi"/>
                <w:b/>
                <w:bCs/>
              </w:rPr>
            </w:pPr>
            <w:r w:rsidRPr="00D0036E">
              <w:rPr>
                <w:rFonts w:asciiTheme="majorBidi" w:hAnsiTheme="majorBidi" w:cstheme="majorBidi"/>
                <w:b/>
                <w:bCs/>
              </w:rPr>
              <w:fldChar w:fldCharType="begin"/>
            </w:r>
            <w:r w:rsidRPr="00D0036E">
              <w:rPr>
                <w:rFonts w:asciiTheme="majorBidi" w:hAnsiTheme="majorBidi" w:cstheme="majorBidi"/>
                <w:b/>
                <w:bCs/>
              </w:rPr>
              <w:instrText xml:space="preserve"> ADDIN EN.CITE &lt;EndNote&gt;&lt;Cite&gt;&lt;Author&gt;Vancraeynest&lt;/Author&gt;&lt;Year&gt;2004&lt;/Year&gt;&lt;RecNum&gt;813&lt;/RecNum&gt;&lt;DisplayText&gt;[18]&lt;/DisplayText&gt;&lt;record&gt;&lt;rec-number&gt;813&lt;/rec-number&gt;&lt;foreign-keys&gt;&lt;key app="EN" db-id="s22fs5xsds9rvmep05i5das05ezxwt59p0fx" timestamp="1696306233"&gt;813&lt;/key&gt;&lt;/foreign-keys&gt;&lt;ref-type name="Journal Article"&gt;17&lt;/ref-type&gt;&lt;contributors&gt;&lt;authors&gt;&lt;author&gt;Vancraeynest, Dieter&lt;/author&gt;&lt;author&gt;Hermans, Katleen&lt;/author&gt;&lt;author&gt;Haesebrouck, Freddy&lt;/author&gt;&lt;/authors&gt;&lt;/contributors&gt;&lt;titles&gt;&lt;title&gt;Genotypic and phenotypic screening of high and low virulence Staphylococcus aureus isolates from rabbits for biofilm formation and MSCRAMMs&lt;/title&gt;&lt;secondary-title&gt;Veterinary microbiology&lt;/secondary-title&gt;&lt;/titles&gt;&lt;periodical&gt;&lt;full-title&gt;Veterinary microbiology&lt;/full-title&gt;&lt;/periodical&gt;&lt;pages&gt;241-247&lt;/pages&gt;&lt;volume&gt;103&lt;/volume&gt;&lt;number&gt;3-4&lt;/number&gt;&lt;dates&gt;&lt;year&gt;2004&lt;/year&gt;&lt;/dates&gt;&lt;isbn&gt;0378-1135&lt;/isbn&gt;&lt;urls&gt;&lt;/urls&gt;&lt;/record&gt;&lt;/Cite&gt;&lt;/EndNote&gt;</w:instrText>
            </w:r>
            <w:r w:rsidRPr="00D0036E">
              <w:rPr>
                <w:rFonts w:asciiTheme="majorBidi" w:hAnsiTheme="majorBidi" w:cstheme="majorBidi"/>
                <w:b/>
                <w:bCs/>
              </w:rPr>
              <w:fldChar w:fldCharType="separate"/>
            </w:r>
            <w:r w:rsidRPr="00D0036E">
              <w:rPr>
                <w:rFonts w:asciiTheme="majorBidi" w:hAnsiTheme="majorBidi" w:cstheme="majorBidi"/>
                <w:b/>
                <w:bCs/>
                <w:noProof/>
              </w:rPr>
              <w:t>[18]</w:t>
            </w:r>
            <w:r w:rsidRPr="00D0036E">
              <w:rPr>
                <w:rFonts w:asciiTheme="majorBidi" w:hAnsiTheme="majorBidi" w:cstheme="majorBidi"/>
                <w:b/>
                <w:bCs/>
              </w:rPr>
              <w:fldChar w:fldCharType="end"/>
            </w:r>
          </w:p>
        </w:tc>
      </w:tr>
      <w:tr w:rsidR="007A10D8" w:rsidRPr="00D0036E" w14:paraId="2B1782C7" w14:textId="77777777" w:rsidTr="00E77946">
        <w:trPr>
          <w:trHeight w:val="267"/>
          <w:jc w:val="center"/>
        </w:trPr>
        <w:tc>
          <w:tcPr>
            <w:tcW w:w="1565" w:type="dxa"/>
            <w:vMerge/>
            <w:shd w:val="clear" w:color="auto" w:fill="auto"/>
          </w:tcPr>
          <w:p w14:paraId="4C2D3612" w14:textId="77777777" w:rsidR="007A10D8" w:rsidRPr="00D0036E" w:rsidRDefault="007A10D8" w:rsidP="00E77946">
            <w:pPr>
              <w:spacing w:before="120" w:after="0" w:line="240" w:lineRule="auto"/>
              <w:jc w:val="both"/>
              <w:rPr>
                <w:rFonts w:asciiTheme="majorBidi" w:hAnsiTheme="majorBidi" w:cstheme="majorBidi"/>
                <w:b/>
                <w:bCs/>
                <w:i/>
                <w:iCs/>
              </w:rPr>
            </w:pPr>
          </w:p>
        </w:tc>
        <w:tc>
          <w:tcPr>
            <w:tcW w:w="4289" w:type="dxa"/>
            <w:shd w:val="clear" w:color="auto" w:fill="auto"/>
          </w:tcPr>
          <w:p w14:paraId="7D804054" w14:textId="77777777" w:rsidR="007A10D8" w:rsidRPr="00D0036E" w:rsidRDefault="007A10D8" w:rsidP="00E77946">
            <w:pPr>
              <w:spacing w:before="120" w:after="0" w:line="240" w:lineRule="auto"/>
              <w:jc w:val="both"/>
              <w:rPr>
                <w:rFonts w:asciiTheme="majorBidi" w:hAnsiTheme="majorBidi" w:cstheme="majorBidi"/>
              </w:rPr>
            </w:pPr>
            <w:r w:rsidRPr="00D0036E">
              <w:rPr>
                <w:rFonts w:asciiTheme="majorBidi" w:hAnsiTheme="majorBidi" w:cstheme="majorBidi"/>
              </w:rPr>
              <w:t>ATCAGCAGCTGAATTCCCATT</w:t>
            </w:r>
          </w:p>
        </w:tc>
        <w:tc>
          <w:tcPr>
            <w:tcW w:w="1843" w:type="dxa"/>
            <w:vMerge/>
            <w:shd w:val="clear" w:color="auto" w:fill="auto"/>
          </w:tcPr>
          <w:p w14:paraId="3C30D705" w14:textId="77777777" w:rsidR="007A10D8" w:rsidRPr="00D0036E" w:rsidRDefault="007A10D8" w:rsidP="00E77946">
            <w:pPr>
              <w:spacing w:before="120" w:after="0" w:line="240" w:lineRule="auto"/>
              <w:jc w:val="both"/>
              <w:rPr>
                <w:rFonts w:asciiTheme="majorBidi" w:hAnsiTheme="majorBidi" w:cstheme="majorBidi"/>
                <w:b/>
                <w:bCs/>
              </w:rPr>
            </w:pPr>
          </w:p>
        </w:tc>
        <w:tc>
          <w:tcPr>
            <w:tcW w:w="1311" w:type="dxa"/>
            <w:vMerge/>
            <w:shd w:val="clear" w:color="auto" w:fill="auto"/>
          </w:tcPr>
          <w:p w14:paraId="38B5A213" w14:textId="77777777" w:rsidR="007A10D8" w:rsidRPr="00D0036E" w:rsidRDefault="007A10D8" w:rsidP="00E77946">
            <w:pPr>
              <w:spacing w:before="120" w:after="0" w:line="240" w:lineRule="auto"/>
              <w:jc w:val="both"/>
              <w:rPr>
                <w:rFonts w:asciiTheme="majorBidi" w:hAnsiTheme="majorBidi" w:cstheme="majorBidi"/>
                <w:b/>
                <w:bCs/>
              </w:rPr>
            </w:pPr>
          </w:p>
        </w:tc>
      </w:tr>
    </w:tbl>
    <w:p w14:paraId="4000D7E5" w14:textId="57BB3A13" w:rsidR="007A10D8" w:rsidRPr="00D0036E" w:rsidRDefault="007A10D8" w:rsidP="007A10D8">
      <w:pPr>
        <w:spacing w:after="240" w:line="240" w:lineRule="auto"/>
        <w:jc w:val="both"/>
        <w:rPr>
          <w:rFonts w:asciiTheme="majorBidi" w:hAnsiTheme="majorBidi" w:cstheme="majorBidi"/>
          <w:sz w:val="20"/>
          <w:szCs w:val="20"/>
        </w:rPr>
      </w:pPr>
      <w:r w:rsidRPr="00D0036E">
        <w:rPr>
          <w:rFonts w:asciiTheme="majorBidi" w:hAnsiTheme="majorBidi" w:cstheme="majorBidi"/>
          <w:b/>
          <w:bCs/>
          <w:sz w:val="20"/>
          <w:szCs w:val="20"/>
        </w:rPr>
        <w:t xml:space="preserve">Abbreviations: </w:t>
      </w:r>
      <w:r w:rsidR="008150EE" w:rsidRPr="00D0036E">
        <w:rPr>
          <w:rFonts w:ascii="Times New Roman" w:eastAsia="Calibri" w:hAnsi="Times New Roman" w:cs="Times New Roman"/>
          <w:b/>
          <w:bCs/>
          <w:i/>
          <w:iCs/>
          <w:kern w:val="0"/>
          <w:sz w:val="20"/>
          <w:szCs w:val="20"/>
          <w14:ligatures w14:val="none"/>
        </w:rPr>
        <w:t>fnbA</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Fibronectin-binding protein A;</w:t>
      </w:r>
      <w:r w:rsidR="008150EE" w:rsidRPr="00D0036E">
        <w:rPr>
          <w:rFonts w:ascii="Times New Roman" w:eastAsia="Calibri" w:hAnsi="Times New Roman" w:cs="Times New Roman"/>
          <w:b/>
          <w:bCs/>
          <w:i/>
          <w:iCs/>
          <w:kern w:val="0"/>
          <w:sz w:val="20"/>
          <w:szCs w:val="20"/>
          <w14:ligatures w14:val="none"/>
        </w:rPr>
        <w:t xml:space="preserve"> icaD</w:t>
      </w:r>
      <w:r w:rsidR="008150EE" w:rsidRPr="00D0036E">
        <w:rPr>
          <w:rFonts w:ascii="Times New Roman" w:eastAsia="Calibri" w:hAnsi="Times New Roman" w:cs="Times New Roman"/>
          <w:i/>
          <w:i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Inhibitor of caspase-activated deoxyribonuclease;</w:t>
      </w:r>
      <w:r w:rsidR="008150EE" w:rsidRPr="00D0036E">
        <w:rPr>
          <w:rFonts w:ascii="Times New Roman" w:eastAsia="Calibri" w:hAnsi="Times New Roman" w:cs="Times New Roman"/>
          <w:i/>
          <w:iCs/>
          <w:kern w:val="0"/>
          <w:sz w:val="20"/>
          <w:szCs w:val="20"/>
          <w14:ligatures w14:val="none"/>
        </w:rPr>
        <w:t xml:space="preserve"> </w:t>
      </w:r>
      <w:r w:rsidR="008150EE" w:rsidRPr="00D0036E">
        <w:rPr>
          <w:rFonts w:ascii="Times New Roman" w:eastAsia="Calibri" w:hAnsi="Times New Roman" w:cs="Times New Roman"/>
          <w:b/>
          <w:bCs/>
          <w:i/>
          <w:iCs/>
          <w:kern w:val="0"/>
          <w:sz w:val="20"/>
          <w:szCs w:val="20"/>
          <w14:ligatures w14:val="none"/>
        </w:rPr>
        <w:t>icaA</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Intercellular adhesion A; </w:t>
      </w:r>
      <w:r w:rsidR="008150EE" w:rsidRPr="00D0036E">
        <w:rPr>
          <w:rFonts w:ascii="Times New Roman" w:eastAsia="Calibri" w:hAnsi="Times New Roman" w:cs="Times New Roman"/>
          <w:b/>
          <w:bCs/>
          <w:i/>
          <w:iCs/>
          <w:kern w:val="0"/>
          <w:sz w:val="20"/>
          <w:szCs w:val="20"/>
          <w14:ligatures w14:val="none"/>
        </w:rPr>
        <w:t>Hlg</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gamma-hemolysin;</w:t>
      </w:r>
      <w:r w:rsidR="008150EE" w:rsidRPr="00D0036E">
        <w:rPr>
          <w:rFonts w:ascii="Times New Roman" w:eastAsia="Calibri" w:hAnsi="Times New Roman" w:cs="Times New Roman"/>
          <w:i/>
          <w:iCs/>
          <w:kern w:val="0"/>
          <w:sz w:val="20"/>
          <w:szCs w:val="20"/>
          <w14:ligatures w14:val="none"/>
        </w:rPr>
        <w:t xml:space="preserve"> </w:t>
      </w:r>
      <w:r w:rsidR="008150EE" w:rsidRPr="00D0036E">
        <w:rPr>
          <w:rFonts w:ascii="Times New Roman" w:eastAsia="Calibri" w:hAnsi="Times New Roman" w:cs="Times New Roman"/>
          <w:b/>
          <w:bCs/>
          <w:i/>
          <w:iCs/>
          <w:kern w:val="0"/>
          <w:sz w:val="20"/>
          <w:szCs w:val="20"/>
          <w14:ligatures w14:val="none"/>
        </w:rPr>
        <w:t>Tsst</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Toxic shock syndrome toxin-1; </w:t>
      </w:r>
      <w:r w:rsidR="008150EE" w:rsidRPr="00D0036E">
        <w:rPr>
          <w:rFonts w:ascii="Times New Roman" w:eastAsia="Calibri" w:hAnsi="Times New Roman" w:cs="Times New Roman"/>
          <w:b/>
          <w:bCs/>
          <w:i/>
          <w:iCs/>
          <w:kern w:val="0"/>
          <w:sz w:val="20"/>
          <w:szCs w:val="20"/>
          <w14:ligatures w14:val="none"/>
        </w:rPr>
        <w:t>Sed</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staphylococcal enterotoxin D; and </w:t>
      </w:r>
      <w:r w:rsidR="008150EE" w:rsidRPr="00D0036E">
        <w:rPr>
          <w:rFonts w:ascii="Times New Roman" w:eastAsia="Calibri" w:hAnsi="Times New Roman" w:cs="Times New Roman"/>
          <w:b/>
          <w:bCs/>
          <w:i/>
          <w:iCs/>
          <w:kern w:val="0"/>
          <w:sz w:val="20"/>
          <w:szCs w:val="20"/>
          <w14:ligatures w14:val="none"/>
        </w:rPr>
        <w:t>Seb</w:t>
      </w:r>
      <w:r w:rsidR="008150EE" w:rsidRPr="00D0036E">
        <w:rPr>
          <w:rFonts w:ascii="Times New Roman" w:eastAsia="Calibri" w:hAnsi="Times New Roman" w:cs="Times New Roman"/>
          <w:b/>
          <w:bCs/>
          <w:kern w:val="0"/>
          <w:sz w:val="20"/>
          <w:szCs w:val="20"/>
          <w14:ligatures w14:val="none"/>
        </w:rPr>
        <w:t>,</w:t>
      </w:r>
      <w:r w:rsidR="008150EE" w:rsidRPr="00D0036E">
        <w:rPr>
          <w:rFonts w:ascii="Times New Roman" w:eastAsia="Calibri" w:hAnsi="Times New Roman" w:cs="Times New Roman"/>
          <w:kern w:val="0"/>
          <w:sz w:val="20"/>
          <w:szCs w:val="20"/>
          <w14:ligatures w14:val="none"/>
        </w:rPr>
        <w:t xml:space="preserve"> staphylococcal enterotoxin B.</w:t>
      </w:r>
    </w:p>
    <w:p w14:paraId="4BCB5762" w14:textId="0CBE3467" w:rsidR="007A10D8" w:rsidRPr="00D0036E" w:rsidRDefault="007A10D8" w:rsidP="007A10D8">
      <w:pPr>
        <w:rPr>
          <w:rFonts w:ascii="Times New Roman" w:eastAsia="Times New Roman" w:hAnsi="Times New Roman" w:cs="Times New Roman"/>
          <w:b/>
          <w:bCs/>
          <w:sz w:val="24"/>
          <w:szCs w:val="24"/>
        </w:rPr>
      </w:pPr>
      <w:r w:rsidRPr="00D0036E">
        <w:rPr>
          <w:rFonts w:ascii="Times New Roman" w:eastAsia="Times New Roman" w:hAnsi="Times New Roman" w:cs="Times New Roman"/>
          <w:b/>
          <w:bCs/>
          <w:sz w:val="24"/>
          <w:szCs w:val="24"/>
        </w:rPr>
        <w:t>Table S3. The primer sets of the studied genes.</w:t>
      </w:r>
    </w:p>
    <w:tbl>
      <w:tblPr>
        <w:tblStyle w:val="TableGrid"/>
        <w:tblW w:w="5159" w:type="pct"/>
        <w:tblLook w:val="04A0" w:firstRow="1" w:lastRow="0" w:firstColumn="1" w:lastColumn="0" w:noHBand="0" w:noVBand="1"/>
      </w:tblPr>
      <w:tblGrid>
        <w:gridCol w:w="828"/>
        <w:gridCol w:w="1372"/>
        <w:gridCol w:w="1389"/>
        <w:gridCol w:w="2950"/>
        <w:gridCol w:w="3108"/>
      </w:tblGrid>
      <w:tr w:rsidR="007A10D8" w:rsidRPr="00D0036E" w14:paraId="75CD3B81" w14:textId="77777777" w:rsidTr="00E77946">
        <w:tc>
          <w:tcPr>
            <w:tcW w:w="428" w:type="pct"/>
          </w:tcPr>
          <w:p w14:paraId="52E436F2"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b/>
                <w:bCs/>
                <w:sz w:val="20"/>
                <w:szCs w:val="20"/>
              </w:rPr>
              <w:t>Gene symbol</w:t>
            </w:r>
          </w:p>
        </w:tc>
        <w:tc>
          <w:tcPr>
            <w:tcW w:w="701" w:type="pct"/>
          </w:tcPr>
          <w:p w14:paraId="181CD4C8" w14:textId="77777777" w:rsidR="007A10D8" w:rsidRPr="00D0036E" w:rsidRDefault="007A10D8" w:rsidP="00E77946">
            <w:pPr>
              <w:spacing w:after="120"/>
              <w:jc w:val="center"/>
              <w:rPr>
                <w:rFonts w:asciiTheme="majorBidi" w:eastAsia="Times New Roman" w:hAnsiTheme="majorBidi" w:cstheme="majorBidi"/>
                <w:b/>
                <w:bCs/>
                <w:sz w:val="20"/>
                <w:szCs w:val="20"/>
              </w:rPr>
            </w:pPr>
            <w:r w:rsidRPr="00D0036E">
              <w:rPr>
                <w:rFonts w:asciiTheme="majorBidi" w:eastAsia="Calibri" w:hAnsiTheme="majorBidi" w:cstheme="majorBidi"/>
                <w:b/>
                <w:bCs/>
                <w:sz w:val="20"/>
                <w:szCs w:val="20"/>
              </w:rPr>
              <w:t>Gene description</w:t>
            </w:r>
          </w:p>
        </w:tc>
        <w:tc>
          <w:tcPr>
            <w:tcW w:w="710" w:type="pct"/>
          </w:tcPr>
          <w:p w14:paraId="251BC198" w14:textId="77777777" w:rsidR="007A10D8" w:rsidRPr="00D0036E" w:rsidRDefault="007A10D8" w:rsidP="00E77946">
            <w:pPr>
              <w:spacing w:after="120"/>
              <w:jc w:val="center"/>
              <w:rPr>
                <w:rFonts w:asciiTheme="majorBidi" w:eastAsia="Times New Roman" w:hAnsiTheme="majorBidi" w:cstheme="majorBidi"/>
                <w:b/>
                <w:bCs/>
                <w:sz w:val="20"/>
                <w:szCs w:val="20"/>
              </w:rPr>
            </w:pPr>
            <w:r w:rsidRPr="00D0036E">
              <w:rPr>
                <w:rFonts w:asciiTheme="majorBidi" w:eastAsia="Calibri" w:hAnsiTheme="majorBidi" w:cstheme="majorBidi"/>
                <w:b/>
                <w:bCs/>
                <w:sz w:val="20"/>
                <w:szCs w:val="20"/>
              </w:rPr>
              <w:t>Accession number</w:t>
            </w:r>
          </w:p>
        </w:tc>
        <w:tc>
          <w:tcPr>
            <w:tcW w:w="1492" w:type="pct"/>
          </w:tcPr>
          <w:p w14:paraId="34DE9BE4" w14:textId="77777777" w:rsidR="007A10D8" w:rsidRPr="00D0036E" w:rsidRDefault="007A10D8" w:rsidP="00E77946">
            <w:pPr>
              <w:spacing w:after="120"/>
              <w:jc w:val="center"/>
              <w:rPr>
                <w:rFonts w:asciiTheme="majorBidi" w:eastAsia="Times New Roman" w:hAnsiTheme="majorBidi" w:cstheme="majorBidi"/>
                <w:b/>
                <w:bCs/>
                <w:sz w:val="20"/>
                <w:szCs w:val="20"/>
              </w:rPr>
            </w:pPr>
            <w:r w:rsidRPr="00D0036E">
              <w:rPr>
                <w:rFonts w:asciiTheme="majorBidi" w:eastAsia="Calibri" w:hAnsiTheme="majorBidi" w:cstheme="majorBidi"/>
                <w:b/>
                <w:bCs/>
                <w:sz w:val="20"/>
                <w:szCs w:val="20"/>
              </w:rPr>
              <w:t>Forward Primer Sequence</w:t>
            </w:r>
          </w:p>
        </w:tc>
        <w:tc>
          <w:tcPr>
            <w:tcW w:w="1669" w:type="pct"/>
          </w:tcPr>
          <w:p w14:paraId="5B0F5218" w14:textId="77777777" w:rsidR="007A10D8" w:rsidRPr="00D0036E" w:rsidRDefault="007A10D8" w:rsidP="00E77946">
            <w:pPr>
              <w:spacing w:after="120"/>
              <w:jc w:val="center"/>
              <w:rPr>
                <w:rFonts w:asciiTheme="majorBidi" w:eastAsia="Times New Roman" w:hAnsiTheme="majorBidi" w:cstheme="majorBidi"/>
                <w:b/>
                <w:bCs/>
                <w:sz w:val="20"/>
                <w:szCs w:val="20"/>
              </w:rPr>
            </w:pPr>
            <w:r w:rsidRPr="00D0036E">
              <w:rPr>
                <w:rFonts w:asciiTheme="majorBidi" w:eastAsia="Calibri" w:hAnsiTheme="majorBidi" w:cstheme="majorBidi"/>
                <w:b/>
                <w:bCs/>
                <w:sz w:val="20"/>
                <w:szCs w:val="20"/>
              </w:rPr>
              <w:t>Reverse Primer Sequence</w:t>
            </w:r>
          </w:p>
        </w:tc>
      </w:tr>
      <w:tr w:rsidR="007A10D8" w:rsidRPr="00D0036E" w14:paraId="1D3AA00D" w14:textId="77777777" w:rsidTr="00E77946">
        <w:tc>
          <w:tcPr>
            <w:tcW w:w="428" w:type="pct"/>
            <w:vAlign w:val="center"/>
          </w:tcPr>
          <w:p w14:paraId="5D70CD6E" w14:textId="77777777" w:rsidR="007A10D8" w:rsidRPr="00D0036E" w:rsidRDefault="007A10D8" w:rsidP="00E77946">
            <w:pPr>
              <w:spacing w:after="120"/>
              <w:jc w:val="both"/>
              <w:rPr>
                <w:rFonts w:asciiTheme="majorBidi" w:eastAsia="Times New Roman" w:hAnsiTheme="majorBidi" w:cstheme="majorBidi"/>
                <w:b/>
                <w:bCs/>
                <w:i/>
                <w:iCs/>
                <w:sz w:val="20"/>
                <w:szCs w:val="20"/>
              </w:rPr>
            </w:pPr>
            <w:bookmarkStart w:id="18" w:name="_Hlk171397061"/>
            <w:bookmarkStart w:id="19" w:name="_Hlk171396887"/>
            <w:r w:rsidRPr="00D0036E">
              <w:rPr>
                <w:rFonts w:asciiTheme="majorBidi" w:hAnsiTheme="majorBidi" w:cstheme="majorBidi"/>
                <w:i/>
                <w:iCs/>
                <w:sz w:val="20"/>
                <w:szCs w:val="20"/>
              </w:rPr>
              <w:t>TNF-α</w:t>
            </w:r>
          </w:p>
        </w:tc>
        <w:tc>
          <w:tcPr>
            <w:tcW w:w="701" w:type="pct"/>
            <w:vAlign w:val="center"/>
          </w:tcPr>
          <w:p w14:paraId="4B85E1AE"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Tumor necrosis factor</w:t>
            </w:r>
          </w:p>
        </w:tc>
        <w:tc>
          <w:tcPr>
            <w:tcW w:w="710" w:type="pct"/>
            <w:vAlign w:val="center"/>
          </w:tcPr>
          <w:p w14:paraId="6A2FBF8D" w14:textId="77777777" w:rsidR="007A10D8" w:rsidRPr="00D0036E" w:rsidRDefault="007A10D8" w:rsidP="00E77946">
            <w:pPr>
              <w:spacing w:after="120"/>
              <w:jc w:val="both"/>
              <w:rPr>
                <w:rFonts w:asciiTheme="majorBidi" w:eastAsia="Times New Roman" w:hAnsiTheme="majorBidi" w:cstheme="majorBidi"/>
                <w:b/>
                <w:bCs/>
                <w:sz w:val="20"/>
                <w:szCs w:val="20"/>
              </w:rPr>
            </w:pPr>
            <w:hyperlink r:id="rId13" w:tgtFrame="new_entrez" w:history="1">
              <w:r w:rsidRPr="00D0036E">
                <w:rPr>
                  <w:rFonts w:asciiTheme="majorBidi" w:eastAsia="Calibri" w:hAnsiTheme="majorBidi" w:cstheme="majorBidi"/>
                  <w:sz w:val="20"/>
                  <w:szCs w:val="20"/>
                </w:rPr>
                <w:t>NM_013693.3</w:t>
              </w:r>
            </w:hyperlink>
          </w:p>
        </w:tc>
        <w:tc>
          <w:tcPr>
            <w:tcW w:w="1492" w:type="pct"/>
          </w:tcPr>
          <w:p w14:paraId="44D48147"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 xml:space="preserve">TGTAGCCCACGTCGTAGCAA </w:t>
            </w:r>
          </w:p>
        </w:tc>
        <w:tc>
          <w:tcPr>
            <w:tcW w:w="1669" w:type="pct"/>
          </w:tcPr>
          <w:p w14:paraId="277060B4"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ATAGCAAATCGGCTGACGGT</w:t>
            </w:r>
          </w:p>
        </w:tc>
      </w:tr>
      <w:tr w:rsidR="007A10D8" w:rsidRPr="00D0036E" w14:paraId="4861A1AB" w14:textId="77777777" w:rsidTr="00E77946">
        <w:tc>
          <w:tcPr>
            <w:tcW w:w="428" w:type="pct"/>
            <w:vAlign w:val="center"/>
          </w:tcPr>
          <w:p w14:paraId="6D1AD136" w14:textId="77777777" w:rsidR="007A10D8" w:rsidRPr="00D0036E" w:rsidRDefault="007A10D8" w:rsidP="00E77946">
            <w:pPr>
              <w:spacing w:after="120"/>
              <w:jc w:val="both"/>
              <w:rPr>
                <w:rFonts w:asciiTheme="majorBidi" w:eastAsia="Times New Roman" w:hAnsiTheme="majorBidi" w:cstheme="majorBidi"/>
                <w:b/>
                <w:bCs/>
                <w:i/>
                <w:iCs/>
                <w:sz w:val="20"/>
                <w:szCs w:val="20"/>
              </w:rPr>
            </w:pPr>
            <w:r w:rsidRPr="00D0036E">
              <w:rPr>
                <w:rFonts w:asciiTheme="majorBidi" w:hAnsiTheme="majorBidi" w:cstheme="majorBidi"/>
                <w:i/>
                <w:iCs/>
                <w:sz w:val="20"/>
                <w:szCs w:val="20"/>
              </w:rPr>
              <w:t>PGS-2</w:t>
            </w:r>
          </w:p>
        </w:tc>
        <w:tc>
          <w:tcPr>
            <w:tcW w:w="701" w:type="pct"/>
            <w:vAlign w:val="center"/>
          </w:tcPr>
          <w:p w14:paraId="38D8F130"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prostaglandin-endoperoxide synthase 2</w:t>
            </w:r>
          </w:p>
        </w:tc>
        <w:tc>
          <w:tcPr>
            <w:tcW w:w="710" w:type="pct"/>
            <w:vAlign w:val="center"/>
          </w:tcPr>
          <w:p w14:paraId="75A99FEB" w14:textId="77777777" w:rsidR="007A10D8" w:rsidRPr="00D0036E" w:rsidRDefault="007A10D8" w:rsidP="00E77946">
            <w:pPr>
              <w:spacing w:after="120"/>
              <w:jc w:val="both"/>
              <w:rPr>
                <w:rFonts w:asciiTheme="majorBidi" w:eastAsia="Times New Roman" w:hAnsiTheme="majorBidi" w:cstheme="majorBidi"/>
                <w:b/>
                <w:bCs/>
                <w:sz w:val="20"/>
                <w:szCs w:val="20"/>
              </w:rPr>
            </w:pPr>
            <w:hyperlink r:id="rId14" w:tgtFrame="new_entrez" w:history="1">
              <w:r w:rsidRPr="00D0036E">
                <w:rPr>
                  <w:rFonts w:asciiTheme="majorBidi" w:eastAsia="Calibri" w:hAnsiTheme="majorBidi" w:cstheme="majorBidi"/>
                  <w:sz w:val="20"/>
                  <w:szCs w:val="20"/>
                </w:rPr>
                <w:t>NM_011198.5</w:t>
              </w:r>
            </w:hyperlink>
          </w:p>
        </w:tc>
        <w:tc>
          <w:tcPr>
            <w:tcW w:w="1492" w:type="pct"/>
          </w:tcPr>
          <w:p w14:paraId="0768E047"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 xml:space="preserve">CATCCCCTTCCTGCGAAGTT </w:t>
            </w:r>
          </w:p>
        </w:tc>
        <w:tc>
          <w:tcPr>
            <w:tcW w:w="1669" w:type="pct"/>
          </w:tcPr>
          <w:p w14:paraId="5D70B877"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CATGGGAGTTGGGCAGTCAT</w:t>
            </w:r>
          </w:p>
        </w:tc>
      </w:tr>
      <w:bookmarkEnd w:id="18"/>
      <w:tr w:rsidR="007A10D8" w:rsidRPr="00D0036E" w14:paraId="2D384FD6" w14:textId="77777777" w:rsidTr="00E77946">
        <w:tc>
          <w:tcPr>
            <w:tcW w:w="428" w:type="pct"/>
            <w:vAlign w:val="center"/>
          </w:tcPr>
          <w:p w14:paraId="6484014C" w14:textId="77777777" w:rsidR="007A10D8" w:rsidRPr="00D0036E" w:rsidRDefault="007A10D8" w:rsidP="00E77946">
            <w:pPr>
              <w:spacing w:after="120"/>
              <w:jc w:val="both"/>
              <w:rPr>
                <w:rFonts w:asciiTheme="majorBidi" w:eastAsia="Times New Roman" w:hAnsiTheme="majorBidi" w:cstheme="majorBidi"/>
                <w:b/>
                <w:bCs/>
                <w:i/>
                <w:iCs/>
                <w:sz w:val="20"/>
                <w:szCs w:val="20"/>
              </w:rPr>
            </w:pPr>
            <w:r w:rsidRPr="00D0036E">
              <w:rPr>
                <w:rFonts w:asciiTheme="majorBidi" w:eastAsia="Calibri" w:hAnsiTheme="majorBidi" w:cstheme="majorBidi"/>
                <w:i/>
                <w:iCs/>
                <w:sz w:val="20"/>
                <w:szCs w:val="20"/>
              </w:rPr>
              <w:t>ACTB</w:t>
            </w:r>
          </w:p>
        </w:tc>
        <w:tc>
          <w:tcPr>
            <w:tcW w:w="701" w:type="pct"/>
          </w:tcPr>
          <w:p w14:paraId="3732BB31"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Beta actin</w:t>
            </w:r>
          </w:p>
        </w:tc>
        <w:tc>
          <w:tcPr>
            <w:tcW w:w="710" w:type="pct"/>
          </w:tcPr>
          <w:p w14:paraId="304426EF" w14:textId="77777777" w:rsidR="007A10D8" w:rsidRPr="00D0036E" w:rsidRDefault="007A10D8" w:rsidP="00E77946">
            <w:pPr>
              <w:spacing w:after="120"/>
              <w:jc w:val="both"/>
              <w:rPr>
                <w:rFonts w:asciiTheme="majorBidi" w:eastAsia="Times New Roman" w:hAnsiTheme="majorBidi" w:cstheme="majorBidi"/>
                <w:b/>
                <w:bCs/>
                <w:sz w:val="20"/>
                <w:szCs w:val="20"/>
              </w:rPr>
            </w:pPr>
            <w:hyperlink r:id="rId15" w:tgtFrame="new_entrez" w:history="1">
              <w:r w:rsidRPr="00D0036E">
                <w:rPr>
                  <w:rFonts w:asciiTheme="majorBidi" w:eastAsia="Calibri" w:hAnsiTheme="majorBidi" w:cstheme="majorBidi"/>
                  <w:sz w:val="20"/>
                  <w:szCs w:val="20"/>
                </w:rPr>
                <w:t>NM_007393.5</w:t>
              </w:r>
            </w:hyperlink>
          </w:p>
        </w:tc>
        <w:tc>
          <w:tcPr>
            <w:tcW w:w="1492" w:type="pct"/>
          </w:tcPr>
          <w:p w14:paraId="41967A63"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 xml:space="preserve">CCACCATGTACCCAGGCATT </w:t>
            </w:r>
          </w:p>
        </w:tc>
        <w:tc>
          <w:tcPr>
            <w:tcW w:w="1669" w:type="pct"/>
          </w:tcPr>
          <w:p w14:paraId="44E20075" w14:textId="77777777" w:rsidR="007A10D8" w:rsidRPr="00D0036E" w:rsidRDefault="007A10D8" w:rsidP="00E77946">
            <w:pPr>
              <w:spacing w:after="120"/>
              <w:jc w:val="both"/>
              <w:rPr>
                <w:rFonts w:asciiTheme="majorBidi" w:eastAsia="Times New Roman" w:hAnsiTheme="majorBidi" w:cstheme="majorBidi"/>
                <w:b/>
                <w:bCs/>
                <w:sz w:val="20"/>
                <w:szCs w:val="20"/>
              </w:rPr>
            </w:pPr>
            <w:r w:rsidRPr="00D0036E">
              <w:rPr>
                <w:rFonts w:asciiTheme="majorBidi" w:eastAsia="Calibri" w:hAnsiTheme="majorBidi" w:cstheme="majorBidi"/>
                <w:sz w:val="20"/>
                <w:szCs w:val="20"/>
              </w:rPr>
              <w:t>AGGGTGTAAAACGCAGCTCA</w:t>
            </w:r>
          </w:p>
        </w:tc>
      </w:tr>
      <w:bookmarkEnd w:id="19"/>
    </w:tbl>
    <w:p w14:paraId="645B9B95" w14:textId="77777777" w:rsidR="007A10D8" w:rsidRPr="00D0036E" w:rsidRDefault="007A10D8" w:rsidP="007A10D8">
      <w:pPr>
        <w:shd w:val="clear" w:color="auto" w:fill="FFFFFF"/>
        <w:spacing w:after="0" w:line="360" w:lineRule="auto"/>
        <w:jc w:val="both"/>
        <w:rPr>
          <w:rFonts w:ascii="Times New Roman" w:eastAsia="Times New Roman" w:hAnsi="Times New Roman" w:cs="Times New Roman"/>
          <w:b/>
          <w:bCs/>
          <w:sz w:val="24"/>
          <w:szCs w:val="24"/>
        </w:rPr>
      </w:pPr>
    </w:p>
    <w:p w14:paraId="415983F1" w14:textId="0548ADC2" w:rsidR="00216C33" w:rsidRPr="00D0036E" w:rsidRDefault="00216C33" w:rsidP="00216C33">
      <w:pPr>
        <w:rPr>
          <w:rFonts w:asciiTheme="majorBidi" w:hAnsiTheme="majorBidi" w:cstheme="majorBidi"/>
          <w:b/>
          <w:bCs/>
          <w:sz w:val="24"/>
          <w:szCs w:val="24"/>
        </w:rPr>
      </w:pPr>
      <w:r w:rsidRPr="00D0036E">
        <w:rPr>
          <w:rFonts w:asciiTheme="majorBidi" w:hAnsiTheme="majorBidi" w:cstheme="majorBidi"/>
          <w:b/>
          <w:bCs/>
          <w:sz w:val="24"/>
          <w:szCs w:val="24"/>
        </w:rPr>
        <w:t>References</w:t>
      </w:r>
    </w:p>
    <w:p w14:paraId="13430072" w14:textId="77777777" w:rsidR="007A10D8" w:rsidRPr="00D0036E" w:rsidRDefault="00216C33" w:rsidP="007A10D8">
      <w:pPr>
        <w:pStyle w:val="EndNoteBibliography"/>
        <w:spacing w:after="0"/>
      </w:pPr>
      <w:r w:rsidRPr="00D0036E">
        <w:rPr>
          <w:rFonts w:asciiTheme="majorBidi" w:hAnsiTheme="majorBidi" w:cstheme="majorBidi"/>
        </w:rPr>
        <w:fldChar w:fldCharType="begin"/>
      </w:r>
      <w:r w:rsidRPr="00D0036E">
        <w:rPr>
          <w:rFonts w:asciiTheme="majorBidi" w:hAnsiTheme="majorBidi" w:cstheme="majorBidi"/>
        </w:rPr>
        <w:instrText xml:space="preserve"> ADDIN EN.REFLIST </w:instrText>
      </w:r>
      <w:r w:rsidRPr="00D0036E">
        <w:rPr>
          <w:rFonts w:asciiTheme="majorBidi" w:hAnsiTheme="majorBidi" w:cstheme="majorBidi"/>
        </w:rPr>
        <w:fldChar w:fldCharType="separate"/>
      </w:r>
      <w:r w:rsidR="007A10D8" w:rsidRPr="00D0036E">
        <w:t>[1] Cockerill FR, Wikler M, Bush K, Dudley M, Eliopoulos G, Hardy D. Clinical and laboratory standards institute. Performance standards for antimicrobial susceptibility testing: twenty-second informational supplement 2012.</w:t>
      </w:r>
    </w:p>
    <w:p w14:paraId="5C96E772" w14:textId="77777777" w:rsidR="007A10D8" w:rsidRPr="00D0036E" w:rsidRDefault="007A10D8" w:rsidP="007A10D8">
      <w:pPr>
        <w:pStyle w:val="EndNoteBibliography"/>
        <w:spacing w:after="0"/>
      </w:pPr>
      <w:r w:rsidRPr="00D0036E">
        <w:t>[2] Rana E, Rania AK, Hamdallah Z, Alaa E-DSH, Tarek HE. Study on prevalence and genetic discrimination of methicillin-resistant Staphylococcus aureus (MRSA) in Egyptian hospitals. African Journal of Microbiology Research 2018;12:629-46.</w:t>
      </w:r>
    </w:p>
    <w:p w14:paraId="2DCDB39D" w14:textId="77777777" w:rsidR="007A10D8" w:rsidRPr="00D0036E" w:rsidRDefault="007A10D8" w:rsidP="007A10D8">
      <w:pPr>
        <w:pStyle w:val="EndNoteBibliography"/>
        <w:spacing w:after="0"/>
      </w:pPr>
      <w:r w:rsidRPr="00D0036E">
        <w:t>[3] Bauer A, Kirby W, Sherris JC, Turck M. Antibiotic susceptibility testing by a standardized single disk method. American journal of clinical pathology 1966;45:493-6.</w:t>
      </w:r>
    </w:p>
    <w:p w14:paraId="3BCCCAE3" w14:textId="77777777" w:rsidR="007A10D8" w:rsidRPr="00D0036E" w:rsidRDefault="007A10D8" w:rsidP="007A10D8">
      <w:pPr>
        <w:pStyle w:val="EndNoteBibliography"/>
        <w:spacing w:after="0"/>
      </w:pPr>
      <w:r w:rsidRPr="00D0036E">
        <w:t>[4] Caldwell MD. Bacteria and antibiotics in wound healing. Surgical Clinics 2020;100:757-76.</w:t>
      </w:r>
    </w:p>
    <w:p w14:paraId="52C8A149" w14:textId="77777777" w:rsidR="007A10D8" w:rsidRPr="00D0036E" w:rsidRDefault="007A10D8" w:rsidP="007A10D8">
      <w:pPr>
        <w:pStyle w:val="EndNoteBibliography"/>
        <w:spacing w:after="0"/>
      </w:pPr>
      <w:r w:rsidRPr="00D0036E">
        <w:t>[5] Wiegand I, Hilpert K, Hancock RE. Agar and broth dilution methods to determine the minimal inhibitory concentration (MIC) of antimicrobial substances. Nature protocols 2008;3:163-75.</w:t>
      </w:r>
    </w:p>
    <w:p w14:paraId="538F3114" w14:textId="77777777" w:rsidR="007A10D8" w:rsidRPr="00D0036E" w:rsidRDefault="007A10D8" w:rsidP="007A10D8">
      <w:pPr>
        <w:pStyle w:val="EndNoteBibliography"/>
        <w:spacing w:after="0"/>
      </w:pPr>
      <w:r w:rsidRPr="00D0036E">
        <w:t>[6] El-Gayar MH, Aboshanab KM, Aboulwafa MM, Hassouna NA. Antivirulence and wound healing effects of royal jelly and garlic extract for the control of MRSA skin infections. Wound Medicine 2016;13:18-27.</w:t>
      </w:r>
    </w:p>
    <w:p w14:paraId="0A359DC0" w14:textId="77777777" w:rsidR="007A10D8" w:rsidRPr="00D0036E" w:rsidRDefault="007A10D8" w:rsidP="007A10D8">
      <w:pPr>
        <w:pStyle w:val="EndNoteBibliography"/>
        <w:spacing w:after="0"/>
      </w:pPr>
      <w:r w:rsidRPr="00D0036E">
        <w:lastRenderedPageBreak/>
        <w:t>[7] Antonisamy P, Duraipandiyan V, Ignacimuthu S. Anti-inflammatory, analgesic and antipyretic effects of friedelin isolated from Azima tetracantha Lam. in mouse and rat models. Journal of pharmacy and pharmacology 2011;63:1070-7.</w:t>
      </w:r>
    </w:p>
    <w:p w14:paraId="626112BB" w14:textId="77777777" w:rsidR="007A10D8" w:rsidRPr="00D0036E" w:rsidRDefault="007A10D8" w:rsidP="007A10D8">
      <w:pPr>
        <w:pStyle w:val="EndNoteBibliography"/>
        <w:spacing w:after="0"/>
      </w:pPr>
      <w:r w:rsidRPr="00D0036E">
        <w:t>[8] Farid MF, Abouelela YS, Yasin NA, Al-Mokaddem AK, Prince A, Ibrahim MA, et al. Laser-activated autologous adipose tissue-derived stromal vascular fraction restores spinal cord architecture and function in multiple sclerosis cat model. Stem Cell Research &amp; Therapy 2023;14:1-16.</w:t>
      </w:r>
    </w:p>
    <w:p w14:paraId="633C6477" w14:textId="77777777" w:rsidR="007A10D8" w:rsidRPr="00D0036E" w:rsidRDefault="007A10D8" w:rsidP="007A10D8">
      <w:pPr>
        <w:pStyle w:val="EndNoteBibliography"/>
        <w:spacing w:after="0"/>
      </w:pPr>
      <w:r w:rsidRPr="00D0036E">
        <w:t>[9] Livak KJ, Schmittgen TD. Analysis of relative gene expression data using real-time quantitative PCR and the 2− ΔΔCT method. methods 2001;25:402-8.</w:t>
      </w:r>
    </w:p>
    <w:p w14:paraId="4BF55852" w14:textId="77777777" w:rsidR="007A10D8" w:rsidRPr="00D0036E" w:rsidRDefault="007A10D8" w:rsidP="007A10D8">
      <w:pPr>
        <w:pStyle w:val="EndNoteBibliography"/>
        <w:spacing w:after="0"/>
      </w:pPr>
      <w:r w:rsidRPr="00D0036E">
        <w:t>[10] Bancroft JD, Gamble M. Theory and practice of histological techniques: Elsevier health sciences; 2008.</w:t>
      </w:r>
    </w:p>
    <w:p w14:paraId="23D957BC" w14:textId="77777777" w:rsidR="007A10D8" w:rsidRPr="00D0036E" w:rsidRDefault="007A10D8" w:rsidP="007A10D8">
      <w:pPr>
        <w:pStyle w:val="EndNoteBibliography"/>
        <w:spacing w:after="0"/>
      </w:pPr>
      <w:r w:rsidRPr="00D0036E">
        <w:t>[11] Khalaf AA, Hassanen EI, Zaki AR, Tohamy AF, Ibrahim MA. Histopathological, immunohistochemical, and molecular studies for determination of wound age and vitality in rats. International Wound Journal 2019;16:1416-25.</w:t>
      </w:r>
    </w:p>
    <w:p w14:paraId="4159A17B" w14:textId="77777777" w:rsidR="007A10D8" w:rsidRPr="00D0036E" w:rsidRDefault="007A10D8" w:rsidP="007A10D8">
      <w:pPr>
        <w:pStyle w:val="EndNoteBibliography"/>
        <w:spacing w:after="0"/>
      </w:pPr>
      <w:r w:rsidRPr="00D0036E">
        <w:t>[12] Tzankov A, Zlobec I, Went P, Robl H, Hoeller S, Dirnhofer S. Prognostic immunophenotypic biomarker studies in diffuse large B cell lymphoma with special emphasis on rational determination of cut-off scores. Leukemia &amp; lymphoma 2010;51:199-212.</w:t>
      </w:r>
    </w:p>
    <w:p w14:paraId="3179593C" w14:textId="77777777" w:rsidR="007A10D8" w:rsidRPr="00D0036E" w:rsidRDefault="007A10D8" w:rsidP="007A10D8">
      <w:pPr>
        <w:pStyle w:val="EndNoteBibliography"/>
        <w:spacing w:after="0"/>
      </w:pPr>
      <w:r w:rsidRPr="00D0036E">
        <w:t>[13] Mann A, Ibrahim K, Oyewale AO, Amupitan JO, Fatope MO, Okogun JIJAJoC. Antimycobacterial friedelane-terpenoid from the root bark of Terminalia avicennioides.  2011;1:52-5.</w:t>
      </w:r>
    </w:p>
    <w:p w14:paraId="0490C093" w14:textId="77777777" w:rsidR="007A10D8" w:rsidRPr="00D0036E" w:rsidRDefault="007A10D8" w:rsidP="007A10D8">
      <w:pPr>
        <w:pStyle w:val="EndNoteBibliography"/>
        <w:spacing w:after="0"/>
      </w:pPr>
      <w:r w:rsidRPr="00D0036E">
        <w:t>[14] McClure J-A, Conly JM, Lau V, Elsayed S, Louie T, Hutchins W, et al. Novel multiplex PCR assay for detection of the staphylococcal virulence marker Panton-Valentine leukocidin genes and simultaneous discrimination of methicillin-susceptible from-resistant staphylococci. Journal of clinical microbiology 2006;44:1141-4.</w:t>
      </w:r>
    </w:p>
    <w:p w14:paraId="2EC6DEAB" w14:textId="77777777" w:rsidR="007A10D8" w:rsidRPr="00D0036E" w:rsidRDefault="007A10D8" w:rsidP="007A10D8">
      <w:pPr>
        <w:pStyle w:val="EndNoteBibliography"/>
        <w:spacing w:after="0"/>
      </w:pPr>
      <w:r w:rsidRPr="00D0036E">
        <w:t>[15] Mehrotra M, Wang G, Johnson WM. Multiplex PCR for detection of genes for Staphylococcus aureus enterotoxins, exfoliative toxins, toxic shock syndrome toxin 1, and methicillin resistance. Journal of clinical microbiology 2000;38:1032-5.</w:t>
      </w:r>
    </w:p>
    <w:p w14:paraId="5A296930" w14:textId="77777777" w:rsidR="007A10D8" w:rsidRPr="00D0036E" w:rsidRDefault="007A10D8" w:rsidP="007A10D8">
      <w:pPr>
        <w:pStyle w:val="EndNoteBibliography"/>
        <w:spacing w:after="0"/>
      </w:pPr>
      <w:r w:rsidRPr="00D0036E">
        <w:t>[16] Kumar JD, Negi YK, Gaur A, Khanna D. Detection of virulence genes in Staphylococcus aureus isolated from paper currency. International Journal of Infectious Diseases 2009;13:e450-e5.</w:t>
      </w:r>
    </w:p>
    <w:p w14:paraId="2A3CC97D" w14:textId="77777777" w:rsidR="007A10D8" w:rsidRPr="00D0036E" w:rsidRDefault="007A10D8" w:rsidP="007A10D8">
      <w:pPr>
        <w:pStyle w:val="EndNoteBibliography"/>
        <w:spacing w:after="0"/>
      </w:pPr>
      <w:r w:rsidRPr="00D0036E">
        <w:t>[17] Ciftci A, Findik A, Onuk EE, Savasan S. Detection of methicillin resistance and slime factor production of Staphylococcus aureus in bovine mastitis. Brazilian Journal of Microbiology 2009;40:254-61.</w:t>
      </w:r>
    </w:p>
    <w:p w14:paraId="7B97C9DB" w14:textId="77777777" w:rsidR="007A10D8" w:rsidRPr="00D0036E" w:rsidRDefault="007A10D8" w:rsidP="007A10D8">
      <w:pPr>
        <w:pStyle w:val="EndNoteBibliography"/>
      </w:pPr>
      <w:r w:rsidRPr="00D0036E">
        <w:t>[18] Vancraeynest D, Hermans K, Haesebrouck F. Genotypic and phenotypic screening of high and low virulence Staphylococcus aureus isolates from rabbits for biofilm formation and MSCRAMMs. Veterinary microbiology 2004;103:241-7.</w:t>
      </w:r>
    </w:p>
    <w:p w14:paraId="61D15F74" w14:textId="2AA34FF1" w:rsidR="001476BF" w:rsidRPr="001476BF" w:rsidRDefault="00216C33" w:rsidP="007A10D8">
      <w:pPr>
        <w:jc w:val="both"/>
      </w:pPr>
      <w:r w:rsidRPr="00D0036E">
        <w:rPr>
          <w:rFonts w:asciiTheme="majorBidi" w:hAnsiTheme="majorBidi" w:cstheme="majorBidi"/>
        </w:rPr>
        <w:fldChar w:fldCharType="end"/>
      </w:r>
    </w:p>
    <w:sectPr w:rsidR="001476BF" w:rsidRPr="00147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svdfaz6529tre5d51vaed7axad0aszz9sx&quot;&gt;Commicarpus&lt;record-ids&gt;&lt;item&gt;213&lt;/item&gt;&lt;item&gt;294&lt;/item&gt;&lt;item&gt;302&lt;/item&gt;&lt;item&gt;948&lt;/item&gt;&lt;/record-ids&gt;&lt;/item&gt;&lt;/Libraries&gt;"/>
  </w:docVars>
  <w:rsids>
    <w:rsidRoot w:val="00A43B82"/>
    <w:rsid w:val="00093522"/>
    <w:rsid w:val="001363CA"/>
    <w:rsid w:val="001476BF"/>
    <w:rsid w:val="001F2E37"/>
    <w:rsid w:val="0020140C"/>
    <w:rsid w:val="00216C33"/>
    <w:rsid w:val="0023421C"/>
    <w:rsid w:val="00264754"/>
    <w:rsid w:val="00515D62"/>
    <w:rsid w:val="00682A9E"/>
    <w:rsid w:val="00710A1E"/>
    <w:rsid w:val="0073572D"/>
    <w:rsid w:val="00783835"/>
    <w:rsid w:val="007A10D8"/>
    <w:rsid w:val="008150EE"/>
    <w:rsid w:val="008667EE"/>
    <w:rsid w:val="00956324"/>
    <w:rsid w:val="00A43B82"/>
    <w:rsid w:val="00AB37A9"/>
    <w:rsid w:val="00B80B51"/>
    <w:rsid w:val="00BC41FA"/>
    <w:rsid w:val="00CB3118"/>
    <w:rsid w:val="00CE5396"/>
    <w:rsid w:val="00CE7328"/>
    <w:rsid w:val="00D0036E"/>
    <w:rsid w:val="00D0143B"/>
    <w:rsid w:val="00D16B15"/>
    <w:rsid w:val="00DE2D85"/>
    <w:rsid w:val="00E67240"/>
    <w:rsid w:val="00ED5246"/>
    <w:rsid w:val="00EE7183"/>
    <w:rsid w:val="00EF2D0A"/>
    <w:rsid w:val="00F841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60A9"/>
  <w15:chartTrackingRefBased/>
  <w15:docId w15:val="{283C0CBC-FF3A-4AD6-9DF2-6A82AA1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76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16C3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16C33"/>
    <w:rPr>
      <w:rFonts w:ascii="Calibri" w:hAnsi="Calibri" w:cs="Calibri"/>
      <w:noProof/>
    </w:rPr>
  </w:style>
  <w:style w:type="paragraph" w:customStyle="1" w:styleId="EndNoteBibliography">
    <w:name w:val="EndNote Bibliography"/>
    <w:basedOn w:val="Normal"/>
    <w:link w:val="EndNoteBibliographyChar"/>
    <w:rsid w:val="00216C3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16C33"/>
    <w:rPr>
      <w:rFonts w:ascii="Calibri" w:hAnsi="Calibri" w:cs="Calibri"/>
      <w:noProof/>
    </w:rPr>
  </w:style>
  <w:style w:type="character" w:styleId="Hyperlink">
    <w:name w:val="Hyperlink"/>
    <w:basedOn w:val="DefaultParagraphFont"/>
    <w:uiPriority w:val="99"/>
    <w:unhideWhenUsed/>
    <w:rsid w:val="007A10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062747">
      <w:bodyDiv w:val="1"/>
      <w:marLeft w:val="0"/>
      <w:marRight w:val="0"/>
      <w:marTop w:val="0"/>
      <w:marBottom w:val="0"/>
      <w:divBdr>
        <w:top w:val="none" w:sz="0" w:space="0" w:color="auto"/>
        <w:left w:val="none" w:sz="0" w:space="0" w:color="auto"/>
        <w:bottom w:val="none" w:sz="0" w:space="0" w:color="auto"/>
        <w:right w:val="none" w:sz="0" w:space="0" w:color="auto"/>
      </w:divBdr>
    </w:div>
    <w:div w:id="180600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ncbi.nlm.nih.gov/entrez/viewer.fcgi?db=nucleotide&amp;id=518831586"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4.jpeg"/><Relationship Id="rId5" Type="http://schemas.openxmlformats.org/officeDocument/2006/relationships/hyperlink" Target="https://onlinelibrary.wiley.com/doi/10.1111/j.1708-8208.2010.00309.x" TargetMode="External"/><Relationship Id="rId15" Type="http://schemas.openxmlformats.org/officeDocument/2006/relationships/hyperlink" Target="https://www.ncbi.nlm.nih.gov/entrez/viewer.fcgi?db=nucleotide&amp;id=930945786" TargetMode="External"/><Relationship Id="rId10" Type="http://schemas.openxmlformats.org/officeDocument/2006/relationships/oleObject" Target="embeddings/oleObject2.bin"/><Relationship Id="rId4" Type="http://schemas.openxmlformats.org/officeDocument/2006/relationships/hyperlink" Target="https://primer3.ut.ee/" TargetMode="External"/><Relationship Id="rId9" Type="http://schemas.openxmlformats.org/officeDocument/2006/relationships/image" Target="media/image3.emf"/><Relationship Id="rId14" Type="http://schemas.openxmlformats.org/officeDocument/2006/relationships/hyperlink" Target="https://www.ncbi.nlm.nih.gov/entrez/viewer.fcgi?db=nucleotide&amp;id=2316037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5655</Words>
  <Characters>32236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Reham Adel Tawfiq Sheikh</dc:creator>
  <cp:keywords/>
  <dc:description/>
  <cp:lastModifiedBy>Reham Adel Tawfiq Sheikh</cp:lastModifiedBy>
  <cp:revision>9</cp:revision>
  <dcterms:created xsi:type="dcterms:W3CDTF">2024-12-11T12:22:00Z</dcterms:created>
  <dcterms:modified xsi:type="dcterms:W3CDTF">2025-01-12T16:12:00Z</dcterms:modified>
</cp:coreProperties>
</file>