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AFD47">
      <w:pPr>
        <w:jc w:val="center"/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I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nvestigating the impact of ramelteon on all-cause mortality in ischemic stroke ICU patients: a retrospective propensity-matched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tudy from the MIMIC-IV Database</w:t>
      </w:r>
    </w:p>
    <w:p w14:paraId="26E8D52B"/>
    <w:p w14:paraId="368F370C">
      <w:pPr>
        <w:rPr>
          <w:rFonts w:hint="eastAsia"/>
        </w:rPr>
      </w:pPr>
      <w:r>
        <w:drawing>
          <wp:inline distT="0" distB="0" distL="0" distR="0">
            <wp:extent cx="5274310" cy="3616960"/>
            <wp:effectExtent l="0" t="0" r="2540" b="2540"/>
            <wp:docPr id="1718079963" name="图片 1" descr="图表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079963" name="图片 1" descr="图表, 直方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D495E">
      <w:pPr>
        <w:jc w:val="left"/>
        <w:rPr>
          <w:rFonts w:ascii="Times New Roman" w:hAnsi="Times New Roman" w:eastAsia="等线" w:cs="Times New Roman"/>
          <w:sz w:val="20"/>
          <w:szCs w:val="20"/>
        </w:rPr>
      </w:pPr>
      <w:r>
        <w:rPr>
          <w:rFonts w:ascii="Times New Roman" w:hAnsi="Times New Roman" w:eastAsia="等线" w:cs="Times New Roman"/>
          <w:b/>
          <w:bCs/>
          <w:sz w:val="20"/>
          <w:szCs w:val="20"/>
        </w:rPr>
        <w:t>Supplementary Figure 1</w:t>
      </w:r>
      <w:r>
        <w:rPr>
          <w:rFonts w:hint="eastAsia" w:ascii="Times New Roman" w:hAnsi="Times New Roman" w:eastAsia="等线" w:cs="Times New Roman"/>
          <w:b/>
          <w:bCs/>
          <w:sz w:val="20"/>
          <w:szCs w:val="20"/>
        </w:rPr>
        <w:t xml:space="preserve"> </w:t>
      </w:r>
      <w:r>
        <w:rPr>
          <w:rFonts w:hint="eastAsia" w:ascii="Times New Roman" w:hAnsi="Times New Roman" w:eastAsia="等线" w:cs="Times New Roman"/>
          <w:sz w:val="20"/>
          <w:szCs w:val="20"/>
        </w:rPr>
        <w:t>Distributional balance before and after PSM</w:t>
      </w:r>
    </w:p>
    <w:p w14:paraId="3FF49847">
      <w:pPr>
        <w:rPr>
          <w:rFonts w:ascii="Calibri" w:hAnsi="Calibri" w:eastAsia="宋体" w:cs="Times New Roman"/>
          <w:szCs w:val="21"/>
        </w:rPr>
      </w:pPr>
      <w:r>
        <w:rPr>
          <w:rFonts w:hint="eastAsia" w:ascii="Times New Roman" w:hAnsi="Times New Roman" w:eastAsia="等线" w:cs="Times New Roman"/>
          <w:b/>
          <w:bCs/>
          <w:sz w:val="20"/>
          <w:szCs w:val="20"/>
        </w:rPr>
        <w:t xml:space="preserve">Note: </w:t>
      </w:r>
      <w:r>
        <w:rPr>
          <w:rFonts w:hint="eastAsia" w:ascii="Times New Roman" w:hAnsi="Times New Roman" w:eastAsia="等线" w:cs="Times New Roman"/>
          <w:sz w:val="20"/>
          <w:szCs w:val="20"/>
        </w:rPr>
        <w:t xml:space="preserve">Kernel density plots of the propensity score distance for the </w:t>
      </w:r>
      <w:r>
        <w:rPr>
          <w:rFonts w:ascii="Times New Roman" w:hAnsi="Times New Roman" w:eastAsia="等线" w:cs="Times New Roman"/>
          <w:sz w:val="20"/>
          <w:szCs w:val="20"/>
        </w:rPr>
        <w:t>ramelteon</w:t>
      </w:r>
      <w:r>
        <w:rPr>
          <w:rFonts w:hint="eastAsia" w:ascii="Times New Roman" w:hAnsi="Times New Roman" w:eastAsia="等线" w:cs="Times New Roman"/>
          <w:sz w:val="20"/>
          <w:szCs w:val="20"/>
        </w:rPr>
        <w:t xml:space="preserve"> and non-</w:t>
      </w:r>
      <w:r>
        <w:rPr>
          <w:rFonts w:ascii="Times New Roman" w:hAnsi="Times New Roman" w:eastAsia="等线" w:cs="Times New Roman"/>
          <w:sz w:val="20"/>
          <w:szCs w:val="20"/>
        </w:rPr>
        <w:t>ramelteon</w:t>
      </w:r>
      <w:r>
        <w:rPr>
          <w:rFonts w:hint="eastAsia" w:ascii="Times New Roman" w:hAnsi="Times New Roman" w:eastAsia="等线" w:cs="Times New Roman"/>
          <w:sz w:val="20"/>
          <w:szCs w:val="20"/>
        </w:rPr>
        <w:t xml:space="preserve"> groups before (</w:t>
      </w:r>
      <w:r>
        <w:rPr>
          <w:rFonts w:hint="eastAsia" w:ascii="Times New Roman" w:hAnsi="Times New Roman" w:eastAsia="等线" w:cs="Times New Roman"/>
          <w:b/>
          <w:bCs/>
          <w:sz w:val="20"/>
          <w:szCs w:val="20"/>
        </w:rPr>
        <w:t>left</w:t>
      </w:r>
      <w:r>
        <w:rPr>
          <w:rFonts w:hint="eastAsia" w:ascii="Times New Roman" w:hAnsi="Times New Roman" w:eastAsia="等线" w:cs="Times New Roman"/>
          <w:sz w:val="20"/>
          <w:szCs w:val="20"/>
        </w:rPr>
        <w:t>) and after (</w:t>
      </w:r>
      <w:r>
        <w:rPr>
          <w:rFonts w:hint="eastAsia" w:ascii="Times New Roman" w:hAnsi="Times New Roman" w:eastAsia="等线" w:cs="Times New Roman"/>
          <w:b/>
          <w:bCs/>
          <w:sz w:val="20"/>
          <w:szCs w:val="20"/>
        </w:rPr>
        <w:t>right</w:t>
      </w:r>
      <w:r>
        <w:rPr>
          <w:rFonts w:hint="eastAsia" w:ascii="Times New Roman" w:hAnsi="Times New Roman" w:eastAsia="等线" w:cs="Times New Roman"/>
          <w:sz w:val="20"/>
          <w:szCs w:val="20"/>
        </w:rPr>
        <w:t>) PSM. Improved overlap in the adjusted sample indicates successful balancing of the groups via PSM.</w:t>
      </w:r>
    </w:p>
    <w:p w14:paraId="2582C2D2">
      <w:pPr>
        <w:jc w:val="left"/>
        <w:rPr>
          <w:rFonts w:ascii="Times New Roman" w:hAnsi="Times New Roman" w:eastAsia="等线" w:cs="Times New Roman"/>
          <w:sz w:val="20"/>
          <w:szCs w:val="20"/>
        </w:rPr>
      </w:pPr>
      <w:r>
        <w:rPr>
          <w:rFonts w:hint="eastAsia" w:ascii="Times New Roman" w:hAnsi="Times New Roman" w:eastAsia="等线" w:cs="Times New Roman"/>
          <w:b/>
          <w:bCs/>
          <w:sz w:val="20"/>
          <w:szCs w:val="20"/>
        </w:rPr>
        <w:t xml:space="preserve">Abbreviation: </w:t>
      </w:r>
      <w:r>
        <w:rPr>
          <w:rFonts w:hint="eastAsia" w:ascii="Times New Roman" w:hAnsi="Times New Roman" w:eastAsia="等线" w:cs="Times New Roman"/>
          <w:sz w:val="20"/>
          <w:szCs w:val="20"/>
        </w:rPr>
        <w:t>PSM, propensity score matching</w:t>
      </w:r>
    </w:p>
    <w:p w14:paraId="5633BCF0">
      <w:pPr>
        <w:rPr>
          <w:rFonts w:hint="eastAsia"/>
        </w:rPr>
      </w:pPr>
    </w:p>
    <w:p w14:paraId="5F23683F">
      <w:pPr>
        <w:rPr>
          <w:rFonts w:hint="eastAsia"/>
        </w:rPr>
      </w:pPr>
      <w:r>
        <w:drawing>
          <wp:inline distT="0" distB="0" distL="0" distR="0">
            <wp:extent cx="5274310" cy="4639310"/>
            <wp:effectExtent l="0" t="0" r="2540" b="8890"/>
            <wp:docPr id="1542945036" name="图片 2" descr="图片包含 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945036" name="图片 2" descr="图片包含 图表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3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3007C">
      <w:pPr>
        <w:jc w:val="left"/>
        <w:rPr>
          <w:rFonts w:ascii="Times New Roman" w:hAnsi="Times New Roman" w:eastAsia="等线" w:cs="Times New Roman"/>
          <w:sz w:val="20"/>
          <w:szCs w:val="20"/>
        </w:rPr>
      </w:pPr>
      <w:r>
        <w:rPr>
          <w:rFonts w:ascii="Times New Roman" w:hAnsi="Times New Roman" w:eastAsia="等线" w:cs="Times New Roman"/>
          <w:b/>
          <w:bCs/>
          <w:sz w:val="20"/>
          <w:szCs w:val="20"/>
        </w:rPr>
        <w:t xml:space="preserve">Supplementary Figure </w:t>
      </w:r>
      <w:r>
        <w:rPr>
          <w:rFonts w:hint="eastAsia" w:ascii="Times New Roman" w:hAnsi="Times New Roman" w:eastAsia="等线" w:cs="Times New Roman"/>
          <w:b/>
          <w:bCs/>
          <w:sz w:val="20"/>
          <w:szCs w:val="20"/>
        </w:rPr>
        <w:t xml:space="preserve">2 </w:t>
      </w:r>
      <w:r>
        <w:rPr>
          <w:rFonts w:ascii="Times New Roman" w:hAnsi="Times New Roman" w:eastAsia="等线" w:cs="Times New Roman"/>
          <w:sz w:val="20"/>
          <w:szCs w:val="20"/>
        </w:rPr>
        <w:t>SMD</w:t>
      </w:r>
      <w:r>
        <w:rPr>
          <w:rFonts w:hint="eastAsia" w:ascii="Times New Roman" w:hAnsi="Times New Roman" w:eastAsia="等线" w:cs="Times New Roman"/>
          <w:sz w:val="20"/>
          <w:szCs w:val="20"/>
        </w:rPr>
        <w:t xml:space="preserve"> of covariates before and after PSM</w:t>
      </w:r>
    </w:p>
    <w:p w14:paraId="30365E41">
      <w:pPr>
        <w:jc w:val="left"/>
        <w:rPr>
          <w:rFonts w:ascii="Times New Roman" w:hAnsi="Times New Roman" w:eastAsia="等线" w:cs="Times New Roman"/>
          <w:sz w:val="20"/>
          <w:szCs w:val="20"/>
        </w:rPr>
      </w:pPr>
      <w:r>
        <w:rPr>
          <w:rFonts w:hint="eastAsia" w:ascii="Times New Roman" w:hAnsi="Times New Roman" w:eastAsia="等线" w:cs="Times New Roman"/>
          <w:b/>
          <w:bCs/>
          <w:sz w:val="20"/>
          <w:szCs w:val="20"/>
        </w:rPr>
        <w:t xml:space="preserve">Note: </w:t>
      </w:r>
      <w:r>
        <w:rPr>
          <w:rFonts w:hint="eastAsia" w:ascii="Times New Roman" w:hAnsi="Times New Roman" w:eastAsia="等线" w:cs="Times New Roman"/>
          <w:sz w:val="20"/>
          <w:szCs w:val="20"/>
        </w:rPr>
        <w:t xml:space="preserve">Each point denotes the SMD of a baseline covariate between the </w:t>
      </w:r>
      <w:r>
        <w:rPr>
          <w:rFonts w:ascii="Times New Roman" w:hAnsi="Times New Roman" w:eastAsia="等线" w:cs="Times New Roman"/>
          <w:sz w:val="20"/>
          <w:szCs w:val="20"/>
        </w:rPr>
        <w:t>ramelteon</w:t>
      </w:r>
      <w:r>
        <w:rPr>
          <w:rFonts w:hint="eastAsia" w:ascii="Times New Roman" w:hAnsi="Times New Roman" w:eastAsia="等线" w:cs="Times New Roman"/>
          <w:sz w:val="20"/>
          <w:szCs w:val="20"/>
        </w:rPr>
        <w:t xml:space="preserve"> and non-</w:t>
      </w:r>
      <w:r>
        <w:rPr>
          <w:rFonts w:ascii="Times New Roman" w:hAnsi="Times New Roman" w:eastAsia="等线" w:cs="Times New Roman"/>
          <w:sz w:val="20"/>
          <w:szCs w:val="20"/>
        </w:rPr>
        <w:t xml:space="preserve"> ramelteon</w:t>
      </w:r>
      <w:r>
        <w:rPr>
          <w:rFonts w:hint="eastAsia" w:ascii="Times New Roman" w:hAnsi="Times New Roman" w:eastAsia="等线" w:cs="Times New Roman"/>
          <w:sz w:val="20"/>
          <w:szCs w:val="20"/>
        </w:rPr>
        <w:t xml:space="preserve"> groups, before and after PSM. Following matching, the majority of covariates exhibited absolute SMDs below 0.1, indicating satisfactory covariate balance.</w:t>
      </w:r>
    </w:p>
    <w:p w14:paraId="41CBF940">
      <w:pPr>
        <w:rPr>
          <w:rFonts w:hint="eastAsia" w:ascii="Calibri" w:hAnsi="Calibri" w:eastAsia="宋体" w:cs="Times New Roman"/>
          <w:szCs w:val="21"/>
        </w:rPr>
      </w:pPr>
      <w:r>
        <w:rPr>
          <w:rFonts w:hint="eastAsia" w:ascii="Times New Roman" w:hAnsi="Times New Roman" w:eastAsia="等线" w:cs="Times New Roman"/>
          <w:b/>
          <w:bCs/>
          <w:sz w:val="20"/>
          <w:szCs w:val="20"/>
        </w:rPr>
        <w:t xml:space="preserve">Abbreviation: </w:t>
      </w:r>
      <w:r>
        <w:rPr>
          <w:rFonts w:ascii="Times New Roman" w:hAnsi="Times New Roman" w:eastAsia="等线" w:cs="Times New Roman"/>
          <w:sz w:val="20"/>
          <w:szCs w:val="20"/>
        </w:rPr>
        <w:t>SMD</w:t>
      </w:r>
      <w:r>
        <w:rPr>
          <w:rFonts w:hint="eastAsia" w:ascii="Times New Roman" w:hAnsi="Times New Roman" w:eastAsia="等线" w:cs="Times New Roman"/>
          <w:sz w:val="20"/>
          <w:szCs w:val="20"/>
        </w:rPr>
        <w:t xml:space="preserve">, </w:t>
      </w:r>
      <w:r>
        <w:rPr>
          <w:rFonts w:ascii="Times New Roman" w:hAnsi="Times New Roman" w:eastAsia="等线" w:cs="Times New Roman"/>
          <w:sz w:val="20"/>
          <w:szCs w:val="20"/>
        </w:rPr>
        <w:t>standardized mean difference</w:t>
      </w:r>
      <w:r>
        <w:rPr>
          <w:rFonts w:hint="eastAsia" w:ascii="Times New Roman" w:hAnsi="Times New Roman" w:eastAsia="等线" w:cs="Times New Roman"/>
          <w:sz w:val="20"/>
          <w:szCs w:val="20"/>
        </w:rPr>
        <w:t xml:space="preserve">; PSM, propensity score matching; </w:t>
      </w:r>
      <w:r>
        <w:rPr>
          <w:rFonts w:ascii="Times New Roman" w:hAnsi="Times New Roman" w:eastAsia="Segoe UI" w:cs="Times New Roman"/>
          <w:color w:val="404040"/>
          <w:sz w:val="20"/>
          <w:szCs w:val="20"/>
          <w:shd w:val="clear" w:color="auto" w:fill="FFFFFF"/>
        </w:rPr>
        <w:t>SOFA, sequential organ failure assessment; GCS, glasgow coma scale; CCI, charlson comorbidity index; SAPSII, simplified acute physiology score II; OASIS, oxford acute severity of illness score; PT, prothrombin time; PTT, partial thromboplastin time; CKD, chronic kidney disease; HR, heart rate; SBP, systolic blood pressure; DBP, diastolic blood pressure; MBP, mean blood pressure; RR, respiratory rate; T, temperature; SPO2, oxygen saturation; CRRT, continuous renal replacement therapy</w:t>
      </w:r>
      <w:r>
        <w:rPr>
          <w:rFonts w:hint="eastAsia" w:ascii="Calibri" w:hAnsi="Calibri" w:eastAsia="宋体" w:cs="Times New Roman"/>
          <w:szCs w:val="21"/>
        </w:rPr>
        <w:t xml:space="preserve">; </w:t>
      </w:r>
      <w:r>
        <w:rPr>
          <w:rFonts w:ascii="Times New Roman" w:hAnsi="Times New Roman" w:eastAsia="Segoe UI" w:cs="Times New Roman"/>
          <w:color w:val="404040"/>
          <w:sz w:val="20"/>
          <w:szCs w:val="20"/>
          <w:shd w:val="clear" w:color="auto" w:fill="FFFFFF"/>
        </w:rPr>
        <w:t>COPD, chronic obstructive pulmonary disease</w:t>
      </w:r>
      <w:r>
        <w:rPr>
          <w:rFonts w:hint="eastAsia" w:ascii="Times New Roman" w:hAnsi="Times New Roman" w:eastAsia="宋体" w:cs="Times New Roman"/>
          <w:color w:val="404040"/>
          <w:sz w:val="20"/>
          <w:szCs w:val="20"/>
          <w:shd w:val="clear" w:color="auto" w:fill="FFFFFF"/>
        </w:rPr>
        <w:t xml:space="preserve">; </w:t>
      </w:r>
      <w:r>
        <w:rPr>
          <w:rFonts w:ascii="Times New Roman" w:hAnsi="Times New Roman" w:eastAsia="Segoe UI" w:cs="Times New Roman"/>
          <w:color w:val="404040"/>
          <w:sz w:val="20"/>
          <w:szCs w:val="20"/>
          <w:shd w:val="clear" w:color="auto" w:fill="FFFFFF"/>
        </w:rPr>
        <w:t>PSM, propensity score matching</w:t>
      </w:r>
      <w:r>
        <w:rPr>
          <w:rFonts w:hint="eastAsia" w:ascii="Times New Roman" w:hAnsi="Times New Roman" w:eastAsia="宋体" w:cs="Times New Roman"/>
          <w:color w:val="404040"/>
          <w:sz w:val="20"/>
          <w:szCs w:val="20"/>
          <w:shd w:val="clear" w:color="auto" w:fill="FFFFFF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65F"/>
    <w:rsid w:val="00190266"/>
    <w:rsid w:val="00234244"/>
    <w:rsid w:val="00562E8E"/>
    <w:rsid w:val="005C2359"/>
    <w:rsid w:val="005C3FE7"/>
    <w:rsid w:val="005F5D8E"/>
    <w:rsid w:val="0076799B"/>
    <w:rsid w:val="00A1265F"/>
    <w:rsid w:val="00BD508E"/>
    <w:rsid w:val="00BE4E4A"/>
    <w:rsid w:val="1A884D1B"/>
    <w:rsid w:val="7117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199</Words>
  <Characters>1269</Characters>
  <Lines>9</Lines>
  <Paragraphs>2</Paragraphs>
  <TotalTime>0</TotalTime>
  <ScaleCrop>false</ScaleCrop>
  <LinksUpToDate>false</LinksUpToDate>
  <CharactersWithSpaces>1462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2025-07-02T16:14:00Z</dcterms:created>
  <dc:creator>acharya lucy</dc:creator>
  <cp:lastModifiedBy>吉利</cp:lastModifiedBy>
  <dcterms:modified xsi:type="dcterms:W3CDTF">2025-07-19T04:18:51Z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eyJoZGlkIjoiZjFmZWIzNDg2MmIzZjExOTIzMmViNTBmYTMwYTk0ZWYiLCJ1c2VySWQiOiIzMDA1Mzk5NjMifQ==</vt:lpwstr>
  </property>
  <property fmtid="{D5CDD505-2E9C-101B-9397-08002B2CF9AE}" pid="3" name="KSOProductBuildVer">
    <vt:lpwstr>2052-12.1.0.21915</vt:lpwstr>
  </property>
  <property fmtid="{D5CDD505-2E9C-101B-9397-08002B2CF9AE}" pid="4" name="ICV">
    <vt:lpwstr>44CCAF45F7DA4579B6C3C3C6837129C4_12</vt:lpwstr>
  </property>
</Properties>
</file>