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677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he </w:t>
      </w:r>
      <w:r>
        <w:rPr>
          <w:rFonts w:ascii="Times New Roman" w:hAnsi="Times New Roman" w:cs="Times New Roman"/>
          <w:b/>
          <w:bCs/>
          <w:sz w:val="24"/>
          <w:szCs w:val="24"/>
        </w:rPr>
        <w:t>Preferred Terms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(PTs) for Osteomyelitis</w:t>
      </w:r>
    </w:p>
    <w:p w14:paraId="20CB2944">
      <w:pPr>
        <w:spacing w:line="120" w:lineRule="exact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2"/>
        <w:tblW w:w="820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260"/>
        <w:gridCol w:w="2840"/>
        <w:gridCol w:w="1260"/>
      </w:tblGrid>
      <w:tr w14:paraId="206BD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B1D44B4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PTs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CE1750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Code</w:t>
            </w:r>
          </w:p>
        </w:tc>
        <w:tc>
          <w:tcPr>
            <w:tcW w:w="28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053338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HLGT name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2ECC5C5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Code</w:t>
            </w:r>
          </w:p>
        </w:tc>
      </w:tr>
      <w:tr w14:paraId="721BD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410129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Osteomyelitis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7A5279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10031252</w:t>
            </w:r>
          </w:p>
        </w:tc>
        <w:tc>
          <w:tcPr>
            <w:tcW w:w="284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5EC4FF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Bone And Joint Infections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5C5034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10021879</w:t>
            </w:r>
          </w:p>
        </w:tc>
      </w:tr>
      <w:tr w14:paraId="11D41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4DF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Candida Osteomyelitis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C98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10064699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F75F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Candida Infections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DA87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10017528</w:t>
            </w:r>
          </w:p>
        </w:tc>
      </w:tr>
      <w:tr w14:paraId="344DF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76FB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Chronic Recurrent Multifocal Osteomyelitis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50C6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10071530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8C3B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Musculoskeletal And Connective Tissue Infections And Inflammations Nec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96BE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10028393</w:t>
            </w:r>
          </w:p>
        </w:tc>
      </w:tr>
      <w:tr w14:paraId="03BAE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803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Osteomyelitis Acute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D82E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10031253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3BEB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Bone And Joint Infections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87AC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10021879</w:t>
            </w:r>
          </w:p>
        </w:tc>
      </w:tr>
      <w:tr w14:paraId="07C6B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A575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Osteomyelitis Bacterial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570C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10065237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584A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Bacterial Infections Nec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DB64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10004018</w:t>
            </w:r>
          </w:p>
        </w:tc>
      </w:tr>
      <w:tr w14:paraId="08C61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74A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Osteomyelitis Blastomyces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62B9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10031255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2654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Blastomyces Infections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3CAC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10017528</w:t>
            </w:r>
          </w:p>
        </w:tc>
      </w:tr>
      <w:tr w14:paraId="687CA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363D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Osteomyelitis Chronic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9167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10031256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0201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Bone And Joint Infections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BB6B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10021879</w:t>
            </w:r>
          </w:p>
        </w:tc>
      </w:tr>
      <w:tr w14:paraId="56360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F741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Osteomyelitis Fungal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4A1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10065239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BE44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Fungal Infections Nec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0937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10017528</w:t>
            </w:r>
          </w:p>
        </w:tc>
      </w:tr>
      <w:tr w14:paraId="70184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A70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Osteomyelitis Salmonella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D412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10031262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8F39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Salmonella Infections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5EF4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10004018</w:t>
            </w:r>
          </w:p>
        </w:tc>
      </w:tr>
      <w:tr w14:paraId="0BF8A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3892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Osteomyelitis Viral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18F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10065238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86F5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Viral Infections Nec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32FA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10047438</w:t>
            </w:r>
          </w:p>
        </w:tc>
      </w:tr>
      <w:tr w14:paraId="3D5E9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6D7D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Staphylococcal Osteomyelitis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2A4B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10064250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63CB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Staphylococcal Infections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383A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10004018</w:t>
            </w:r>
          </w:p>
        </w:tc>
      </w:tr>
    </w:tbl>
    <w:p w14:paraId="2F1CC4C3"/>
    <w:p w14:paraId="10641E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S2. Two-by-two contingency table for disproportionality analyses.</w:t>
      </w:r>
    </w:p>
    <w:p w14:paraId="7A4B6C02">
      <w:pPr>
        <w:spacing w:line="12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419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535"/>
        <w:gridCol w:w="2285"/>
      </w:tblGrid>
      <w:tr w14:paraId="214FC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9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47972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Drug/Event</w:t>
            </w:r>
          </w:p>
        </w:tc>
        <w:tc>
          <w:tcPr>
            <w:tcW w:w="177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22DE7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vent R</w:t>
            </w:r>
          </w:p>
        </w:tc>
        <w:tc>
          <w:tcPr>
            <w:tcW w:w="159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6074E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ot event R</w:t>
            </w:r>
          </w:p>
        </w:tc>
      </w:tr>
      <w:tr w14:paraId="07310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9" w:type="pct"/>
            <w:tcBorders>
              <w:top w:val="single" w:color="auto" w:sz="8" w:space="0"/>
            </w:tcBorders>
            <w:vAlign w:val="center"/>
          </w:tcPr>
          <w:p w14:paraId="0BFDC9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>Drug P</w:t>
            </w:r>
          </w:p>
        </w:tc>
        <w:tc>
          <w:tcPr>
            <w:tcW w:w="1773" w:type="pct"/>
            <w:tcBorders>
              <w:top w:val="single" w:color="auto" w:sz="8" w:space="0"/>
            </w:tcBorders>
            <w:vAlign w:val="center"/>
          </w:tcPr>
          <w:p w14:paraId="222A8D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598" w:type="pct"/>
            <w:tcBorders>
              <w:top w:val="single" w:color="auto" w:sz="8" w:space="0"/>
            </w:tcBorders>
            <w:vAlign w:val="center"/>
          </w:tcPr>
          <w:p w14:paraId="558FC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</w:tr>
      <w:tr w14:paraId="0FA90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9" w:type="pct"/>
            <w:tcBorders>
              <w:bottom w:val="single" w:color="auto" w:sz="8" w:space="0"/>
            </w:tcBorders>
            <w:vAlign w:val="center"/>
          </w:tcPr>
          <w:p w14:paraId="7E3C7B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ot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drug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GB"/>
              </w:rPr>
              <w:t xml:space="preserve"> P</w:t>
            </w:r>
          </w:p>
        </w:tc>
        <w:tc>
          <w:tcPr>
            <w:tcW w:w="1773" w:type="pct"/>
            <w:tcBorders>
              <w:bottom w:val="single" w:color="auto" w:sz="8" w:space="0"/>
            </w:tcBorders>
            <w:vAlign w:val="center"/>
          </w:tcPr>
          <w:p w14:paraId="715C8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</w:p>
        </w:tc>
        <w:tc>
          <w:tcPr>
            <w:tcW w:w="1598" w:type="pct"/>
            <w:tcBorders>
              <w:bottom w:val="single" w:color="auto" w:sz="8" w:space="0"/>
            </w:tcBorders>
            <w:vAlign w:val="center"/>
          </w:tcPr>
          <w:p w14:paraId="04F03E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</w:p>
        </w:tc>
      </w:tr>
    </w:tbl>
    <w:p w14:paraId="2A39FFE2">
      <w:pPr>
        <w:spacing w:line="120" w:lineRule="exact"/>
        <w:rPr>
          <w:rFonts w:ascii="Times New Roman" w:hAnsi="Times New Roman" w:cs="Times New Roman"/>
          <w:sz w:val="24"/>
          <w:szCs w:val="24"/>
          <w:lang w:val="en-GB"/>
        </w:rPr>
      </w:pPr>
    </w:p>
    <w:p w14:paraId="024978C5">
      <w:pPr>
        <w:rPr>
          <w:rFonts w:ascii="Times New Roman" w:hAnsi="Times New Roman" w:cs="Times New Roman"/>
          <w:sz w:val="24"/>
          <w:szCs w:val="28"/>
        </w:rPr>
      </w:pPr>
      <w:r>
        <w:rPr>
          <w:rFonts w:hint="eastAsia" w:ascii="Times New Roman" w:hAnsi="Times New Roman" w:cs="Times New Roman"/>
          <w:sz w:val="24"/>
          <w:szCs w:val="28"/>
        </w:rPr>
        <w:t>a (</w:t>
      </w:r>
      <w:r>
        <w:rPr>
          <w:rFonts w:ascii="Times New Roman" w:hAnsi="Times New Roman" w:cs="Times New Roman"/>
          <w:sz w:val="24"/>
          <w:szCs w:val="28"/>
        </w:rPr>
        <w:t>C</w:t>
      </w:r>
      <w:r>
        <w:rPr>
          <w:rFonts w:hint="eastAsia" w:ascii="Times New Roman" w:hAnsi="Times New Roman" w:cs="Times New Roman"/>
          <w:sz w:val="24"/>
          <w:szCs w:val="28"/>
        </w:rPr>
        <w:t xml:space="preserve">ases): The number of </w:t>
      </w:r>
      <w:r>
        <w:rPr>
          <w:rFonts w:ascii="Times New Roman" w:hAnsi="Times New Roman" w:cs="Times New Roman"/>
          <w:sz w:val="24"/>
          <w:szCs w:val="28"/>
        </w:rPr>
        <w:t xml:space="preserve">individual cases that list the suspected </w:t>
      </w:r>
      <w:r>
        <w:rPr>
          <w:rFonts w:hint="eastAsia" w:ascii="Times New Roman" w:hAnsi="Times New Roman" w:cs="Times New Roman"/>
          <w:sz w:val="24"/>
          <w:szCs w:val="28"/>
        </w:rPr>
        <w:t>drug</w:t>
      </w:r>
      <w:r>
        <w:rPr>
          <w:rFonts w:ascii="Times New Roman" w:hAnsi="Times New Roman" w:cs="Times New Roman"/>
          <w:sz w:val="24"/>
          <w:szCs w:val="28"/>
        </w:rPr>
        <w:t xml:space="preserve"> P and the adverse event R;</w:t>
      </w:r>
      <w:r>
        <w:rPr>
          <w:rFonts w:hint="eastAsia" w:ascii="Times New Roman" w:hAnsi="Times New Roman" w:cs="Times New Roman"/>
          <w:sz w:val="24"/>
          <w:szCs w:val="28"/>
        </w:rPr>
        <w:t xml:space="preserve"> b (Exposed controls): The n</w:t>
      </w:r>
      <w:r>
        <w:rPr>
          <w:rFonts w:ascii="Times New Roman" w:hAnsi="Times New Roman" w:cs="Times New Roman"/>
          <w:sz w:val="24"/>
          <w:szCs w:val="28"/>
        </w:rPr>
        <w:t xml:space="preserve">umber of individual cases that list the suspected </w:t>
      </w:r>
      <w:r>
        <w:rPr>
          <w:rFonts w:hint="eastAsia" w:ascii="Times New Roman" w:hAnsi="Times New Roman" w:cs="Times New Roman"/>
          <w:sz w:val="24"/>
          <w:szCs w:val="28"/>
        </w:rPr>
        <w:t>drug</w:t>
      </w:r>
      <w:r>
        <w:rPr>
          <w:rFonts w:ascii="Times New Roman" w:hAnsi="Times New Roman" w:cs="Times New Roman"/>
          <w:sz w:val="24"/>
          <w:szCs w:val="28"/>
        </w:rPr>
        <w:t xml:space="preserve"> P but not the adverse event R; </w:t>
      </w:r>
      <w:r>
        <w:rPr>
          <w:rFonts w:hint="eastAsia" w:ascii="Times New Roman" w:hAnsi="Times New Roman" w:cs="Times New Roman"/>
          <w:sz w:val="24"/>
          <w:szCs w:val="28"/>
        </w:rPr>
        <w:t>c (Event controls): The n</w:t>
      </w:r>
      <w:r>
        <w:rPr>
          <w:rFonts w:ascii="Times New Roman" w:hAnsi="Times New Roman" w:cs="Times New Roman"/>
          <w:sz w:val="24"/>
          <w:szCs w:val="28"/>
        </w:rPr>
        <w:t xml:space="preserve">umber of individual cases that list the adverse event R but not the </w:t>
      </w:r>
      <w:r>
        <w:rPr>
          <w:rFonts w:hint="eastAsia" w:ascii="Times New Roman" w:hAnsi="Times New Roman" w:cs="Times New Roman"/>
          <w:sz w:val="24"/>
          <w:szCs w:val="28"/>
        </w:rPr>
        <w:t xml:space="preserve">drug </w:t>
      </w:r>
      <w:r>
        <w:rPr>
          <w:rFonts w:ascii="Times New Roman" w:hAnsi="Times New Roman" w:cs="Times New Roman"/>
          <w:sz w:val="24"/>
          <w:szCs w:val="28"/>
        </w:rPr>
        <w:t xml:space="preserve">P of interest; </w:t>
      </w:r>
      <w:r>
        <w:rPr>
          <w:rFonts w:hint="eastAsia" w:ascii="Times New Roman" w:hAnsi="Times New Roman" w:cs="Times New Roman"/>
          <w:sz w:val="24"/>
          <w:szCs w:val="28"/>
        </w:rPr>
        <w:t>d (Background controls): The n</w:t>
      </w:r>
      <w:r>
        <w:rPr>
          <w:rFonts w:ascii="Times New Roman" w:hAnsi="Times New Roman" w:cs="Times New Roman"/>
          <w:sz w:val="24"/>
          <w:szCs w:val="28"/>
        </w:rPr>
        <w:t xml:space="preserve">umber of individual cases that do not list the adverse event R or the </w:t>
      </w:r>
      <w:r>
        <w:rPr>
          <w:rFonts w:hint="eastAsia" w:ascii="Times New Roman" w:hAnsi="Times New Roman" w:cs="Times New Roman"/>
          <w:sz w:val="24"/>
          <w:szCs w:val="28"/>
        </w:rPr>
        <w:t>drug</w:t>
      </w:r>
      <w:r>
        <w:rPr>
          <w:rFonts w:ascii="Times New Roman" w:hAnsi="Times New Roman" w:cs="Times New Roman"/>
          <w:sz w:val="24"/>
          <w:szCs w:val="28"/>
        </w:rPr>
        <w:t xml:space="preserve"> P of interest.</w:t>
      </w:r>
    </w:p>
    <w:p w14:paraId="5E7BD7D3"/>
    <w:p w14:paraId="60819FEE">
      <w:pPr>
        <w:pStyle w:val="4"/>
        <w:spacing w:line="48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S3. </w:t>
      </w:r>
      <w:bookmarkStart w:id="0" w:name="_GoBack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rugs with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 positive algorithms</w:t>
      </w:r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for osteomyelitis in the FAERS</w:t>
      </w:r>
    </w:p>
    <w:tbl>
      <w:tblPr>
        <w:tblStyle w:val="5"/>
        <w:tblW w:w="1047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816"/>
        <w:gridCol w:w="1887"/>
        <w:gridCol w:w="1476"/>
        <w:gridCol w:w="1368"/>
        <w:gridCol w:w="1188"/>
        <w:gridCol w:w="1029"/>
        <w:gridCol w:w="1080"/>
      </w:tblGrid>
      <w:tr w14:paraId="1E5179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62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center"/>
          </w:tcPr>
          <w:p w14:paraId="7BD42EF6">
            <w:pPr>
              <w:jc w:val="center"/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Drug Name</w:t>
            </w:r>
          </w:p>
        </w:tc>
        <w:tc>
          <w:tcPr>
            <w:tcW w:w="81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center"/>
          </w:tcPr>
          <w:p w14:paraId="6EB57345"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887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bottom"/>
          </w:tcPr>
          <w:p w14:paraId="725A0171"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ROR(95%Cl)</w:t>
            </w:r>
          </w:p>
        </w:tc>
        <w:tc>
          <w:tcPr>
            <w:tcW w:w="147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bottom"/>
          </w:tcPr>
          <w:p w14:paraId="3D6C5504"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PRR(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X2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)</w:t>
            </w:r>
          </w:p>
        </w:tc>
        <w:tc>
          <w:tcPr>
            <w:tcW w:w="1368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bottom"/>
          </w:tcPr>
          <w:p w14:paraId="66C95CFE"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EBGM(EBGM05)</w:t>
            </w:r>
          </w:p>
        </w:tc>
        <w:tc>
          <w:tcPr>
            <w:tcW w:w="1188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bottom"/>
          </w:tcPr>
          <w:p w14:paraId="3E70B461"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IC(IC025)</w:t>
            </w:r>
          </w:p>
        </w:tc>
        <w:tc>
          <w:tcPr>
            <w:tcW w:w="1029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center"/>
          </w:tcPr>
          <w:p w14:paraId="23BE244E">
            <w:pPr>
              <w:jc w:val="center"/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p value</w:t>
            </w:r>
          </w:p>
        </w:tc>
        <w:tc>
          <w:tcPr>
            <w:tcW w:w="108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center"/>
          </w:tcPr>
          <w:p w14:paraId="50D27538">
            <w:pPr>
              <w:jc w:val="center"/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p adjust</w:t>
            </w:r>
          </w:p>
        </w:tc>
      </w:tr>
      <w:tr w14:paraId="53CA71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4C4BA56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Canagliflozin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2621C29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2514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0896E2F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142.67 ( 136.51 - 149.11 )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11828F0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127.37 ( 273353.37 )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70BA05B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110.49 ( 105.71 )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86F33C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6.79 ( 6.66 )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2E02FE58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0783C18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</w:tr>
      <w:tr w14:paraId="7D7B72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6F1C0A88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Zoledronic Acid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475384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1728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61163EF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32.91 ( 31.3 - 34.6 )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3389134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32 ( 47170.33 )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5433CAB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29.15 ( 27.73 )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ED5220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4.87 ( 4.77 )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5DE35FD4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974C795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</w:tr>
      <w:tr w14:paraId="53F0FE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1CEA0032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Alendronic Acid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617DCE4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1343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31046AC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42.99 ( 40.62 - 45.49 )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55989C3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41.41 ( 49223.07 )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54B8B4B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38.52 ( 36.41 )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E3743F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5.27 ( 5.14 )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54EC27DF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D6233AA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</w:tr>
      <w:tr w14:paraId="4007BE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3B814DFF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Denosumab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6D6501F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698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097161C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4.71 ( 4.36 - 5.08 )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2ED629A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4.69 ( 1952.42 )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7FB5E30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4.55 ( 4.22 )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2D98C9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2.19 ( 2.07 )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4C48E13A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D925250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</w:tr>
      <w:tr w14:paraId="76204D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42783C4C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Pamidronic Acid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715CE0F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592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4A9699EB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183.38 ( 167.85 - 200.34 )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5E88A15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156.37 ( 88603.2 )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5A34009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151.48 ( 138.66 )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0675C2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7.24 ( 6.79 )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3E4BD96D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AC504EC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</w:tr>
      <w:tr w14:paraId="5E98D5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3D1B633E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Becaplermin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D3FD3A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177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3A70B51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97.02 ( 83.11 - 113.26 )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2B5E872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88.77 ( 15230.52 )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45FBEFF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87.94 ( 75.33 )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6C0C0E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6.46 ( 5.66 )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455407E2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4.9169E-274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37B82DF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4.0663E-271</w:t>
            </w:r>
          </w:p>
        </w:tc>
      </w:tr>
      <w:tr w14:paraId="193C1F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7FA75296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Mycophenolic Acid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518511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174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7D91DC4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2.89 ( 2.49 - 3.35 )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3E62E63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2.88 ( 212.18 )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2977AF9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2.87 ( 2.47 )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C53750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1.52 ( 1.28 )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35C0D1A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1.17512E-47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ED5B8DE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9.71828E-45</w:t>
            </w:r>
          </w:p>
        </w:tc>
      </w:tr>
      <w:tr w14:paraId="2CDF34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7E08A1D2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Tocilizumab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69E38D5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159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2ABE0FD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2.79 ( 2.38 - 3.26 )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1279C31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2.78 ( 179.95 )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5CE45C5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2.77 ( 2.37 )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37899D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1.47 ( 1.22 )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0A315F38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1.20718E-40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B1D8680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9.98335E-38</w:t>
            </w:r>
          </w:p>
        </w:tc>
      </w:tr>
      <w:tr w14:paraId="1D639F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0D7FE09F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Tacrolimus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33F7DAA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157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52F130E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2.62 ( 2.24 - 3.06 )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143F288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2.61 ( 155.13 )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007C1CA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2.6 ( 2.22 )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30414D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1.38 ( 1.13 )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189ABF08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2.93271E-35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7D33AEF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2.42535E-32</w:t>
            </w:r>
          </w:p>
        </w:tc>
      </w:tr>
      <w:tr w14:paraId="2B3EF6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050FE430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Ibandronic Acid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7762ADE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141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62ED716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7.04 ( 5.96 - 8.31 )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7EEA439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 ( 719.9 )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62679DE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6.95 ( 5.89 )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E3549D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2.8 ( 2.49 )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267EA6EB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2.773E-157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45A6094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2.2933E-154</w:t>
            </w:r>
          </w:p>
        </w:tc>
      </w:tr>
      <w:tr w14:paraId="4062B6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11AB4F63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Prednisone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2B3B222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137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4C045A7C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3.72 ( 3.15 - 4.41 )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2EA6F8A3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3.71 ( 269.97 )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5194B6AB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3.69 ( 3.12 )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EF11CC3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1.89 ( 1.61 )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A273E91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4.44493E-60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6CB7FC9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3.67595E-57</w:t>
            </w:r>
          </w:p>
        </w:tc>
      </w:tr>
      <w:tr w14:paraId="598D61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04EAF84F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Golimumab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71B9E76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134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0B420F0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2.81 ( 2.37 - 3.33 )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4279BF7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2.81 ( 154.78 )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2A0CD25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2.79 ( 2.36 )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8B7140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1.48 ( 1.21 )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45FCC745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3.85141E-35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F5FF40F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3.18512E-32</w:t>
            </w:r>
          </w:p>
        </w:tc>
      </w:tr>
      <w:tr w14:paraId="47545C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173DF71B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Risedronic Acid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18C1F9E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125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23ED1553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19.74 ( 16.53 - 23.57 )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214D756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19.38 ( 2167.06 )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1BFC707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19.26 ( 16.13 )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9D985F8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4.27 ( 3.81 )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A2D9AF0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018E762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</w:t>
            </w:r>
          </w:p>
        </w:tc>
      </w:tr>
      <w:tr w14:paraId="2DCB82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38A555F7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Canagliflozin Metformin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7B629BB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98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56DA67A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106.2 ( 86.22 - 130.82 )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1B6014C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96.34 ( 9207.58 )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51645DD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95.85 ( 77.81 )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D00671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6.58 ( 5.31 )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71615542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2.6718E-156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0415882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2.2096E-153</w:t>
            </w:r>
          </w:p>
        </w:tc>
      </w:tr>
      <w:tr w14:paraId="2E5916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12800DC6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Prednisolone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B3E21DC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92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729FD85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2.72 ( 2.22 - 3.34 )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179B15B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2.72 ( 99.35 )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37D6301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2.71 ( 2.21 )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2E79D8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1.44 ( 1.11 )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25BD4ABF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5.01351E-23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C4E070E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4.14617E-20</w:t>
            </w:r>
          </w:p>
        </w:tc>
      </w:tr>
      <w:tr w14:paraId="5429AD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324791A2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Leflunomide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6C2C23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79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19FC5801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5.16 ( 4.14 - 6.44 )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4E29A3D4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5.14 ( 262.8 )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6242100C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5.13 ( 4.11 )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6F4D4FC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2.36 ( 1.96 )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5451C8E0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3.32226E-58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FB7307C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2.74751E-55</w:t>
            </w:r>
          </w:p>
        </w:tc>
      </w:tr>
      <w:tr w14:paraId="2439C3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47064FDC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Methylprednisolone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4F7C1C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77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7323749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3.06 ( 2.44 - 3.82 )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1F96D76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3.05 ( 105.71 )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34B1596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3.04 ( 2.43 )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905B92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1.6 ( 1.24 )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FE40E8B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2.38199E-24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AE408F8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1.9699E-21</w:t>
            </w:r>
          </w:p>
        </w:tc>
      </w:tr>
      <w:tr w14:paraId="78927C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67BB45B4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Daptomycin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77B83C0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69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61A9AD4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7.81 ( 6.16 - 9.9 )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088561D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7.76 ( 405.04 )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1D8601B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7.73 ( 6.1 )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E0A6C0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2.95 ( 2.47 )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23FE3F52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1.27149E-88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DD36FBB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1.05152E-85</w:t>
            </w:r>
          </w:p>
        </w:tc>
      </w:tr>
      <w:tr w14:paraId="6BF615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63C4DCB4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Vancomycin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7AE042F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61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2016AE1B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2.81 ( 2.18 - 3.61 )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31E11120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2.8 ( 70.43 )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6F976DE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2.79 ( 2.17 )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7AECAE2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1.48 ( 1.07 )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210F551F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1.17879E-16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BA50E56">
            <w:pPr>
              <w:ind w:firstLine="130" w:firstLineChars="100"/>
              <w:jc w:val="left"/>
              <w:rPr>
                <w:rFonts w:hint="eastAsia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9.74858E-14</w:t>
            </w:r>
          </w:p>
        </w:tc>
      </w:tr>
      <w:tr w14:paraId="65F20C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497845C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Teduglutide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5C605EF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47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4D1F8B6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4.03 ( 3.02 - 5.37 )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5E56B3A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4.02 ( 106.27 )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18067DCB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4.01 ( 3.01 )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7E797B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 ( 1.5 )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1D94ED3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2.91736E-24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3446D3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2.41265E-21</w:t>
            </w:r>
          </w:p>
        </w:tc>
      </w:tr>
      <w:tr w14:paraId="1BFB62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1BF21E8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Hydroxychloroquine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29CA15F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44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436A182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2.71 ( 2.02 - 3.64 )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7CC168F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2.71 ( 47.23 )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1305AB6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 ( 2.01 )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D86B00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1.43 ( 0.95 )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4F3433F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1.49501E-11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FEDD3F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1.23637E-08</w:t>
            </w:r>
          </w:p>
        </w:tc>
      </w:tr>
      <w:tr w14:paraId="3119B6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5C63B25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Agalsidase Beta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2E84DEA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26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1BEE3CF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3.22 ( 2.19 - 4.73 )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2CB3C8A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3.21 ( 39.62 )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643F4FB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3.21 ( 2.18 )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FD6BA8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1.68 ( 1.01 )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19239EE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9.45145E-10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376EE0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7.81635E-07</w:t>
            </w:r>
          </w:p>
        </w:tc>
      </w:tr>
      <w:tr w14:paraId="41A99A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25792B6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Bcg Vaccine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4D1E4B1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24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714D2AA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5.94 ( 3.98 - 8.87 )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3FD054C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5.91 ( 97.9 )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76D8A81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5.9 ( 3.95 )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4F0673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2.56 ( 1.72 )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4C1E919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1.28877E-11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DB9EAE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1.06581E-08</w:t>
            </w:r>
          </w:p>
        </w:tc>
      </w:tr>
      <w:tr w14:paraId="59FF48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17F5BD8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Imiglucerase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B7E483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23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38DCB15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5.54 ( 3.68 - 8.35 )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09D2FC4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5.52 ( 85.04 )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18DEC1A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5.51 ( 3.66 )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041AFE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2.46 ( 1.62 )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5943420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1.2774E-10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237578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1.05641E-07</w:t>
            </w:r>
          </w:p>
        </w:tc>
      </w:tr>
      <w:tr w14:paraId="4DFAA8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33BAA93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Azathioprine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5CC1AB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20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7548825B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3.24 ( 2.09 - 5.02 )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2C88E48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3.23 ( 30.76 )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1C61EFD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3.23 ( 2.08 )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2EE5F7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1.69 ( 0.91 )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4009172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9.01569E-08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A6EAA2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7.45597E-05</w:t>
            </w:r>
          </w:p>
        </w:tc>
      </w:tr>
      <w:tr w14:paraId="02643E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3CF6709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Gadoversetamide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7193EC2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14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5CB3429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40 ( 23.44 - 68.24 )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49658B7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38.53 ( 511.89 )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2836DC9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38.5 ( 22.57 )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FA20E3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5.27 ( 2.7 )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72B699C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4.54392E-18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D71FFF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3.75782E-15</w:t>
            </w:r>
          </w:p>
        </w:tc>
      </w:tr>
      <w:tr w14:paraId="07FF19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5342402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Alendronic Acid Colecalciferol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E59858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11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7FB8547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8.69 ( 4.8 - 15.73 )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6DAB171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8.62 ( 74.14 )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036161D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8.62 ( 4.76 )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C148BFB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3.11 ( 1.56 )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599E664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1.10694E-07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C00353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9.15438E-05</w:t>
            </w:r>
          </w:p>
        </w:tc>
      </w:tr>
      <w:tr w14:paraId="6FD7E5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1E366FC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Cefepime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61EE85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60CFBA8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4.19 ( 2.09 - 8.39 )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1C58EA9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4.18 ( 19.34 )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07647E4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4.18 ( 2.08 )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D512BA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2.06 ( 0.66 )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29AB9A8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0.000828929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622FB4B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0.685524674</w:t>
            </w:r>
          </w:p>
        </w:tc>
      </w:tr>
      <w:tr w14:paraId="279AF3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4AECF97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Inotersen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6F3033B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2F37680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5.81 ( 2.9 - 11.65 )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5992DE7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5.79 ( 31.69 )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7E4D212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5.78 ( 2.89 )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3DB0FBA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2.53 ( 0.95 )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05E65B3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9.67304E-05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C9FF8C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0.079996071</w:t>
            </w:r>
          </w:p>
        </w:tc>
      </w:tr>
      <w:tr w14:paraId="1B17DA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0FD4467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Interferon Gamma 1B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4F83E8F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8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242FBFF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6.21 ( 3.1 - 12.44 )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0313C6F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6.17 ( 34.71 )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4894FAD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6.17 ( 3.08 )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C94EDB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2.63 ( 1 )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0EC5D90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6.19898E-05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1E925E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0.051265534</w:t>
            </w:r>
          </w:p>
        </w:tc>
      </w:tr>
      <w:tr w14:paraId="32D08E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0362DA8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Metreleptin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63A63DB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3A9CBB9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6.57 ( 3.12 - 13.82 )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46E7BCA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6.54 ( 32.84 )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77E6044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6.53 ( 3.11 )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703769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2.71 ( 0.92 )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972FBF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0.000124975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92E48B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0.103354511</w:t>
            </w:r>
          </w:p>
        </w:tc>
      </w:tr>
      <w:tr w14:paraId="7B7D32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3CE6AC5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Enfuvirtide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668544A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3829F30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5.65 ( 2.69 - 11.87 )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4CED7D2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5.62 ( 26.62 )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4CF377A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5.62 ( 2.67 )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EB5972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2.49 ( 0.81 )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32DD662B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0.000309408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9760CC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0.255880796</w:t>
            </w:r>
          </w:p>
        </w:tc>
      </w:tr>
      <w:tr w14:paraId="3686F3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015FF06B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Dalbavancin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731830B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62068AD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6.47 ( 2.9 - 14.44 )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20F7D46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6.44 ( 27.57 )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351B64E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6.43 ( 2.88 )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171D2A8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2.69 ( 0.76 )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72A1F17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0.000408747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162CB9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0.338033615</w:t>
            </w:r>
          </w:p>
        </w:tc>
      </w:tr>
      <w:tr w14:paraId="796C99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09F46DC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Satralizumab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B9E3DA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52D5C66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5.54 ( 2.48 - 12.35 )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3F42726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5.51 ( 22.17 )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490E11F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5.51 ( 2.47 )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08C160E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2.46 ( 0.65 )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1976D3E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0.000910677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96E343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0.75312998</w:t>
            </w:r>
          </w:p>
        </w:tc>
      </w:tr>
      <w:tr w14:paraId="3EFA06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3B12306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Etidronic Acid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28D1D1A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382246C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45.44 ( 20.05 - 102.95 )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34483AE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43.55 ( 249.58 )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3E2898F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43.53 ( 19.21 )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14D92F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5.44 ( 1.5 )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5EB9072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7.62837E-09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CE5361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6.30866E-06</w:t>
            </w:r>
          </w:p>
        </w:tc>
      </w:tr>
      <w:tr w14:paraId="685BB3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035EE14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Tedizolid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5D4F179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612401A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10.65 ( 4.41 - 25.7 )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27C7B81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10.55 ( 43.25 )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24245F6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10.55 ( 4.37 )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CB3BC3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3.4 ( 0.84 )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111845C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0.00013244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9ECDC3D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0.109528037</w:t>
            </w:r>
          </w:p>
        </w:tc>
      </w:tr>
      <w:tr w14:paraId="031E12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1A61E99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Isavuconazole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785BCA1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0035F69F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5.99 ( 2.49 - 14.44 )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6C6623F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5.96 ( 20.67 )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12B4588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5.96 ( 2.47 )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CB4A77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2.58 ( 0.52 )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5E8E821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0.001717304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EB083D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</w:t>
            </w:r>
          </w:p>
        </w:tc>
      </w:tr>
      <w:tr w14:paraId="74B00E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0933BAFB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Omadacycline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49B256F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2F5F737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6.54 ( 2.72 - 15.77 )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0F49FAA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6.51 ( 23.33 )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7F5EB57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6.51 ( 2.7 )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68AE1B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2.7 ( 0.58 )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1AE3177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0.001172238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BE783E9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0.969440651</w:t>
            </w:r>
          </w:p>
        </w:tc>
      </w:tr>
      <w:tr w14:paraId="0FAB53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1A2C8192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Avibactam Ceftazidime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6D27AC74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5CE2F9B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5.06 ( 2.1 - 12.19 )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58CE9C7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5.04 ( 16.21 )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5F6253E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5.04 ( 2.09 )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9EAC0A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2.33 ( 0.41 )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3ECC762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0.003517833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0A7E50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</w:t>
            </w:r>
          </w:p>
        </w:tc>
      </w:tr>
      <w:tr w14:paraId="481B12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5241FAFB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Telavancin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0E2805B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4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309D8DE8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36.19 ( 13.35 - 98.1 )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417C1D40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34.98 ( 132.15 )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4DDD784B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34.98 ( 12.9 )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2895CE6C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5.13 ( 0.85 )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343267D6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6.19494E-06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6E4D2F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0.005123215</w:t>
            </w:r>
          </w:p>
        </w:tc>
      </w:tr>
      <w:tr w14:paraId="4FD58C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6" w:type="dxa"/>
            <w:shd w:val="clear" w:color="auto" w:fill="auto"/>
            <w:noWrap/>
            <w:vAlign w:val="bottom"/>
          </w:tcPr>
          <w:p w14:paraId="3B357571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Nateglinide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145AC61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3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14:paraId="197DC707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7.07 ( 2.27 - 22 )</w:t>
            </w:r>
          </w:p>
        </w:tc>
        <w:tc>
          <w:tcPr>
            <w:tcW w:w="1476" w:type="dxa"/>
            <w:shd w:val="clear" w:color="auto" w:fill="auto"/>
            <w:noWrap/>
            <w:vAlign w:val="bottom"/>
          </w:tcPr>
          <w:p w14:paraId="7C05FC4E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7.02 ( 15.51 )</w:t>
            </w:r>
          </w:p>
        </w:tc>
        <w:tc>
          <w:tcPr>
            <w:tcW w:w="1368" w:type="dxa"/>
            <w:shd w:val="clear" w:color="auto" w:fill="auto"/>
            <w:noWrap/>
            <w:vAlign w:val="bottom"/>
          </w:tcPr>
          <w:p w14:paraId="33EDAD5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7.02 ( 2.26 )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6D08F20A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2.81 ( 0.04 )</w:t>
            </w: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57973B93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0.009415943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08914A5">
            <w:pPr>
              <w:ind w:firstLine="130" w:firstLineChars="100"/>
              <w:jc w:val="left"/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3"/>
                <w:szCs w:val="13"/>
                <w:lang w:val="en-US" w:eastAsia="zh-CN"/>
              </w:rPr>
              <w:t>1</w:t>
            </w:r>
          </w:p>
        </w:tc>
      </w:tr>
    </w:tbl>
    <w:p w14:paraId="7FDB3088">
      <w:pPr>
        <w:jc w:val="left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Two of the four signals were positive when the overall signal was considered positive;EBGM, empirical Bayesian geometric mean; EBGM05, the lower limit of 95% CI of EBGM; IC, information component; IC025, the lower limit of 95% CI of the IC;; ROR, reporting odds ratio; PRR, proportional reporting ratio.</w:t>
      </w:r>
    </w:p>
    <w:p w14:paraId="435A083A">
      <w:pPr>
        <w:jc w:val="left"/>
        <w:rPr>
          <w:rFonts w:hint="eastAsia" w:ascii="Times New Roman" w:hAnsi="Times New Roman" w:cs="Times New Roman"/>
          <w:szCs w:val="21"/>
          <w:lang w:val="en-US" w:eastAsia="zh-CN"/>
        </w:rPr>
      </w:pPr>
    </w:p>
    <w:p w14:paraId="3C4EDD52">
      <w:pPr>
        <w:jc w:val="left"/>
        <w:rPr>
          <w:rFonts w:hint="default" w:ascii="Times New Roman" w:hAnsi="Times New Roman" w:cs="Times New Roman"/>
          <w:szCs w:val="21"/>
          <w:lang w:val="en-US" w:eastAsia="zh-CN"/>
        </w:rPr>
      </w:pPr>
    </w:p>
    <w:p w14:paraId="185AC1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72EB2"/>
    <w:rsid w:val="2C4622BB"/>
    <w:rsid w:val="3DDA688F"/>
    <w:rsid w:val="459A3E60"/>
    <w:rsid w:val="52F76D49"/>
    <w:rsid w:val="635B209D"/>
    <w:rsid w:val="799C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table" w:customStyle="1" w:styleId="5">
    <w:name w:val="三线表"/>
    <w:basedOn w:val="2"/>
    <w:autoRedefine/>
    <w:qFormat/>
    <w:uiPriority w:val="99"/>
    <w:rPr>
      <w:rFonts w:eastAsia="Times New Roman"/>
      <w:sz w:val="24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1195</Words>
  <Characters>4972</Characters>
  <Lines>0</Lines>
  <Paragraphs>0</Paragraphs>
  <TotalTime>0</TotalTime>
  <ScaleCrop>false</ScaleCrop>
  <LinksUpToDate>false</LinksUpToDate>
  <CharactersWithSpaces>5769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2025-09-11T05:24:00Z</dcterms:created>
  <dc:creator>Administrator</dc:creator>
  <cp:lastModifiedBy>铎</cp:lastModifiedBy>
  <dcterms:modified xsi:type="dcterms:W3CDTF">2025-09-14T08:16:32Z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eyJoZGlkIjoiNTJiOWMyZjRlNmU0NjVlZDU2NmIwMmY1MGM2ZjhhYWEiLCJ1c2VySWQiOiI4NTQ5NzE0MDMifQ==</vt:lpwstr>
  </property>
  <property fmtid="{D5CDD505-2E9C-101B-9397-08002B2CF9AE}" pid="4" name="ICV">
    <vt:lpwstr>2A3AAA63472F47508CF393E3C1A91A43_12</vt:lpwstr>
  </property>
</Properties>
</file>