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1E1CA">
      <w:pPr>
        <w:spacing w:before="0" w:after="0"/>
        <w:rPr>
          <w:rFonts w:eastAsia="宋体" w:cs="Times New Roman"/>
          <w:kern w:val="2"/>
          <w:szCs w:val="24"/>
          <w:lang w:eastAsia="zh-CN"/>
        </w:rPr>
      </w:pPr>
      <w:r>
        <w:rPr>
          <w:rFonts w:eastAsia="宋体" w:cs="Times New Roman"/>
          <w:b/>
          <w:bCs/>
          <w:kern w:val="2"/>
          <w:szCs w:val="24"/>
          <w:lang w:eastAsia="zh-CN"/>
        </w:rPr>
        <w:t xml:space="preserve">Table </w:t>
      </w:r>
      <w:r>
        <w:rPr>
          <w:rFonts w:hint="eastAsia" w:eastAsia="宋体" w:cs="Times New Roman"/>
          <w:b/>
          <w:bCs/>
          <w:kern w:val="2"/>
          <w:szCs w:val="24"/>
          <w:lang w:val="en-US" w:eastAsia="zh-CN"/>
        </w:rPr>
        <w:t>S</w:t>
      </w:r>
      <w:r>
        <w:rPr>
          <w:rFonts w:hint="eastAsia" w:eastAsia="宋体" w:cs="Times New Roman"/>
          <w:b/>
          <w:bCs/>
          <w:kern w:val="2"/>
          <w:szCs w:val="24"/>
          <w:lang w:eastAsia="zh-CN"/>
        </w:rPr>
        <w:t>2</w:t>
      </w:r>
      <w:r>
        <w:rPr>
          <w:rFonts w:eastAsia="宋体" w:cs="Times New Roman"/>
          <w:kern w:val="2"/>
          <w:szCs w:val="24"/>
          <w:lang w:eastAsia="zh-CN"/>
        </w:rPr>
        <w:t xml:space="preserve"> </w:t>
      </w:r>
      <w:r>
        <w:rPr>
          <w:rFonts w:hint="eastAsia" w:eastAsia="宋体" w:cs="Times New Roman"/>
          <w:kern w:val="2"/>
          <w:szCs w:val="24"/>
          <w:lang w:eastAsia="zh-CN"/>
        </w:rPr>
        <w:t>Signal values for vertebral compression fractures at the PT level for three aromatase inhibitors</w:t>
      </w:r>
    </w:p>
    <w:tbl>
      <w:tblPr>
        <w:tblStyle w:val="38"/>
        <w:tblW w:w="13467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1"/>
        <w:gridCol w:w="992"/>
        <w:gridCol w:w="2410"/>
        <w:gridCol w:w="2126"/>
        <w:gridCol w:w="2268"/>
        <w:gridCol w:w="1560"/>
      </w:tblGrid>
      <w:tr w14:paraId="6CB5AA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1" w:type="dxa"/>
            <w:tcBorders>
              <w:top w:val="single" w:color="auto" w:sz="12" w:space="0"/>
              <w:left w:val="nil"/>
              <w:bottom w:val="single" w:color="auto" w:sz="6" w:space="0"/>
              <w:insideH w:val="single" w:sz="6" w:space="0"/>
              <w:tl2br w:val="nil"/>
              <w:tr2bl w:val="nil"/>
            </w:tcBorders>
          </w:tcPr>
          <w:p w14:paraId="2DEFFCD1">
            <w:pPr>
              <w:widowControl w:val="0"/>
              <w:spacing w:before="0" w:after="0"/>
              <w:jc w:val="both"/>
              <w:rPr>
                <w:rFonts w:eastAsia="宋体" w:cs="Times New Roman"/>
                <w:kern w:val="2"/>
                <w:szCs w:val="24"/>
                <w:lang w:eastAsia="zh-CN"/>
              </w:rPr>
            </w:pPr>
            <w:r>
              <w:rPr>
                <w:rFonts w:eastAsia="宋体" w:cs="Times New Roman"/>
                <w:kern w:val="2"/>
                <w:szCs w:val="24"/>
                <w:lang w:eastAsia="zh-CN"/>
              </w:rPr>
              <w:t xml:space="preserve"> </w:t>
            </w:r>
          </w:p>
        </w:tc>
        <w:tc>
          <w:tcPr>
            <w:tcW w:w="992" w:type="dxa"/>
            <w:tcBorders>
              <w:top w:val="single" w:color="auto" w:sz="12" w:space="0"/>
              <w:bottom w:val="single" w:color="auto" w:sz="6" w:space="0"/>
              <w:insideH w:val="single" w:sz="6" w:space="0"/>
              <w:tl2br w:val="nil"/>
              <w:tr2bl w:val="nil"/>
            </w:tcBorders>
          </w:tcPr>
          <w:p w14:paraId="6AC2B01F">
            <w:pPr>
              <w:widowControl w:val="0"/>
              <w:spacing w:before="0" w:after="0"/>
              <w:jc w:val="both"/>
              <w:rPr>
                <w:rFonts w:eastAsia="宋体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宋体" w:cs="Times New Roman"/>
                <w:bCs/>
                <w:kern w:val="2"/>
                <w:szCs w:val="24"/>
                <w:lang w:eastAsia="zh-CN"/>
              </w:rPr>
              <w:t>N</w:t>
            </w:r>
          </w:p>
        </w:tc>
        <w:tc>
          <w:tcPr>
            <w:tcW w:w="2410" w:type="dxa"/>
            <w:tcBorders>
              <w:top w:val="single" w:color="auto" w:sz="12" w:space="0"/>
              <w:bottom w:val="single" w:color="auto" w:sz="6" w:space="0"/>
              <w:insideH w:val="single" w:sz="6" w:space="0"/>
              <w:tl2br w:val="nil"/>
              <w:tr2bl w:val="nil"/>
            </w:tcBorders>
          </w:tcPr>
          <w:p w14:paraId="49EB7911">
            <w:pPr>
              <w:widowControl w:val="0"/>
              <w:spacing w:before="0" w:after="0"/>
              <w:jc w:val="both"/>
              <w:rPr>
                <w:rFonts w:eastAsia="宋体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hint="eastAsia" w:eastAsia="宋体" w:cs="Times New Roman"/>
                <w:bCs/>
                <w:kern w:val="2"/>
                <w:szCs w:val="24"/>
                <w:lang w:eastAsia="zh-CN"/>
              </w:rPr>
              <w:t>ROR(</w:t>
            </w:r>
            <w:r>
              <w:rPr>
                <w:rFonts w:eastAsia="宋体" w:cs="Times New Roman"/>
                <w:bCs/>
                <w:kern w:val="2"/>
                <w:szCs w:val="24"/>
                <w:lang w:eastAsia="zh-CN"/>
              </w:rPr>
              <w:t>95%CI</w:t>
            </w:r>
            <w:r>
              <w:rPr>
                <w:rFonts w:hint="eastAsia" w:eastAsia="宋体" w:cs="Times New Roman"/>
                <w:bCs/>
                <w:kern w:val="2"/>
                <w:szCs w:val="24"/>
                <w:lang w:eastAsia="zh-CN"/>
              </w:rPr>
              <w:t>)</w:t>
            </w:r>
          </w:p>
        </w:tc>
        <w:tc>
          <w:tcPr>
            <w:tcW w:w="2126" w:type="dxa"/>
            <w:tcBorders>
              <w:top w:val="single" w:color="auto" w:sz="12" w:space="0"/>
              <w:bottom w:val="single" w:color="auto" w:sz="6" w:space="0"/>
              <w:insideH w:val="single" w:sz="6" w:space="0"/>
              <w:tl2br w:val="nil"/>
              <w:tr2bl w:val="nil"/>
            </w:tcBorders>
          </w:tcPr>
          <w:p w14:paraId="699058EA">
            <w:pPr>
              <w:widowControl w:val="0"/>
              <w:spacing w:before="0" w:after="0"/>
              <w:jc w:val="both"/>
              <w:rPr>
                <w:rFonts w:eastAsia="宋体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宋体" w:cs="Times New Roman"/>
                <w:bCs/>
                <w:kern w:val="2"/>
                <w:szCs w:val="24"/>
                <w:lang w:eastAsia="zh-CN"/>
              </w:rPr>
              <w:t>PRR</w:t>
            </w:r>
            <w:r>
              <w:rPr>
                <w:rFonts w:hint="eastAsia" w:eastAsia="宋体" w:cs="Times New Roman"/>
                <w:bCs/>
                <w:kern w:val="2"/>
                <w:szCs w:val="24"/>
                <w:lang w:eastAsia="zh-CN"/>
              </w:rPr>
              <w:t>(</w:t>
            </w:r>
            <w:r>
              <w:rPr>
                <w:rFonts w:eastAsia="宋体" w:cs="Times New Roman"/>
                <w:bCs/>
                <w:kern w:val="2"/>
                <w:szCs w:val="24"/>
                <w:lang w:eastAsia="zh-CN"/>
              </w:rPr>
              <w:t>χ²</w:t>
            </w:r>
            <w:r>
              <w:rPr>
                <w:rFonts w:hint="eastAsia" w:eastAsia="宋体" w:cs="Times New Roman"/>
                <w:bCs/>
                <w:kern w:val="2"/>
                <w:szCs w:val="24"/>
                <w:lang w:eastAsia="zh-CN"/>
              </w:rPr>
              <w:t>)</w:t>
            </w:r>
          </w:p>
        </w:tc>
        <w:tc>
          <w:tcPr>
            <w:tcW w:w="2268" w:type="dxa"/>
            <w:tcBorders>
              <w:top w:val="single" w:color="auto" w:sz="12" w:space="0"/>
              <w:bottom w:val="single" w:color="auto" w:sz="6" w:space="0"/>
              <w:insideH w:val="single" w:sz="6" w:space="0"/>
              <w:tl2br w:val="nil"/>
              <w:tr2bl w:val="nil"/>
            </w:tcBorders>
          </w:tcPr>
          <w:p w14:paraId="61AFFDBF">
            <w:pPr>
              <w:widowControl w:val="0"/>
              <w:spacing w:before="0" w:after="0"/>
              <w:jc w:val="both"/>
              <w:rPr>
                <w:rFonts w:eastAsia="宋体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宋体" w:cs="Times New Roman"/>
                <w:bCs/>
                <w:kern w:val="2"/>
                <w:szCs w:val="24"/>
                <w:lang w:eastAsia="zh-CN"/>
              </w:rPr>
              <w:t>EBGM</w:t>
            </w:r>
            <w:r>
              <w:rPr>
                <w:rFonts w:hint="eastAsia" w:eastAsia="宋体" w:cs="Times New Roman"/>
                <w:bCs/>
                <w:kern w:val="2"/>
                <w:szCs w:val="24"/>
                <w:lang w:eastAsia="zh-CN"/>
              </w:rPr>
              <w:t>(</w:t>
            </w:r>
            <w:r>
              <w:rPr>
                <w:rFonts w:eastAsia="宋体" w:cs="Times New Roman"/>
                <w:bCs/>
                <w:kern w:val="2"/>
                <w:szCs w:val="24"/>
                <w:lang w:eastAsia="zh-CN"/>
              </w:rPr>
              <w:t>EBGM05</w:t>
            </w:r>
            <w:r>
              <w:rPr>
                <w:rFonts w:hint="eastAsia" w:eastAsia="宋体" w:cs="Times New Roman"/>
                <w:bCs/>
                <w:kern w:val="2"/>
                <w:szCs w:val="24"/>
                <w:lang w:eastAsia="zh-CN"/>
              </w:rPr>
              <w:t>)</w:t>
            </w:r>
          </w:p>
        </w:tc>
        <w:tc>
          <w:tcPr>
            <w:tcW w:w="1560" w:type="dxa"/>
            <w:tcBorders>
              <w:top w:val="single" w:color="auto" w:sz="12" w:space="0"/>
              <w:bottom w:val="single" w:color="auto" w:sz="6" w:space="0"/>
              <w:insideH w:val="single" w:sz="6" w:space="0"/>
              <w:tl2br w:val="nil"/>
              <w:tr2bl w:val="nil"/>
            </w:tcBorders>
          </w:tcPr>
          <w:p w14:paraId="37A66214">
            <w:pPr>
              <w:widowControl w:val="0"/>
              <w:spacing w:before="0" w:after="0"/>
              <w:jc w:val="both"/>
              <w:rPr>
                <w:rFonts w:eastAsia="宋体" w:cs="Times New Roman"/>
                <w:bCs/>
                <w:kern w:val="2"/>
                <w:szCs w:val="24"/>
                <w:lang w:eastAsia="zh-CN"/>
              </w:rPr>
            </w:pPr>
            <w:r>
              <w:rPr>
                <w:rFonts w:eastAsia="宋体" w:cs="Times New Roman"/>
                <w:bCs/>
                <w:kern w:val="2"/>
                <w:szCs w:val="24"/>
                <w:lang w:eastAsia="zh-CN"/>
              </w:rPr>
              <w:t>IC</w:t>
            </w:r>
            <w:r>
              <w:rPr>
                <w:rFonts w:hint="eastAsia" w:eastAsia="宋体" w:cs="Times New Roman"/>
                <w:bCs/>
                <w:kern w:val="2"/>
                <w:szCs w:val="24"/>
                <w:lang w:eastAsia="zh-CN"/>
              </w:rPr>
              <w:t>(</w:t>
            </w:r>
            <w:r>
              <w:rPr>
                <w:rFonts w:eastAsia="宋体" w:cs="Times New Roman"/>
                <w:bCs/>
                <w:kern w:val="2"/>
                <w:szCs w:val="24"/>
                <w:lang w:eastAsia="zh-CN"/>
              </w:rPr>
              <w:t>IC025</w:t>
            </w:r>
            <w:r>
              <w:rPr>
                <w:rFonts w:hint="eastAsia" w:eastAsia="宋体" w:cs="Times New Roman"/>
                <w:bCs/>
                <w:kern w:val="2"/>
                <w:szCs w:val="24"/>
                <w:lang w:eastAsia="zh-CN"/>
              </w:rPr>
              <w:t>)</w:t>
            </w:r>
          </w:p>
        </w:tc>
      </w:tr>
      <w:tr w14:paraId="00E42B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4111" w:type="dxa"/>
          </w:tcPr>
          <w:p w14:paraId="105FD655">
            <w:pPr>
              <w:widowControl w:val="0"/>
              <w:spacing w:before="0" w:after="0"/>
              <w:jc w:val="both"/>
              <w:rPr>
                <w:rFonts w:eastAsia="宋体" w:cs="Times New Roman"/>
                <w:b/>
                <w:kern w:val="2"/>
                <w:szCs w:val="24"/>
                <w:lang w:eastAsia="zh-CN"/>
              </w:rPr>
            </w:pPr>
            <w:r>
              <w:rPr>
                <w:rFonts w:eastAsia="宋体" w:cs="Times New Roman"/>
                <w:b/>
                <w:kern w:val="2"/>
                <w:szCs w:val="24"/>
                <w:lang w:eastAsia="zh-CN"/>
              </w:rPr>
              <w:t>Anastrozole</w:t>
            </w:r>
          </w:p>
        </w:tc>
        <w:tc>
          <w:tcPr>
            <w:tcW w:w="992" w:type="dxa"/>
          </w:tcPr>
          <w:p w14:paraId="47AE2776">
            <w:pPr>
              <w:widowControl w:val="0"/>
              <w:spacing w:before="0" w:after="0"/>
              <w:jc w:val="left"/>
              <w:rPr>
                <w:rFonts w:hint="default" w:eastAsia="宋体" w:cs="Times New Roman"/>
                <w:kern w:val="2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kern w:val="2"/>
                <w:szCs w:val="24"/>
                <w:lang w:val="en-US" w:eastAsia="zh-CN"/>
              </w:rPr>
              <w:t>13</w:t>
            </w:r>
          </w:p>
        </w:tc>
        <w:tc>
          <w:tcPr>
            <w:tcW w:w="2410" w:type="dxa"/>
            <w:shd w:val="clear" w:color="auto" w:fill="auto"/>
            <w:vAlign w:val="top"/>
          </w:tcPr>
          <w:p w14:paraId="7F2CB6A0">
            <w:pPr>
              <w:spacing w:beforeLines="0" w:afterLines="0"/>
              <w:jc w:val="left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2.83 ( 1.64 - 4.88 )</w:t>
            </w:r>
          </w:p>
        </w:tc>
        <w:tc>
          <w:tcPr>
            <w:tcW w:w="2126" w:type="dxa"/>
            <w:shd w:val="clear" w:color="auto" w:fill="auto"/>
            <w:vAlign w:val="top"/>
          </w:tcPr>
          <w:p w14:paraId="71671361">
            <w:pPr>
              <w:spacing w:beforeLines="0" w:afterLines="0"/>
              <w:jc w:val="left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2.83 ( 15.35 )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1A5F68CD">
            <w:pPr>
              <w:spacing w:beforeLines="0" w:afterLines="0"/>
              <w:jc w:val="left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2.83 ( 1.64 )</w:t>
            </w:r>
          </w:p>
        </w:tc>
        <w:tc>
          <w:tcPr>
            <w:tcW w:w="1560" w:type="dxa"/>
            <w:shd w:val="clear" w:color="auto" w:fill="auto"/>
            <w:vAlign w:val="top"/>
          </w:tcPr>
          <w:p w14:paraId="59443DFD">
            <w:pPr>
              <w:spacing w:beforeLines="0" w:afterLines="0"/>
              <w:jc w:val="left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1.5 ( 0.55 )</w:t>
            </w:r>
          </w:p>
        </w:tc>
      </w:tr>
      <w:tr w14:paraId="36DF96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111" w:type="dxa"/>
            <w:noWrap/>
          </w:tcPr>
          <w:p w14:paraId="303E6D03">
            <w:pPr>
              <w:spacing w:before="0" w:after="0"/>
              <w:jc w:val="both"/>
              <w:rPr>
                <w:rFonts w:eastAsia="宋体" w:cs="Times New Roman"/>
                <w:color w:val="000000"/>
                <w:szCs w:val="24"/>
                <w:lang w:eastAsia="zh-CN"/>
              </w:rPr>
            </w:pPr>
            <w:r>
              <w:rPr>
                <w:rFonts w:eastAsia="宋体" w:cs="Times New Roman"/>
                <w:b/>
                <w:bCs/>
                <w:color w:val="000000"/>
                <w:szCs w:val="24"/>
                <w:lang w:eastAsia="zh-CN"/>
              </w:rPr>
              <w:t>Letrozole</w:t>
            </w:r>
          </w:p>
        </w:tc>
        <w:tc>
          <w:tcPr>
            <w:tcW w:w="992" w:type="dxa"/>
            <w:noWrap/>
          </w:tcPr>
          <w:p w14:paraId="65E8E301">
            <w:pPr>
              <w:spacing w:before="0" w:after="0"/>
              <w:jc w:val="left"/>
              <w:rPr>
                <w:rFonts w:hint="default" w:eastAsia="宋体" w:cs="Times New Roman"/>
                <w:color w:val="000000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szCs w:val="24"/>
                <w:lang w:val="en-US" w:eastAsia="zh-CN"/>
              </w:rPr>
              <w:t>10</w:t>
            </w:r>
          </w:p>
        </w:tc>
        <w:tc>
          <w:tcPr>
            <w:tcW w:w="2410" w:type="dxa"/>
            <w:shd w:val="clear" w:color="auto" w:fill="auto"/>
            <w:noWrap/>
            <w:vAlign w:val="top"/>
          </w:tcPr>
          <w:p w14:paraId="3259922D">
            <w:pPr>
              <w:spacing w:beforeLines="0" w:afterLines="0"/>
              <w:jc w:val="left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0.77 ( 0.19 - 3.08 )</w:t>
            </w:r>
          </w:p>
        </w:tc>
        <w:tc>
          <w:tcPr>
            <w:tcW w:w="2126" w:type="dxa"/>
            <w:shd w:val="clear" w:color="auto" w:fill="auto"/>
            <w:noWrap/>
            <w:vAlign w:val="top"/>
          </w:tcPr>
          <w:p w14:paraId="3149A902">
            <w:pPr>
              <w:spacing w:beforeLines="0" w:afterLines="0"/>
              <w:jc w:val="left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0.77 ( 0.14 )</w:t>
            </w:r>
          </w:p>
        </w:tc>
        <w:tc>
          <w:tcPr>
            <w:tcW w:w="2268" w:type="dxa"/>
            <w:shd w:val="clear" w:color="auto" w:fill="auto"/>
            <w:noWrap/>
            <w:vAlign w:val="top"/>
          </w:tcPr>
          <w:p w14:paraId="71E57157">
            <w:pPr>
              <w:spacing w:beforeLines="0" w:afterLines="0"/>
              <w:jc w:val="left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0.77 ( 0.19 )</w:t>
            </w:r>
          </w:p>
        </w:tc>
        <w:tc>
          <w:tcPr>
            <w:tcW w:w="1560" w:type="dxa"/>
            <w:shd w:val="clear" w:color="auto" w:fill="auto"/>
            <w:noWrap/>
            <w:vAlign w:val="top"/>
          </w:tcPr>
          <w:p w14:paraId="0A39F89E">
            <w:pPr>
              <w:spacing w:beforeLines="0" w:afterLines="0"/>
              <w:jc w:val="left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-0.38 ( -1.93 )</w:t>
            </w:r>
          </w:p>
        </w:tc>
      </w:tr>
      <w:tr w14:paraId="65D48F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111" w:type="dxa"/>
            <w:noWrap/>
          </w:tcPr>
          <w:p w14:paraId="4183DE0C">
            <w:pPr>
              <w:spacing w:before="0" w:after="0"/>
              <w:jc w:val="both"/>
              <w:rPr>
                <w:rFonts w:eastAsia="宋体" w:cs="Times New Roman"/>
                <w:color w:val="000000"/>
                <w:szCs w:val="24"/>
                <w:lang w:eastAsia="zh-CN"/>
              </w:rPr>
            </w:pPr>
            <w:r>
              <w:rPr>
                <w:rFonts w:eastAsia="宋体" w:cs="Times New Roman"/>
                <w:b/>
                <w:bCs/>
                <w:color w:val="000000"/>
                <w:szCs w:val="24"/>
                <w:lang w:eastAsia="zh-CN"/>
              </w:rPr>
              <w:t>Exemestane</w:t>
            </w:r>
          </w:p>
        </w:tc>
        <w:tc>
          <w:tcPr>
            <w:tcW w:w="992" w:type="dxa"/>
            <w:noWrap/>
          </w:tcPr>
          <w:p w14:paraId="7AEA4800">
            <w:pPr>
              <w:spacing w:before="0" w:after="0"/>
              <w:jc w:val="left"/>
              <w:rPr>
                <w:rFonts w:hint="default" w:eastAsia="宋体" w:cs="Times New Roman"/>
                <w:color w:val="000000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szCs w:val="24"/>
                <w:lang w:val="en-US" w:eastAsia="zh-CN"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top"/>
          </w:tcPr>
          <w:p w14:paraId="08D91972">
            <w:pPr>
              <w:spacing w:beforeLines="0" w:afterLines="0"/>
              <w:jc w:val="left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3.1 ( 1.67 - 5.77 )</w:t>
            </w:r>
          </w:p>
        </w:tc>
        <w:tc>
          <w:tcPr>
            <w:tcW w:w="2126" w:type="dxa"/>
            <w:shd w:val="clear" w:color="auto" w:fill="auto"/>
            <w:noWrap/>
            <w:vAlign w:val="top"/>
          </w:tcPr>
          <w:p w14:paraId="0BB1DE31">
            <w:pPr>
              <w:spacing w:beforeLines="0" w:afterLines="0"/>
              <w:jc w:val="left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3.1 ( 14.23 )</w:t>
            </w:r>
          </w:p>
        </w:tc>
        <w:tc>
          <w:tcPr>
            <w:tcW w:w="2268" w:type="dxa"/>
            <w:shd w:val="clear" w:color="auto" w:fill="auto"/>
            <w:noWrap/>
            <w:vAlign w:val="top"/>
          </w:tcPr>
          <w:p w14:paraId="41A5C4FC">
            <w:pPr>
              <w:spacing w:beforeLines="0" w:afterLines="0"/>
              <w:jc w:val="left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3.1 ( 1.67 )</w:t>
            </w:r>
          </w:p>
        </w:tc>
        <w:tc>
          <w:tcPr>
            <w:tcW w:w="1560" w:type="dxa"/>
            <w:shd w:val="clear" w:color="auto" w:fill="auto"/>
            <w:noWrap/>
            <w:vAlign w:val="top"/>
          </w:tcPr>
          <w:p w14:paraId="0F82C075">
            <w:pPr>
              <w:spacing w:beforeLines="0" w:afterLines="0"/>
              <w:jc w:val="left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1.63 ( 0.51 )</w:t>
            </w:r>
          </w:p>
        </w:tc>
      </w:tr>
    </w:tbl>
    <w:p w14:paraId="1E66C1EE">
      <w:pPr>
        <w:widowControl w:val="0"/>
        <w:spacing w:before="0" w:after="0"/>
        <w:jc w:val="both"/>
        <w:rPr>
          <w:rFonts w:eastAsia="宋体" w:cs="Times New Roman"/>
          <w:kern w:val="2"/>
          <w:szCs w:val="24"/>
          <w:lang w:eastAsia="zh-CN"/>
        </w:rPr>
      </w:pPr>
      <w:r>
        <w:rPr>
          <w:rFonts w:eastAsia="宋体" w:cs="Times New Roman"/>
          <w:i/>
          <w:iCs/>
          <w:kern w:val="2"/>
          <w:szCs w:val="24"/>
          <w:lang w:eastAsia="zh-CN"/>
        </w:rPr>
        <w:t>PT</w:t>
      </w:r>
      <w:r>
        <w:rPr>
          <w:rFonts w:eastAsia="宋体" w:cs="Times New Roman"/>
          <w:kern w:val="2"/>
          <w:szCs w:val="24"/>
          <w:lang w:eastAsia="zh-CN"/>
        </w:rPr>
        <w:t xml:space="preserve">, preferred terms; </w:t>
      </w:r>
      <w:r>
        <w:rPr>
          <w:rFonts w:eastAsia="宋体" w:cs="Times New Roman"/>
          <w:i/>
          <w:iCs/>
          <w:kern w:val="2"/>
          <w:szCs w:val="24"/>
          <w:lang w:eastAsia="zh-CN"/>
        </w:rPr>
        <w:t>N</w:t>
      </w:r>
      <w:r>
        <w:rPr>
          <w:rFonts w:eastAsia="宋体" w:cs="Times New Roman"/>
          <w:kern w:val="2"/>
          <w:szCs w:val="24"/>
          <w:lang w:eastAsia="zh-CN"/>
        </w:rPr>
        <w:t xml:space="preserve">, number of adverse event reported; </w:t>
      </w:r>
      <w:bookmarkStart w:id="0" w:name="_Hlk179532063"/>
      <w:r>
        <w:rPr>
          <w:rFonts w:eastAsia="宋体" w:cs="Times New Roman"/>
          <w:i/>
          <w:iCs/>
          <w:kern w:val="2"/>
          <w:szCs w:val="24"/>
          <w:lang w:eastAsia="zh-CN"/>
        </w:rPr>
        <w:t>ROR</w:t>
      </w:r>
      <w:r>
        <w:rPr>
          <w:rFonts w:eastAsia="宋体" w:cs="Times New Roman"/>
          <w:kern w:val="2"/>
          <w:szCs w:val="24"/>
          <w:lang w:eastAsia="zh-CN"/>
        </w:rPr>
        <w:t xml:space="preserve">, reporting odds ratio; </w:t>
      </w:r>
      <w:r>
        <w:rPr>
          <w:rFonts w:eastAsia="宋体" w:cs="Times New Roman"/>
          <w:i/>
          <w:iCs/>
          <w:kern w:val="2"/>
          <w:szCs w:val="24"/>
          <w:lang w:eastAsia="zh-CN"/>
        </w:rPr>
        <w:t>PRR</w:t>
      </w:r>
      <w:r>
        <w:rPr>
          <w:rFonts w:eastAsia="宋体" w:cs="Times New Roman"/>
          <w:kern w:val="2"/>
          <w:szCs w:val="24"/>
          <w:lang w:eastAsia="zh-CN"/>
        </w:rPr>
        <w:t>, proportional reporting ratio;</w:t>
      </w:r>
      <w:r>
        <w:rPr>
          <w:rFonts w:eastAsia="宋体" w:cs="Times New Roman"/>
          <w:i/>
          <w:iCs/>
          <w:kern w:val="2"/>
          <w:szCs w:val="24"/>
          <w:lang w:eastAsia="zh-CN"/>
        </w:rPr>
        <w:t xml:space="preserve"> EBGM</w:t>
      </w:r>
      <w:r>
        <w:rPr>
          <w:rFonts w:eastAsia="宋体" w:cs="Times New Roman"/>
          <w:kern w:val="2"/>
          <w:szCs w:val="24"/>
          <w:lang w:eastAsia="zh-CN"/>
        </w:rPr>
        <w:t xml:space="preserve">, empirical Bayes geometric mean; </w:t>
      </w:r>
      <w:r>
        <w:rPr>
          <w:rFonts w:eastAsia="宋体" w:cs="Times New Roman"/>
          <w:i/>
          <w:iCs/>
          <w:kern w:val="2"/>
          <w:szCs w:val="24"/>
          <w:lang w:eastAsia="zh-CN"/>
        </w:rPr>
        <w:t>IC</w:t>
      </w:r>
      <w:r>
        <w:rPr>
          <w:rFonts w:eastAsia="宋体" w:cs="Times New Roman"/>
          <w:kern w:val="2"/>
          <w:szCs w:val="24"/>
          <w:lang w:eastAsia="zh-CN"/>
        </w:rPr>
        <w:t xml:space="preserve">, information component; </w:t>
      </w:r>
      <w:r>
        <w:rPr>
          <w:rFonts w:eastAsia="宋体" w:cs="Times New Roman"/>
          <w:i/>
          <w:iCs/>
          <w:kern w:val="2"/>
          <w:szCs w:val="24"/>
          <w:lang w:eastAsia="zh-CN"/>
        </w:rPr>
        <w:t>CI</w:t>
      </w:r>
      <w:r>
        <w:rPr>
          <w:rFonts w:eastAsia="宋体" w:cs="Times New Roman"/>
          <w:kern w:val="2"/>
          <w:szCs w:val="24"/>
          <w:lang w:eastAsia="zh-CN"/>
        </w:rPr>
        <w:t xml:space="preserve">, confidence interval; </w:t>
      </w:r>
      <w:r>
        <w:rPr>
          <w:rFonts w:eastAsia="宋体" w:cs="Times New Roman"/>
          <w:i/>
          <w:iCs/>
          <w:kern w:val="2"/>
          <w:szCs w:val="24"/>
          <w:lang w:eastAsia="zh-CN"/>
        </w:rPr>
        <w:t>95% CI</w:t>
      </w:r>
      <w:r>
        <w:rPr>
          <w:rFonts w:eastAsia="宋体" w:cs="Times New Roman"/>
          <w:kern w:val="2"/>
          <w:szCs w:val="24"/>
          <w:lang w:eastAsia="zh-CN"/>
        </w:rPr>
        <w:t xml:space="preserve">, two-sided for ROR; </w:t>
      </w:r>
      <w:r>
        <w:rPr>
          <w:rFonts w:eastAsia="宋体" w:cs="Times New Roman"/>
          <w:i/>
          <w:iCs/>
          <w:kern w:val="2"/>
          <w:szCs w:val="24"/>
          <w:lang w:eastAsia="zh-CN"/>
        </w:rPr>
        <w:t>χ2</w:t>
      </w:r>
      <w:r>
        <w:rPr>
          <w:rFonts w:eastAsia="宋体" w:cs="Times New Roman"/>
          <w:kern w:val="2"/>
          <w:szCs w:val="24"/>
          <w:lang w:eastAsia="zh-CN"/>
        </w:rPr>
        <w:t>, chi-squared;</w:t>
      </w:r>
      <w:r>
        <w:rPr>
          <w:rFonts w:eastAsia="宋体" w:cs="Times New Roman"/>
          <w:i/>
          <w:iCs/>
          <w:kern w:val="2"/>
          <w:szCs w:val="24"/>
          <w:lang w:eastAsia="zh-CN"/>
        </w:rPr>
        <w:t xml:space="preserve"> EBGM05 and IC025</w:t>
      </w:r>
      <w:r>
        <w:rPr>
          <w:rFonts w:eastAsia="宋体" w:cs="Times New Roman"/>
          <w:kern w:val="2"/>
          <w:szCs w:val="24"/>
          <w:lang w:eastAsia="zh-CN"/>
        </w:rPr>
        <w:t>, lower one-sided for EBGM and IC, respectively.</w:t>
      </w:r>
    </w:p>
    <w:bookmarkEnd w:id="0"/>
    <w:p w14:paraId="672A8F9D">
      <w:pPr>
        <w:widowControl w:val="0"/>
        <w:spacing w:before="0" w:after="0"/>
        <w:jc w:val="both"/>
        <w:rPr>
          <w:rFonts w:ascii="Calibri" w:hAnsi="Calibri" w:eastAsia="宋体" w:cs="Times New Roman"/>
          <w:kern w:val="2"/>
          <w:sz w:val="21"/>
          <w:szCs w:val="24"/>
          <w:lang w:eastAsia="zh-CN"/>
        </w:rPr>
      </w:pPr>
      <w:r>
        <w:rPr>
          <w:rFonts w:eastAsia="宋体" w:cs="Times New Roman"/>
          <w:kern w:val="2"/>
          <w:sz w:val="21"/>
          <w:szCs w:val="24"/>
          <w:lang w:eastAsia="zh-CN"/>
        </w:rPr>
        <w:br w:type="page"/>
      </w:r>
      <w:bookmarkStart w:id="1" w:name="_GoBack"/>
      <w:bookmarkEnd w:id="1"/>
    </w:p>
    <w:p w14:paraId="0A806EA7"/>
    <w:sectPr>
      <w:pgSz w:w="23811" w:h="16838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8E94C844-9853-46DC-A79A-AFE157612347}"/>
    <w:docVar w:name="KY_MEDREF_VERSION" w:val="3"/>
  </w:docVars>
  <w:rsids>
    <w:rsidRoot w:val="00172A27"/>
    <w:rsid w:val="00203596"/>
    <w:rsid w:val="00343765"/>
    <w:rsid w:val="003A4F57"/>
    <w:rsid w:val="0048491F"/>
    <w:rsid w:val="00514D4C"/>
    <w:rsid w:val="00736CC8"/>
    <w:rsid w:val="00755BCD"/>
    <w:rsid w:val="008C30C8"/>
    <w:rsid w:val="00982003"/>
    <w:rsid w:val="00B43ED5"/>
    <w:rsid w:val="00BD7832"/>
    <w:rsid w:val="00C52736"/>
    <w:rsid w:val="00D72D9D"/>
    <w:rsid w:val="00DB503B"/>
    <w:rsid w:val="00DF2AEE"/>
    <w:rsid w:val="06077046"/>
    <w:rsid w:val="41756E45"/>
    <w:rsid w:val="45F2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kern w:val="0"/>
      <w:sz w:val="24"/>
      <w:szCs w:val="22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widowControl w:val="0"/>
      <w:spacing w:before="480" w:after="80" w:line="278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8"/>
      <w:szCs w:val="48"/>
      <w:lang w:eastAsia="zh-CN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widowControl w:val="0"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zh-CN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widowControl w:val="0"/>
      <w:spacing w:before="160" w:after="80" w:line="278" w:lineRule="auto"/>
      <w:outlineLvl w:val="2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zh-CN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widowControl w:val="0"/>
      <w:spacing w:before="80" w:after="40" w:line="278" w:lineRule="auto"/>
      <w:outlineLvl w:val="3"/>
    </w:pPr>
    <w:rPr>
      <w:rFonts w:asciiTheme="minorHAnsi" w:hAnsiTheme="minorHAnsi" w:eastAsiaTheme="minorEastAsia" w:cstheme="majorBidi"/>
      <w:color w:val="2F5597" w:themeColor="accent1" w:themeShade="BF"/>
      <w:kern w:val="2"/>
      <w:sz w:val="28"/>
      <w:szCs w:val="28"/>
      <w:lang w:eastAsia="zh-CN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widowControl w:val="0"/>
      <w:spacing w:before="80" w:after="40" w:line="278" w:lineRule="auto"/>
      <w:outlineLvl w:val="4"/>
    </w:pPr>
    <w:rPr>
      <w:rFonts w:asciiTheme="minorHAnsi" w:hAnsiTheme="minorHAnsi" w:eastAsiaTheme="minorEastAsia" w:cstheme="majorBidi"/>
      <w:color w:val="2F5597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widowControl w:val="0"/>
      <w:spacing w:before="40" w:after="0" w:line="278" w:lineRule="auto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kern w:val="2"/>
      <w:sz w:val="22"/>
      <w:szCs w:val="24"/>
      <w:lang w:eastAsia="zh-CN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widowControl w:val="0"/>
      <w:spacing w:before="40" w:after="0" w:line="278" w:lineRule="auto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widowControl w:val="0"/>
      <w:spacing w:before="0" w:after="0" w:line="278" w:lineRule="auto"/>
      <w:outlineLvl w:val="7"/>
    </w:pPr>
    <w:rPr>
      <w:rFonts w:asciiTheme="minorHAnsi" w:hAnsiTheme="minorHAnsi" w:eastAsiaTheme="minorEastAsia" w:cstheme="majorBidi"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widowControl w:val="0"/>
      <w:spacing w:before="0" w:after="0" w:line="278" w:lineRule="auto"/>
      <w:outlineLvl w:val="8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before="0" w:after="160"/>
    </w:pPr>
    <w:rPr>
      <w:rFonts w:asciiTheme="minorHAnsi" w:hAnsiTheme="minorHAnsi" w:eastAsiaTheme="minorEastAsia"/>
      <w:kern w:val="2"/>
      <w:sz w:val="18"/>
      <w:szCs w:val="18"/>
      <w:lang w:eastAsia="zh-CN"/>
      <w14:ligatures w14:val="standardContextual"/>
    </w:rPr>
  </w:style>
  <w:style w:type="paragraph" w:styleId="12">
    <w:name w:val="header"/>
    <w:basedOn w:val="1"/>
    <w:link w:val="36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before="0" w:after="160"/>
      <w:jc w:val="center"/>
    </w:pPr>
    <w:rPr>
      <w:rFonts w:asciiTheme="minorHAnsi" w:hAnsiTheme="minorHAnsi" w:eastAsiaTheme="minorEastAsia"/>
      <w:kern w:val="2"/>
      <w:sz w:val="18"/>
      <w:szCs w:val="18"/>
      <w:lang w:eastAsia="zh-CN"/>
      <w14:ligatures w14:val="standardContextual"/>
    </w:rPr>
  </w:style>
  <w:style w:type="paragraph" w:styleId="13">
    <w:name w:val="Subtitle"/>
    <w:basedOn w:val="1"/>
    <w:next w:val="1"/>
    <w:link w:val="28"/>
    <w:qFormat/>
    <w:uiPriority w:val="11"/>
    <w:pPr>
      <w:widowControl w:val="0"/>
      <w:spacing w:before="0"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7"/>
    <w:qFormat/>
    <w:uiPriority w:val="10"/>
    <w:pPr>
      <w:widowControl w:val="0"/>
      <w:spacing w:before="0"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zh-CN"/>
      <w14:ligatures w14:val="standardContextual"/>
    </w:rPr>
  </w:style>
  <w:style w:type="table" w:customStyle="1" w:styleId="17">
    <w:name w:val="三线表"/>
    <w:basedOn w:val="15"/>
    <w:qFormat/>
    <w:uiPriority w:val="99"/>
    <w:pPr>
      <w:spacing w:after="0" w:line="240" w:lineRule="auto"/>
    </w:pPr>
    <w:tblPr>
      <w:tblBorders>
        <w:top w:val="single" w:color="auto" w:sz="12" w:space="0"/>
        <w:bottom w:val="single" w:color="auto" w:sz="12" w:space="0"/>
      </w:tblBorders>
    </w:tbl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widowControl w:val="0"/>
      <w:spacing w:before="160" w:after="160" w:line="278" w:lineRule="auto"/>
      <w:jc w:val="center"/>
    </w:pPr>
    <w:rPr>
      <w:rFonts w:asciiTheme="minorHAnsi" w:hAnsiTheme="minorHAnsi" w:eastAsiaTheme="minorEastAsia"/>
      <w:i/>
      <w:iCs/>
      <w:color w:val="404040" w:themeColor="text1" w:themeTint="BF"/>
      <w:kern w:val="2"/>
      <w:sz w:val="22"/>
      <w:szCs w:val="24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widowControl w:val="0"/>
      <w:spacing w:before="0" w:after="160" w:line="278" w:lineRule="auto"/>
      <w:ind w:left="720"/>
      <w:contextualSpacing/>
    </w:pPr>
    <w:rPr>
      <w:rFonts w:asciiTheme="minorHAnsi" w:hAnsiTheme="minorHAnsi" w:eastAsiaTheme="minorEastAsia"/>
      <w:kern w:val="2"/>
      <w:sz w:val="22"/>
      <w:szCs w:val="24"/>
      <w:lang w:eastAsia="zh-CN"/>
      <w14:ligatures w14:val="standardContextual"/>
    </w:r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widowControl w:val="0"/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/>
      <w:i/>
      <w:iCs/>
      <w:color w:val="2F5597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table" w:customStyle="1" w:styleId="38">
    <w:name w:val="三线表11"/>
    <w:basedOn w:val="15"/>
    <w:qFormat/>
    <w:uiPriority w:val="0"/>
    <w:pPr>
      <w:spacing w:after="0" w:line="360" w:lineRule="exact"/>
      <w:jc w:val="center"/>
    </w:pPr>
    <w:rPr>
      <w:rFonts w:ascii="Times New Roman" w:hAnsi="Times New Roman" w:eastAsia="宋体" w:cs="Times New Roman"/>
      <w:kern w:val="0"/>
      <w:sz w:val="21"/>
      <w:szCs w:val="20"/>
      <w14:ligatures w14:val="none"/>
    </w:rPr>
    <w:tblPr>
      <w:tblBorders>
        <w:top w:val="single" w:color="auto" w:sz="12" w:space="0"/>
        <w:bottom w:val="single" w:color="auto" w:sz="12" w:space="0"/>
      </w:tblBorders>
    </w:tblPr>
    <w:tcPr>
      <w:tcBorders>
        <w:top w:val="single" w:color="auto" w:sz="12" w:space="0"/>
        <w:left w:val="nil"/>
        <w:bottom w:val="single" w:color="auto" w:sz="12" w:space="0"/>
        <w:right w:val="nil"/>
      </w:tcBorders>
    </w:tcPr>
    <w:tblStylePr w:type="firstRow">
      <w:tcPr>
        <w:tcBorders>
          <w:top w:val="single" w:color="auto" w:sz="12" w:space="0"/>
          <w:left w:val="nil"/>
          <w:bottom w:val="single" w:color="auto" w:sz="6" w:space="0"/>
          <w:right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</Words>
  <Characters>573</Characters>
  <Lines>7</Lines>
  <Paragraphs>2</Paragraphs>
  <TotalTime>3</TotalTime>
  <ScaleCrop>false</ScaleCrop>
  <LinksUpToDate>false</LinksUpToDate>
  <CharactersWithSpaces>675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2025-11-17T15:45:00Z</dcterms:created>
  <dc:creator>zhang Alan</dc:creator>
  <cp:lastModifiedBy>麒</cp:lastModifiedBy>
  <dcterms:modified xsi:type="dcterms:W3CDTF">2026-03-15T09:01:26Z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eyJoZGlkIjoiY2Y4ZjMwZjRhMTMzNmM3MGM0ZGNlZWVkNjU4YmEwMzgiLCJ1c2VySWQiOiI2NDg4Nzk5NDYifQ==</vt:lpwstr>
  </property>
  <property fmtid="{D5CDD505-2E9C-101B-9397-08002B2CF9AE}" pid="3" name="KSOProductBuildVer">
    <vt:lpwstr>2052-12.1.0.25225</vt:lpwstr>
  </property>
  <property fmtid="{D5CDD505-2E9C-101B-9397-08002B2CF9AE}" pid="4" name="ICV">
    <vt:lpwstr>A694AECCB8134678B0134831D5AE1F49_12</vt:lpwstr>
  </property>
</Properties>
</file>