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4D2" w:rsidRPr="005A78F4" w:rsidRDefault="00D644D2" w:rsidP="00D644D2">
      <w:pPr>
        <w:rPr>
          <w:b/>
        </w:rPr>
      </w:pPr>
      <w:r w:rsidRPr="005A78F4">
        <w:rPr>
          <w:b/>
        </w:rPr>
        <w:t>Supplementary Table 1. Weight change following switch to PP1M</w:t>
      </w:r>
    </w:p>
    <w:tbl>
      <w:tblPr>
        <w:tblW w:w="113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top w:w="57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905"/>
        <w:gridCol w:w="1289"/>
        <w:gridCol w:w="1289"/>
        <w:gridCol w:w="1289"/>
        <w:gridCol w:w="1289"/>
        <w:gridCol w:w="1289"/>
      </w:tblGrid>
      <w:tr w:rsidR="00D644D2" w:rsidRPr="005A78F4" w:rsidTr="00E37B7C"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Patients switched to PP1M from: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ARI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OLA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Pali ER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QUE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RIS</w:t>
            </w:r>
          </w:p>
        </w:tc>
      </w:tr>
      <w:tr w:rsidR="00D644D2" w:rsidRPr="005A78F4" w:rsidTr="00E37B7C">
        <w:tc>
          <w:tcPr>
            <w:tcW w:w="490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Weight, n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43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78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94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41</w:t>
            </w:r>
          </w:p>
        </w:tc>
        <w:tc>
          <w:tcPr>
            <w:tcW w:w="12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170</w:t>
            </w:r>
          </w:p>
        </w:tc>
      </w:tr>
      <w:tr w:rsidR="00D644D2" w:rsidRPr="005A78F4" w:rsidTr="00E37B7C">
        <w:tc>
          <w:tcPr>
            <w:tcW w:w="4905" w:type="dxa"/>
            <w:tcBorders>
              <w:top w:val="nil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Mean baseline weight, kg (SD)</w:t>
            </w:r>
          </w:p>
        </w:tc>
        <w:tc>
          <w:tcPr>
            <w:tcW w:w="1289" w:type="dxa"/>
            <w:tcBorders>
              <w:top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90.6 (21.9)</w:t>
            </w:r>
          </w:p>
        </w:tc>
        <w:tc>
          <w:tcPr>
            <w:tcW w:w="1289" w:type="dxa"/>
            <w:tcBorders>
              <w:top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80.9 (16.3)</w:t>
            </w:r>
          </w:p>
        </w:tc>
        <w:tc>
          <w:tcPr>
            <w:tcW w:w="1289" w:type="dxa"/>
            <w:tcBorders>
              <w:top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80.4 (17.4)</w:t>
            </w:r>
          </w:p>
        </w:tc>
        <w:tc>
          <w:tcPr>
            <w:tcW w:w="1289" w:type="dxa"/>
            <w:tcBorders>
              <w:top w:val="nil"/>
            </w:tcBorders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81.0 (16.4)</w:t>
            </w:r>
          </w:p>
        </w:tc>
        <w:tc>
          <w:tcPr>
            <w:tcW w:w="1289" w:type="dxa"/>
            <w:tcBorders>
              <w:top w:val="nil"/>
            </w:tcBorders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80.3 (17.3)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Mean endpoint weight, kg (SD)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94.1 (23.7)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80.6 (16.6)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81.7 (18.1)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83.2 (16.5)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81.1 (17.5)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b/>
                <w:sz w:val="20"/>
                <w:szCs w:val="20"/>
              </w:rPr>
            </w:pPr>
            <w:r w:rsidRPr="005A78F4">
              <w:rPr>
                <w:b/>
                <w:sz w:val="20"/>
                <w:szCs w:val="20"/>
              </w:rPr>
              <w:t>Change from baseline to endpoint, kg (SD)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3.5 (6.3)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–0.3 (4.6)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1.4 (4.3)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2.2 (6.1)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0.8 (4.6)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95% CI of mean change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1.5, 5.4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–1.3, 0.7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0.5, 2.2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0.2, 4.1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0.1, 1.5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Weight gain ≥7%, n (%)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12 (27.9)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 (10.3)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14 (14.9)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11 (26.8)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20 (11.8)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Body mass index, n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42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78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94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41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168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Mean baseline BMI, kg/m</w:t>
            </w:r>
            <w:r w:rsidRPr="005A78F4">
              <w:rPr>
                <w:color w:val="auto"/>
                <w:sz w:val="20"/>
                <w:szCs w:val="20"/>
                <w:vertAlign w:val="superscript"/>
              </w:rPr>
              <w:t>2</w:t>
            </w:r>
            <w:r w:rsidRPr="005A78F4">
              <w:rPr>
                <w:color w:val="auto"/>
                <w:sz w:val="20"/>
                <w:szCs w:val="20"/>
              </w:rPr>
              <w:t xml:space="preserve"> (SD)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30.4 (7.5)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27.4 (6.2)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26.9 (5.5)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28.2 (5.5)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27.2 (5.6)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Mean endpoint BMI, kg/m</w:t>
            </w:r>
            <w:r w:rsidRPr="005A78F4">
              <w:rPr>
                <w:sz w:val="20"/>
                <w:szCs w:val="20"/>
                <w:vertAlign w:val="superscript"/>
              </w:rPr>
              <w:t>2</w:t>
            </w:r>
            <w:r w:rsidRPr="005A78F4">
              <w:rPr>
                <w:sz w:val="20"/>
                <w:szCs w:val="20"/>
              </w:rPr>
              <w:t xml:space="preserve"> (SD)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31.6 (8.1)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27.3 (6.4)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27.4 (5.8)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29.1 (6.1)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27.5 (5.7)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b/>
                <w:sz w:val="20"/>
                <w:szCs w:val="20"/>
              </w:rPr>
              <w:t>Change from baseline to endpoint, kg/m</w:t>
            </w:r>
            <w:r w:rsidRPr="005A78F4">
              <w:rPr>
                <w:b/>
                <w:sz w:val="20"/>
                <w:szCs w:val="20"/>
                <w:vertAlign w:val="superscript"/>
              </w:rPr>
              <w:t>2</w:t>
            </w:r>
            <w:r w:rsidRPr="005A78F4">
              <w:rPr>
                <w:b/>
                <w:sz w:val="20"/>
                <w:szCs w:val="20"/>
              </w:rPr>
              <w:t xml:space="preserve"> (SD)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1.2 (2.2)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–0.1 (1.6)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0.5 (1.5)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0.8 (2.3)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b/>
                <w:color w:val="auto"/>
                <w:sz w:val="20"/>
                <w:szCs w:val="20"/>
              </w:rPr>
            </w:pPr>
            <w:r w:rsidRPr="005A78F4">
              <w:rPr>
                <w:b/>
                <w:color w:val="auto"/>
                <w:sz w:val="20"/>
                <w:szCs w:val="20"/>
              </w:rPr>
              <w:t>0.3 (1.6)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95% CI of mean change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0.5, 1.9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–0.5, 0.3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0.2, 0.7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0.1, 1.6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0.1, 0.5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Baseline BMI, kg/m</w:t>
            </w:r>
            <w:r w:rsidRPr="005A78F4">
              <w:rPr>
                <w:sz w:val="20"/>
                <w:szCs w:val="20"/>
                <w:vertAlign w:val="superscript"/>
              </w:rPr>
              <w:t>2</w:t>
            </w:r>
            <w:r w:rsidRPr="005A78F4">
              <w:rPr>
                <w:sz w:val="20"/>
                <w:szCs w:val="20"/>
              </w:rPr>
              <w:t>, n (%)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≤25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11 (26.2)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34 (43.6)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41 (43.6)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11 (26.8)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68 (40.5)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25–30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14 (33.3)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19 (24.4)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29 (30.9)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16 (39.0)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55 (32.7)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≥30</w:t>
            </w:r>
            <w:bookmarkStart w:id="0" w:name="_GoBack"/>
            <w:bookmarkEnd w:id="0"/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17 (40.5)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25 (32.1)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24 (25.5)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14 (34.1)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45 (26.8)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284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Endpoint BMI, kg/m</w:t>
            </w:r>
            <w:r w:rsidRPr="005A78F4">
              <w:rPr>
                <w:sz w:val="20"/>
                <w:szCs w:val="20"/>
                <w:vertAlign w:val="superscript"/>
              </w:rPr>
              <w:t>2</w:t>
            </w:r>
            <w:r w:rsidRPr="005A78F4">
              <w:rPr>
                <w:sz w:val="20"/>
                <w:szCs w:val="20"/>
              </w:rPr>
              <w:t>, n (%)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≤25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7 (16.7)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32 (41.0)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37 (39.4)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8 (19.5)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53 (31.5)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25–30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14 (33.3)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21 (26.9)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32 (34.0)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18 (43.9)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73 (43.5)</w:t>
            </w:r>
          </w:p>
        </w:tc>
      </w:tr>
      <w:tr w:rsidR="00D644D2" w:rsidRPr="005A78F4" w:rsidTr="00E37B7C">
        <w:tc>
          <w:tcPr>
            <w:tcW w:w="4905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ind w:left="568"/>
              <w:rPr>
                <w:sz w:val="20"/>
                <w:szCs w:val="20"/>
              </w:rPr>
            </w:pPr>
            <w:r w:rsidRPr="005A78F4">
              <w:rPr>
                <w:sz w:val="20"/>
                <w:szCs w:val="20"/>
              </w:rPr>
              <w:t>≥30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21 (50.0)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25 (32.1)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25 (26.6)</w:t>
            </w:r>
          </w:p>
        </w:tc>
        <w:tc>
          <w:tcPr>
            <w:tcW w:w="1289" w:type="dxa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15 (36.6)</w:t>
            </w:r>
          </w:p>
        </w:tc>
        <w:tc>
          <w:tcPr>
            <w:tcW w:w="1289" w:type="dxa"/>
            <w:shd w:val="clear" w:color="auto" w:fill="auto"/>
          </w:tcPr>
          <w:p w:rsidR="00D644D2" w:rsidRPr="005A78F4" w:rsidRDefault="00D644D2" w:rsidP="00E37B7C">
            <w:pPr>
              <w:tabs>
                <w:tab w:val="clear" w:pos="425"/>
              </w:tabs>
              <w:spacing w:before="0" w:line="240" w:lineRule="auto"/>
              <w:jc w:val="center"/>
              <w:rPr>
                <w:color w:val="auto"/>
                <w:sz w:val="20"/>
                <w:szCs w:val="20"/>
              </w:rPr>
            </w:pPr>
            <w:r w:rsidRPr="005A78F4">
              <w:rPr>
                <w:color w:val="auto"/>
                <w:sz w:val="20"/>
                <w:szCs w:val="20"/>
              </w:rPr>
              <w:t>42 (25.0)</w:t>
            </w:r>
          </w:p>
        </w:tc>
      </w:tr>
    </w:tbl>
    <w:p w:rsidR="007A2DCF" w:rsidRDefault="00D644D2">
      <w:r w:rsidRPr="005A78F4">
        <w:rPr>
          <w:sz w:val="20"/>
        </w:rPr>
        <w:t>ARI, aripiprazole; BMI, body mass index; CI, confidence interval; OLA, olanzapine; Pali ER, paliperidone extended</w:t>
      </w:r>
      <w:r w:rsidR="00A97B6D">
        <w:rPr>
          <w:sz w:val="20"/>
        </w:rPr>
        <w:t>-</w:t>
      </w:r>
      <w:r w:rsidRPr="005A78F4">
        <w:rPr>
          <w:sz w:val="20"/>
        </w:rPr>
        <w:t>release; PP1M, once-monthly paliperidone palmitate; QUE, quetiapine; RIS, risperidone; SD, standard deviation</w:t>
      </w:r>
    </w:p>
    <w:sectPr w:rsidR="007A2DCF" w:rsidSect="00D644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D5"/>
    <w:rsid w:val="00356235"/>
    <w:rsid w:val="00A97B6D"/>
    <w:rsid w:val="00AE7C46"/>
    <w:rsid w:val="00BE12D5"/>
    <w:rsid w:val="00D6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C2A280-A491-4680-8D8A-5EAFE0961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4D2"/>
    <w:pPr>
      <w:tabs>
        <w:tab w:val="left" w:pos="425"/>
      </w:tabs>
      <w:suppressAutoHyphens/>
      <w:spacing w:before="120" w:after="0" w:line="360" w:lineRule="auto"/>
    </w:pPr>
    <w:rPr>
      <w:rFonts w:ascii="Arial" w:eastAsia="Times New Roman" w:hAnsi="Arial" w:cs="Arial"/>
      <w:color w:val="000000"/>
      <w:kern w:val="1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Huntsworth Health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Saima Khan</cp:lastModifiedBy>
  <cp:revision>4</cp:revision>
  <dcterms:created xsi:type="dcterms:W3CDTF">2016-02-08T11:34:00Z</dcterms:created>
  <dcterms:modified xsi:type="dcterms:W3CDTF">2016-07-13T08:55:00Z</dcterms:modified>
</cp:coreProperties>
</file>