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1288" w:rsidRDefault="00181288" w:rsidP="00181288">
      <w:pPr>
        <w:pStyle w:val="Heading1"/>
      </w:pPr>
      <w:r>
        <w:t>Supplementary materials</w:t>
      </w:r>
    </w:p>
    <w:p w:rsidR="00181288" w:rsidRDefault="00181288" w:rsidP="00181288">
      <w:pPr>
        <w:spacing w:line="360" w:lineRule="auto"/>
        <w:rPr>
          <w:b/>
        </w:rPr>
      </w:pPr>
    </w:p>
    <w:p w:rsidR="00181288" w:rsidRDefault="00181288" w:rsidP="00181288">
      <w:r w:rsidRPr="00387678">
        <w:rPr>
          <w:b/>
        </w:rPr>
        <w:t>Article title:</w:t>
      </w:r>
      <w:r>
        <w:t xml:space="preserve"> Exploring the effect of m</w:t>
      </w:r>
      <w:r w:rsidRPr="00E319DF">
        <w:t xml:space="preserve">icrodosing </w:t>
      </w:r>
      <w:r>
        <w:t>p</w:t>
      </w:r>
      <w:r w:rsidRPr="00E319DF">
        <w:t>sychedelics</w:t>
      </w:r>
      <w:r>
        <w:t xml:space="preserve"> on creativity in a natural setting</w:t>
      </w:r>
    </w:p>
    <w:p w:rsidR="00181288" w:rsidRPr="00387678" w:rsidRDefault="00181288" w:rsidP="00181288">
      <w:r w:rsidRPr="00387678">
        <w:rPr>
          <w:b/>
        </w:rPr>
        <w:t>Journal name:</w:t>
      </w:r>
      <w:r>
        <w:t xml:space="preserve"> Psychopharmacology</w:t>
      </w:r>
    </w:p>
    <w:p w:rsidR="00181288" w:rsidRPr="00E319DF" w:rsidRDefault="00181288" w:rsidP="00181288">
      <w:pPr>
        <w:spacing w:line="360" w:lineRule="auto"/>
      </w:pPr>
      <w:r w:rsidRPr="00387678">
        <w:rPr>
          <w:b/>
        </w:rPr>
        <w:t>Author names:</w:t>
      </w:r>
      <w:r>
        <w:t xml:space="preserve"> </w:t>
      </w:r>
      <w:r w:rsidRPr="00E319DF">
        <w:t>Luisa Prochazkova*</w:t>
      </w:r>
      <w:r w:rsidRPr="00E319DF">
        <w:rPr>
          <w:vertAlign w:val="superscript"/>
        </w:rPr>
        <w:t>1</w:t>
      </w:r>
      <w:r w:rsidRPr="00E319DF">
        <w:t>, Dominique P. Lippelt*</w:t>
      </w:r>
      <w:r w:rsidRPr="00E319DF">
        <w:rPr>
          <w:vertAlign w:val="superscript"/>
        </w:rPr>
        <w:t>1</w:t>
      </w:r>
      <w:r w:rsidRPr="00E319DF">
        <w:t>, Lorenza S. Colzato</w:t>
      </w:r>
      <w:r w:rsidRPr="00E319DF">
        <w:rPr>
          <w:vertAlign w:val="superscript"/>
        </w:rPr>
        <w:t>1,2,3</w:t>
      </w:r>
      <w:r w:rsidRPr="00E319DF">
        <w:t xml:space="preserve">, </w:t>
      </w:r>
      <w:r>
        <w:t xml:space="preserve">Martin </w:t>
      </w:r>
      <w:r w:rsidRPr="00C07EA6">
        <w:t>Kuchar</w:t>
      </w:r>
      <w:r w:rsidRPr="00C07EA6">
        <w:rPr>
          <w:vertAlign w:val="superscript"/>
        </w:rPr>
        <w:t>4,</w:t>
      </w:r>
      <w:r>
        <w:rPr>
          <w:vertAlign w:val="superscript"/>
        </w:rPr>
        <w:t>5</w:t>
      </w:r>
      <w:r>
        <w:t xml:space="preserve">, </w:t>
      </w:r>
      <w:r w:rsidRPr="00E319DF">
        <w:t>Zsuzsika Sjoerds</w:t>
      </w:r>
      <w:r w:rsidRPr="00E319DF">
        <w:rPr>
          <w:vertAlign w:val="superscript"/>
        </w:rPr>
        <w:t>1</w:t>
      </w:r>
      <w:r>
        <w:rPr>
          <w:vertAlign w:val="superscript"/>
        </w:rPr>
        <w:t xml:space="preserve"> </w:t>
      </w:r>
      <w:r w:rsidRPr="00E319DF">
        <w:t>&amp; Bernhard Hommel</w:t>
      </w:r>
      <w:r w:rsidRPr="00E319DF">
        <w:rPr>
          <w:vertAlign w:val="superscript"/>
        </w:rPr>
        <w:t>1</w:t>
      </w:r>
    </w:p>
    <w:p w:rsidR="00181288" w:rsidRPr="00E319DF" w:rsidRDefault="00181288" w:rsidP="00181288">
      <w:pPr>
        <w:spacing w:line="360" w:lineRule="auto"/>
        <w:jc w:val="center"/>
      </w:pPr>
    </w:p>
    <w:p w:rsidR="00181288" w:rsidRPr="00E319DF" w:rsidRDefault="00181288" w:rsidP="00181288">
      <w:pPr>
        <w:spacing w:line="360" w:lineRule="auto"/>
        <w:jc w:val="center"/>
      </w:pPr>
      <w:r w:rsidRPr="00E319DF">
        <w:t>*authors contributed equally (shared first-authorship)</w:t>
      </w:r>
    </w:p>
    <w:p w:rsidR="00181288" w:rsidRPr="00E319DF" w:rsidRDefault="00181288" w:rsidP="00181288">
      <w:pPr>
        <w:spacing w:line="360" w:lineRule="auto"/>
        <w:jc w:val="center"/>
        <w:rPr>
          <w:b/>
        </w:rPr>
      </w:pPr>
    </w:p>
    <w:p w:rsidR="00181288" w:rsidRPr="00387678" w:rsidRDefault="00181288" w:rsidP="00181288">
      <w:pPr>
        <w:rPr>
          <w:b/>
        </w:rPr>
      </w:pPr>
      <w:r w:rsidRPr="00387678">
        <w:rPr>
          <w:b/>
        </w:rPr>
        <w:t>Affiliations</w:t>
      </w:r>
    </w:p>
    <w:p w:rsidR="00181288" w:rsidRPr="00E319DF" w:rsidRDefault="00181288" w:rsidP="00181288">
      <w:pPr>
        <w:autoSpaceDE w:val="0"/>
        <w:autoSpaceDN w:val="0"/>
        <w:adjustRightInd w:val="0"/>
        <w:spacing w:line="360" w:lineRule="auto"/>
      </w:pPr>
      <w:r w:rsidRPr="00E319DF">
        <w:rPr>
          <w:vertAlign w:val="superscript"/>
        </w:rPr>
        <w:t>1</w:t>
      </w:r>
      <w:r w:rsidRPr="00E319DF">
        <w:t>Leiden University, Cognitive Psychology Unit &amp; Leiden Institute for Brain and Cognition, Leiden, The Netherlands</w:t>
      </w:r>
    </w:p>
    <w:p w:rsidR="00181288" w:rsidRPr="00E319DF" w:rsidRDefault="00181288" w:rsidP="00181288">
      <w:pPr>
        <w:autoSpaceDE w:val="0"/>
        <w:autoSpaceDN w:val="0"/>
        <w:adjustRightInd w:val="0"/>
        <w:spacing w:line="360" w:lineRule="auto"/>
      </w:pPr>
      <w:r w:rsidRPr="00E319DF">
        <w:rPr>
          <w:vertAlign w:val="superscript"/>
        </w:rPr>
        <w:t>2</w:t>
      </w:r>
      <w:r w:rsidRPr="00E319DF">
        <w:t>Department of Cognitive Psychology, Institute of Cognitive Neuroscience, Faculty of Psychology, Ruhr University Bochum, Bochum, Germany</w:t>
      </w:r>
    </w:p>
    <w:p w:rsidR="00181288" w:rsidRDefault="00181288" w:rsidP="00181288">
      <w:pPr>
        <w:autoSpaceDE w:val="0"/>
        <w:autoSpaceDN w:val="0"/>
        <w:adjustRightInd w:val="0"/>
        <w:spacing w:line="360" w:lineRule="auto"/>
      </w:pPr>
      <w:r w:rsidRPr="00E319DF">
        <w:rPr>
          <w:vertAlign w:val="superscript"/>
        </w:rPr>
        <w:t>3</w:t>
      </w:r>
      <w:r w:rsidRPr="00E319DF">
        <w:t xml:space="preserve">Institute for Sports and </w:t>
      </w:r>
      <w:r w:rsidRPr="00E319DF">
        <w:rPr>
          <w:noProof/>
        </w:rPr>
        <w:t>Sport</w:t>
      </w:r>
      <w:r w:rsidRPr="00E319DF">
        <w:t xml:space="preserve"> Science, University of Kassel, Kassel, Germany</w:t>
      </w:r>
    </w:p>
    <w:p w:rsidR="00181288" w:rsidRDefault="00181288" w:rsidP="00181288">
      <w:pPr>
        <w:autoSpaceDE w:val="0"/>
        <w:autoSpaceDN w:val="0"/>
        <w:adjustRightInd w:val="0"/>
        <w:spacing w:line="360" w:lineRule="auto"/>
      </w:pPr>
      <w:r>
        <w:rPr>
          <w:vertAlign w:val="superscript"/>
        </w:rPr>
        <w:t>4</w:t>
      </w:r>
      <w:r w:rsidRPr="006617A2">
        <w:t>Forensic Laboratory of Biologically Active Substances, Dep</w:t>
      </w:r>
      <w:r>
        <w:t xml:space="preserve">artment of Chemistry of Natural </w:t>
      </w:r>
      <w:r w:rsidRPr="006617A2">
        <w:t>Compounds, Univers</w:t>
      </w:r>
      <w:r>
        <w:t xml:space="preserve">ity of Chemistry and Technology </w:t>
      </w:r>
      <w:r w:rsidRPr="006617A2">
        <w:t>Prague, Prague, Czech Republic</w:t>
      </w:r>
    </w:p>
    <w:p w:rsidR="00181288" w:rsidRDefault="00181288" w:rsidP="00181288">
      <w:pPr>
        <w:autoSpaceDE w:val="0"/>
        <w:autoSpaceDN w:val="0"/>
        <w:adjustRightInd w:val="0"/>
        <w:spacing w:line="360" w:lineRule="auto"/>
      </w:pPr>
      <w:r>
        <w:rPr>
          <w:vertAlign w:val="superscript"/>
        </w:rPr>
        <w:t>5</w:t>
      </w:r>
      <w:r w:rsidRPr="006617A2">
        <w:t>Department of Experimental Neurobiology, National Institute of Mental Health, Klecany, Czech</w:t>
      </w:r>
      <w:r>
        <w:t xml:space="preserve"> </w:t>
      </w:r>
      <w:r w:rsidRPr="006617A2">
        <w:t>Republic.</w:t>
      </w:r>
    </w:p>
    <w:p w:rsidR="00181288" w:rsidRDefault="00181288" w:rsidP="00181288">
      <w:pPr>
        <w:spacing w:line="360" w:lineRule="auto"/>
      </w:pPr>
    </w:p>
    <w:p w:rsidR="00181288" w:rsidRDefault="00181288" w:rsidP="00181288">
      <w:pPr>
        <w:spacing w:line="276" w:lineRule="auto"/>
      </w:pPr>
      <w:r w:rsidRPr="008F023C">
        <w:rPr>
          <w:b/>
        </w:rPr>
        <w:t>Corresponding author</w:t>
      </w:r>
      <w:r>
        <w:br/>
      </w:r>
      <w:r w:rsidRPr="008E346F">
        <w:t>L.Prochazkova</w:t>
      </w:r>
      <w:r>
        <w:br/>
      </w:r>
      <w:r w:rsidRPr="008E346F">
        <w:t>Leiden University, Faculty of Social and Behavioural Sciences, Cognitive Psychology Unit</w:t>
      </w:r>
      <w:r>
        <w:br/>
      </w:r>
      <w:r w:rsidRPr="008E346F">
        <w:t>Wassenaarseweg 52, 2333 AK Leiden, The Netherlands</w:t>
      </w:r>
      <w:r>
        <w:br/>
      </w:r>
      <w:r w:rsidRPr="008E346F">
        <w:t>e-mail: l.prochazkova@fsw.leidenuniv.nl</w:t>
      </w:r>
      <w:r>
        <w:br/>
      </w:r>
      <w:r w:rsidRPr="008E346F">
        <w:t>Tel: +31 71 527 8085</w:t>
      </w:r>
    </w:p>
    <w:p w:rsidR="00181288" w:rsidRDefault="00181288" w:rsidP="00181288">
      <w:pPr>
        <w:spacing w:line="360" w:lineRule="auto"/>
      </w:pPr>
    </w:p>
    <w:p w:rsidR="00181288" w:rsidRDefault="00181288" w:rsidP="00181288">
      <w:pPr>
        <w:spacing w:line="360" w:lineRule="auto"/>
      </w:pPr>
    </w:p>
    <w:p w:rsidR="00181288" w:rsidRDefault="00181288">
      <w:pPr>
        <w:spacing w:after="160"/>
      </w:pPr>
      <w:r>
        <w:br w:type="page"/>
      </w:r>
    </w:p>
    <w:p w:rsidR="00181288" w:rsidRDefault="00181288" w:rsidP="00181288">
      <w:pPr>
        <w:spacing w:line="360" w:lineRule="auto"/>
      </w:pPr>
      <w:bookmarkStart w:id="0" w:name="_GoBack"/>
      <w:bookmarkEnd w:id="0"/>
      <w:r>
        <w:lastRenderedPageBreak/>
        <w:t>Online Resource 1</w:t>
      </w:r>
    </w:p>
    <w:p w:rsidR="00181288" w:rsidRDefault="00181288" w:rsidP="00181288">
      <w:pPr>
        <w:spacing w:line="360" w:lineRule="auto"/>
        <w:rPr>
          <w:b/>
        </w:rPr>
      </w:pPr>
    </w:p>
    <w:p w:rsidR="00181288" w:rsidRDefault="00181288" w:rsidP="00181288">
      <w:pPr>
        <w:spacing w:line="360" w:lineRule="auto"/>
        <w:rPr>
          <w:b/>
        </w:rPr>
      </w:pPr>
      <w:r>
        <w:rPr>
          <w:b/>
        </w:rPr>
        <w:t>Additional details regarding the analyses procedure used to analyze the alkaloid content in the psychedelic truffles</w:t>
      </w:r>
    </w:p>
    <w:p w:rsidR="00181288" w:rsidRDefault="00181288" w:rsidP="00181288">
      <w:pPr>
        <w:spacing w:line="360" w:lineRule="auto"/>
        <w:ind w:firstLine="720"/>
        <w:jc w:val="both"/>
      </w:pPr>
      <w:r>
        <w:t>Methanol and formic acid were of LC-MS grade and were purchased from Sigma-Aldrich (Czech Republic). Ultra pure water, 18.2 MΩ-cm, was produced by a Smart2Pure 12 water purification system (Thermo Scientific, Germany).</w:t>
      </w:r>
    </w:p>
    <w:p w:rsidR="00181288" w:rsidRDefault="00181288" w:rsidP="00181288">
      <w:pPr>
        <w:spacing w:line="360" w:lineRule="auto"/>
        <w:ind w:firstLine="720"/>
        <w:jc w:val="both"/>
      </w:pPr>
      <w:r>
        <w:t>The stock solutions of psilocin and psilocybin were prepared in methanol and the stock solutions of norbaeocystin and baeocystin in 50%(</w:t>
      </w:r>
      <w:r>
        <w:rPr>
          <w:i/>
        </w:rPr>
        <w:t>v/v</w:t>
      </w:r>
      <w:r>
        <w:t>) methanol (at a concentration 1 mg/mL and stored at -20 °C. A working solution contained a mixture of analytes and was diluted with methanol to 10 µg/mL.</w:t>
      </w:r>
    </w:p>
    <w:p w:rsidR="00181288" w:rsidRDefault="00181288" w:rsidP="00181288">
      <w:pPr>
        <w:spacing w:line="360" w:lineRule="auto"/>
        <w:jc w:val="both"/>
        <w:rPr>
          <w:i/>
        </w:rPr>
      </w:pPr>
    </w:p>
    <w:p w:rsidR="00181288" w:rsidRDefault="00181288" w:rsidP="00181288">
      <w:pPr>
        <w:spacing w:line="360" w:lineRule="auto"/>
        <w:jc w:val="both"/>
        <w:rPr>
          <w:b/>
        </w:rPr>
      </w:pPr>
      <w:r>
        <w:rPr>
          <w:b/>
          <w:i/>
        </w:rPr>
        <w:tab/>
        <w:t>Sample preparation</w:t>
      </w:r>
    </w:p>
    <w:p w:rsidR="00181288" w:rsidRDefault="00181288" w:rsidP="00181288">
      <w:pPr>
        <w:spacing w:line="360" w:lineRule="auto"/>
        <w:jc w:val="both"/>
      </w:pPr>
      <w:r>
        <w:t>Capsules were opened and 100 mg of inner solid was weighted to dark glass tubes with screw caps. The samples were dissolved in 5 mL of methanol pre-purged with nitrogen gas. A rack with samples was subsequently covered with aluminum foil and vortexed for 150 min. The mixtures were centrifuged for 15 min at 2,000 rpm (25°C). 100 µL aliquot was diluted with 900 µL of 0.1% (</w:t>
      </w:r>
      <w:r>
        <w:rPr>
          <w:i/>
        </w:rPr>
        <w:t>v/v</w:t>
      </w:r>
      <w:r>
        <w:t>) formic acid. Samples were 100× diluted with 0.1% (</w:t>
      </w:r>
      <w:r>
        <w:rPr>
          <w:i/>
        </w:rPr>
        <w:t>v/v</w:t>
      </w:r>
      <w:r>
        <w:t>) formic acid because of high concentrations of psilocin and psilocybin. 5µL was injected into the LC-MS and samples were prepared at duplicate.</w:t>
      </w:r>
    </w:p>
    <w:p w:rsidR="00181288" w:rsidRDefault="00181288" w:rsidP="00181288">
      <w:pPr>
        <w:spacing w:line="360" w:lineRule="auto"/>
        <w:jc w:val="both"/>
        <w:rPr>
          <w:i/>
        </w:rPr>
      </w:pPr>
    </w:p>
    <w:p w:rsidR="00181288" w:rsidRDefault="00181288" w:rsidP="00181288">
      <w:pPr>
        <w:spacing w:line="360" w:lineRule="auto"/>
        <w:jc w:val="both"/>
        <w:rPr>
          <w:b/>
          <w:i/>
        </w:rPr>
      </w:pPr>
      <w:r>
        <w:rPr>
          <w:b/>
          <w:i/>
        </w:rPr>
        <w:tab/>
        <w:t>LC conditions</w:t>
      </w:r>
    </w:p>
    <w:p w:rsidR="00181288" w:rsidRDefault="00181288" w:rsidP="00181288">
      <w:pPr>
        <w:spacing w:line="360" w:lineRule="auto"/>
        <w:jc w:val="both"/>
      </w:pPr>
      <w:r>
        <w:t>The LC system used was an Agilent 1290 Infinity (Agilent Technologies, USA) and conditions were as follows: a column Phenomenex Kinetex F5, 2.1 × 100 mm, 1.7 µm 100 Å, with pre-column, gradient elution with 0.1% (</w:t>
      </w:r>
      <w:r>
        <w:rPr>
          <w:i/>
        </w:rPr>
        <w:t>v/v</w:t>
      </w:r>
      <w:r>
        <w:t>) formic acid (mobile phase A) and methanol containing 0.1% (</w:t>
      </w:r>
      <w:r>
        <w:rPr>
          <w:i/>
        </w:rPr>
        <w:t>v/v</w:t>
      </w:r>
      <w:r>
        <w:t>) formic acid (mobile phase B) with a flow rate of 250 µL/min. The injection volume was 5µL with 3 s needle wash in a flush port. The gradient setup was: 0-5 min from 95% A to 20% A, 5-5.5 min from 20% A to 0%, 5.5-6.5 min back to 95% A and equilibration at the same level to 10 min. The valve arrangement: 0.5-6 min to the MS source.</w:t>
      </w:r>
    </w:p>
    <w:p w:rsidR="00181288" w:rsidRDefault="00181288" w:rsidP="00181288">
      <w:pPr>
        <w:spacing w:line="360" w:lineRule="auto"/>
        <w:jc w:val="both"/>
      </w:pPr>
    </w:p>
    <w:p w:rsidR="00181288" w:rsidRDefault="00181288" w:rsidP="00181288">
      <w:pPr>
        <w:spacing w:line="360" w:lineRule="auto"/>
        <w:jc w:val="both"/>
        <w:rPr>
          <w:b/>
          <w:i/>
        </w:rPr>
      </w:pPr>
      <w:r>
        <w:rPr>
          <w:b/>
          <w:i/>
        </w:rPr>
        <w:tab/>
        <w:t>MS conditions</w:t>
      </w:r>
    </w:p>
    <w:p w:rsidR="00181288" w:rsidRDefault="00181288" w:rsidP="00181288">
      <w:pPr>
        <w:spacing w:line="360" w:lineRule="auto"/>
        <w:jc w:val="both"/>
      </w:pPr>
      <w:r>
        <w:t xml:space="preserve">The tandem MS used was 6460 Triple Quad LC/MS (Agilent Technologies, USA) with Jet Stream Electrospray Ionisation Source. A dynamic multiple reaction monitoring (dMRM) method was used. In brief the conditions of instrument were as follows: positive ion mode, ionisation voltage of 2300 V, a source temperature of 340°C and gas flow rate10 L/min. The values for sheath gas were 400°C and 12 L/min, and </w:t>
      </w:r>
      <w:r>
        <w:lastRenderedPageBreak/>
        <w:t xml:space="preserve">for the nebulizer 30 psi. Data was acquired and evaluated with MassHunter software (Agilent Technologies, USA). </w:t>
      </w:r>
    </w:p>
    <w:p w:rsidR="00181288" w:rsidRDefault="00181288" w:rsidP="00181288">
      <w:pPr>
        <w:spacing w:line="360" w:lineRule="auto"/>
        <w:rPr>
          <w:b/>
        </w:rPr>
      </w:pPr>
    </w:p>
    <w:p w:rsidR="00181288" w:rsidRPr="002269DD" w:rsidRDefault="00181288" w:rsidP="00181288">
      <w:pPr>
        <w:spacing w:line="360" w:lineRule="auto"/>
        <w:rPr>
          <w:b/>
          <w:i/>
          <w:highlight w:val="yellow"/>
        </w:rPr>
      </w:pPr>
      <w:r>
        <w:rPr>
          <w:b/>
        </w:rPr>
        <w:tab/>
      </w:r>
      <w:r w:rsidRPr="002269DD">
        <w:rPr>
          <w:b/>
          <w:i/>
          <w:highlight w:val="yellow"/>
        </w:rPr>
        <w:t>Alkaloid</w:t>
      </w:r>
      <w:r>
        <w:rPr>
          <w:b/>
          <w:i/>
          <w:highlight w:val="yellow"/>
        </w:rPr>
        <w:t xml:space="preserve"> detectability and</w:t>
      </w:r>
      <w:r w:rsidRPr="002269DD">
        <w:rPr>
          <w:b/>
          <w:i/>
          <w:highlight w:val="yellow"/>
        </w:rPr>
        <w:t xml:space="preserve"> concentrations</w:t>
      </w:r>
    </w:p>
    <w:p w:rsidR="00181288" w:rsidRDefault="00181288" w:rsidP="00181288">
      <w:pPr>
        <w:spacing w:line="360" w:lineRule="auto"/>
      </w:pPr>
      <w:r w:rsidRPr="002269DD">
        <w:rPr>
          <w:rFonts w:eastAsia="Gungsuh"/>
          <w:highlight w:val="yellow"/>
        </w:rPr>
        <w:t>The evaluation of the developed analytical method (Hajkova et al. 2016) encompassed the determination of Limit of Detection (LOD) and Limit of Quantitation (LOQ), and of the applicable concentration range for each compound studied. The LOD indicates the amount of an analyte that is minimally detectable without guarantees regarding the bias or measurement errors in the results by an assay (c.q. not quantified). LOQ</w:t>
      </w:r>
      <w:r>
        <w:rPr>
          <w:rFonts w:eastAsia="Gungsuh"/>
          <w:highlight w:val="yellow"/>
        </w:rPr>
        <w:t>,</w:t>
      </w:r>
      <w:r w:rsidRPr="002269DD">
        <w:rPr>
          <w:rFonts w:eastAsia="Gungsuh"/>
          <w:highlight w:val="yellow"/>
        </w:rPr>
        <w:t xml:space="preserve"> on the other hand</w:t>
      </w:r>
      <w:r>
        <w:rPr>
          <w:rFonts w:eastAsia="Gungsuh"/>
          <w:highlight w:val="yellow"/>
        </w:rPr>
        <w:t>,</w:t>
      </w:r>
      <w:r w:rsidRPr="002269DD">
        <w:rPr>
          <w:rFonts w:eastAsia="Gungsuh"/>
          <w:highlight w:val="yellow"/>
        </w:rPr>
        <w:t xml:space="preserve"> does indicate the minimum amount of an analyte that is quantifiable. For the here described analyses </w:t>
      </w:r>
      <w:r w:rsidRPr="002269DD">
        <w:rPr>
          <w:highlight w:val="yellow"/>
        </w:rPr>
        <w:t>LOD was determined as 3 times the ratio of signal to noise and LOQ as 10 times the ratio of signal to noise. LODs and LOQs for the alkaloids in the analyzed sample</w:t>
      </w:r>
      <w:r>
        <w:rPr>
          <w:highlight w:val="yellow"/>
        </w:rPr>
        <w:t>s</w:t>
      </w:r>
      <w:r w:rsidRPr="002269DD">
        <w:rPr>
          <w:highlight w:val="yellow"/>
        </w:rPr>
        <w:t xml:space="preserve"> are shown in</w:t>
      </w:r>
      <w:r>
        <w:rPr>
          <w:highlight w:val="yellow"/>
        </w:rPr>
        <w:t xml:space="preserve"> Table S1</w:t>
      </w:r>
      <w:r w:rsidRPr="002269DD">
        <w:rPr>
          <w:highlight w:val="yellow"/>
        </w:rPr>
        <w:t>.</w:t>
      </w:r>
    </w:p>
    <w:p w:rsidR="00181288" w:rsidRPr="002269DD" w:rsidRDefault="00181288" w:rsidP="00181288">
      <w:pPr>
        <w:spacing w:line="360" w:lineRule="auto"/>
        <w:ind w:firstLine="720"/>
        <w:rPr>
          <w:highlight w:val="yellow"/>
        </w:rPr>
      </w:pPr>
      <w:r w:rsidRPr="002269DD">
        <w:rPr>
          <w:highlight w:val="yellow"/>
        </w:rPr>
        <w:t xml:space="preserve">Table </w:t>
      </w:r>
      <w:r>
        <w:rPr>
          <w:highlight w:val="yellow"/>
        </w:rPr>
        <w:t>S2</w:t>
      </w:r>
      <w:r w:rsidRPr="002269DD">
        <w:rPr>
          <w:highlight w:val="yellow"/>
        </w:rPr>
        <w:t xml:space="preserve"> </w:t>
      </w:r>
      <w:r>
        <w:rPr>
          <w:highlight w:val="yellow"/>
        </w:rPr>
        <w:t>contains</w:t>
      </w:r>
      <w:r w:rsidRPr="002269DD">
        <w:rPr>
          <w:highlight w:val="yellow"/>
        </w:rPr>
        <w:t xml:space="preserve"> the alkaloid concentrations for each sample type separately. </w:t>
      </w:r>
      <w:r>
        <w:rPr>
          <w:highlight w:val="yellow"/>
        </w:rPr>
        <w:t>T</w:t>
      </w:r>
      <w:r w:rsidRPr="002269DD">
        <w:rPr>
          <w:highlight w:val="yellow"/>
        </w:rPr>
        <w:t xml:space="preserve">he concentrations </w:t>
      </w:r>
      <w:r>
        <w:rPr>
          <w:highlight w:val="yellow"/>
        </w:rPr>
        <w:t>were very similar across samples for all alkaloids and</w:t>
      </w:r>
      <w:r w:rsidRPr="002269DD">
        <w:rPr>
          <w:highlight w:val="yellow"/>
        </w:rPr>
        <w:t xml:space="preserve"> </w:t>
      </w:r>
      <w:r>
        <w:rPr>
          <w:highlight w:val="yellow"/>
        </w:rPr>
        <w:t xml:space="preserve">the differences between estimates were </w:t>
      </w:r>
      <w:r w:rsidRPr="002269DD">
        <w:rPr>
          <w:highlight w:val="yellow"/>
        </w:rPr>
        <w:t xml:space="preserve">lower than the estimated measurement errors </w:t>
      </w:r>
      <w:r>
        <w:rPr>
          <w:highlight w:val="yellow"/>
        </w:rPr>
        <w:t>for</w:t>
      </w:r>
      <w:r w:rsidRPr="002269DD">
        <w:rPr>
          <w:highlight w:val="yellow"/>
        </w:rPr>
        <w:t xml:space="preserve"> the results </w:t>
      </w:r>
      <w:r>
        <w:rPr>
          <w:highlight w:val="yellow"/>
        </w:rPr>
        <w:t>obtained when the data is averaged across samples</w:t>
      </w:r>
      <w:r w:rsidRPr="002269DD">
        <w:rPr>
          <w:highlight w:val="yellow"/>
        </w:rPr>
        <w:t>. As such, in the Results we reported the concentrations for the four alkaloids collapsed across the three samples.</w:t>
      </w:r>
    </w:p>
    <w:p w:rsidR="00181288" w:rsidRDefault="00181288" w:rsidP="00181288">
      <w:pPr>
        <w:keepNext/>
        <w:spacing w:line="360" w:lineRule="auto"/>
        <w:rPr>
          <w:b/>
        </w:rPr>
      </w:pPr>
    </w:p>
    <w:p w:rsidR="00181288" w:rsidRPr="002269DD" w:rsidRDefault="00181288" w:rsidP="00181288">
      <w:pPr>
        <w:keepNext/>
        <w:spacing w:line="360" w:lineRule="auto"/>
        <w:rPr>
          <w:i/>
          <w:highlight w:val="yellow"/>
        </w:rPr>
      </w:pPr>
      <w:r w:rsidRPr="002269DD">
        <w:rPr>
          <w:b/>
          <w:highlight w:val="yellow"/>
        </w:rPr>
        <w:t xml:space="preserve">Table </w:t>
      </w:r>
      <w:r>
        <w:rPr>
          <w:b/>
          <w:highlight w:val="yellow"/>
        </w:rPr>
        <w:t>S1</w:t>
      </w:r>
      <w:r w:rsidRPr="002269DD">
        <w:rPr>
          <w:b/>
          <w:highlight w:val="yellow"/>
        </w:rPr>
        <w:t xml:space="preserve"> </w:t>
      </w:r>
      <w:r w:rsidRPr="002269DD">
        <w:rPr>
          <w:highlight w:val="yellow"/>
        </w:rPr>
        <w:t>LOD and LOQ values</w:t>
      </w:r>
    </w:p>
    <w:tbl>
      <w:tblPr>
        <w:tblStyle w:val="PlainTable21"/>
        <w:tblW w:w="4705" w:type="dxa"/>
        <w:tblLayout w:type="fixed"/>
        <w:tblLook w:val="0400" w:firstRow="0" w:lastRow="0" w:firstColumn="0" w:lastColumn="0" w:noHBand="0" w:noVBand="1"/>
      </w:tblPr>
      <w:tblGrid>
        <w:gridCol w:w="1630"/>
        <w:gridCol w:w="707"/>
        <w:gridCol w:w="748"/>
        <w:gridCol w:w="810"/>
        <w:gridCol w:w="810"/>
      </w:tblGrid>
      <w:tr w:rsidR="00181288" w:rsidRPr="002269DD" w:rsidTr="00EE44E5">
        <w:trPr>
          <w:cnfStyle w:val="000000100000" w:firstRow="0" w:lastRow="0" w:firstColumn="0" w:lastColumn="0" w:oddVBand="0" w:evenVBand="0" w:oddHBand="1" w:evenHBand="0" w:firstRowFirstColumn="0" w:firstRowLastColumn="0" w:lastRowFirstColumn="0" w:lastRowLastColumn="0"/>
          <w:trHeight w:val="300"/>
        </w:trPr>
        <w:tc>
          <w:tcPr>
            <w:tcW w:w="1630" w:type="dxa"/>
          </w:tcPr>
          <w:p w:rsidR="00181288" w:rsidRPr="002269DD" w:rsidRDefault="00181288" w:rsidP="00EE44E5">
            <w:pPr>
              <w:rPr>
                <w:sz w:val="24"/>
                <w:szCs w:val="24"/>
                <w:highlight w:val="yellow"/>
              </w:rPr>
            </w:pPr>
          </w:p>
        </w:tc>
        <w:tc>
          <w:tcPr>
            <w:tcW w:w="1455" w:type="dxa"/>
            <w:gridSpan w:val="2"/>
          </w:tcPr>
          <w:p w:rsidR="00181288" w:rsidRPr="002269DD" w:rsidRDefault="00181288" w:rsidP="00EE44E5">
            <w:pPr>
              <w:jc w:val="center"/>
              <w:rPr>
                <w:i/>
                <w:highlight w:val="yellow"/>
              </w:rPr>
            </w:pPr>
            <w:r w:rsidRPr="002269DD">
              <w:rPr>
                <w:i/>
                <w:highlight w:val="yellow"/>
              </w:rPr>
              <w:t>ng/ml</w:t>
            </w:r>
          </w:p>
        </w:tc>
        <w:tc>
          <w:tcPr>
            <w:tcW w:w="1620" w:type="dxa"/>
            <w:gridSpan w:val="2"/>
          </w:tcPr>
          <w:p w:rsidR="00181288" w:rsidRPr="002269DD" w:rsidRDefault="00181288" w:rsidP="00EE44E5">
            <w:pPr>
              <w:jc w:val="center"/>
              <w:rPr>
                <w:i/>
                <w:highlight w:val="yellow"/>
              </w:rPr>
            </w:pPr>
            <w:r w:rsidRPr="002269DD">
              <w:rPr>
                <w:i/>
                <w:highlight w:val="yellow"/>
              </w:rPr>
              <w:t>µg/g (ppm)</w:t>
            </w:r>
          </w:p>
        </w:tc>
      </w:tr>
      <w:tr w:rsidR="00181288" w:rsidRPr="002269DD" w:rsidTr="00EE44E5">
        <w:trPr>
          <w:trHeight w:val="300"/>
        </w:trPr>
        <w:tc>
          <w:tcPr>
            <w:tcW w:w="1630" w:type="dxa"/>
          </w:tcPr>
          <w:p w:rsidR="00181288" w:rsidRPr="002269DD" w:rsidRDefault="00181288" w:rsidP="00EE44E5">
            <w:pPr>
              <w:rPr>
                <w:b/>
                <w:highlight w:val="yellow"/>
              </w:rPr>
            </w:pPr>
            <w:r w:rsidRPr="002269DD">
              <w:rPr>
                <w:b/>
                <w:highlight w:val="yellow"/>
              </w:rPr>
              <w:t> </w:t>
            </w:r>
            <w:r>
              <w:rPr>
                <w:b/>
                <w:highlight w:val="yellow"/>
              </w:rPr>
              <w:t>Alkaloid</w:t>
            </w:r>
          </w:p>
        </w:tc>
        <w:tc>
          <w:tcPr>
            <w:tcW w:w="707" w:type="dxa"/>
          </w:tcPr>
          <w:p w:rsidR="00181288" w:rsidRPr="002269DD" w:rsidRDefault="00181288" w:rsidP="00EE44E5">
            <w:pPr>
              <w:jc w:val="center"/>
              <w:rPr>
                <w:b/>
                <w:highlight w:val="yellow"/>
              </w:rPr>
            </w:pPr>
            <w:r w:rsidRPr="002269DD">
              <w:rPr>
                <w:b/>
                <w:highlight w:val="yellow"/>
              </w:rPr>
              <w:t>LOD</w:t>
            </w:r>
          </w:p>
        </w:tc>
        <w:tc>
          <w:tcPr>
            <w:tcW w:w="748" w:type="dxa"/>
          </w:tcPr>
          <w:p w:rsidR="00181288" w:rsidRPr="002269DD" w:rsidRDefault="00181288" w:rsidP="00EE44E5">
            <w:pPr>
              <w:jc w:val="center"/>
              <w:rPr>
                <w:b/>
                <w:highlight w:val="yellow"/>
              </w:rPr>
            </w:pPr>
            <w:r w:rsidRPr="002269DD">
              <w:rPr>
                <w:b/>
                <w:highlight w:val="yellow"/>
              </w:rPr>
              <w:t>LOQ</w:t>
            </w:r>
          </w:p>
        </w:tc>
        <w:tc>
          <w:tcPr>
            <w:tcW w:w="810" w:type="dxa"/>
          </w:tcPr>
          <w:p w:rsidR="00181288" w:rsidRPr="002269DD" w:rsidRDefault="00181288" w:rsidP="00EE44E5">
            <w:pPr>
              <w:jc w:val="center"/>
              <w:rPr>
                <w:b/>
                <w:highlight w:val="yellow"/>
              </w:rPr>
            </w:pPr>
            <w:r w:rsidRPr="002269DD">
              <w:rPr>
                <w:b/>
                <w:highlight w:val="yellow"/>
              </w:rPr>
              <w:t>LOD</w:t>
            </w:r>
          </w:p>
        </w:tc>
        <w:tc>
          <w:tcPr>
            <w:tcW w:w="810" w:type="dxa"/>
          </w:tcPr>
          <w:p w:rsidR="00181288" w:rsidRPr="002269DD" w:rsidRDefault="00181288" w:rsidP="00EE44E5">
            <w:pPr>
              <w:jc w:val="center"/>
              <w:rPr>
                <w:b/>
                <w:highlight w:val="yellow"/>
              </w:rPr>
            </w:pPr>
            <w:r w:rsidRPr="002269DD">
              <w:rPr>
                <w:b/>
                <w:highlight w:val="yellow"/>
              </w:rPr>
              <w:t>LOQ</w:t>
            </w:r>
          </w:p>
        </w:tc>
      </w:tr>
      <w:tr w:rsidR="00181288" w:rsidRPr="002269DD" w:rsidTr="00EE44E5">
        <w:trPr>
          <w:cnfStyle w:val="000000100000" w:firstRow="0" w:lastRow="0" w:firstColumn="0" w:lastColumn="0" w:oddVBand="0" w:evenVBand="0" w:oddHBand="1" w:evenHBand="0" w:firstRowFirstColumn="0" w:firstRowLastColumn="0" w:lastRowFirstColumn="0" w:lastRowLastColumn="0"/>
          <w:trHeight w:val="300"/>
        </w:trPr>
        <w:tc>
          <w:tcPr>
            <w:tcW w:w="1630" w:type="dxa"/>
          </w:tcPr>
          <w:p w:rsidR="00181288" w:rsidRPr="002269DD" w:rsidRDefault="00181288" w:rsidP="00EE44E5">
            <w:pPr>
              <w:rPr>
                <w:highlight w:val="yellow"/>
              </w:rPr>
            </w:pPr>
            <w:r>
              <w:rPr>
                <w:highlight w:val="yellow"/>
              </w:rPr>
              <w:t>P</w:t>
            </w:r>
            <w:r w:rsidRPr="002269DD">
              <w:rPr>
                <w:highlight w:val="yellow"/>
              </w:rPr>
              <w:t>silocybin</w:t>
            </w:r>
          </w:p>
        </w:tc>
        <w:tc>
          <w:tcPr>
            <w:tcW w:w="707" w:type="dxa"/>
          </w:tcPr>
          <w:p w:rsidR="00181288" w:rsidRPr="002269DD" w:rsidRDefault="00181288" w:rsidP="00EE44E5">
            <w:pPr>
              <w:jc w:val="center"/>
              <w:rPr>
                <w:highlight w:val="yellow"/>
              </w:rPr>
            </w:pPr>
            <w:r w:rsidRPr="002269DD">
              <w:rPr>
                <w:highlight w:val="yellow"/>
              </w:rPr>
              <w:t>0.5</w:t>
            </w:r>
          </w:p>
        </w:tc>
        <w:tc>
          <w:tcPr>
            <w:tcW w:w="748" w:type="dxa"/>
          </w:tcPr>
          <w:p w:rsidR="00181288" w:rsidRPr="002269DD" w:rsidRDefault="00181288" w:rsidP="00EE44E5">
            <w:pPr>
              <w:jc w:val="center"/>
              <w:rPr>
                <w:highlight w:val="yellow"/>
              </w:rPr>
            </w:pPr>
            <w:r w:rsidRPr="002269DD">
              <w:rPr>
                <w:highlight w:val="yellow"/>
              </w:rPr>
              <w:t>1.0</w:t>
            </w:r>
          </w:p>
        </w:tc>
        <w:tc>
          <w:tcPr>
            <w:tcW w:w="810" w:type="dxa"/>
          </w:tcPr>
          <w:p w:rsidR="00181288" w:rsidRPr="002269DD" w:rsidRDefault="00181288" w:rsidP="00EE44E5">
            <w:pPr>
              <w:jc w:val="center"/>
              <w:rPr>
                <w:highlight w:val="yellow"/>
              </w:rPr>
            </w:pPr>
            <w:r w:rsidRPr="002269DD">
              <w:rPr>
                <w:highlight w:val="yellow"/>
              </w:rPr>
              <w:t>0.3</w:t>
            </w:r>
          </w:p>
        </w:tc>
        <w:tc>
          <w:tcPr>
            <w:tcW w:w="810" w:type="dxa"/>
          </w:tcPr>
          <w:p w:rsidR="00181288" w:rsidRPr="002269DD" w:rsidRDefault="00181288" w:rsidP="00EE44E5">
            <w:pPr>
              <w:jc w:val="center"/>
              <w:rPr>
                <w:highlight w:val="yellow"/>
              </w:rPr>
            </w:pPr>
            <w:r w:rsidRPr="002269DD">
              <w:rPr>
                <w:highlight w:val="yellow"/>
              </w:rPr>
              <w:t>0.5</w:t>
            </w:r>
          </w:p>
        </w:tc>
      </w:tr>
      <w:tr w:rsidR="00181288" w:rsidRPr="002269DD" w:rsidTr="00EE44E5">
        <w:trPr>
          <w:trHeight w:val="300"/>
        </w:trPr>
        <w:tc>
          <w:tcPr>
            <w:tcW w:w="1630" w:type="dxa"/>
          </w:tcPr>
          <w:p w:rsidR="00181288" w:rsidRPr="002269DD" w:rsidRDefault="00181288" w:rsidP="00EE44E5">
            <w:pPr>
              <w:rPr>
                <w:highlight w:val="yellow"/>
              </w:rPr>
            </w:pPr>
            <w:r>
              <w:rPr>
                <w:highlight w:val="yellow"/>
              </w:rPr>
              <w:t>P</w:t>
            </w:r>
            <w:r w:rsidRPr="002269DD">
              <w:rPr>
                <w:highlight w:val="yellow"/>
              </w:rPr>
              <w:t>silocin</w:t>
            </w:r>
          </w:p>
        </w:tc>
        <w:tc>
          <w:tcPr>
            <w:tcW w:w="707" w:type="dxa"/>
          </w:tcPr>
          <w:p w:rsidR="00181288" w:rsidRPr="002269DD" w:rsidRDefault="00181288" w:rsidP="00EE44E5">
            <w:pPr>
              <w:jc w:val="center"/>
              <w:rPr>
                <w:highlight w:val="yellow"/>
              </w:rPr>
            </w:pPr>
            <w:r w:rsidRPr="002269DD">
              <w:rPr>
                <w:highlight w:val="yellow"/>
              </w:rPr>
              <w:t>1.0</w:t>
            </w:r>
          </w:p>
        </w:tc>
        <w:tc>
          <w:tcPr>
            <w:tcW w:w="748" w:type="dxa"/>
          </w:tcPr>
          <w:p w:rsidR="00181288" w:rsidRPr="002269DD" w:rsidRDefault="00181288" w:rsidP="00EE44E5">
            <w:pPr>
              <w:jc w:val="center"/>
              <w:rPr>
                <w:highlight w:val="yellow"/>
              </w:rPr>
            </w:pPr>
            <w:r w:rsidRPr="002269DD">
              <w:rPr>
                <w:highlight w:val="yellow"/>
              </w:rPr>
              <w:t>5.0</w:t>
            </w:r>
          </w:p>
        </w:tc>
        <w:tc>
          <w:tcPr>
            <w:tcW w:w="810" w:type="dxa"/>
          </w:tcPr>
          <w:p w:rsidR="00181288" w:rsidRPr="002269DD" w:rsidRDefault="00181288" w:rsidP="00EE44E5">
            <w:pPr>
              <w:jc w:val="center"/>
              <w:rPr>
                <w:highlight w:val="yellow"/>
              </w:rPr>
            </w:pPr>
            <w:r w:rsidRPr="002269DD">
              <w:rPr>
                <w:highlight w:val="yellow"/>
              </w:rPr>
              <w:t>0.5</w:t>
            </w:r>
          </w:p>
        </w:tc>
        <w:tc>
          <w:tcPr>
            <w:tcW w:w="810" w:type="dxa"/>
          </w:tcPr>
          <w:p w:rsidR="00181288" w:rsidRPr="002269DD" w:rsidRDefault="00181288" w:rsidP="00EE44E5">
            <w:pPr>
              <w:jc w:val="center"/>
              <w:rPr>
                <w:highlight w:val="yellow"/>
              </w:rPr>
            </w:pPr>
            <w:r w:rsidRPr="002269DD">
              <w:rPr>
                <w:highlight w:val="yellow"/>
              </w:rPr>
              <w:t>2.5</w:t>
            </w:r>
          </w:p>
        </w:tc>
      </w:tr>
      <w:tr w:rsidR="00181288" w:rsidRPr="002269DD" w:rsidTr="00EE44E5">
        <w:trPr>
          <w:cnfStyle w:val="000000100000" w:firstRow="0" w:lastRow="0" w:firstColumn="0" w:lastColumn="0" w:oddVBand="0" w:evenVBand="0" w:oddHBand="1" w:evenHBand="0" w:firstRowFirstColumn="0" w:firstRowLastColumn="0" w:lastRowFirstColumn="0" w:lastRowLastColumn="0"/>
          <w:trHeight w:val="300"/>
        </w:trPr>
        <w:tc>
          <w:tcPr>
            <w:tcW w:w="1630" w:type="dxa"/>
          </w:tcPr>
          <w:p w:rsidR="00181288" w:rsidRPr="002269DD" w:rsidRDefault="00181288" w:rsidP="00EE44E5">
            <w:pPr>
              <w:rPr>
                <w:highlight w:val="yellow"/>
              </w:rPr>
            </w:pPr>
            <w:r>
              <w:rPr>
                <w:highlight w:val="yellow"/>
              </w:rPr>
              <w:t>N</w:t>
            </w:r>
            <w:r w:rsidRPr="002269DD">
              <w:rPr>
                <w:highlight w:val="yellow"/>
              </w:rPr>
              <w:t>orbaeocystin</w:t>
            </w:r>
          </w:p>
        </w:tc>
        <w:tc>
          <w:tcPr>
            <w:tcW w:w="707" w:type="dxa"/>
          </w:tcPr>
          <w:p w:rsidR="00181288" w:rsidRPr="002269DD" w:rsidRDefault="00181288" w:rsidP="00EE44E5">
            <w:pPr>
              <w:jc w:val="center"/>
              <w:rPr>
                <w:highlight w:val="yellow"/>
              </w:rPr>
            </w:pPr>
            <w:r w:rsidRPr="002269DD">
              <w:rPr>
                <w:highlight w:val="yellow"/>
              </w:rPr>
              <w:t>5.0</w:t>
            </w:r>
          </w:p>
        </w:tc>
        <w:tc>
          <w:tcPr>
            <w:tcW w:w="748" w:type="dxa"/>
          </w:tcPr>
          <w:p w:rsidR="00181288" w:rsidRPr="002269DD" w:rsidRDefault="00181288" w:rsidP="00EE44E5">
            <w:pPr>
              <w:jc w:val="center"/>
              <w:rPr>
                <w:highlight w:val="yellow"/>
              </w:rPr>
            </w:pPr>
            <w:r w:rsidRPr="002269DD">
              <w:rPr>
                <w:highlight w:val="yellow"/>
              </w:rPr>
              <w:t>10.0</w:t>
            </w:r>
          </w:p>
        </w:tc>
        <w:tc>
          <w:tcPr>
            <w:tcW w:w="810" w:type="dxa"/>
          </w:tcPr>
          <w:p w:rsidR="00181288" w:rsidRPr="002269DD" w:rsidRDefault="00181288" w:rsidP="00EE44E5">
            <w:pPr>
              <w:jc w:val="center"/>
              <w:rPr>
                <w:highlight w:val="yellow"/>
              </w:rPr>
            </w:pPr>
            <w:r w:rsidRPr="002269DD">
              <w:rPr>
                <w:highlight w:val="yellow"/>
              </w:rPr>
              <w:t>2.5</w:t>
            </w:r>
          </w:p>
        </w:tc>
        <w:tc>
          <w:tcPr>
            <w:tcW w:w="810" w:type="dxa"/>
          </w:tcPr>
          <w:p w:rsidR="00181288" w:rsidRPr="002269DD" w:rsidRDefault="00181288" w:rsidP="00EE44E5">
            <w:pPr>
              <w:jc w:val="center"/>
              <w:rPr>
                <w:highlight w:val="yellow"/>
              </w:rPr>
            </w:pPr>
            <w:r w:rsidRPr="002269DD">
              <w:rPr>
                <w:highlight w:val="yellow"/>
              </w:rPr>
              <w:t>5.0</w:t>
            </w:r>
          </w:p>
        </w:tc>
      </w:tr>
      <w:tr w:rsidR="00181288" w:rsidRPr="002269DD" w:rsidTr="00EE44E5">
        <w:trPr>
          <w:trHeight w:val="300"/>
        </w:trPr>
        <w:tc>
          <w:tcPr>
            <w:tcW w:w="1630" w:type="dxa"/>
          </w:tcPr>
          <w:p w:rsidR="00181288" w:rsidRPr="002269DD" w:rsidRDefault="00181288" w:rsidP="00EE44E5">
            <w:pPr>
              <w:rPr>
                <w:highlight w:val="yellow"/>
              </w:rPr>
            </w:pPr>
            <w:r>
              <w:rPr>
                <w:highlight w:val="yellow"/>
              </w:rPr>
              <w:t>B</w:t>
            </w:r>
            <w:r w:rsidRPr="002269DD">
              <w:rPr>
                <w:highlight w:val="yellow"/>
              </w:rPr>
              <w:t>aeocystin</w:t>
            </w:r>
          </w:p>
        </w:tc>
        <w:tc>
          <w:tcPr>
            <w:tcW w:w="707" w:type="dxa"/>
          </w:tcPr>
          <w:p w:rsidR="00181288" w:rsidRPr="002269DD" w:rsidRDefault="00181288" w:rsidP="00EE44E5">
            <w:pPr>
              <w:jc w:val="center"/>
              <w:rPr>
                <w:highlight w:val="yellow"/>
              </w:rPr>
            </w:pPr>
            <w:r w:rsidRPr="002269DD">
              <w:rPr>
                <w:highlight w:val="yellow"/>
              </w:rPr>
              <w:t>1.0</w:t>
            </w:r>
          </w:p>
        </w:tc>
        <w:tc>
          <w:tcPr>
            <w:tcW w:w="748" w:type="dxa"/>
          </w:tcPr>
          <w:p w:rsidR="00181288" w:rsidRPr="002269DD" w:rsidRDefault="00181288" w:rsidP="00EE44E5">
            <w:pPr>
              <w:jc w:val="center"/>
              <w:rPr>
                <w:highlight w:val="yellow"/>
              </w:rPr>
            </w:pPr>
            <w:r w:rsidRPr="002269DD">
              <w:rPr>
                <w:highlight w:val="yellow"/>
              </w:rPr>
              <w:t>5.0</w:t>
            </w:r>
          </w:p>
        </w:tc>
        <w:tc>
          <w:tcPr>
            <w:tcW w:w="810" w:type="dxa"/>
          </w:tcPr>
          <w:p w:rsidR="00181288" w:rsidRPr="002269DD" w:rsidRDefault="00181288" w:rsidP="00EE44E5">
            <w:pPr>
              <w:jc w:val="center"/>
              <w:rPr>
                <w:highlight w:val="yellow"/>
              </w:rPr>
            </w:pPr>
            <w:r w:rsidRPr="002269DD">
              <w:rPr>
                <w:highlight w:val="yellow"/>
              </w:rPr>
              <w:t>0.5</w:t>
            </w:r>
          </w:p>
        </w:tc>
        <w:tc>
          <w:tcPr>
            <w:tcW w:w="810" w:type="dxa"/>
          </w:tcPr>
          <w:p w:rsidR="00181288" w:rsidRPr="002269DD" w:rsidRDefault="00181288" w:rsidP="00EE44E5">
            <w:pPr>
              <w:jc w:val="center"/>
              <w:rPr>
                <w:highlight w:val="yellow"/>
              </w:rPr>
            </w:pPr>
            <w:r w:rsidRPr="002269DD">
              <w:rPr>
                <w:highlight w:val="yellow"/>
              </w:rPr>
              <w:t>2.5</w:t>
            </w:r>
          </w:p>
        </w:tc>
      </w:tr>
    </w:tbl>
    <w:p w:rsidR="00181288" w:rsidRPr="0018314E" w:rsidRDefault="00181288" w:rsidP="00181288">
      <w:pPr>
        <w:spacing w:line="276" w:lineRule="auto"/>
        <w:rPr>
          <w:vertAlign w:val="superscript"/>
        </w:rPr>
      </w:pPr>
      <w:r w:rsidRPr="0018314E">
        <w:rPr>
          <w:highlight w:val="yellow"/>
          <w:vertAlign w:val="superscript"/>
        </w:rPr>
        <w:t xml:space="preserve">Note: Left part of the table shows final </w:t>
      </w:r>
      <w:r w:rsidRPr="00611174">
        <w:rPr>
          <w:highlight w:val="yellow"/>
          <w:vertAlign w:val="superscript"/>
        </w:rPr>
        <w:t xml:space="preserve">concentrations measured owing to LC-MS; </w:t>
      </w:r>
      <w:r w:rsidRPr="00611174">
        <w:rPr>
          <w:highlight w:val="yellow"/>
          <w:vertAlign w:val="superscript"/>
        </w:rPr>
        <w:br/>
        <w:t xml:space="preserve">right side of table shows calculation on 1 g of capsule inner solid); LOD = Limit </w:t>
      </w:r>
      <w:r w:rsidRPr="00611174">
        <w:rPr>
          <w:highlight w:val="yellow"/>
          <w:vertAlign w:val="superscript"/>
        </w:rPr>
        <w:br/>
        <w:t>of Detection; LOQ = Limit of Quantitation.</w:t>
      </w:r>
    </w:p>
    <w:p w:rsidR="00181288" w:rsidRDefault="00181288" w:rsidP="00181288">
      <w:pPr>
        <w:pStyle w:val="Caption"/>
        <w:keepNext/>
        <w:spacing w:after="0" w:line="360" w:lineRule="auto"/>
        <w:rPr>
          <w:rFonts w:ascii="Times New Roman" w:eastAsia="Times New Roman" w:hAnsi="Times New Roman" w:cs="Times New Roman"/>
          <w:i w:val="0"/>
          <w:iCs w:val="0"/>
          <w:color w:val="auto"/>
        </w:rPr>
      </w:pPr>
    </w:p>
    <w:p w:rsidR="00181288" w:rsidRPr="006D3603" w:rsidRDefault="00181288" w:rsidP="00181288">
      <w:pPr>
        <w:pStyle w:val="Caption"/>
        <w:keepNext/>
        <w:spacing w:after="0" w:line="360" w:lineRule="auto"/>
        <w:rPr>
          <w:rFonts w:ascii="Times New Roman" w:hAnsi="Times New Roman" w:cs="Times New Roman"/>
          <w:color w:val="auto"/>
          <w:sz w:val="22"/>
          <w:szCs w:val="22"/>
          <w:highlight w:val="yellow"/>
        </w:rPr>
      </w:pPr>
      <w:r w:rsidRPr="006D3603">
        <w:rPr>
          <w:rFonts w:ascii="Times New Roman" w:hAnsi="Times New Roman" w:cs="Times New Roman"/>
          <w:b/>
          <w:i w:val="0"/>
          <w:color w:val="auto"/>
          <w:sz w:val="22"/>
          <w:szCs w:val="22"/>
          <w:highlight w:val="yellow"/>
        </w:rPr>
        <w:t xml:space="preserve">Table </w:t>
      </w:r>
      <w:r>
        <w:rPr>
          <w:rFonts w:ascii="Times New Roman" w:hAnsi="Times New Roman" w:cs="Times New Roman"/>
          <w:b/>
          <w:i w:val="0"/>
          <w:color w:val="auto"/>
          <w:sz w:val="22"/>
          <w:szCs w:val="22"/>
          <w:highlight w:val="yellow"/>
        </w:rPr>
        <w:t>S2</w:t>
      </w:r>
      <w:r w:rsidRPr="006D3603">
        <w:rPr>
          <w:rFonts w:ascii="Times New Roman" w:hAnsi="Times New Roman" w:cs="Times New Roman"/>
          <w:b/>
          <w:i w:val="0"/>
          <w:color w:val="auto"/>
          <w:sz w:val="22"/>
          <w:szCs w:val="22"/>
          <w:highlight w:val="yellow"/>
        </w:rPr>
        <w:t xml:space="preserve"> </w:t>
      </w:r>
      <w:r w:rsidRPr="006D3603">
        <w:rPr>
          <w:rFonts w:ascii="Times New Roman" w:hAnsi="Times New Roman" w:cs="Times New Roman"/>
          <w:i w:val="0"/>
          <w:color w:val="auto"/>
          <w:sz w:val="22"/>
          <w:szCs w:val="22"/>
          <w:highlight w:val="yellow"/>
        </w:rPr>
        <w:t xml:space="preserve">Results of observed analytes for each </w:t>
      </w:r>
      <w:r>
        <w:rPr>
          <w:rFonts w:ascii="Times New Roman" w:hAnsi="Times New Roman" w:cs="Times New Roman"/>
          <w:i w:val="0"/>
          <w:color w:val="auto"/>
          <w:sz w:val="22"/>
          <w:szCs w:val="22"/>
          <w:highlight w:val="yellow"/>
        </w:rPr>
        <w:t xml:space="preserve">sample type </w:t>
      </w:r>
      <w:r w:rsidRPr="006D3603">
        <w:rPr>
          <w:rFonts w:ascii="Times New Roman" w:hAnsi="Times New Roman" w:cs="Times New Roman"/>
          <w:i w:val="0"/>
          <w:color w:val="auto"/>
          <w:sz w:val="22"/>
          <w:szCs w:val="22"/>
          <w:highlight w:val="yellow"/>
        </w:rPr>
        <w:t>separately (</w:t>
      </w:r>
      <w:r w:rsidRPr="006D3603">
        <w:rPr>
          <w:rFonts w:ascii="Times New Roman" w:eastAsia="Times New Roman" w:hAnsi="Times New Roman" w:cs="Times New Roman"/>
          <w:i w:val="0"/>
          <w:color w:val="000000"/>
          <w:sz w:val="22"/>
          <w:szCs w:val="22"/>
          <w:highlight w:val="yellow"/>
        </w:rPr>
        <w:t>µg/g [ppm])</w:t>
      </w:r>
    </w:p>
    <w:tbl>
      <w:tblPr>
        <w:tblStyle w:val="PlainTable21"/>
        <w:tblW w:w="7353" w:type="dxa"/>
        <w:tblLook w:val="04A0" w:firstRow="1" w:lastRow="0" w:firstColumn="1" w:lastColumn="0" w:noHBand="0" w:noVBand="1"/>
      </w:tblPr>
      <w:tblGrid>
        <w:gridCol w:w="1638"/>
        <w:gridCol w:w="1710"/>
        <w:gridCol w:w="2396"/>
        <w:gridCol w:w="1609"/>
      </w:tblGrid>
      <w:tr w:rsidR="00181288" w:rsidRPr="006D3603" w:rsidTr="00EE44E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38" w:type="dxa"/>
            <w:noWrap/>
            <w:hideMark/>
          </w:tcPr>
          <w:p w:rsidR="00181288" w:rsidRPr="006D3603" w:rsidRDefault="00181288" w:rsidP="00EE44E5">
            <w:pPr>
              <w:rPr>
                <w:bCs w:val="0"/>
                <w:color w:val="000000"/>
                <w:highlight w:val="yellow"/>
              </w:rPr>
            </w:pPr>
            <w:r w:rsidRPr="006D3603">
              <w:rPr>
                <w:bCs w:val="0"/>
                <w:color w:val="000000"/>
                <w:highlight w:val="yellow"/>
              </w:rPr>
              <w:t>Alkaloid</w:t>
            </w:r>
          </w:p>
        </w:tc>
        <w:tc>
          <w:tcPr>
            <w:tcW w:w="1710" w:type="dxa"/>
            <w:noWrap/>
            <w:hideMark/>
          </w:tcPr>
          <w:p w:rsidR="00181288" w:rsidRPr="006D3603" w:rsidRDefault="00181288" w:rsidP="00EE44E5">
            <w:pPr>
              <w:jc w:val="center"/>
              <w:cnfStyle w:val="100000000000" w:firstRow="1" w:lastRow="0" w:firstColumn="0" w:lastColumn="0" w:oddVBand="0" w:evenVBand="0" w:oddHBand="0" w:evenHBand="0" w:firstRowFirstColumn="0" w:firstRowLastColumn="0" w:lastRowFirstColumn="0" w:lastRowLastColumn="0"/>
              <w:rPr>
                <w:color w:val="000000"/>
                <w:highlight w:val="yellow"/>
              </w:rPr>
            </w:pPr>
            <w:r w:rsidRPr="006D3603">
              <w:rPr>
                <w:color w:val="000000"/>
                <w:highlight w:val="yellow"/>
              </w:rPr>
              <w:t>0.22g sample</w:t>
            </w:r>
          </w:p>
        </w:tc>
        <w:tc>
          <w:tcPr>
            <w:tcW w:w="2396" w:type="dxa"/>
          </w:tcPr>
          <w:p w:rsidR="00181288" w:rsidRPr="006D3603" w:rsidRDefault="00181288" w:rsidP="00EE44E5">
            <w:pPr>
              <w:jc w:val="center"/>
              <w:cnfStyle w:val="100000000000" w:firstRow="1" w:lastRow="0" w:firstColumn="0" w:lastColumn="0" w:oddVBand="0" w:evenVBand="0" w:oddHBand="0" w:evenHBand="0" w:firstRowFirstColumn="0" w:firstRowLastColumn="0" w:lastRowFirstColumn="0" w:lastRowLastColumn="0"/>
              <w:rPr>
                <w:color w:val="000000"/>
                <w:highlight w:val="yellow"/>
              </w:rPr>
            </w:pPr>
            <w:r w:rsidRPr="006D3603">
              <w:rPr>
                <w:color w:val="000000"/>
                <w:highlight w:val="yellow"/>
              </w:rPr>
              <w:t>0.33g sample</w:t>
            </w:r>
          </w:p>
        </w:tc>
        <w:tc>
          <w:tcPr>
            <w:tcW w:w="1609" w:type="dxa"/>
          </w:tcPr>
          <w:p w:rsidR="00181288" w:rsidRPr="006D3603" w:rsidRDefault="00181288" w:rsidP="00EE44E5">
            <w:pPr>
              <w:jc w:val="center"/>
              <w:cnfStyle w:val="100000000000" w:firstRow="1" w:lastRow="0" w:firstColumn="0" w:lastColumn="0" w:oddVBand="0" w:evenVBand="0" w:oddHBand="0" w:evenHBand="0" w:firstRowFirstColumn="0" w:firstRowLastColumn="0" w:lastRowFirstColumn="0" w:lastRowLastColumn="0"/>
              <w:rPr>
                <w:color w:val="000000"/>
                <w:highlight w:val="yellow"/>
              </w:rPr>
            </w:pPr>
            <w:r w:rsidRPr="006D3603">
              <w:rPr>
                <w:color w:val="000000"/>
                <w:highlight w:val="yellow"/>
              </w:rPr>
              <w:t>0.44g sample</w:t>
            </w:r>
          </w:p>
        </w:tc>
      </w:tr>
      <w:tr w:rsidR="00181288" w:rsidRPr="006D3603" w:rsidTr="00EE44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38" w:type="dxa"/>
            <w:noWrap/>
          </w:tcPr>
          <w:p w:rsidR="00181288" w:rsidRPr="006D3603" w:rsidRDefault="00181288" w:rsidP="00EE44E5">
            <w:pPr>
              <w:rPr>
                <w:b w:val="0"/>
                <w:bCs w:val="0"/>
                <w:color w:val="000000"/>
                <w:highlight w:val="yellow"/>
              </w:rPr>
            </w:pPr>
            <w:r w:rsidRPr="006D3603">
              <w:rPr>
                <w:b w:val="0"/>
                <w:bCs w:val="0"/>
                <w:color w:val="000000"/>
                <w:highlight w:val="yellow"/>
              </w:rPr>
              <w:t>Psilocybin</w:t>
            </w:r>
          </w:p>
        </w:tc>
        <w:tc>
          <w:tcPr>
            <w:tcW w:w="1710" w:type="dxa"/>
            <w:noWrap/>
          </w:tcPr>
          <w:p w:rsidR="00181288" w:rsidRPr="006D3603" w:rsidRDefault="00181288" w:rsidP="00EE44E5">
            <w:pPr>
              <w:jc w:val="center"/>
              <w:cnfStyle w:val="000000100000" w:firstRow="0" w:lastRow="0" w:firstColumn="0" w:lastColumn="0" w:oddVBand="0" w:evenVBand="0" w:oddHBand="1" w:evenHBand="0" w:firstRowFirstColumn="0" w:firstRowLastColumn="0" w:lastRowFirstColumn="0" w:lastRowLastColumn="0"/>
              <w:rPr>
                <w:color w:val="000000"/>
                <w:highlight w:val="yellow"/>
              </w:rPr>
            </w:pPr>
            <w:r w:rsidRPr="006D3603">
              <w:rPr>
                <w:color w:val="000000"/>
                <w:highlight w:val="yellow"/>
              </w:rPr>
              <w:t>1557</w:t>
            </w:r>
          </w:p>
        </w:tc>
        <w:tc>
          <w:tcPr>
            <w:tcW w:w="2396" w:type="dxa"/>
          </w:tcPr>
          <w:p w:rsidR="00181288" w:rsidRPr="006D3603" w:rsidRDefault="00181288" w:rsidP="00EE44E5">
            <w:pPr>
              <w:jc w:val="center"/>
              <w:cnfStyle w:val="000000100000" w:firstRow="0" w:lastRow="0" w:firstColumn="0" w:lastColumn="0" w:oddVBand="0" w:evenVBand="0" w:oddHBand="1" w:evenHBand="0" w:firstRowFirstColumn="0" w:firstRowLastColumn="0" w:lastRowFirstColumn="0" w:lastRowLastColumn="0"/>
              <w:rPr>
                <w:color w:val="000000"/>
                <w:highlight w:val="yellow"/>
              </w:rPr>
            </w:pPr>
            <w:r w:rsidRPr="006D3603">
              <w:rPr>
                <w:color w:val="000000"/>
                <w:highlight w:val="yellow"/>
              </w:rPr>
              <w:t>1595</w:t>
            </w:r>
          </w:p>
        </w:tc>
        <w:tc>
          <w:tcPr>
            <w:tcW w:w="1609" w:type="dxa"/>
          </w:tcPr>
          <w:p w:rsidR="00181288" w:rsidRPr="006D3603" w:rsidRDefault="00181288" w:rsidP="00EE44E5">
            <w:pPr>
              <w:jc w:val="center"/>
              <w:cnfStyle w:val="000000100000" w:firstRow="0" w:lastRow="0" w:firstColumn="0" w:lastColumn="0" w:oddVBand="0" w:evenVBand="0" w:oddHBand="1" w:evenHBand="0" w:firstRowFirstColumn="0" w:firstRowLastColumn="0" w:lastRowFirstColumn="0" w:lastRowLastColumn="0"/>
              <w:rPr>
                <w:color w:val="000000"/>
                <w:highlight w:val="yellow"/>
              </w:rPr>
            </w:pPr>
            <w:r w:rsidRPr="006D3603">
              <w:rPr>
                <w:color w:val="000000"/>
                <w:highlight w:val="yellow"/>
              </w:rPr>
              <w:t>1632</w:t>
            </w:r>
          </w:p>
        </w:tc>
      </w:tr>
      <w:tr w:rsidR="00181288" w:rsidRPr="006D3603" w:rsidTr="00EE44E5">
        <w:trPr>
          <w:trHeight w:val="300"/>
        </w:trPr>
        <w:tc>
          <w:tcPr>
            <w:cnfStyle w:val="001000000000" w:firstRow="0" w:lastRow="0" w:firstColumn="1" w:lastColumn="0" w:oddVBand="0" w:evenVBand="0" w:oddHBand="0" w:evenHBand="0" w:firstRowFirstColumn="0" w:firstRowLastColumn="0" w:lastRowFirstColumn="0" w:lastRowLastColumn="0"/>
            <w:tcW w:w="1638" w:type="dxa"/>
            <w:noWrap/>
          </w:tcPr>
          <w:p w:rsidR="00181288" w:rsidRPr="006D3603" w:rsidRDefault="00181288" w:rsidP="00EE44E5">
            <w:pPr>
              <w:rPr>
                <w:b w:val="0"/>
                <w:bCs w:val="0"/>
                <w:color w:val="000000"/>
                <w:highlight w:val="yellow"/>
              </w:rPr>
            </w:pPr>
            <w:r w:rsidRPr="006D3603">
              <w:rPr>
                <w:b w:val="0"/>
                <w:bCs w:val="0"/>
                <w:color w:val="000000"/>
                <w:highlight w:val="yellow"/>
              </w:rPr>
              <w:t>Psilocin</w:t>
            </w:r>
          </w:p>
        </w:tc>
        <w:tc>
          <w:tcPr>
            <w:tcW w:w="1710" w:type="dxa"/>
            <w:noWrap/>
          </w:tcPr>
          <w:p w:rsidR="00181288" w:rsidRPr="006D3603" w:rsidRDefault="00181288" w:rsidP="00EE44E5">
            <w:pPr>
              <w:jc w:val="center"/>
              <w:cnfStyle w:val="000000000000" w:firstRow="0" w:lastRow="0" w:firstColumn="0" w:lastColumn="0" w:oddVBand="0" w:evenVBand="0" w:oddHBand="0" w:evenHBand="0" w:firstRowFirstColumn="0" w:firstRowLastColumn="0" w:lastRowFirstColumn="0" w:lastRowLastColumn="0"/>
              <w:rPr>
                <w:color w:val="000000"/>
                <w:highlight w:val="yellow"/>
              </w:rPr>
            </w:pPr>
            <w:r w:rsidRPr="006D3603">
              <w:rPr>
                <w:color w:val="000000"/>
                <w:highlight w:val="yellow"/>
              </w:rPr>
              <w:t>76</w:t>
            </w:r>
          </w:p>
        </w:tc>
        <w:tc>
          <w:tcPr>
            <w:tcW w:w="2396" w:type="dxa"/>
          </w:tcPr>
          <w:p w:rsidR="00181288" w:rsidRPr="006D3603" w:rsidRDefault="00181288" w:rsidP="00EE44E5">
            <w:pPr>
              <w:jc w:val="center"/>
              <w:cnfStyle w:val="000000000000" w:firstRow="0" w:lastRow="0" w:firstColumn="0" w:lastColumn="0" w:oddVBand="0" w:evenVBand="0" w:oddHBand="0" w:evenHBand="0" w:firstRowFirstColumn="0" w:firstRowLastColumn="0" w:lastRowFirstColumn="0" w:lastRowLastColumn="0"/>
              <w:rPr>
                <w:color w:val="000000"/>
                <w:highlight w:val="yellow"/>
              </w:rPr>
            </w:pPr>
            <w:r w:rsidRPr="006D3603">
              <w:rPr>
                <w:color w:val="000000"/>
                <w:highlight w:val="yellow"/>
              </w:rPr>
              <w:t>87</w:t>
            </w:r>
          </w:p>
        </w:tc>
        <w:tc>
          <w:tcPr>
            <w:tcW w:w="1609" w:type="dxa"/>
          </w:tcPr>
          <w:p w:rsidR="00181288" w:rsidRPr="006D3603" w:rsidRDefault="00181288" w:rsidP="00EE44E5">
            <w:pPr>
              <w:jc w:val="center"/>
              <w:cnfStyle w:val="000000000000" w:firstRow="0" w:lastRow="0" w:firstColumn="0" w:lastColumn="0" w:oddVBand="0" w:evenVBand="0" w:oddHBand="0" w:evenHBand="0" w:firstRowFirstColumn="0" w:firstRowLastColumn="0" w:lastRowFirstColumn="0" w:lastRowLastColumn="0"/>
              <w:rPr>
                <w:color w:val="000000"/>
                <w:highlight w:val="yellow"/>
              </w:rPr>
            </w:pPr>
            <w:r w:rsidRPr="006D3603">
              <w:rPr>
                <w:color w:val="000000"/>
                <w:highlight w:val="yellow"/>
              </w:rPr>
              <w:t>93</w:t>
            </w:r>
          </w:p>
        </w:tc>
      </w:tr>
      <w:tr w:rsidR="00181288" w:rsidRPr="006D3603" w:rsidTr="00EE44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38" w:type="dxa"/>
            <w:noWrap/>
          </w:tcPr>
          <w:p w:rsidR="00181288" w:rsidRPr="006D3603" w:rsidRDefault="00181288" w:rsidP="00EE44E5">
            <w:pPr>
              <w:rPr>
                <w:b w:val="0"/>
                <w:bCs w:val="0"/>
                <w:color w:val="000000"/>
                <w:highlight w:val="yellow"/>
              </w:rPr>
            </w:pPr>
            <w:r w:rsidRPr="006D3603">
              <w:rPr>
                <w:b w:val="0"/>
                <w:bCs w:val="0"/>
                <w:color w:val="000000"/>
                <w:highlight w:val="yellow"/>
              </w:rPr>
              <w:t>Norbaeocystin</w:t>
            </w:r>
          </w:p>
        </w:tc>
        <w:tc>
          <w:tcPr>
            <w:tcW w:w="1710" w:type="dxa"/>
            <w:noWrap/>
          </w:tcPr>
          <w:p w:rsidR="00181288" w:rsidRPr="006D3603" w:rsidRDefault="00181288" w:rsidP="00EE44E5">
            <w:pPr>
              <w:jc w:val="center"/>
              <w:cnfStyle w:val="000000100000" w:firstRow="0" w:lastRow="0" w:firstColumn="0" w:lastColumn="0" w:oddVBand="0" w:evenVBand="0" w:oddHBand="1" w:evenHBand="0" w:firstRowFirstColumn="0" w:firstRowLastColumn="0" w:lastRowFirstColumn="0" w:lastRowLastColumn="0"/>
              <w:rPr>
                <w:color w:val="000000"/>
                <w:highlight w:val="yellow"/>
              </w:rPr>
            </w:pPr>
            <w:r w:rsidRPr="006D3603">
              <w:rPr>
                <w:color w:val="000000"/>
                <w:highlight w:val="yellow"/>
              </w:rPr>
              <w:t>9</w:t>
            </w:r>
          </w:p>
        </w:tc>
        <w:tc>
          <w:tcPr>
            <w:tcW w:w="2396" w:type="dxa"/>
          </w:tcPr>
          <w:p w:rsidR="00181288" w:rsidRPr="006D3603" w:rsidRDefault="00181288" w:rsidP="00EE44E5">
            <w:pPr>
              <w:jc w:val="center"/>
              <w:cnfStyle w:val="000000100000" w:firstRow="0" w:lastRow="0" w:firstColumn="0" w:lastColumn="0" w:oddVBand="0" w:evenVBand="0" w:oddHBand="1" w:evenHBand="0" w:firstRowFirstColumn="0" w:firstRowLastColumn="0" w:lastRowFirstColumn="0" w:lastRowLastColumn="0"/>
              <w:rPr>
                <w:color w:val="000000"/>
                <w:highlight w:val="yellow"/>
              </w:rPr>
            </w:pPr>
            <w:r w:rsidRPr="006D3603">
              <w:rPr>
                <w:color w:val="000000"/>
                <w:highlight w:val="yellow"/>
              </w:rPr>
              <w:t>8</w:t>
            </w:r>
          </w:p>
        </w:tc>
        <w:tc>
          <w:tcPr>
            <w:tcW w:w="1609" w:type="dxa"/>
          </w:tcPr>
          <w:p w:rsidR="00181288" w:rsidRPr="006D3603" w:rsidRDefault="00181288" w:rsidP="00EE44E5">
            <w:pPr>
              <w:jc w:val="center"/>
              <w:cnfStyle w:val="000000100000" w:firstRow="0" w:lastRow="0" w:firstColumn="0" w:lastColumn="0" w:oddVBand="0" w:evenVBand="0" w:oddHBand="1" w:evenHBand="0" w:firstRowFirstColumn="0" w:firstRowLastColumn="0" w:lastRowFirstColumn="0" w:lastRowLastColumn="0"/>
              <w:rPr>
                <w:color w:val="000000"/>
                <w:highlight w:val="yellow"/>
              </w:rPr>
            </w:pPr>
            <w:r w:rsidRPr="006D3603">
              <w:rPr>
                <w:color w:val="000000"/>
                <w:highlight w:val="yellow"/>
              </w:rPr>
              <w:t>8</w:t>
            </w:r>
          </w:p>
        </w:tc>
      </w:tr>
      <w:tr w:rsidR="00181288" w:rsidRPr="006D3603" w:rsidTr="00EE44E5">
        <w:trPr>
          <w:trHeight w:val="300"/>
        </w:trPr>
        <w:tc>
          <w:tcPr>
            <w:cnfStyle w:val="001000000000" w:firstRow="0" w:lastRow="0" w:firstColumn="1" w:lastColumn="0" w:oddVBand="0" w:evenVBand="0" w:oddHBand="0" w:evenHBand="0" w:firstRowFirstColumn="0" w:firstRowLastColumn="0" w:lastRowFirstColumn="0" w:lastRowLastColumn="0"/>
            <w:tcW w:w="1638" w:type="dxa"/>
            <w:noWrap/>
          </w:tcPr>
          <w:p w:rsidR="00181288" w:rsidRPr="006D3603" w:rsidRDefault="00181288" w:rsidP="00EE44E5">
            <w:pPr>
              <w:rPr>
                <w:b w:val="0"/>
                <w:bCs w:val="0"/>
                <w:color w:val="000000"/>
                <w:highlight w:val="yellow"/>
              </w:rPr>
            </w:pPr>
            <w:r w:rsidRPr="006D3603">
              <w:rPr>
                <w:b w:val="0"/>
                <w:bCs w:val="0"/>
                <w:color w:val="000000"/>
                <w:highlight w:val="yellow"/>
              </w:rPr>
              <w:t>Baeocystin</w:t>
            </w:r>
          </w:p>
        </w:tc>
        <w:tc>
          <w:tcPr>
            <w:tcW w:w="1710" w:type="dxa"/>
            <w:noWrap/>
          </w:tcPr>
          <w:p w:rsidR="00181288" w:rsidRPr="006D3603" w:rsidRDefault="00181288" w:rsidP="00EE44E5">
            <w:pPr>
              <w:jc w:val="center"/>
              <w:cnfStyle w:val="000000000000" w:firstRow="0" w:lastRow="0" w:firstColumn="0" w:lastColumn="0" w:oddVBand="0" w:evenVBand="0" w:oddHBand="0" w:evenHBand="0" w:firstRowFirstColumn="0" w:firstRowLastColumn="0" w:lastRowFirstColumn="0" w:lastRowLastColumn="0"/>
              <w:rPr>
                <w:color w:val="000000"/>
                <w:highlight w:val="yellow"/>
              </w:rPr>
            </w:pPr>
            <w:r w:rsidRPr="006D3603">
              <w:rPr>
                <w:color w:val="000000"/>
                <w:highlight w:val="yellow"/>
              </w:rPr>
              <w:t>30</w:t>
            </w:r>
          </w:p>
        </w:tc>
        <w:tc>
          <w:tcPr>
            <w:tcW w:w="2396" w:type="dxa"/>
          </w:tcPr>
          <w:p w:rsidR="00181288" w:rsidRPr="006D3603" w:rsidRDefault="00181288" w:rsidP="00EE44E5">
            <w:pPr>
              <w:jc w:val="center"/>
              <w:cnfStyle w:val="000000000000" w:firstRow="0" w:lastRow="0" w:firstColumn="0" w:lastColumn="0" w:oddVBand="0" w:evenVBand="0" w:oddHBand="0" w:evenHBand="0" w:firstRowFirstColumn="0" w:firstRowLastColumn="0" w:lastRowFirstColumn="0" w:lastRowLastColumn="0"/>
              <w:rPr>
                <w:color w:val="000000"/>
                <w:highlight w:val="yellow"/>
              </w:rPr>
            </w:pPr>
            <w:r w:rsidRPr="006D3603">
              <w:rPr>
                <w:color w:val="000000"/>
                <w:highlight w:val="yellow"/>
              </w:rPr>
              <w:t>31</w:t>
            </w:r>
          </w:p>
        </w:tc>
        <w:tc>
          <w:tcPr>
            <w:tcW w:w="1609" w:type="dxa"/>
          </w:tcPr>
          <w:p w:rsidR="00181288" w:rsidRPr="006D3603" w:rsidRDefault="00181288" w:rsidP="00EE44E5">
            <w:pPr>
              <w:jc w:val="center"/>
              <w:cnfStyle w:val="000000000000" w:firstRow="0" w:lastRow="0" w:firstColumn="0" w:lastColumn="0" w:oddVBand="0" w:evenVBand="0" w:oddHBand="0" w:evenHBand="0" w:firstRowFirstColumn="0" w:firstRowLastColumn="0" w:lastRowFirstColumn="0" w:lastRowLastColumn="0"/>
              <w:rPr>
                <w:color w:val="000000"/>
                <w:highlight w:val="yellow"/>
              </w:rPr>
            </w:pPr>
            <w:r w:rsidRPr="006D3603">
              <w:rPr>
                <w:color w:val="000000"/>
                <w:highlight w:val="yellow"/>
              </w:rPr>
              <w:t>33</w:t>
            </w:r>
          </w:p>
        </w:tc>
      </w:tr>
    </w:tbl>
    <w:p w:rsidR="0092736D" w:rsidRDefault="0092736D"/>
    <w:sectPr w:rsidR="0092736D">
      <w:footerReference w:type="default" r:id="rId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ungsuh">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3B8" w:rsidRDefault="00181288">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rsidR="001E63B8" w:rsidRDefault="00181288">
    <w:pPr>
      <w:pBdr>
        <w:top w:val="nil"/>
        <w:left w:val="nil"/>
        <w:bottom w:val="nil"/>
        <w:right w:val="nil"/>
        <w:between w:val="nil"/>
      </w:pBdr>
      <w:tabs>
        <w:tab w:val="center" w:pos="4680"/>
        <w:tab w:val="right" w:pos="9360"/>
      </w:tabs>
      <w:spacing w:line="240" w:lineRule="auto"/>
      <w:rPr>
        <w:color w:val="00000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288"/>
    <w:rsid w:val="00181288"/>
    <w:rsid w:val="00927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F4B064-6C8F-4F72-9B66-5BBB4772B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81288"/>
    <w:pPr>
      <w:spacing w:after="0"/>
    </w:pPr>
    <w:rPr>
      <w:rFonts w:ascii="Times New Roman" w:eastAsia="Times New Roman" w:hAnsi="Times New Roman" w:cs="Times New Roman"/>
    </w:rPr>
  </w:style>
  <w:style w:type="paragraph" w:styleId="Heading1">
    <w:name w:val="heading 1"/>
    <w:basedOn w:val="Normal"/>
    <w:next w:val="Normal"/>
    <w:link w:val="Heading1Char"/>
    <w:rsid w:val="00181288"/>
    <w:pPr>
      <w:keepNext/>
      <w:keepLines/>
      <w:spacing w:before="240"/>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1288"/>
    <w:rPr>
      <w:rFonts w:ascii="Times New Roman" w:eastAsia="Times New Roman" w:hAnsi="Times New Roman" w:cs="Times New Roman"/>
      <w:b/>
    </w:rPr>
  </w:style>
  <w:style w:type="paragraph" w:styleId="Caption">
    <w:name w:val="caption"/>
    <w:basedOn w:val="Normal"/>
    <w:next w:val="Normal"/>
    <w:uiPriority w:val="35"/>
    <w:unhideWhenUsed/>
    <w:qFormat/>
    <w:rsid w:val="00181288"/>
    <w:pPr>
      <w:spacing w:after="200" w:line="240" w:lineRule="auto"/>
    </w:pPr>
    <w:rPr>
      <w:rFonts w:asciiTheme="minorHAnsi" w:eastAsiaTheme="minorHAnsi" w:hAnsiTheme="minorHAnsi" w:cstheme="minorBidi"/>
      <w:i/>
      <w:iCs/>
      <w:color w:val="44546A" w:themeColor="text2"/>
      <w:sz w:val="18"/>
      <w:szCs w:val="18"/>
    </w:rPr>
  </w:style>
  <w:style w:type="table" w:customStyle="1" w:styleId="PlainTable21">
    <w:name w:val="Plain Table 21"/>
    <w:basedOn w:val="TableNormal"/>
    <w:uiPriority w:val="42"/>
    <w:rsid w:val="0018128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810</Words>
  <Characters>4618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Lippelt</dc:creator>
  <cp:keywords/>
  <dc:description/>
  <cp:lastModifiedBy>Dominique Lippelt</cp:lastModifiedBy>
  <cp:revision>1</cp:revision>
  <dcterms:created xsi:type="dcterms:W3CDTF">2018-06-04T19:55:00Z</dcterms:created>
  <dcterms:modified xsi:type="dcterms:W3CDTF">2018-06-04T19:58:00Z</dcterms:modified>
</cp:coreProperties>
</file>