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EE" w:rsidRDefault="00D306EE" w:rsidP="00D306EE">
      <w:pPr>
        <w:ind w:firstLine="567"/>
        <w:jc w:val="center"/>
        <w:rPr>
          <w:rFonts w:ascii="Arial" w:hAnsi="Arial" w:cs="Arial"/>
          <w:b/>
        </w:rPr>
      </w:pPr>
      <w:r w:rsidRPr="00614956">
        <w:rPr>
          <w:rFonts w:ascii="Arial" w:hAnsi="Arial" w:cs="Arial"/>
          <w:b/>
        </w:rPr>
        <w:t>SM7</w:t>
      </w:r>
    </w:p>
    <w:p w:rsidR="00D306EE" w:rsidRDefault="00D306EE" w:rsidP="00D306EE">
      <w:pPr>
        <w:spacing w:line="360" w:lineRule="auto"/>
        <w:ind w:firstLine="567"/>
        <w:rPr>
          <w:rFonts w:ascii="Arial" w:hAnsi="Arial" w:cs="Arial"/>
        </w:rPr>
      </w:pPr>
      <w:r w:rsidRPr="00614956">
        <w:rPr>
          <w:rFonts w:ascii="Arial" w:hAnsi="Arial" w:cs="Arial"/>
        </w:rPr>
        <w:t xml:space="preserve">When assessing trauma history, there was a trend to suggest a Group difference in interpersonal trauma during early childhood and adulthood, however this did not reach the statistical threshold for significance. There was an effect that approached significance to suggest a group difference in loneliness, with the intoxicated user group scoring the highest, followed by the </w:t>
      </w:r>
      <w:r w:rsidR="0037119D">
        <w:rPr>
          <w:rFonts w:ascii="Arial" w:hAnsi="Arial" w:cs="Arial"/>
        </w:rPr>
        <w:t xml:space="preserve">non-intoxicated users </w:t>
      </w:r>
      <w:bookmarkStart w:id="0" w:name="_GoBack"/>
      <w:bookmarkEnd w:id="0"/>
      <w:r w:rsidRPr="00614956">
        <w:rPr>
          <w:rFonts w:ascii="Arial" w:hAnsi="Arial" w:cs="Arial"/>
        </w:rPr>
        <w:t>and controls. There were no group differences in rates of non-interpersonal trauma.</w:t>
      </w:r>
    </w:p>
    <w:tbl>
      <w:tblPr>
        <w:tblStyle w:val="TableGrid1"/>
        <w:tblW w:w="9797" w:type="dxa"/>
        <w:tblLayout w:type="fixed"/>
        <w:tblLook w:val="04A0" w:firstRow="1" w:lastRow="0" w:firstColumn="1" w:lastColumn="0" w:noHBand="0" w:noVBand="1"/>
      </w:tblPr>
      <w:tblGrid>
        <w:gridCol w:w="3101"/>
        <w:gridCol w:w="1710"/>
        <w:gridCol w:w="142"/>
        <w:gridCol w:w="1283"/>
        <w:gridCol w:w="284"/>
        <w:gridCol w:w="1283"/>
        <w:gridCol w:w="997"/>
        <w:gridCol w:w="997"/>
      </w:tblGrid>
      <w:tr w:rsidR="00D306EE" w:rsidRPr="008431F4" w:rsidTr="008431F4">
        <w:trPr>
          <w:trHeight w:val="665"/>
        </w:trPr>
        <w:tc>
          <w:tcPr>
            <w:tcW w:w="3101" w:type="dxa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52" w:type="dxa"/>
            <w:gridSpan w:val="2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  <w:b/>
              </w:rPr>
            </w:pPr>
            <w:r w:rsidRPr="008431F4">
              <w:rPr>
                <w:rFonts w:ascii="Arial" w:hAnsi="Arial" w:cs="Arial"/>
                <w:b/>
              </w:rPr>
              <w:t>Intoxicated users</w:t>
            </w:r>
          </w:p>
        </w:tc>
        <w:tc>
          <w:tcPr>
            <w:tcW w:w="1567" w:type="dxa"/>
            <w:gridSpan w:val="2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0811BA" w:rsidP="008431F4">
            <w:pPr>
              <w:pStyle w:val="NoSpacing"/>
              <w:rPr>
                <w:rFonts w:ascii="Arial" w:hAnsi="Arial" w:cs="Arial"/>
                <w:b/>
              </w:rPr>
            </w:pPr>
            <w:r w:rsidRPr="008431F4">
              <w:rPr>
                <w:rFonts w:ascii="Arial" w:hAnsi="Arial" w:cs="Arial"/>
                <w:b/>
              </w:rPr>
              <w:t>Non-intoxicated</w:t>
            </w:r>
          </w:p>
        </w:tc>
        <w:tc>
          <w:tcPr>
            <w:tcW w:w="1283" w:type="dxa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  <w:b/>
              </w:rPr>
            </w:pPr>
            <w:r w:rsidRPr="008431F4">
              <w:rPr>
                <w:rFonts w:ascii="Arial" w:hAnsi="Arial" w:cs="Arial"/>
                <w:b/>
              </w:rPr>
              <w:t>Controls</w:t>
            </w:r>
          </w:p>
        </w:tc>
        <w:tc>
          <w:tcPr>
            <w:tcW w:w="997" w:type="dxa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  <w:b/>
              </w:rPr>
            </w:pPr>
            <w:r w:rsidRPr="008431F4">
              <w:rPr>
                <w:rFonts w:ascii="Arial" w:hAnsi="Arial" w:cs="Arial"/>
                <w:b/>
              </w:rPr>
              <w:t>Test statistic</w:t>
            </w:r>
          </w:p>
        </w:tc>
        <w:tc>
          <w:tcPr>
            <w:tcW w:w="997" w:type="dxa"/>
            <w:tcBorders>
              <w:top w:val="single" w:sz="2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  <w:b/>
              </w:rPr>
            </w:pPr>
            <w:r w:rsidRPr="008431F4">
              <w:rPr>
                <w:rFonts w:ascii="Arial" w:hAnsi="Arial" w:cs="Arial"/>
                <w:b/>
                <w:i/>
              </w:rPr>
              <w:t>p</w:t>
            </w:r>
            <w:r w:rsidRPr="008431F4">
              <w:rPr>
                <w:rFonts w:ascii="Arial" w:hAnsi="Arial" w:cs="Arial"/>
                <w:b/>
              </w:rPr>
              <w:t>-value</w:t>
            </w:r>
          </w:p>
        </w:tc>
      </w:tr>
      <w:tr w:rsidR="00D306EE" w:rsidRPr="008431F4" w:rsidTr="008431F4">
        <w:trPr>
          <w:trHeight w:val="270"/>
        </w:trPr>
        <w:tc>
          <w:tcPr>
            <w:tcW w:w="9797" w:type="dxa"/>
            <w:gridSpan w:val="8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Interpersonal trauma</w:t>
            </w:r>
          </w:p>
        </w:tc>
      </w:tr>
      <w:tr w:rsidR="00D306EE" w:rsidRPr="008431F4" w:rsidTr="008431F4">
        <w:trPr>
          <w:trHeight w:val="288"/>
        </w:trPr>
        <w:tc>
          <w:tcPr>
            <w:tcW w:w="3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Childhood (ages 0-9), n=yes</w:t>
            </w:r>
          </w:p>
        </w:tc>
        <w:tc>
          <w:tcPr>
            <w:tcW w:w="185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3</w:t>
            </w:r>
          </w:p>
        </w:tc>
        <w:tc>
          <w:tcPr>
            <w:tcW w:w="1567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6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</w:t>
            </w:r>
          </w:p>
        </w:tc>
        <w:tc>
          <w:tcPr>
            <w:tcW w:w="9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²=5.53</w:t>
            </w:r>
          </w:p>
        </w:tc>
        <w:tc>
          <w:tcPr>
            <w:tcW w:w="9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.063</w:t>
            </w:r>
          </w:p>
        </w:tc>
      </w:tr>
      <w:tr w:rsidR="00D306EE" w:rsidRPr="008431F4" w:rsidTr="008431F4">
        <w:trPr>
          <w:trHeight w:val="540"/>
        </w:trPr>
        <w:tc>
          <w:tcPr>
            <w:tcW w:w="31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Pre-mid adolescence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(10-17) n=yes</w:t>
            </w:r>
          </w:p>
        </w:tc>
        <w:tc>
          <w:tcPr>
            <w:tcW w:w="1852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8</w:t>
            </w:r>
          </w:p>
        </w:tc>
        <w:tc>
          <w:tcPr>
            <w:tcW w:w="156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9</w:t>
            </w:r>
          </w:p>
        </w:tc>
        <w:tc>
          <w:tcPr>
            <w:tcW w:w="128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8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²=0.64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.728</w:t>
            </w:r>
          </w:p>
        </w:tc>
      </w:tr>
      <w:tr w:rsidR="00D306EE" w:rsidRPr="008431F4" w:rsidTr="008431F4">
        <w:trPr>
          <w:trHeight w:val="523"/>
        </w:trPr>
        <w:tc>
          <w:tcPr>
            <w:tcW w:w="31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Adulthood (18+)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n=yes</w:t>
            </w:r>
          </w:p>
        </w:tc>
        <w:tc>
          <w:tcPr>
            <w:tcW w:w="1852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12</w:t>
            </w:r>
          </w:p>
        </w:tc>
        <w:tc>
          <w:tcPr>
            <w:tcW w:w="156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14</w:t>
            </w:r>
          </w:p>
        </w:tc>
        <w:tc>
          <w:tcPr>
            <w:tcW w:w="128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9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²=4.98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.083</w:t>
            </w:r>
          </w:p>
        </w:tc>
      </w:tr>
      <w:tr w:rsidR="00D306EE" w:rsidRPr="008431F4" w:rsidTr="008431F4">
        <w:trPr>
          <w:trHeight w:val="270"/>
        </w:trPr>
        <w:tc>
          <w:tcPr>
            <w:tcW w:w="9797" w:type="dxa"/>
            <w:gridSpan w:val="8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Non-interpersonal trauma</w:t>
            </w:r>
          </w:p>
        </w:tc>
      </w:tr>
      <w:tr w:rsidR="00D306EE" w:rsidRPr="008431F4" w:rsidTr="008431F4">
        <w:trPr>
          <w:trHeight w:val="540"/>
        </w:trPr>
        <w:tc>
          <w:tcPr>
            <w:tcW w:w="3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Childhood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(ages 0-9) n=yes</w:t>
            </w:r>
          </w:p>
        </w:tc>
        <w:tc>
          <w:tcPr>
            <w:tcW w:w="17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5</w:t>
            </w:r>
          </w:p>
        </w:tc>
        <w:tc>
          <w:tcPr>
            <w:tcW w:w="1567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5</w:t>
            </w:r>
          </w:p>
        </w:tc>
        <w:tc>
          <w:tcPr>
            <w:tcW w:w="9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²=3.17</w:t>
            </w:r>
          </w:p>
        </w:tc>
        <w:tc>
          <w:tcPr>
            <w:tcW w:w="9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.205</w:t>
            </w:r>
          </w:p>
        </w:tc>
      </w:tr>
      <w:tr w:rsidR="00D306EE" w:rsidRPr="008431F4" w:rsidTr="008431F4">
        <w:trPr>
          <w:trHeight w:val="540"/>
        </w:trPr>
        <w:tc>
          <w:tcPr>
            <w:tcW w:w="31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Pre-mid adolescence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(10-17) n=yes</w:t>
            </w:r>
          </w:p>
        </w:tc>
        <w:tc>
          <w:tcPr>
            <w:tcW w:w="17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9</w:t>
            </w:r>
          </w:p>
        </w:tc>
        <w:tc>
          <w:tcPr>
            <w:tcW w:w="142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6</w:t>
            </w:r>
          </w:p>
        </w:tc>
        <w:tc>
          <w:tcPr>
            <w:tcW w:w="156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5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²=2.99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.225</w:t>
            </w:r>
          </w:p>
        </w:tc>
      </w:tr>
      <w:tr w:rsidR="00D306EE" w:rsidRPr="008431F4" w:rsidTr="008431F4">
        <w:trPr>
          <w:trHeight w:val="270"/>
        </w:trPr>
        <w:tc>
          <w:tcPr>
            <w:tcW w:w="31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Adulthood (18+) n=yes</w:t>
            </w:r>
          </w:p>
        </w:tc>
        <w:tc>
          <w:tcPr>
            <w:tcW w:w="17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11</w:t>
            </w:r>
          </w:p>
        </w:tc>
        <w:tc>
          <w:tcPr>
            <w:tcW w:w="142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15</w:t>
            </w:r>
          </w:p>
        </w:tc>
        <w:tc>
          <w:tcPr>
            <w:tcW w:w="156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13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sym w:font="Symbol" w:char="F063"/>
            </w:r>
            <w:r w:rsidRPr="008431F4">
              <w:rPr>
                <w:rFonts w:ascii="Arial" w:hAnsi="Arial" w:cs="Arial"/>
              </w:rPr>
              <w:t>²=2.42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.298</w:t>
            </w:r>
          </w:p>
        </w:tc>
      </w:tr>
      <w:tr w:rsidR="00D306EE" w:rsidRPr="008431F4" w:rsidTr="008431F4">
        <w:trPr>
          <w:trHeight w:val="441"/>
        </w:trPr>
        <w:tc>
          <w:tcPr>
            <w:tcW w:w="31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Loneliness score</w:t>
            </w:r>
          </w:p>
        </w:tc>
        <w:tc>
          <w:tcPr>
            <w:tcW w:w="17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53.33 (10.31)</w:t>
            </w:r>
          </w:p>
        </w:tc>
        <w:tc>
          <w:tcPr>
            <w:tcW w:w="142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48.16 (9.36)</w:t>
            </w:r>
          </w:p>
        </w:tc>
        <w:tc>
          <w:tcPr>
            <w:tcW w:w="156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46.18 (10.35)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F=2.78</w:t>
            </w:r>
          </w:p>
        </w:tc>
        <w:tc>
          <w:tcPr>
            <w:tcW w:w="99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.070</w:t>
            </w:r>
          </w:p>
        </w:tc>
      </w:tr>
      <w:tr w:rsidR="00D306EE" w:rsidRPr="008431F4" w:rsidTr="008431F4">
        <w:trPr>
          <w:trHeight w:val="2467"/>
        </w:trPr>
        <w:tc>
          <w:tcPr>
            <w:tcW w:w="9797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  <w:i/>
              </w:rPr>
              <w:t>Note</w:t>
            </w:r>
            <w:r w:rsidRPr="008431F4">
              <w:rPr>
                <w:rFonts w:ascii="Arial" w:hAnsi="Arial" w:cs="Arial"/>
              </w:rPr>
              <w:t>.</w:t>
            </w:r>
            <w:r w:rsidRPr="008431F4">
              <w:rPr>
                <w:rFonts w:ascii="Arial" w:hAnsi="Arial" w:cs="Arial"/>
              </w:rPr>
              <w:tab/>
              <w:t>Interpersonal trauma consisted of: Physical assault; sexual assault; unwanted sexual experiences; held captive; caused harm to others.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>Non-interpersonal trauma consisted of: natural disasters; fire; transportation accident; serious accident; exposure to toxic chemicals; in combat; serious illness; observing human suffering; violent death; accidental death.</w:t>
            </w:r>
          </w:p>
          <w:p w:rsidR="00D306EE" w:rsidRPr="008431F4" w:rsidRDefault="00D306EE" w:rsidP="008431F4">
            <w:pPr>
              <w:pStyle w:val="NoSpacing"/>
              <w:rPr>
                <w:rFonts w:ascii="Arial" w:hAnsi="Arial" w:cs="Arial"/>
              </w:rPr>
            </w:pPr>
            <w:r w:rsidRPr="008431F4">
              <w:rPr>
                <w:rFonts w:ascii="Arial" w:hAnsi="Arial" w:cs="Arial"/>
              </w:rPr>
              <w:t xml:space="preserve">Age groups were based on: </w:t>
            </w:r>
            <w:r w:rsidR="000811BA" w:rsidRPr="008431F4">
              <w:rPr>
                <w:rFonts w:ascii="Arial" w:hAnsi="Arial" w:cs="Arial"/>
                <w:noProof/>
              </w:rPr>
              <w:t xml:space="preserve">Wolitzky-Taylor, K., Sewart, A., Vrshek-Schallhorn, S., Zinbarg, R., Mineka, S., Hammen, C., ... &amp; Craske, M. G. (2017). The effects of childhood and adolescent adversity on substance use disorders and poor health in early adulthood. </w:t>
            </w:r>
            <w:r w:rsidR="000811BA" w:rsidRPr="008431F4">
              <w:rPr>
                <w:rFonts w:ascii="Arial" w:hAnsi="Arial" w:cs="Arial"/>
                <w:i/>
                <w:noProof/>
              </w:rPr>
              <w:t>Journal of Youth and Adolescence, 46</w:t>
            </w:r>
            <w:r w:rsidR="000811BA" w:rsidRPr="008431F4">
              <w:rPr>
                <w:rFonts w:ascii="Arial" w:hAnsi="Arial" w:cs="Arial"/>
                <w:noProof/>
              </w:rPr>
              <w:t>(1), 15-27.</w:t>
            </w:r>
          </w:p>
        </w:tc>
      </w:tr>
    </w:tbl>
    <w:p w:rsidR="00D306EE" w:rsidRPr="00614956" w:rsidRDefault="00D306EE" w:rsidP="00D306EE">
      <w:pPr>
        <w:spacing w:line="360" w:lineRule="auto"/>
        <w:ind w:firstLine="567"/>
        <w:rPr>
          <w:rFonts w:ascii="Arial" w:hAnsi="Arial" w:cs="Arial"/>
        </w:rPr>
      </w:pPr>
    </w:p>
    <w:p w:rsidR="007B3101" w:rsidRDefault="0037119D"/>
    <w:sectPr w:rsidR="007B3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EE"/>
    <w:rsid w:val="000811BA"/>
    <w:rsid w:val="0037119D"/>
    <w:rsid w:val="008431F4"/>
    <w:rsid w:val="00901E2A"/>
    <w:rsid w:val="00BF635E"/>
    <w:rsid w:val="00D3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6E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3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3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6E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3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3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Carlyle, Molly</dc:creator>
  <cp:lastModifiedBy>Carlyle, Molly</cp:lastModifiedBy>
  <cp:revision>4</cp:revision>
  <dcterms:created xsi:type="dcterms:W3CDTF">2019-05-03T08:26:00Z</dcterms:created>
  <dcterms:modified xsi:type="dcterms:W3CDTF">2019-07-31T16:02:00Z</dcterms:modified>
</cp:coreProperties>
</file>