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F9EA7" w14:textId="46897973" w:rsidR="00BD20BE" w:rsidRPr="00BD20BE" w:rsidRDefault="00BD20BE" w:rsidP="00BD20BE">
      <w:pPr>
        <w:spacing w:line="360" w:lineRule="auto"/>
        <w:jc w:val="both"/>
        <w:rPr>
          <w:rFonts w:asciiTheme="majorHAnsi" w:hAnsiTheme="majorHAnsi" w:cstheme="majorHAnsi"/>
          <w:b/>
          <w:bCs/>
          <w:iCs/>
          <w:lang w:val="en-GB"/>
        </w:rPr>
      </w:pPr>
      <w:r>
        <w:rPr>
          <w:rFonts w:asciiTheme="majorHAnsi" w:hAnsiTheme="majorHAnsi" w:cstheme="majorHAnsi"/>
          <w:b/>
          <w:bCs/>
          <w:iCs/>
          <w:lang w:val="en-GB"/>
        </w:rPr>
        <w:t>Supplementary Material Online</w:t>
      </w:r>
    </w:p>
    <w:p w14:paraId="51410DD4" w14:textId="77777777" w:rsidR="00BD20BE" w:rsidRDefault="00BD20BE" w:rsidP="00BD20BE">
      <w:pPr>
        <w:spacing w:line="360" w:lineRule="auto"/>
        <w:jc w:val="both"/>
        <w:rPr>
          <w:rFonts w:asciiTheme="majorHAnsi" w:hAnsiTheme="majorHAnsi" w:cstheme="majorHAnsi"/>
          <w:i/>
          <w:lang w:val="en-GB"/>
        </w:rPr>
      </w:pPr>
    </w:p>
    <w:p w14:paraId="494C010D" w14:textId="3FB65754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i/>
          <w:lang w:val="en-GB"/>
        </w:rPr>
      </w:pPr>
      <w:r w:rsidRPr="00A9535C">
        <w:rPr>
          <w:rFonts w:asciiTheme="majorHAnsi" w:hAnsiTheme="majorHAnsi" w:cstheme="majorHAnsi"/>
          <w:i/>
          <w:lang w:val="en-GB"/>
        </w:rPr>
        <w:t>Drugs and chemicals</w:t>
      </w:r>
    </w:p>
    <w:p w14:paraId="03D125F8" w14:textId="37CE66D3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  <w:r w:rsidRPr="00A9535C">
        <w:rPr>
          <w:rFonts w:asciiTheme="majorHAnsi" w:hAnsiTheme="majorHAnsi" w:cstheme="majorHAnsi"/>
          <w:lang w:val="en-GB"/>
        </w:rPr>
        <w:t xml:space="preserve">Analytical standards of psilocin, </w:t>
      </w:r>
      <w:proofErr w:type="spellStart"/>
      <w:r w:rsidRPr="00A9535C">
        <w:rPr>
          <w:rFonts w:asciiTheme="majorHAnsi" w:hAnsiTheme="majorHAnsi" w:cstheme="majorHAnsi"/>
          <w:lang w:val="en-GB"/>
        </w:rPr>
        <w:t>psilocybine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, </w:t>
      </w:r>
      <w:proofErr w:type="spellStart"/>
      <w:r w:rsidRPr="00A9535C">
        <w:rPr>
          <w:rFonts w:asciiTheme="majorHAnsi" w:hAnsiTheme="majorHAnsi" w:cstheme="majorHAnsi"/>
          <w:lang w:val="en-GB"/>
        </w:rPr>
        <w:t>norbaeocystine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, and </w:t>
      </w:r>
      <w:proofErr w:type="spellStart"/>
      <w:r w:rsidRPr="00A9535C">
        <w:rPr>
          <w:rFonts w:asciiTheme="majorHAnsi" w:hAnsiTheme="majorHAnsi" w:cstheme="majorHAnsi"/>
          <w:lang w:val="en-GB"/>
        </w:rPr>
        <w:t>baeocystine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were synthesized in-house (purity ≥95%) in </w:t>
      </w:r>
      <w:proofErr w:type="gramStart"/>
      <w:r w:rsidRPr="00A9535C">
        <w:rPr>
          <w:rFonts w:asciiTheme="majorHAnsi" w:hAnsiTheme="majorHAnsi" w:cstheme="majorHAnsi"/>
          <w:lang w:val="en-GB"/>
        </w:rPr>
        <w:t>the  Department</w:t>
      </w:r>
      <w:proofErr w:type="gramEnd"/>
      <w:r w:rsidRPr="00A9535C">
        <w:rPr>
          <w:rFonts w:asciiTheme="majorHAnsi" w:hAnsiTheme="majorHAnsi" w:cstheme="majorHAnsi"/>
          <w:lang w:val="en-GB"/>
        </w:rPr>
        <w:t xml:space="preserve"> of Organic Chemistry, University of Chemistry and Technology Prague (UCT). Methanol and formic acid were of LC-MS grade and were purchased from Merck (Czech Republic). </w:t>
      </w:r>
      <w:proofErr w:type="spellStart"/>
      <w:r w:rsidRPr="00A9535C">
        <w:rPr>
          <w:rFonts w:asciiTheme="majorHAnsi" w:hAnsiTheme="majorHAnsi" w:cstheme="majorHAnsi"/>
          <w:lang w:val="en-GB"/>
        </w:rPr>
        <w:t>Ultra pure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water, 18.2 MΩ-cm, was produced using a Smart2Pure 12 water purification system (Thermo Scientific, Germany). The stock solutions of psilocin and </w:t>
      </w:r>
      <w:proofErr w:type="spellStart"/>
      <w:r w:rsidRPr="00A9535C">
        <w:rPr>
          <w:rFonts w:asciiTheme="majorHAnsi" w:hAnsiTheme="majorHAnsi" w:cstheme="majorHAnsi"/>
          <w:lang w:val="en-GB"/>
        </w:rPr>
        <w:t>psilocybine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were prepared in methanol and the stock solutions of </w:t>
      </w:r>
      <w:proofErr w:type="spellStart"/>
      <w:r w:rsidRPr="00A9535C">
        <w:rPr>
          <w:rFonts w:asciiTheme="majorHAnsi" w:hAnsiTheme="majorHAnsi" w:cstheme="majorHAnsi"/>
          <w:lang w:val="en-GB"/>
        </w:rPr>
        <w:t>norbaeocystine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and </w:t>
      </w:r>
      <w:proofErr w:type="spellStart"/>
      <w:r w:rsidRPr="00A9535C">
        <w:rPr>
          <w:rFonts w:asciiTheme="majorHAnsi" w:hAnsiTheme="majorHAnsi" w:cstheme="majorHAnsi"/>
          <w:lang w:val="en-GB"/>
        </w:rPr>
        <w:t>baeocystine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in 50% (</w:t>
      </w:r>
      <w:r w:rsidRPr="00A9535C">
        <w:rPr>
          <w:rFonts w:asciiTheme="majorHAnsi" w:hAnsiTheme="majorHAnsi" w:cstheme="majorHAnsi"/>
          <w:i/>
          <w:lang w:val="en-GB"/>
        </w:rPr>
        <w:t>v/v</w:t>
      </w:r>
      <w:r w:rsidRPr="00A9535C">
        <w:rPr>
          <w:rFonts w:asciiTheme="majorHAnsi" w:hAnsiTheme="majorHAnsi" w:cstheme="majorHAnsi"/>
          <w:lang w:val="en-GB"/>
        </w:rPr>
        <w:t>) methanol (at a concentration 1 mg/mL and stored at -20 °C). A working solution contained a mixture of analytes was diluted with methanol to 10 µg/</w:t>
      </w:r>
      <w:proofErr w:type="spellStart"/>
      <w:r w:rsidRPr="00A9535C">
        <w:rPr>
          <w:rFonts w:asciiTheme="majorHAnsi" w:hAnsiTheme="majorHAnsi" w:cstheme="majorHAnsi"/>
          <w:lang w:val="en-GB"/>
        </w:rPr>
        <w:t>mL.</w:t>
      </w:r>
      <w:proofErr w:type="spellEnd"/>
    </w:p>
    <w:p w14:paraId="09AA5132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</w:p>
    <w:p w14:paraId="65F9A42F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  <w:r w:rsidRPr="00A9535C">
        <w:rPr>
          <w:rFonts w:asciiTheme="majorHAnsi" w:hAnsiTheme="majorHAnsi" w:cstheme="majorHAnsi"/>
          <w:i/>
          <w:lang w:val="en-GB"/>
        </w:rPr>
        <w:t>Sample preparation</w:t>
      </w:r>
      <w:r w:rsidRPr="00A9535C">
        <w:rPr>
          <w:rFonts w:asciiTheme="majorHAnsi" w:hAnsiTheme="majorHAnsi" w:cstheme="majorHAnsi"/>
          <w:lang w:val="en-GB"/>
        </w:rPr>
        <w:t xml:space="preserve"> </w:t>
      </w:r>
    </w:p>
    <w:p w14:paraId="351C81AE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  <w:r w:rsidRPr="00A9535C">
        <w:rPr>
          <w:rFonts w:asciiTheme="majorHAnsi" w:hAnsiTheme="majorHAnsi" w:cstheme="majorHAnsi"/>
          <w:lang w:val="en-GB"/>
        </w:rPr>
        <w:t>Capsules were opened and 100 mg of inner solid was weighted to dark glass tubes with screw caps. Samples were dissolved in 5 mL of methanol pre-purged with nitrogen gas. A rack with samples was covered with aluminium foil and vortexed for 150 min. Mixtures were centrifuged for 15 min at 2,000 rpm (25°C). 100 µL aliquot was diluted with 900 µL of 0.1% (</w:t>
      </w:r>
      <w:r w:rsidRPr="00A9535C">
        <w:rPr>
          <w:rFonts w:asciiTheme="majorHAnsi" w:hAnsiTheme="majorHAnsi" w:cstheme="majorHAnsi"/>
          <w:i/>
          <w:lang w:val="en-GB"/>
        </w:rPr>
        <w:t>v/v</w:t>
      </w:r>
      <w:r w:rsidRPr="00A9535C">
        <w:rPr>
          <w:rFonts w:asciiTheme="majorHAnsi" w:hAnsiTheme="majorHAnsi" w:cstheme="majorHAnsi"/>
          <w:lang w:val="en-GB"/>
        </w:rPr>
        <w:t>) formic acid. Samples were 100 times diluted with 0.1% (</w:t>
      </w:r>
      <w:r w:rsidRPr="00A9535C">
        <w:rPr>
          <w:rFonts w:asciiTheme="majorHAnsi" w:hAnsiTheme="majorHAnsi" w:cstheme="majorHAnsi"/>
          <w:i/>
          <w:lang w:val="en-GB"/>
        </w:rPr>
        <w:t>v/v</w:t>
      </w:r>
      <w:r w:rsidRPr="00A9535C">
        <w:rPr>
          <w:rFonts w:asciiTheme="majorHAnsi" w:hAnsiTheme="majorHAnsi" w:cstheme="majorHAnsi"/>
          <w:lang w:val="en-GB"/>
        </w:rPr>
        <w:t xml:space="preserve">) formic acid because of high concentrations of psilocin and </w:t>
      </w:r>
      <w:proofErr w:type="spellStart"/>
      <w:r w:rsidRPr="00A9535C">
        <w:rPr>
          <w:rFonts w:asciiTheme="majorHAnsi" w:hAnsiTheme="majorHAnsi" w:cstheme="majorHAnsi"/>
          <w:lang w:val="en-GB"/>
        </w:rPr>
        <w:t>psilocybine</w:t>
      </w:r>
      <w:proofErr w:type="spellEnd"/>
      <w:r w:rsidRPr="00A9535C">
        <w:rPr>
          <w:rFonts w:asciiTheme="majorHAnsi" w:hAnsiTheme="majorHAnsi" w:cstheme="majorHAnsi"/>
          <w:lang w:val="en-GB"/>
        </w:rPr>
        <w:t>. 5 µL was injected to the LC-MS and samples were prepared at triplicate.</w:t>
      </w:r>
    </w:p>
    <w:p w14:paraId="21A7CB8D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</w:p>
    <w:p w14:paraId="3D38A3CF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i/>
          <w:lang w:val="en-GB"/>
        </w:rPr>
      </w:pPr>
      <w:r w:rsidRPr="00A9535C">
        <w:rPr>
          <w:rFonts w:asciiTheme="majorHAnsi" w:hAnsiTheme="majorHAnsi" w:cstheme="majorHAnsi"/>
          <w:i/>
          <w:lang w:val="en-GB"/>
        </w:rPr>
        <w:t>LC conditions</w:t>
      </w:r>
    </w:p>
    <w:p w14:paraId="40F10FE5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  <w:r w:rsidRPr="00A9535C">
        <w:rPr>
          <w:rFonts w:asciiTheme="majorHAnsi" w:hAnsiTheme="majorHAnsi" w:cstheme="majorHAnsi"/>
          <w:lang w:val="en-GB"/>
        </w:rPr>
        <w:t xml:space="preserve">The LC system used was Agilent 1290 Infinity (Agilent Technologies, USA) and conditions were as follows: a column </w:t>
      </w:r>
      <w:proofErr w:type="spellStart"/>
      <w:r w:rsidRPr="00A9535C">
        <w:rPr>
          <w:rFonts w:asciiTheme="majorHAnsi" w:hAnsiTheme="majorHAnsi" w:cstheme="majorHAnsi"/>
          <w:lang w:val="en-GB"/>
        </w:rPr>
        <w:t>Poroshell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120 </w:t>
      </w:r>
      <w:proofErr w:type="spellStart"/>
      <w:r w:rsidRPr="00A9535C">
        <w:rPr>
          <w:rFonts w:asciiTheme="majorHAnsi" w:hAnsiTheme="majorHAnsi" w:cstheme="majorHAnsi"/>
          <w:lang w:val="en-GB"/>
        </w:rPr>
        <w:t>Phe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Hex, 2.1 × 100 mm, 2.7 µm, with pre-column, gradient elution with 0.1% (</w:t>
      </w:r>
      <w:r w:rsidRPr="00A9535C">
        <w:rPr>
          <w:rFonts w:asciiTheme="majorHAnsi" w:hAnsiTheme="majorHAnsi" w:cstheme="majorHAnsi"/>
          <w:i/>
          <w:lang w:val="en-GB"/>
        </w:rPr>
        <w:t>v/v</w:t>
      </w:r>
      <w:r w:rsidRPr="00A9535C">
        <w:rPr>
          <w:rFonts w:asciiTheme="majorHAnsi" w:hAnsiTheme="majorHAnsi" w:cstheme="majorHAnsi"/>
          <w:lang w:val="en-GB"/>
        </w:rPr>
        <w:t>) formic acid (mobile phase A) and methanol containing 0.1% (</w:t>
      </w:r>
      <w:r w:rsidRPr="00A9535C">
        <w:rPr>
          <w:rFonts w:asciiTheme="majorHAnsi" w:hAnsiTheme="majorHAnsi" w:cstheme="majorHAnsi"/>
          <w:i/>
          <w:lang w:val="en-GB"/>
        </w:rPr>
        <w:t>v/v</w:t>
      </w:r>
      <w:r w:rsidRPr="00A9535C">
        <w:rPr>
          <w:rFonts w:asciiTheme="majorHAnsi" w:hAnsiTheme="majorHAnsi" w:cstheme="majorHAnsi"/>
          <w:lang w:val="en-GB"/>
        </w:rPr>
        <w:t>) formic acid (mobile phase B) with a flow rate of 300 µL/min. The injection volume was 3 µL with 3 s needle wash in a flush port. The gradient setup was: 0-3.5 min from 90%A to 65%A, 3.5-4.0 min from 65%A to 0%, till 4.5 min held on 0%A, 4.5-5.0 min back to 90%A and equilibrated at 90%A to 8 min. The valve arrangement: 1-4 min to the MS source.</w:t>
      </w:r>
    </w:p>
    <w:p w14:paraId="7AFB99E8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</w:p>
    <w:p w14:paraId="214C51B1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i/>
          <w:lang w:val="en-GB"/>
        </w:rPr>
      </w:pPr>
      <w:r w:rsidRPr="00A9535C">
        <w:rPr>
          <w:rFonts w:asciiTheme="majorHAnsi" w:hAnsiTheme="majorHAnsi" w:cstheme="majorHAnsi"/>
          <w:i/>
          <w:lang w:val="en-GB"/>
        </w:rPr>
        <w:t>MS conditions</w:t>
      </w:r>
    </w:p>
    <w:p w14:paraId="07E6C93F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  <w:r w:rsidRPr="00A9535C">
        <w:rPr>
          <w:rFonts w:asciiTheme="majorHAnsi" w:hAnsiTheme="majorHAnsi" w:cstheme="majorHAnsi"/>
          <w:lang w:val="en-GB"/>
        </w:rPr>
        <w:lastRenderedPageBreak/>
        <w:t>The tandem MS used was 6460 Triple Quad LC/MS (Agilent Technologies, USA) with Jet Stream Electrospray Ionisation Source. Dynamic multiple reaction monitoring (</w:t>
      </w:r>
      <w:proofErr w:type="spellStart"/>
      <w:r w:rsidRPr="00A9535C">
        <w:rPr>
          <w:rFonts w:asciiTheme="majorHAnsi" w:hAnsiTheme="majorHAnsi" w:cstheme="majorHAnsi"/>
          <w:lang w:val="en-GB"/>
        </w:rPr>
        <w:t>dMRM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) method was used. Briefly the conditions of the instrument were as follows: positive ion mode, ionisation voltage of 2300 V, source temperature of 340°C and gas flow rate 10 L/min, values for sheath gas were 400°C and 12 L/min, and for nebulizer 30 psi. Data was acquired and evaluated with </w:t>
      </w:r>
      <w:proofErr w:type="spellStart"/>
      <w:r w:rsidRPr="00A9535C">
        <w:rPr>
          <w:rFonts w:asciiTheme="majorHAnsi" w:hAnsiTheme="majorHAnsi" w:cstheme="majorHAnsi"/>
          <w:lang w:val="en-GB"/>
        </w:rPr>
        <w:t>MassHunter</w:t>
      </w:r>
      <w:proofErr w:type="spellEnd"/>
      <w:r w:rsidRPr="00A9535C">
        <w:rPr>
          <w:rFonts w:asciiTheme="majorHAnsi" w:hAnsiTheme="majorHAnsi" w:cstheme="majorHAnsi"/>
          <w:lang w:val="en-GB"/>
        </w:rPr>
        <w:t xml:space="preserve"> software (Agilent Technologies, USA).</w:t>
      </w:r>
    </w:p>
    <w:p w14:paraId="3BC3367A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lang w:val="en-GB"/>
        </w:rPr>
      </w:pPr>
    </w:p>
    <w:p w14:paraId="671F12C2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</w:rPr>
      </w:pPr>
    </w:p>
    <w:p w14:paraId="2E1F85E7" w14:textId="13C90FD6" w:rsidR="00BD20BE" w:rsidRPr="00A9535C" w:rsidRDefault="00BD20BE" w:rsidP="00BD20BE">
      <w:pPr>
        <w:pStyle w:val="Caption"/>
        <w:keepNext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auto"/>
          <w:sz w:val="24"/>
          <w:szCs w:val="24"/>
        </w:rPr>
        <w:t xml:space="preserve">Supplementary </w:t>
      </w:r>
      <w:r w:rsidRPr="00A9535C">
        <w:rPr>
          <w:rFonts w:asciiTheme="majorHAnsi" w:hAnsiTheme="majorHAnsi" w:cstheme="majorHAnsi"/>
          <w:b/>
          <w:color w:val="auto"/>
          <w:sz w:val="24"/>
          <w:szCs w:val="24"/>
        </w:rPr>
        <w:t xml:space="preserve">Table </w:t>
      </w:r>
      <w:r>
        <w:rPr>
          <w:rFonts w:asciiTheme="majorHAnsi" w:hAnsiTheme="majorHAnsi" w:cstheme="majorHAnsi"/>
          <w:b/>
          <w:color w:val="auto"/>
          <w:sz w:val="24"/>
          <w:szCs w:val="24"/>
        </w:rPr>
        <w:t>1</w:t>
      </w:r>
      <w:r w:rsidRPr="00A9535C">
        <w:rPr>
          <w:rFonts w:asciiTheme="majorHAnsi" w:hAnsiTheme="majorHAnsi" w:cstheme="majorHAnsi"/>
          <w:color w:val="auto"/>
          <w:sz w:val="24"/>
          <w:szCs w:val="24"/>
        </w:rPr>
        <w:t xml:space="preserve"> LOD was calculated as 3×S/N (signal to noise ratio) and LOQ as 10×S/N (Note: The left part of the table shows the final concentrations measured owing to LC-MS; the right side of </w:t>
      </w:r>
      <w:proofErr w:type="gramStart"/>
      <w:r w:rsidRPr="00A9535C">
        <w:rPr>
          <w:rFonts w:asciiTheme="majorHAnsi" w:hAnsiTheme="majorHAnsi" w:cstheme="majorHAnsi"/>
          <w:color w:val="auto"/>
          <w:sz w:val="24"/>
          <w:szCs w:val="24"/>
        </w:rPr>
        <w:t>the  table</w:t>
      </w:r>
      <w:proofErr w:type="gramEnd"/>
      <w:r w:rsidRPr="00A9535C">
        <w:rPr>
          <w:rFonts w:asciiTheme="majorHAnsi" w:hAnsiTheme="majorHAnsi" w:cstheme="majorHAnsi"/>
          <w:color w:val="auto"/>
          <w:sz w:val="24"/>
          <w:szCs w:val="24"/>
        </w:rPr>
        <w:t xml:space="preserve"> shows the calculation on 1 g of capsule inner solid</w:t>
      </w:r>
      <w:r w:rsidRPr="00A9535C">
        <w:rPr>
          <w:rFonts w:asciiTheme="majorHAnsi" w:hAnsiTheme="majorHAnsi" w:cstheme="majorHAnsi"/>
          <w:sz w:val="24"/>
          <w:szCs w:val="24"/>
        </w:rPr>
        <w:t xml:space="preserve">). </w:t>
      </w:r>
    </w:p>
    <w:tbl>
      <w:tblPr>
        <w:tblW w:w="4262" w:type="dxa"/>
        <w:tblLook w:val="04A0" w:firstRow="1" w:lastRow="0" w:firstColumn="1" w:lastColumn="0" w:noHBand="0" w:noVBand="1"/>
      </w:tblPr>
      <w:tblGrid>
        <w:gridCol w:w="1630"/>
        <w:gridCol w:w="707"/>
        <w:gridCol w:w="640"/>
        <w:gridCol w:w="707"/>
        <w:gridCol w:w="634"/>
      </w:tblGrid>
      <w:tr w:rsidR="00BD20BE" w:rsidRPr="00A9535C" w14:paraId="5DED7A94" w14:textId="77777777" w:rsidTr="009042AB">
        <w:trPr>
          <w:trHeight w:val="30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B834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748BB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i/>
                <w:iCs/>
                <w:color w:val="000000"/>
              </w:rPr>
            </w:pPr>
            <w:r w:rsidRPr="00A9535C">
              <w:rPr>
                <w:rFonts w:asciiTheme="majorHAnsi" w:hAnsiTheme="majorHAnsi" w:cstheme="majorHAnsi"/>
                <w:i/>
                <w:iCs/>
                <w:color w:val="000000"/>
              </w:rPr>
              <w:t>ng/ml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DFD5B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i/>
                <w:iCs/>
                <w:color w:val="000000"/>
              </w:rPr>
            </w:pPr>
            <w:r w:rsidRPr="00A9535C">
              <w:rPr>
                <w:rFonts w:asciiTheme="majorHAnsi" w:hAnsiTheme="majorHAnsi" w:cstheme="majorHAnsi"/>
                <w:i/>
                <w:iCs/>
                <w:color w:val="000000"/>
              </w:rPr>
              <w:t>µg/g (ppm)</w:t>
            </w:r>
          </w:p>
        </w:tc>
      </w:tr>
      <w:tr w:rsidR="00BD20BE" w:rsidRPr="00A9535C" w14:paraId="28F6568B" w14:textId="77777777" w:rsidTr="009042AB">
        <w:trPr>
          <w:trHeight w:val="3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45688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8648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LOD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46121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LOQ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F1B2F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LOD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BF01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LOQ</w:t>
            </w:r>
          </w:p>
        </w:tc>
      </w:tr>
      <w:tr w:rsidR="00BD20BE" w:rsidRPr="00A9535C" w14:paraId="15CE1E39" w14:textId="77777777" w:rsidTr="009042AB">
        <w:trPr>
          <w:trHeight w:val="300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C96C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norbaeocystin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ED2F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5.0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D95A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10.0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0ACB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2.5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5D0F6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5.0</w:t>
            </w:r>
          </w:p>
        </w:tc>
      </w:tr>
      <w:tr w:rsidR="00BD20BE" w:rsidRPr="00A9535C" w14:paraId="240577EF" w14:textId="77777777" w:rsidTr="009042AB">
        <w:trPr>
          <w:trHeight w:val="300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34AB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baeocystin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544B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1.0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5A8BA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5.0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9521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0.5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3D740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2.5</w:t>
            </w:r>
          </w:p>
        </w:tc>
      </w:tr>
      <w:tr w:rsidR="00BD20BE" w:rsidRPr="00A9535C" w14:paraId="616DA615" w14:textId="77777777" w:rsidTr="009042AB">
        <w:trPr>
          <w:trHeight w:val="300"/>
        </w:trPr>
        <w:tc>
          <w:tcPr>
            <w:tcW w:w="16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E2D2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psilocybin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4158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0.5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FA981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1.0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ABAF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0.3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508C1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0.5</w:t>
            </w:r>
          </w:p>
        </w:tc>
      </w:tr>
      <w:tr w:rsidR="00BD20BE" w:rsidRPr="00A9535C" w14:paraId="212074DC" w14:textId="77777777" w:rsidTr="009042AB">
        <w:trPr>
          <w:trHeight w:val="315"/>
        </w:trPr>
        <w:tc>
          <w:tcPr>
            <w:tcW w:w="16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968E4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9535C">
              <w:rPr>
                <w:rFonts w:asciiTheme="majorHAnsi" w:hAnsiTheme="majorHAnsi" w:cstheme="majorHAnsi"/>
                <w:b/>
                <w:bCs/>
                <w:color w:val="000000"/>
              </w:rPr>
              <w:t>psilocin</w:t>
            </w:r>
          </w:p>
        </w:tc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D6EF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1.0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75C13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5.0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42928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0.5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BBEB9" w14:textId="77777777" w:rsidR="00BD20BE" w:rsidRPr="00A9535C" w:rsidRDefault="00BD20BE" w:rsidP="009042AB">
            <w:pPr>
              <w:spacing w:line="360" w:lineRule="auto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A9535C">
              <w:rPr>
                <w:rFonts w:asciiTheme="majorHAnsi" w:hAnsiTheme="majorHAnsi" w:cstheme="majorHAnsi"/>
                <w:color w:val="000000"/>
              </w:rPr>
              <w:t>2.5</w:t>
            </w:r>
          </w:p>
        </w:tc>
      </w:tr>
    </w:tbl>
    <w:p w14:paraId="752FD17E" w14:textId="77777777" w:rsidR="00BD20BE" w:rsidRPr="00A9535C" w:rsidRDefault="00BD20BE" w:rsidP="00BD20BE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4684CA1B" w14:textId="77777777" w:rsidR="00550626" w:rsidRDefault="00550626"/>
    <w:sectPr w:rsidR="00550626" w:rsidSect="0001383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BE"/>
    <w:rsid w:val="000006B7"/>
    <w:rsid w:val="0001383E"/>
    <w:rsid w:val="000165EB"/>
    <w:rsid w:val="00017B1F"/>
    <w:rsid w:val="00046C27"/>
    <w:rsid w:val="00060531"/>
    <w:rsid w:val="00072131"/>
    <w:rsid w:val="00072D28"/>
    <w:rsid w:val="00080B15"/>
    <w:rsid w:val="000D35EA"/>
    <w:rsid w:val="00145BA2"/>
    <w:rsid w:val="001845A0"/>
    <w:rsid w:val="00187131"/>
    <w:rsid w:val="00224010"/>
    <w:rsid w:val="00274232"/>
    <w:rsid w:val="00292311"/>
    <w:rsid w:val="002C1F7C"/>
    <w:rsid w:val="002F1D6C"/>
    <w:rsid w:val="00323150"/>
    <w:rsid w:val="003A72FA"/>
    <w:rsid w:val="0043786F"/>
    <w:rsid w:val="00444B10"/>
    <w:rsid w:val="004476D3"/>
    <w:rsid w:val="00483563"/>
    <w:rsid w:val="004F1285"/>
    <w:rsid w:val="00536855"/>
    <w:rsid w:val="005500E4"/>
    <w:rsid w:val="00550626"/>
    <w:rsid w:val="00555F52"/>
    <w:rsid w:val="005D4F6B"/>
    <w:rsid w:val="005E0067"/>
    <w:rsid w:val="00604008"/>
    <w:rsid w:val="006B574D"/>
    <w:rsid w:val="006C5C19"/>
    <w:rsid w:val="0073635F"/>
    <w:rsid w:val="00745928"/>
    <w:rsid w:val="007A5791"/>
    <w:rsid w:val="007D10B4"/>
    <w:rsid w:val="007F4750"/>
    <w:rsid w:val="007F55D0"/>
    <w:rsid w:val="00812C94"/>
    <w:rsid w:val="00843711"/>
    <w:rsid w:val="00851F7B"/>
    <w:rsid w:val="00860CF1"/>
    <w:rsid w:val="008823AE"/>
    <w:rsid w:val="008933CC"/>
    <w:rsid w:val="00916368"/>
    <w:rsid w:val="009723C4"/>
    <w:rsid w:val="00992F41"/>
    <w:rsid w:val="00994832"/>
    <w:rsid w:val="009976E9"/>
    <w:rsid w:val="009C04E2"/>
    <w:rsid w:val="009C58D0"/>
    <w:rsid w:val="009C62A9"/>
    <w:rsid w:val="009E22A9"/>
    <w:rsid w:val="00A7166A"/>
    <w:rsid w:val="00B27E70"/>
    <w:rsid w:val="00B30A58"/>
    <w:rsid w:val="00B92221"/>
    <w:rsid w:val="00BD20BE"/>
    <w:rsid w:val="00C17582"/>
    <w:rsid w:val="00C17FC4"/>
    <w:rsid w:val="00C274F9"/>
    <w:rsid w:val="00C67A16"/>
    <w:rsid w:val="00CA7687"/>
    <w:rsid w:val="00CD2C6F"/>
    <w:rsid w:val="00D5201A"/>
    <w:rsid w:val="00D52A3A"/>
    <w:rsid w:val="00D54F75"/>
    <w:rsid w:val="00D70EF6"/>
    <w:rsid w:val="00DC47CF"/>
    <w:rsid w:val="00E024BA"/>
    <w:rsid w:val="00E60C9F"/>
    <w:rsid w:val="00E81A30"/>
    <w:rsid w:val="00EA5454"/>
    <w:rsid w:val="00EB7926"/>
    <w:rsid w:val="00F121EC"/>
    <w:rsid w:val="00F4098A"/>
    <w:rsid w:val="00F81B24"/>
    <w:rsid w:val="00FA0B64"/>
    <w:rsid w:val="00FD05F6"/>
    <w:rsid w:val="00FD46AA"/>
    <w:rsid w:val="00FE5C01"/>
    <w:rsid w:val="00FF3102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08796"/>
  <w15:chartTrackingRefBased/>
  <w15:docId w15:val="{D93E7CE8-345D-A848-B5AB-1B5B08A9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0B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D20BE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Elk</dc:creator>
  <cp:keywords/>
  <dc:description/>
  <cp:lastModifiedBy>Michiel van Elk</cp:lastModifiedBy>
  <cp:revision>1</cp:revision>
  <dcterms:created xsi:type="dcterms:W3CDTF">2021-02-01T12:57:00Z</dcterms:created>
  <dcterms:modified xsi:type="dcterms:W3CDTF">2021-02-01T12:58:00Z</dcterms:modified>
</cp:coreProperties>
</file>