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17B74" w14:textId="77777777" w:rsidR="00790D11" w:rsidRDefault="00623501">
      <w:pPr>
        <w:rPr>
          <w:rFonts w:ascii="Times New Roman" w:hAnsi="Times New Roman" w:cs="Times New Roman"/>
          <w:b/>
          <w:bCs/>
          <w:lang w:val="en-US"/>
        </w:rPr>
      </w:pPr>
      <w:r>
        <w:rPr>
          <w:rFonts w:ascii="Times New Roman" w:hAnsi="Times New Roman" w:cs="Times New Roman"/>
          <w:b/>
          <w:bCs/>
          <w:lang w:val="en-US"/>
        </w:rPr>
        <w:t>Supplementary Materials</w:t>
      </w:r>
    </w:p>
    <w:p w14:paraId="10D17B75" w14:textId="77777777" w:rsidR="00790D11" w:rsidRDefault="00790D11">
      <w:pPr>
        <w:rPr>
          <w:rFonts w:ascii="Times New Roman" w:hAnsi="Times New Roman" w:cs="Times New Roman"/>
          <w:b/>
          <w:bCs/>
          <w:lang w:val="en-US"/>
        </w:rPr>
      </w:pPr>
    </w:p>
    <w:p w14:paraId="10D17B76" w14:textId="77777777" w:rsidR="00790D11" w:rsidRDefault="00623501">
      <w:pPr>
        <w:rPr>
          <w:rFonts w:ascii="Times New Roman" w:hAnsi="Times New Roman" w:cs="Times New Roman"/>
          <w:b/>
          <w:bCs/>
          <w:lang w:val="en-US"/>
        </w:rPr>
      </w:pPr>
      <w:r>
        <w:rPr>
          <w:rFonts w:ascii="Times New Roman" w:hAnsi="Times New Roman" w:cs="Times New Roman"/>
          <w:b/>
          <w:bCs/>
          <w:lang w:val="en-US"/>
        </w:rPr>
        <w:t>Methods</w:t>
      </w:r>
    </w:p>
    <w:p w14:paraId="10D17B77" w14:textId="77777777" w:rsidR="00790D11" w:rsidRDefault="00623501">
      <w:pPr>
        <w:spacing w:line="480" w:lineRule="auto"/>
        <w:jc w:val="both"/>
        <w:rPr>
          <w:rFonts w:ascii="Times New Roman" w:eastAsia="Calibri" w:hAnsi="Times New Roman" w:cs="Times New Roman"/>
          <w:b/>
          <w:color w:val="000000" w:themeColor="text1"/>
          <w:lang w:val="en-US"/>
        </w:rPr>
      </w:pPr>
      <w:r>
        <w:rPr>
          <w:rFonts w:ascii="Times New Roman" w:eastAsia="Calibri" w:hAnsi="Times New Roman" w:cs="Times New Roman"/>
          <w:b/>
          <w:color w:val="000000" w:themeColor="text1"/>
          <w:lang w:val="en-US"/>
        </w:rPr>
        <w:t>Drugs</w:t>
      </w:r>
    </w:p>
    <w:p w14:paraId="10D17B78" w14:textId="77777777"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M100907 (R-(+)-α-(2,3-dimethoxyphenyl)-1-[2-(4-fluorophenylethyl)]-4-piperidinemethanol) (Sigma Aldrich, #M3324), a highly selective 5-HT</w:t>
      </w:r>
      <w:r>
        <w:rPr>
          <w:rFonts w:ascii="Times New Roman" w:eastAsia="Calibri" w:hAnsi="Times New Roman" w:cs="Times New Roman"/>
          <w:color w:val="000000" w:themeColor="text1"/>
          <w:vertAlign w:val="subscript"/>
          <w:lang w:val="en-US"/>
        </w:rPr>
        <w:t>2A</w:t>
      </w:r>
      <w:r>
        <w:rPr>
          <w:rFonts w:ascii="Times New Roman" w:eastAsia="Calibri" w:hAnsi="Times New Roman" w:cs="Times New Roman"/>
          <w:color w:val="000000" w:themeColor="text1"/>
          <w:lang w:val="en-US"/>
        </w:rPr>
        <w:t xml:space="preserve">R antagonist </w:t>
      </w:r>
      <w:r>
        <w:fldChar w:fldCharType="begin"/>
      </w:r>
      <w:r>
        <w:rPr>
          <w:rFonts w:ascii="Times New Roman" w:eastAsia="Calibri" w:hAnsi="Times New Roman" w:cs="Times New Roman"/>
          <w:color w:val="000000"/>
          <w:lang w:val="en-US"/>
        </w:rPr>
        <w:instrText>ADDIN CSL_CITATION {"citationItems":[{"id":"ITEM-1","itemData":{"ISSN":"00223565","PMID":"8627580","abstract":"In preclinical studies, [R-(+)-α-(2,3-dimethoxyphenyl)-1-[2-(4-fluorophenyl)ethyl]-4- piperidinemethanol] (MDL 100,907), a putative atypical antipsychotic, was characterized in vitro as a potent and selective ligand for the serotonin2A (5-HT2A) receptor and was evaluated in vitro and in vivo as a potent 5-HT2A receptor antagonist. Furthermore, MDL 100,907's potential CNS safety profile and selectivity as a potential antipsychotic agent were evaluated and compared with benchmark compounds. MDL 100,907 demonstrated low nanomolar or subnanomolar binding in vitro at the 5-HT2A receptor and showed a &gt;100-fold separation from all other receptors measured. MDL 100,907 had subnanomolar potency as a 5-HT2A antagonist in vitro in reversing 5-HT-stimulated inositol phosphate accumulation in NIH 3T3 cells transfected with the rat 5-HT2A receptor. In vivo, MDL 100,907 potently inhibited 5-methoxy-N,N-dimethyltryptamine-induced head twitches in mice or 5-hydroxytryptophan-induced head twitches in rats. In vivo functional tests in mice revealed a &gt;500-fold separation between doses that produced 5-HT2A antagonism and doses that produced alpha1-adrenergic or striatal D2 antagonism. Using inhibition of D-amphetamine-stimulated locomotion in mice as a measure of potential antipsychotic efficacy, MDL 100,907 showed a superior CNS safety index relative to the reference compounds, haloperidol, clozapine, risperidone, ritanserin, and amperozide, in each of five tests for side effect potential, including measures of ataxia, general depressant effects, alpha1-adrenergic antagonism, striatal D2 receptor antagonism, and muscle relaxation. MDL 100,907 did not antagonize apomorphine-induced stereotypies in rats, suggesting that it potentially lacks extrapyramidal side effect liability. MDL 100,907 showed selectivity as a potential antipsychotic in that it lacked consistent activity in selected rodent models of anticonvulsant, antidepressant, analgesic, or anxiolytic activity. In summary, these preclinical data indicate that MDL 100,907 is a potent and selective ligand at the 5-HT2A receptor. MDL 100,907's potent 5-HT2A antagonist activity might account for its activity in pre-clinical models of antipsychotic potential. Ongoing clinical evaluation with MDL 100,907 will test the hypothesis that 5-HT2A receptor antagonism is sufficient for antipsychotic activity in humans.","author":[{"dropping-particle":"","family":"Kehne","given":"John H.","non-dropping-particle":"","parse-names":false,"suffix":""},{"dropping-particle":"","family":"Baron","given":"Bruce M.","non-dropping-particle":"","parse-names":false,"suffix":""},{"dropping-particle":"","family":"Carr","given":"Albert A.","non-dropping-particle":"","parse-names":false,"suffix":""},{"dropping-particle":"","family":"Chaney","given":"Stephen F.","non-dropping-particle":"","parse-names":false,"suffix":""},{"dropping-particle":"","family":"Elands","given":"Jack","non-dropping-particle":"","parse-names":false,"suffix":""},{"dropping-particle":"","family":"Feldman","given":"Daniel J.","non-dropping-particle":"","parse-names":false,"suffix":""},{"dropping-particle":"","family":"Frank","given":"Robert A.","non-dropping-particle":"","parse-names":false,"suffix":""},{"dropping-particle":"","family":"Giersbergen","given":"Paul L.M.","non-dropping-particle":"Van","parse-names":false,"suffix":""},{"dropping-particle":"","family":"Mccloskey","given":"Timothy C.","non-dropping-particle":"","parse-names":false,"suffix":""},{"dropping-particle":"","family":"Johnson","given":"Michael P.","non-dropping-particle":"","parse-names":false,"suffix":""},{"dropping-particle":"","family":"Mccarty","given":"Deborah R.","non-dropping-particle":"","parse-names":false,"suffix":""},{"dropping-particle":"","family":"Poirot","given":"Matthieu","non-dropping-particle":"","parse-names":false,"suffix":""},{"dropping-particle":"","family":"Senyah","given":"Yaw","non-dropping-particle":"","parse-names":false,"suffix":""},{"dropping-particle":"","family":"Siegel","given":"Barry W.","non-dropping-particle":"","parse-names":false,"suffix":""},{"dropping-particle":"","family":"Widmaier","given":"Corinne","non-dropping-particle":"","parse-names":false,"suffix":""}],"container-title":"Journal of Pharmacology and Experimental Therapeutics","id":"ITEM-1","issued":{"date-parts":[["1996"]]},"title":"Preclinical characterization of the potential of the putative atypical antipsychotic MDL 100,907 as a potent 5-HT2A antagonist with a favorable CNS safety profile","type":"article-journal"},"uris":["http://www.mendeley.com/documents/?uuid=fae1fb22-3747-4dcd-ac82-1b4e25459e99"]}],"mendeley":{"formattedCitation":"(Kehne et al., 1996)","plainTextFormattedCitation":"(Kehne et al., 1996)","previouslyFormattedCitation":"(Kehne et al., 1996)"},"properties":{"noteIndex":0},"schema":"https://github.com/citation-style-language/schema/raw/master/csl-citation.json"}</w:instrText>
      </w:r>
      <w:r>
        <w:rPr>
          <w:rFonts w:ascii="Times New Roman" w:eastAsia="Calibri" w:hAnsi="Times New Roman" w:cs="Times New Roman"/>
          <w:color w:val="000000"/>
          <w:lang w:val="en-US"/>
        </w:rPr>
        <w:fldChar w:fldCharType="separate"/>
      </w:r>
      <w:r>
        <w:rPr>
          <w:rFonts w:ascii="Times New Roman" w:eastAsia="Calibri" w:hAnsi="Times New Roman" w:cs="Times New Roman"/>
          <w:color w:val="000000" w:themeColor="text1"/>
          <w:lang w:val="en-US"/>
        </w:rPr>
        <w:t>(Kehne et al., 1996)</w:t>
      </w:r>
      <w:r>
        <w:rPr>
          <w:rFonts w:ascii="Times New Roman" w:eastAsia="Calibri" w:hAnsi="Times New Roman" w:cs="Times New Roman"/>
          <w:color w:val="000000"/>
          <w:lang w:val="en-US"/>
        </w:rPr>
        <w:fldChar w:fldCharType="end"/>
      </w:r>
      <w:r>
        <w:rPr>
          <w:rFonts w:ascii="Times New Roman" w:eastAsia="Calibri" w:hAnsi="Times New Roman" w:cs="Times New Roman"/>
          <w:color w:val="000000" w:themeColor="text1"/>
          <w:lang w:val="en-US"/>
        </w:rPr>
        <w:t xml:space="preserve">, was dissolved in 0.01 M phosphate-buffered saline (PBS) and 0.1 M hydrochloride, and adjusted with NaOH to pH 7. M100907 was administered at 0 (vehicle), 0.03 or 0.1 mg/kg. </w:t>
      </w:r>
    </w:p>
    <w:p w14:paraId="10D17B79" w14:textId="77777777" w:rsidR="00790D11" w:rsidRDefault="00790D11">
      <w:pPr>
        <w:spacing w:line="480" w:lineRule="auto"/>
        <w:jc w:val="both"/>
        <w:rPr>
          <w:rFonts w:ascii="Times New Roman" w:eastAsia="Calibri" w:hAnsi="Times New Roman" w:cs="Times New Roman"/>
          <w:color w:val="000000" w:themeColor="text1"/>
          <w:lang w:val="en-US"/>
        </w:rPr>
      </w:pPr>
    </w:p>
    <w:p w14:paraId="10D17B7A" w14:textId="2607ECD4"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SB-242084 (Eli Lilly, Indianapolis, IN, USA) was first dissolved in polyethene glycol 400 (PEG400) (Fisher Scientific, Loughborough, UK) at 20% of the final required volume, and then made up by 10% (w/v) hydroxypropyl-beta-cyclodextrin (Sigma-Aldrich, Poole, UK) in saline, and checked that the pH was 7. For systemic treatment, SB-242084 was administered intraperitoneally (i.p.) at doses of 0 (vehicle), 0.</w:t>
      </w:r>
      <w:r w:rsidR="00572BB2">
        <w:rPr>
          <w:rFonts w:ascii="Times New Roman" w:eastAsia="Calibri" w:hAnsi="Times New Roman" w:cs="Times New Roman"/>
          <w:color w:val="000000" w:themeColor="text1"/>
          <w:lang w:val="en-US"/>
        </w:rPr>
        <w:t xml:space="preserve">3 </w:t>
      </w:r>
      <w:r>
        <w:rPr>
          <w:rFonts w:ascii="Times New Roman" w:eastAsia="Calibri" w:hAnsi="Times New Roman" w:cs="Times New Roman"/>
          <w:color w:val="000000" w:themeColor="text1"/>
          <w:lang w:val="en-US"/>
        </w:rPr>
        <w:t xml:space="preserve">or 1.0 mg/kg in a volume of 1 ml/kg, 30 min prior to testing. Drugs were divided into the aliquots required for each test day and frozen at −80°C. </w:t>
      </w:r>
    </w:p>
    <w:p w14:paraId="10D17B7B" w14:textId="77777777" w:rsidR="00790D11" w:rsidRDefault="00790D11">
      <w:pPr>
        <w:rPr>
          <w:rFonts w:ascii="Times New Roman" w:hAnsi="Times New Roman" w:cs="Times New Roman"/>
          <w:b/>
          <w:bCs/>
          <w:lang w:val="en-US"/>
        </w:rPr>
      </w:pPr>
    </w:p>
    <w:p w14:paraId="10D17B7C" w14:textId="77777777" w:rsidR="00790D11" w:rsidRDefault="00790D11">
      <w:pPr>
        <w:rPr>
          <w:rFonts w:ascii="Times New Roman" w:hAnsi="Times New Roman" w:cs="Times New Roman"/>
          <w:b/>
          <w:bCs/>
          <w:lang w:val="en-US"/>
        </w:rPr>
      </w:pPr>
    </w:p>
    <w:p w14:paraId="10D17B7D" w14:textId="77777777" w:rsidR="00790D11" w:rsidRDefault="00623501">
      <w:pPr>
        <w:spacing w:line="480" w:lineRule="auto"/>
        <w:jc w:val="both"/>
        <w:rPr>
          <w:rFonts w:ascii="Times New Roman" w:eastAsia="Calibri" w:hAnsi="Times New Roman" w:cs="Times New Roman"/>
          <w:b/>
          <w:color w:val="000000" w:themeColor="text1"/>
          <w:lang w:val="en-US"/>
        </w:rPr>
      </w:pPr>
      <w:r>
        <w:rPr>
          <w:rFonts w:ascii="Times New Roman" w:eastAsia="Calibri" w:hAnsi="Times New Roman" w:cs="Times New Roman"/>
          <w:b/>
          <w:color w:val="000000" w:themeColor="text1"/>
          <w:lang w:val="en-US"/>
        </w:rPr>
        <w:t xml:space="preserve">Apparatus </w:t>
      </w:r>
    </w:p>
    <w:p w14:paraId="10D17B7E" w14:textId="77777777"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 xml:space="preserve">Animals were trained and tested in 12 operant chambers with touchscreens (Med Associates, Georgia, VT, USA) placed in sound- and light-attenuating wooden cabinets equipped with a fan for ventilation and masking of external noise. The chambers measured 30×39×29 cm and consisted of a clear Perspex ceiling, front door and back panel, and metal paneling on the sides of the chamber. A metal grid with a removable metal tray below made up the floor of the chamber. A central food magazine coupled to an external pellet dispenser was located on one side of the chamber. It was equipped with a light and infrared beam sensors to detect magazine entry and allowed delivery of one 45 mg sucrose pellet (TestDiet 5TUL; Sandown Scientific, </w:t>
      </w:r>
      <w:r>
        <w:rPr>
          <w:rFonts w:ascii="Times New Roman" w:eastAsia="Calibri" w:hAnsi="Times New Roman" w:cs="Times New Roman"/>
          <w:color w:val="000000" w:themeColor="text1"/>
          <w:lang w:val="en-US"/>
        </w:rPr>
        <w:lastRenderedPageBreak/>
        <w:t xml:space="preserve">Middlesex, UK) upon correct responses. A house-light (~3 W) was located near the ceiling directly above the magazine. A touch-sensitive screen (29×32 cm; (Elo Touch Solutions, Inc.) presenting visual stimuli was located on the side opposite to the magazine. Chambers were controlled by in-house software (Visual Basic 2010 Express.NET, Microsoft 2010, </w:t>
      </w:r>
      <w:r>
        <w:fldChar w:fldCharType="begin"/>
      </w:r>
      <w:r>
        <w:rPr>
          <w:rFonts w:ascii="Times New Roman" w:eastAsia="Calibri" w:hAnsi="Times New Roman" w:cs="Times New Roman"/>
          <w:color w:val="000000"/>
          <w:lang w:val="en-US"/>
        </w:rPr>
        <w:instrText>ADDIN CSL_CITATION {"citationItems":[{"id":"ITEM-1","itemData":{"DOI":"10.1038/nprot.2013.123","ISSN":"17542189","PMID":"24051960","abstract":"This protocol details a subset of assays developed within the touchscreen platform to measure various aspects of executive function in rodents. Three main procedures are included: extinction, measuring the rate and extent of curtailing a response that was previously, but is no longer, associated with reward; reversal learning, measuring the rate and extent of switching a response toward a visual stimulus that was previously not, but has become, associated with reward (and away from a visual stimulus that was previously, but is no longer, rewarded); and the 5-choice serial reaction time (5-CSRT) task, gauging the ability to selectively detect and appropriately respond to briefly presented, spatially unpredictable visual stimuli. These protocols were designed to assess both complementary and overlapping constructs including selective and divided visual attention, inhibitory control, flexibility, impulsivity and compulsivity. The procedures comprise part of a wider touchscreen test battery assessing cognition in rodents with high potential for translation to human studies. © 2013 Nature America, Inc. All rights reserved.","author":[{"dropping-particle":"","family":"Mar","given":"Adam C.","non-dropping-particle":"","parse-names":false,"suffix":""},{"dropping-particle":"","family":"Horner","given":"Alexa E.","non-dropping-particle":"","parse-names":false,"suffix":""},{"dropping-particle":"","family":"Nilsson","given":"Simon R.O.","non-dropping-particle":"","parse-names":false,"suffix":""},{"dropping-particle":"","family":"Alsiö","given":"Johan","non-dropping-particle":"","parse-names":false,"suffix":""},{"dropping-particle":"","family":"Kent","given":"Brianne A.","non-dropping-particle":"","parse-names":false,"suffix":""},{"dropping-particle":"","family":"Kim","given":"Chi Hun","non-dropping-particle":"","parse-names":false,"suffix":""},{"dropping-particle":"","family":"Holmes","given":"Andrew","non-dropping-particle":"","parse-names":false,"suffix":""},{"dropping-particle":"","family":"Saksida","given":"Lisa M.","non-dropping-particle":"","parse-names":false,"suffix":""},{"dropping-particle":"","family":"Bussey","given":"Timothy J.","non-dropping-particle":"","parse-names":false,"suffix":""}],"container-title":"Nature Protocols","id":"ITEM-1","issued":{"date-parts":[["2013"]]},"title":"The touchscreen operant platform for assessing executive function in rats and mice","type":"article-journal"},"uris":["http://www.mendeley.com/documents/?uuid=257da2f8-a122-46d9-a0ab-e8f31de3f169"]}],"mendeley":{"formattedCitation":"(Mar et al., 2013)","plainTextFormattedCitation":"(Mar et al., 2013)","previouslyFormattedCitation":"(Mar et al., 2013)"},"properties":{"noteIndex":0},"schema":"https://github.com/citation-style-language/schema/raw/master/csl-citation.json"}</w:instrText>
      </w:r>
      <w:r>
        <w:rPr>
          <w:rFonts w:ascii="Times New Roman" w:eastAsia="Calibri" w:hAnsi="Times New Roman" w:cs="Times New Roman"/>
          <w:color w:val="000000"/>
          <w:lang w:val="en-US"/>
        </w:rPr>
        <w:fldChar w:fldCharType="separate"/>
      </w:r>
      <w:r>
        <w:rPr>
          <w:rFonts w:ascii="Times New Roman" w:eastAsia="Calibri" w:hAnsi="Times New Roman" w:cs="Times New Roman"/>
          <w:color w:val="000000" w:themeColor="text1"/>
          <w:lang w:val="en-US"/>
        </w:rPr>
        <w:t>(Mar et al., 2013)</w:t>
      </w:r>
      <w:r>
        <w:rPr>
          <w:rFonts w:ascii="Times New Roman" w:eastAsia="Calibri" w:hAnsi="Times New Roman" w:cs="Times New Roman"/>
          <w:color w:val="000000"/>
          <w:lang w:val="en-US"/>
        </w:rPr>
        <w:fldChar w:fldCharType="end"/>
      </w:r>
      <w:r>
        <w:rPr>
          <w:rFonts w:ascii="Times New Roman" w:eastAsia="Calibri" w:hAnsi="Times New Roman" w:cs="Times New Roman"/>
          <w:color w:val="000000" w:themeColor="text1"/>
          <w:lang w:val="en-US"/>
        </w:rPr>
        <w:t xml:space="preserve">) and running task schedules previously published </w:t>
      </w:r>
      <w:r>
        <w:fldChar w:fldCharType="begin"/>
      </w:r>
      <w:r>
        <w:rPr>
          <w:rFonts w:ascii="Times New Roman" w:eastAsia="Calibri" w:hAnsi="Times New Roman" w:cs="Times New Roman"/>
          <w:color w:val="000000"/>
          <w:lang w:val="en-US"/>
        </w:rPr>
        <w:instrText>ADDIN CSL_CITATION {"citationItems":[{"id":"ITEM-1","itemData":{"DOI":"10.1007/s00213-019-05296-y","ISSN":"14322072","PMID":"31218428","abstract":"Rationale: Dopamine D2-like receptors (D2R) are important drug targets in schizophrenia and Parkinson’s disease, but D2R ligands also cause cognitive inflexibility such as poor reversal learning. The specific role of D2R in reversal learning remains unclear. Objectives: We tested the hypotheses that D2R agonism impairs reversal learning by blocking negative feedback and that antagonism of D1-like receptors (D1R) impairs learning from positive feedback. Methods: Male Lister Hooded rats were trained on a novel visual reversal learning task. Performance on “probe trials”, during which the correct or incorrect stimulus was presented with a third, probabilistically rewarded (50% of trials) and therefore intermediate stimulus, revealed individual learning curves for the processes of positive and negative feedback. The effects of D2R and D1R agonists and antagonists were evaluated. A separate cohort was tested on a spatial probabilistic reversal learning (PRL) task after D2R agonism. Computational reinforcement learning modelling was applied to choice data from the PRL task to evaluate the contribution of latent factors. Results: D2R agonism with quinpirole dose-dependently impaired both visual reversal and PRL. Analysis of the probe trials on the visual task revealed a complete blockade of learning from negative feedback at the 0.25 mg/kg dose, while learning from positive feedback was intact. Estimated parameters from the model that best described the PRL choice data revealed a steep and selective decrease in learning rate from losses. D1R antagonism had a transient effect on the positive probe trials. Conclusions: D2R stimulation impairs reversal learning by blocking the impact of negative feedback.","author":[{"dropping-particle":"","family":"Alsiö","given":"Johan","non-dropping-particle":"","parse-names":false,"suffix":""},{"dropping-particle":"","family":"Phillips","given":"Benjamin U.","non-dropping-particle":"","parse-names":false,"suffix":""},{"dropping-particle":"","family":"Sala-Bayo","given":"Júlia","non-dropping-particle":"","parse-names":false,"suffix":""},{"dropping-particle":"","family":"Nilsson","given":"Simon R.O.","non-dropping-particle":"","parse-names":false,"suffix":""},{"dropping-particle":"","family":"Calafat-Pla","given":"Teresa C.","non-dropping-particle":"","parse-names":false,"suffix":""},{"dropping-particle":"","family":"Rizwand","given":"Arazo","non-dropping-particle":"","parse-names":false,"suffix":""},{"dropping-particle":"","family":"Plumbridge","given":"Jessica M.","non-dropping-particle":"","parse-names":false,"suffix":""},{"dropping-particle":"","family":"López-Cruz","given":"Laura","non-dropping-particle":"","parse-names":false,"suffix":""},{"dropping-particle":"","family":"Dalley","given":"Jeffrey W.","non-dropping-particle":"","parse-names":false,"suffix":""},{"dropping-particle":"","family":"Cardinal","given":"Rudolf N.","non-dropping-particle":"","parse-names":false,"suffix":""},{"dropping-particle":"","family":"Mar","given":"Adam C.","non-dropping-particle":"","parse-names":false,"suffix":""},{"dropping-particle":"","family":"Robbins","given":"Trevor W.","non-dropping-particle":"","parse-names":false,"suffix":""}],"container-title":"Psychopharmacology","id":"ITEM-1","issue":"8","issued":{"date-parts":[["2019","8","1"]]},"page":"2307-2323","publisher":"Springer Verlag","title":"Dopamine D2-like receptor stimulation blocks negative feedback in visual and spatial reversal learning in the rat: behavioural and computational evidence","type":"article-journal","volume":"236"},"uris":["http://www.mendeley.com/documents/?uuid=d34e3704-e835-30cb-96f9-3f7848994fb2"]}],"mendeley":{"formattedCitation":"(Alsiö et al., 2019)","plainTextFormattedCitation":"(Alsiö et al., 2019)","previouslyFormattedCitation":"(Alsiö et al., 2019)"},"properties":{"noteIndex":0},"schema":"https://github.com/citation-style-language/schema/raw/master/csl-citation.json"}</w:instrText>
      </w:r>
      <w:r>
        <w:rPr>
          <w:rFonts w:ascii="Times New Roman" w:eastAsia="Calibri" w:hAnsi="Times New Roman" w:cs="Times New Roman"/>
          <w:color w:val="000000"/>
          <w:lang w:val="en-US"/>
        </w:rPr>
        <w:fldChar w:fldCharType="separate"/>
      </w:r>
      <w:r>
        <w:rPr>
          <w:rFonts w:ascii="Times New Roman" w:eastAsia="Calibri" w:hAnsi="Times New Roman" w:cs="Times New Roman"/>
          <w:color w:val="000000" w:themeColor="text1"/>
          <w:lang w:val="en-US"/>
        </w:rPr>
        <w:t>(Alsiö et al., 2019)</w:t>
      </w:r>
      <w:r>
        <w:rPr>
          <w:rFonts w:ascii="Times New Roman" w:eastAsia="Calibri" w:hAnsi="Times New Roman" w:cs="Times New Roman"/>
          <w:color w:val="000000"/>
          <w:lang w:val="en-US"/>
        </w:rPr>
        <w:fldChar w:fldCharType="end"/>
      </w:r>
      <w:r>
        <w:rPr>
          <w:rFonts w:ascii="Times New Roman" w:eastAsia="Calibri" w:hAnsi="Times New Roman" w:cs="Times New Roman"/>
          <w:color w:val="000000" w:themeColor="text1"/>
          <w:lang w:val="en-US"/>
        </w:rPr>
        <w:t>.</w:t>
      </w:r>
    </w:p>
    <w:p w14:paraId="10D17B7F" w14:textId="77777777" w:rsidR="00790D11" w:rsidRDefault="00790D11">
      <w:pPr>
        <w:spacing w:line="480" w:lineRule="auto"/>
        <w:jc w:val="both"/>
        <w:rPr>
          <w:rFonts w:ascii="Times New Roman" w:eastAsia="Calibri" w:hAnsi="Times New Roman" w:cs="Times New Roman"/>
          <w:b/>
          <w:color w:val="000000" w:themeColor="text1"/>
          <w:lang w:val="en-US"/>
        </w:rPr>
      </w:pPr>
    </w:p>
    <w:p w14:paraId="10D17B80" w14:textId="77777777" w:rsidR="00790D11" w:rsidRDefault="00623501">
      <w:pPr>
        <w:spacing w:line="480" w:lineRule="auto"/>
        <w:jc w:val="both"/>
        <w:rPr>
          <w:rFonts w:ascii="Times New Roman" w:eastAsia="Calibri" w:hAnsi="Times New Roman" w:cs="Times New Roman"/>
          <w:b/>
          <w:color w:val="000000" w:themeColor="text1"/>
          <w:lang w:val="en-US"/>
        </w:rPr>
      </w:pPr>
      <w:r>
        <w:rPr>
          <w:rFonts w:ascii="Times New Roman" w:eastAsia="Calibri" w:hAnsi="Times New Roman" w:cs="Times New Roman"/>
          <w:b/>
          <w:color w:val="000000" w:themeColor="text1"/>
          <w:lang w:val="en-US"/>
        </w:rPr>
        <w:t>Behavioral pre-training</w:t>
      </w:r>
    </w:p>
    <w:p w14:paraId="10D17B81" w14:textId="77777777"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 xml:space="preserve">The initial five-stage pre-training phase has been described in detail previously </w:t>
      </w:r>
      <w:r>
        <w:fldChar w:fldCharType="begin"/>
      </w:r>
      <w:r>
        <w:rPr>
          <w:rFonts w:ascii="Times New Roman" w:eastAsia="Calibri" w:hAnsi="Times New Roman" w:cs="Times New Roman"/>
          <w:color w:val="000000"/>
          <w:lang w:val="en-US"/>
        </w:rPr>
        <w:instrText>ADDIN CSL_CITATION {"citationItems":[{"id":"ITEM-1","itemData":{"DOI":"10.1093/cercor/bhz144","ISSN":"14602199","PMID":"31343680","abstract":"Much evidence suggests that reversal learning is mediated by cortico-striatal circuitries with the orbitofrontal cortex (OFC) playing a prominent role. The OFC is a functionally heterogeneous region, but potential differential roles of lateral (lOFC) and medial (mOFC) portions in visual reversal learning have yet to be determined. We investigated the effects of pharmacological inactivation of mOFC and lOFC on a deterministic serial visual reversal learning task for rats. For reference, we also targeted other areas previously implicated in reversal learning: prelimbic (PrL) and infralimbic (IL) prefrontal cortex, and basolateral amygdala (BLA). Inactivating mOFC and lOFC produced opposite effects; lOFC impairing, and mOFC improving, performance in the early, perseverative phase specifically. Additionally, mOFC inactivation enhanced negative feedback sensitivity, while lOFC inactivation diminished feedback sensitivity in general. mOFC and lOFC inactivation also affected novel visual discrimination learning differently; lOFC inactivation paradoxically improved learning, and mOFC inactivation had no effect. We also observed dissociable roles of the OFC and the IL/PrL. Whereas the OFC inactivation affected only perseveration, IL/PrL inactivation improved learning overall. BLA inactivation did not affect perseveration, but improved the late phase of reversal learning. These results support opponent roles of the rodent mOFC and lOFC in deterministic visual reversal learning.","author":[{"dropping-particle":"","family":"Hervig","given":"Mona","non-dropping-particle":"","parse-names":false,"suffix":""},{"dropping-particle":"","family":"Fiddian","given":"L.","non-dropping-particle":"","parse-names":false,"suffix":""},{"dropping-particle":"","family":"Piilgaard","given":"L.","non-dropping-particle":"","parse-names":false,"suffix":""},{"dropping-particle":"","family":"Bozič","given":"T.","non-dropping-particle":"","parse-names":false,"suffix":""},{"dropping-particle":"","family":"Blanco-Pozo","given":"M.","non-dropping-particle":"","parse-names":false,"suffix":""},{"dropping-particle":"","family":"Knudsen","given":"C.","non-dropping-particle":"","parse-names":false,"suffix":""},{"dropping-particle":"","family":"Olesen","given":"S. F.","non-dropping-particle":"","parse-names":false,"suffix":""},{"dropping-particle":"","family":"Alsiö","given":"J.","non-dropping-particle":"","parse-names":false,"suffix":""},{"dropping-particle":"","family":"Robbins","given":"T. W.","non-dropping-particle":"","parse-names":false,"suffix":""}],"container-title":"Cerebral Cortex","id":"ITEM-1","issued":{"date-parts":[["2020"]]},"title":"Dissociable and Paradoxical Roles of Rat Medial and Lateral Orbitofrontal Cortex in Visual Serial Reversal Learning","type":"article-journal"},"uris":["http://www.mendeley.com/documents/?uuid=edb1010f-1b09-4648-8893-cda7d8d0eb2f"]}],"mendeley":{"formattedCitation":"(Hervig et al., 2020)","plainTextFormattedCitation":"(Hervig et al., 2020)","previouslyFormattedCitation":"(Hervig, Fiddian, et al., 2020)"},"properties":{"noteIndex":0},"schema":"https://github.com/citation-style-language/schema/raw/master/csl-citation.json"}</w:instrText>
      </w:r>
      <w:r>
        <w:rPr>
          <w:rFonts w:ascii="Times New Roman" w:eastAsia="Calibri" w:hAnsi="Times New Roman" w:cs="Times New Roman"/>
          <w:color w:val="000000"/>
          <w:lang w:val="en-US"/>
        </w:rPr>
        <w:fldChar w:fldCharType="separate"/>
      </w:r>
      <w:r>
        <w:rPr>
          <w:rFonts w:ascii="Times New Roman" w:eastAsia="Calibri" w:hAnsi="Times New Roman" w:cs="Times New Roman"/>
          <w:color w:val="000000" w:themeColor="text1"/>
          <w:lang w:val="en-US"/>
        </w:rPr>
        <w:t>(Hervig et al., 2020)</w:t>
      </w:r>
      <w:r>
        <w:rPr>
          <w:rFonts w:ascii="Times New Roman" w:eastAsia="Calibri" w:hAnsi="Times New Roman" w:cs="Times New Roman"/>
          <w:color w:val="000000"/>
          <w:lang w:val="en-US"/>
        </w:rPr>
        <w:fldChar w:fldCharType="end"/>
      </w:r>
      <w:r>
        <w:rPr>
          <w:rFonts w:ascii="Times New Roman" w:eastAsia="Calibri" w:hAnsi="Times New Roman" w:cs="Times New Roman"/>
          <w:color w:val="000000" w:themeColor="text1"/>
          <w:lang w:val="en-US"/>
        </w:rPr>
        <w:t xml:space="preserve">. Following food restriction, pre-training began involving Pavlovian and instrumental conditioning. This was followed by visual discrimination training with two visual stimuli, as well as visual discrimination and reversal learning including an additional third (probe) stimulus. In stages 1 to 3, rats were trained to respond to a single white square stimulus at the bottom center of the touchscreen for sucrose reward pellets, during 60-minute daily sessions, until they reached a criterion of receiving the maximum 100 pellets in one session. The stimulus decreased in size across the three stages until a final size of 3×4 cm (‘start box’) in stage 3. In pre-training stages 4 and 5, two additional stimuli were introduced (horizontal and vertical bars); first at the bottom of the screen to ease touch (stage 4), then the stimulus was raised 5 cm to the final location on the screen to avoid accidental touches (stage 5). At this stage, touching the white starting stimulus was no longer reinforced, but instead led to the presentation of one of these novel stimuli to the left or right (pseudo-randomized location). Responding to the presented stimulus was reinforced with a sugar pellet, whereas responding to the blank side was signaled as incorrect by the illumination of the house-light for a 5 s time-out period. Performance at ≥80% correct touches to one stimulus in a session led to training sessions with the other stimulus. When criterion of &gt;80% correct touches was reached also on </w:t>
      </w:r>
      <w:r>
        <w:rPr>
          <w:rFonts w:ascii="Times New Roman" w:eastAsia="Calibri" w:hAnsi="Times New Roman" w:cs="Times New Roman"/>
          <w:color w:val="000000" w:themeColor="text1"/>
          <w:lang w:val="en-US"/>
        </w:rPr>
        <w:lastRenderedPageBreak/>
        <w:t>this stimulus, the rat moved on from stage 4 to stage 5, and after ≥80% correct touches were reached on both stimuli on stage 5, visual discrimination training ensued.</w:t>
      </w:r>
    </w:p>
    <w:p w14:paraId="10D17B82" w14:textId="77777777" w:rsidR="00790D11" w:rsidRDefault="00790D11">
      <w:pPr>
        <w:spacing w:line="480" w:lineRule="auto"/>
        <w:jc w:val="both"/>
        <w:rPr>
          <w:rFonts w:ascii="Times New Roman" w:eastAsia="Calibri" w:hAnsi="Times New Roman" w:cs="Times New Roman"/>
          <w:b/>
          <w:color w:val="000000" w:themeColor="text1"/>
          <w:lang w:val="en-US"/>
        </w:rPr>
      </w:pPr>
    </w:p>
    <w:p w14:paraId="10D17B83" w14:textId="77777777"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b/>
          <w:color w:val="000000" w:themeColor="text1"/>
          <w:lang w:val="en-US"/>
        </w:rPr>
        <w:t>Touchscreen visual discrimination and reversal</w:t>
      </w:r>
    </w:p>
    <w:p w14:paraId="10D17B84" w14:textId="1FCDE4AB"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During the visual discrimination stage, rats were presented with both stimuli simultaneously, of which one was reinforced. For session initiation, the rats would collect a free reward delivery, which led to presentation of the start box. The rat initiated a trial by responding to the start box, which initiated a simultaneous presentation of the stimuli pair (CS+ vs. CS−; ‘horizontal bars’ or ‘vertical bars’; counterbalanced across rats). Responding to the correct stimulus (A+) was reinforced with a sugar pellet, while responding to the incorrect non-reinforced stimulus (B–) triggered a house-light-signaled 5 s time-out period. Failure to make a choice of either stimulus within 10 s of trial initiation was recorded as an omission. A 5 s inter-trial-interval (ITI) period preceded the next trial. To prevent the rats from developing a side bias, the stimuli were presented on the screen (left or right side) in a pseudo-random order (max. 3 consecutive trials to the same side). The daily session ended after either 60 min, 150 rewards, or 250 trials, whichever was the first to occur. The rats reached criterion performance by making 24 correct responses out of a running window of 30 trials. Prior to the reversal learning training, a retention session with the same reward contingencies was given, as well as on the day following attainment of the learning criterion, to ensure that the rat had acquired the discrimination.</w:t>
      </w:r>
    </w:p>
    <w:p w14:paraId="10D17B85" w14:textId="77777777" w:rsidR="00790D11" w:rsidRDefault="00790D11">
      <w:pPr>
        <w:spacing w:line="480" w:lineRule="auto"/>
        <w:jc w:val="both"/>
        <w:rPr>
          <w:rFonts w:ascii="Times New Roman" w:eastAsia="Calibri" w:hAnsi="Times New Roman" w:cs="Times New Roman"/>
          <w:color w:val="000000" w:themeColor="text1"/>
          <w:lang w:val="en-US"/>
        </w:rPr>
      </w:pPr>
    </w:p>
    <w:p w14:paraId="10D17B86" w14:textId="77777777"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 xml:space="preserve">Following the retention session during visual discrimination, the contingencies reversed so the rats now had to respond to the previous non-rewarded CS− stimulus (now CS+) for reinforcement until they reached the reversal learning criterion (24/30). A retention session both preceded and followed a reversal block. </w:t>
      </w:r>
    </w:p>
    <w:p w14:paraId="10D17B87" w14:textId="77777777" w:rsidR="00790D11" w:rsidRDefault="00790D11">
      <w:pPr>
        <w:spacing w:line="480" w:lineRule="auto"/>
        <w:jc w:val="both"/>
        <w:rPr>
          <w:rFonts w:ascii="Times New Roman" w:eastAsia="Calibri" w:hAnsi="Times New Roman" w:cs="Times New Roman"/>
          <w:color w:val="000000" w:themeColor="text1"/>
          <w:lang w:val="en-US"/>
        </w:rPr>
      </w:pPr>
    </w:p>
    <w:p w14:paraId="10D17B88" w14:textId="77777777" w:rsidR="00790D11" w:rsidRDefault="00623501">
      <w:pPr>
        <w:spacing w:line="480" w:lineRule="auto"/>
        <w:jc w:val="both"/>
        <w:rPr>
          <w:rFonts w:ascii="Times New Roman" w:eastAsia="Calibri" w:hAnsi="Times New Roman" w:cs="Times New Roman"/>
          <w:b/>
          <w:color w:val="000000" w:themeColor="text1"/>
          <w:lang w:val="en-US"/>
        </w:rPr>
      </w:pPr>
      <w:r>
        <w:rPr>
          <w:rFonts w:ascii="Times New Roman" w:eastAsia="Calibri" w:hAnsi="Times New Roman" w:cs="Times New Roman"/>
          <w:b/>
          <w:color w:val="000000" w:themeColor="text1"/>
          <w:lang w:val="en-US"/>
        </w:rPr>
        <w:t>Hierarchical Bayesian reinforcement learning modelling</w:t>
      </w:r>
    </w:p>
    <w:p w14:paraId="10D17B89" w14:textId="297934AB"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 xml:space="preserve">In the highest hierarchical level, there was a group-specific mean and standard deviation for each of the parameters. </w:t>
      </w:r>
      <w:r>
        <w:rPr>
          <w:rFonts w:ascii="Times New Roman" w:eastAsia="Calibri" w:hAnsi="Times New Roman" w:cs="Times New Roman"/>
          <w:b/>
          <w:bCs/>
          <w:color w:val="000000" w:themeColor="text1"/>
          <w:lang w:val="en-US"/>
        </w:rPr>
        <w:t>Supplementary</w:t>
      </w:r>
      <w:r>
        <w:rPr>
          <w:rFonts w:ascii="Times New Roman" w:eastAsia="Calibri" w:hAnsi="Times New Roman" w:cs="Times New Roman"/>
          <w:color w:val="000000" w:themeColor="text1"/>
          <w:lang w:val="en-US"/>
        </w:rPr>
        <w:t xml:space="preserve"> </w:t>
      </w:r>
      <w:r>
        <w:rPr>
          <w:rFonts w:ascii="Times New Roman" w:eastAsia="Calibri" w:hAnsi="Times New Roman" w:cs="Times New Roman"/>
          <w:b/>
          <w:bCs/>
          <w:color w:val="000000" w:themeColor="text1"/>
          <w:lang w:val="en-US"/>
        </w:rPr>
        <w:t>Table 1</w:t>
      </w:r>
      <w:r>
        <w:rPr>
          <w:rFonts w:ascii="Times New Roman" w:eastAsia="Calibri" w:hAnsi="Times New Roman" w:cs="Times New Roman"/>
          <w:color w:val="000000" w:themeColor="text1"/>
          <w:lang w:val="en-US"/>
        </w:rPr>
        <w:t xml:space="preserve"> provides a summary of the prior values for these parameters. The parameters were drawn for each subject from a normal distribution with the respective mean and standard deviation. An RL algorithm was fitted to the behavior, and the highest posterior density interval (HDI) was calculated for group mean differences </w:t>
      </w:r>
      <w:r>
        <w:fldChar w:fldCharType="begin"/>
      </w:r>
      <w:r>
        <w:rPr>
          <w:rFonts w:ascii="Times New Roman" w:eastAsia="Calibri" w:hAnsi="Times New Roman" w:cs="Times New Roman"/>
          <w:color w:val="000000"/>
          <w:lang w:val="en-US"/>
        </w:rPr>
        <w:instrText>ADDIN CSL_CITATION {"citationItems":[{"id":"ITEM-1","itemData":{"DOI":"10.1016/B978-0-12-405888-0.09999-2","abstract":"There is an explosion of interest in Bayesian statistics, primarily because recently created computational methods have finally made Bayesian analysis obtainable to a wide audience. Doing Bayesian Data Analysis: A Tutorial with R, JAGS, and Stan provides an accessible approach to Bayesian data analysis, as material is explained clearly with concrete examples. The book begins with the basics, including essential concepts of probability and random sampling, and gradually progresses to advanced hierarchical modeling methods for realistic data. Included are step-by-step instructions on how to conduct Bayesian data analyses in the popular and free software R and WinBugs. This book is intended for first-year graduate students or advanced undergraduates. It provides a bridge between undergraduate training and modern Bayesian methods for data analysis, which is becoming the accepted research standard. Knowledge of algebra and basic calculus is a prerequisite.","author":[{"dropping-particle":"","family":"Kruschke","given":"John K.","non-dropping-particle":"","parse-names":false,"suffix":""}],"container-title":"Doing Bayesian Data Analysis: A Tutorial with R, JAGS, and Stan, Second Edition","id":"ITEM-1","issued":{"date-parts":[["2014"]]},"title":"Doing Bayesian data analysis: A tutorial with R, JAGS, and Stan, second edition","type":"book"},"uris":["http://www.mendeley.com/documents/?uuid=c10fb0ea-4cf8-30e1-9437-4b8b98f3aba6"]}],"mendeley":{"formattedCitation":"(Kruschke, 2014)","plainTextFormattedCitation":"(Kruschke, 2014)","previouslyFormattedCitation":"(Kruschke, 2014)"},"properties":{"noteIndex":0},"schema":"https://github.com/citation-style-language/schema/raw/master/csl-citation.json"}</w:instrText>
      </w:r>
      <w:r>
        <w:rPr>
          <w:rFonts w:ascii="Times New Roman" w:eastAsia="Calibri" w:hAnsi="Times New Roman" w:cs="Times New Roman"/>
          <w:color w:val="000000"/>
          <w:lang w:val="en-US"/>
        </w:rPr>
        <w:fldChar w:fldCharType="separate"/>
      </w:r>
      <w:r>
        <w:rPr>
          <w:rFonts w:ascii="Times New Roman" w:eastAsia="Calibri" w:hAnsi="Times New Roman" w:cs="Times New Roman"/>
          <w:color w:val="000000" w:themeColor="text1"/>
          <w:lang w:val="en-US"/>
        </w:rPr>
        <w:t>(Kruschke, 2014)</w:t>
      </w:r>
      <w:r>
        <w:rPr>
          <w:rFonts w:ascii="Times New Roman" w:eastAsia="Calibri" w:hAnsi="Times New Roman" w:cs="Times New Roman"/>
          <w:color w:val="000000"/>
          <w:lang w:val="en-US"/>
        </w:rPr>
        <w:fldChar w:fldCharType="end"/>
      </w:r>
      <w:r>
        <w:rPr>
          <w:rFonts w:ascii="Times New Roman" w:eastAsia="Calibri" w:hAnsi="Times New Roman" w:cs="Times New Roman"/>
          <w:color w:val="000000" w:themeColor="text1"/>
          <w:lang w:val="en-US"/>
        </w:rPr>
        <w:t>. Please see the main text for an explanation of how the Q</w:t>
      </w:r>
      <w:r w:rsidR="0084580C">
        <w:rPr>
          <w:rFonts w:ascii="Times New Roman" w:eastAsia="Calibri" w:hAnsi="Times New Roman" w:cs="Times New Roman"/>
          <w:color w:val="000000" w:themeColor="text1"/>
          <w:lang w:val="en-US"/>
        </w:rPr>
        <w:t>-</w:t>
      </w:r>
      <w:r>
        <w:rPr>
          <w:rFonts w:ascii="Times New Roman" w:eastAsia="Calibri" w:hAnsi="Times New Roman" w:cs="Times New Roman"/>
          <w:color w:val="000000" w:themeColor="text1"/>
          <w:lang w:val="en-US"/>
        </w:rPr>
        <w:t>values were updated and associated equations.</w:t>
      </w:r>
    </w:p>
    <w:p w14:paraId="10D17B8A" w14:textId="77777777" w:rsidR="00790D11" w:rsidRDefault="00790D11">
      <w:pPr>
        <w:spacing w:line="480" w:lineRule="auto"/>
        <w:jc w:val="both"/>
        <w:rPr>
          <w:rFonts w:ascii="Times New Roman" w:eastAsia="Calibri" w:hAnsi="Times New Roman" w:cs="Times New Roman"/>
          <w:color w:val="000000" w:themeColor="text1"/>
          <w:lang w:val="en-US"/>
        </w:rPr>
      </w:pPr>
    </w:p>
    <w:p w14:paraId="10D17B8B" w14:textId="77777777" w:rsidR="00790D11" w:rsidRDefault="00623501">
      <w:pPr>
        <w:spacing w:line="480" w:lineRule="auto"/>
        <w:jc w:val="both"/>
        <w:rPr>
          <w:rFonts w:ascii="Times New Roman" w:eastAsia="Calibri" w:hAnsi="Times New Roman" w:cs="Times New Roman"/>
          <w:bCs/>
          <w:color w:val="000000" w:themeColor="text1"/>
          <w:lang w:val="en-US"/>
        </w:rPr>
      </w:pPr>
      <w:r>
        <w:rPr>
          <w:rFonts w:ascii="Times New Roman" w:eastAsia="Calibri" w:hAnsi="Times New Roman" w:cs="Times New Roman"/>
          <w:bCs/>
          <w:color w:val="000000" w:themeColor="text1"/>
          <w:lang w:val="en-US"/>
        </w:rPr>
        <w:t xml:space="preserve">The models that were fitted to the data were the following: </w:t>
      </w:r>
    </w:p>
    <w:p w14:paraId="10D17B8C" w14:textId="77777777" w:rsidR="00790D11" w:rsidRDefault="00623501">
      <w:pPr>
        <w:spacing w:before="240" w:after="240"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 xml:space="preserve">1. </w:t>
      </w:r>
      <w:r>
        <w:rPr>
          <w:rFonts w:ascii="Times New Roman" w:eastAsia="Calibri" w:hAnsi="Times New Roman" w:cs="Times New Roman"/>
          <w:b/>
          <w:color w:val="000000" w:themeColor="text1"/>
          <w:lang w:val="en-US"/>
        </w:rPr>
        <w:t>Two parameters:</w:t>
      </w:r>
      <w:r>
        <w:rPr>
          <w:rFonts w:ascii="Times New Roman" w:eastAsia="Calibri" w:hAnsi="Times New Roman" w:cs="Times New Roman"/>
          <w:color w:val="000000" w:themeColor="text1"/>
          <w:lang w:val="en-US"/>
        </w:rPr>
        <w:t xml:space="preserve"> </w:t>
      </w:r>
      <w:r>
        <w:rPr>
          <w:rFonts w:ascii="Times New Roman" w:eastAsia="Calibri" w:hAnsi="Times New Roman" w:cs="Times New Roman"/>
          <w:b/>
          <w:color w:val="000000" w:themeColor="text1"/>
          <w:lang w:val="en-US"/>
        </w:rPr>
        <w:t>α and β</w:t>
      </w:r>
      <w:r>
        <w:rPr>
          <w:rFonts w:ascii="Times New Roman" w:eastAsia="Calibri" w:hAnsi="Times New Roman" w:cs="Times New Roman"/>
          <w:color w:val="000000" w:themeColor="text1"/>
          <w:lang w:val="en-US"/>
        </w:rPr>
        <w:t>, the learning rate and reinforcement sensitivity parameter. The Q-value on each trial is calculated by adding the Q-value for that stimulus from the previous trial to the prediction error multiplied by the learning rate. See equation 1 in the main text for further information.</w:t>
      </w:r>
    </w:p>
    <w:p w14:paraId="10D17B8D" w14:textId="748FC0C8" w:rsidR="00790D11" w:rsidRDefault="00623501">
      <w:pPr>
        <w:spacing w:before="240" w:after="240" w:line="480" w:lineRule="auto"/>
        <w:jc w:val="both"/>
        <w:rPr>
          <w:rFonts w:ascii="Times New Roman" w:hAnsi="Times New Roman" w:cs="Times New Roman"/>
          <w:color w:val="000000" w:themeColor="text1"/>
          <w:lang w:val="en-US"/>
        </w:rPr>
      </w:pPr>
      <w:r>
        <w:rPr>
          <w:rFonts w:ascii="Times New Roman" w:eastAsia="Calibri" w:hAnsi="Times New Roman" w:cs="Times New Roman"/>
          <w:color w:val="000000" w:themeColor="text1"/>
          <w:lang w:val="en-US"/>
        </w:rPr>
        <w:t xml:space="preserve">2. </w:t>
      </w:r>
      <w:r>
        <w:rPr>
          <w:rFonts w:ascii="Times New Roman" w:eastAsia="Calibri" w:hAnsi="Times New Roman" w:cs="Times New Roman"/>
          <w:b/>
          <w:color w:val="000000" w:themeColor="text1"/>
          <w:lang w:val="en-US"/>
        </w:rPr>
        <w:t>Three parameters: α,</w:t>
      </w:r>
      <w:r>
        <w:rPr>
          <w:rFonts w:ascii="Times New Roman" w:eastAsia="Calibri" w:hAnsi="Times New Roman" w:cs="Times New Roman"/>
          <w:color w:val="000000" w:themeColor="text1"/>
          <w:lang w:val="en-US"/>
        </w:rPr>
        <w:t xml:space="preserve"> </w:t>
      </w:r>
      <w:r>
        <w:rPr>
          <w:rFonts w:ascii="Times New Roman" w:eastAsia="Calibri" w:hAnsi="Times New Roman" w:cs="Times New Roman"/>
          <w:b/>
          <w:color w:val="000000" w:themeColor="text1"/>
          <w:lang w:val="en-US"/>
        </w:rPr>
        <w:t>β,</w:t>
      </w:r>
      <w:r>
        <w:rPr>
          <w:rFonts w:ascii="Times New Roman" w:eastAsia="Calibri" w:hAnsi="Times New Roman" w:cs="Times New Roman"/>
          <w:color w:val="000000" w:themeColor="text1"/>
          <w:lang w:val="en-US"/>
        </w:rPr>
        <w:t xml:space="preserve"> stimulus stickiness parameter </w:t>
      </w:r>
      <w:r>
        <w:rPr>
          <w:rFonts w:ascii="Times New Roman" w:eastAsia="Calibri" w:hAnsi="Times New Roman" w:cs="Times New Roman"/>
          <w:b/>
          <w:color w:val="000000" w:themeColor="text1"/>
          <w:lang w:val="en-US"/>
        </w:rPr>
        <w:t>κ</w:t>
      </w:r>
      <w:r>
        <w:rPr>
          <w:rFonts w:ascii="Times New Roman" w:eastAsia="Calibri" w:hAnsi="Times New Roman" w:cs="Times New Roman"/>
          <w:b/>
          <w:color w:val="000000" w:themeColor="text1"/>
          <w:vertAlign w:val="subscript"/>
          <w:lang w:val="en-US"/>
        </w:rPr>
        <w:t>stim</w:t>
      </w:r>
      <w:r>
        <w:rPr>
          <w:rFonts w:ascii="Times New Roman" w:eastAsia="Calibri" w:hAnsi="Times New Roman" w:cs="Times New Roman"/>
          <w:color w:val="000000" w:themeColor="text1"/>
          <w:lang w:val="en-US"/>
        </w:rPr>
        <w:t>. The κ</w:t>
      </w:r>
      <w:r>
        <w:rPr>
          <w:rFonts w:ascii="Times New Roman" w:eastAsia="Calibri" w:hAnsi="Times New Roman" w:cs="Times New Roman"/>
          <w:color w:val="000000" w:themeColor="text1"/>
          <w:vertAlign w:val="subscript"/>
          <w:lang w:val="en-US"/>
        </w:rPr>
        <w:t>stim</w:t>
      </w:r>
      <w:r>
        <w:rPr>
          <w:rFonts w:ascii="Times New Roman" w:eastAsia="Calibri" w:hAnsi="Times New Roman" w:cs="Times New Roman"/>
          <w:color w:val="000000" w:themeColor="text1"/>
          <w:lang w:val="en-US"/>
        </w:rPr>
        <w:t xml:space="preserve"> parameter represents the tendency to respond to the same stimulus as on the previous trial, regardless of its location and whether the stimulus was rewarded or not. This parameter updates the Q-value according to: </w:t>
      </w:r>
      <m:oMath>
        <m:sSub>
          <m:sSubPr>
            <m:ctrlPr>
              <w:rPr>
                <w:rFonts w:ascii="Cambria Math" w:hAnsi="Cambria Math"/>
              </w:rPr>
            </m:ctrlPr>
          </m:sSubPr>
          <m:e>
            <m:sSup>
              <m:sSupPr>
                <m:ctrlPr>
                  <w:rPr>
                    <w:rFonts w:ascii="Cambria Math" w:hAnsi="Cambria Math"/>
                  </w:rPr>
                </m:ctrlPr>
              </m:sSupPr>
              <m:e>
                <m:r>
                  <w:rPr>
                    <w:rFonts w:ascii="Cambria Math" w:hAnsi="Cambria Math"/>
                  </w:rPr>
                  <m:t>Q</m:t>
                </m:r>
              </m:e>
              <m:sup>
                <m:r>
                  <w:rPr>
                    <w:rFonts w:ascii="Cambria Math" w:hAnsi="Cambria Math"/>
                  </w:rPr>
                  <m:t>stim</m:t>
                </m:r>
              </m:sup>
            </m:sSup>
          </m:e>
          <m:sub>
            <m:r>
              <w:rPr>
                <w:rFonts w:ascii="Cambria Math" w:hAnsi="Cambria Math"/>
              </w:rPr>
              <m:t>s,t</m:t>
            </m:r>
          </m:sub>
        </m:sSub>
        <m:r>
          <w:rPr>
            <w:rFonts w:ascii="Cambria Math" w:hAnsi="Cambria Math"/>
          </w:rPr>
          <m:t>=</m:t>
        </m:r>
        <m:sSub>
          <m:sSubPr>
            <m:ctrlPr>
              <w:rPr>
                <w:rFonts w:ascii="Cambria Math" w:hAnsi="Cambria Math"/>
              </w:rPr>
            </m:ctrlPr>
          </m:sSubPr>
          <m:e>
            <m:r>
              <w:rPr>
                <w:rFonts w:ascii="Cambria Math" w:hAnsi="Cambria Math"/>
              </w:rPr>
              <m:t>κ</m:t>
            </m:r>
          </m:e>
          <m:sub>
            <m:r>
              <w:rPr>
                <w:rFonts w:ascii="Cambria Math" w:hAnsi="Cambria Math"/>
              </w:rPr>
              <m:t>stim</m:t>
            </m:r>
          </m:sub>
        </m:sSub>
        <m:sSub>
          <m:sSubPr>
            <m:ctrlPr>
              <w:rPr>
                <w:rFonts w:ascii="Cambria Math" w:hAnsi="Cambria Math"/>
              </w:rPr>
            </m:ctrlPr>
          </m:sSubPr>
          <m:e>
            <m:r>
              <w:rPr>
                <w:rFonts w:ascii="Cambria Math" w:hAnsi="Cambria Math"/>
              </w:rPr>
              <m:t>S</m:t>
            </m:r>
          </m:e>
          <m:sub>
            <m:r>
              <w:rPr>
                <w:rFonts w:ascii="Cambria Math" w:hAnsi="Cambria Math"/>
              </w:rPr>
              <m:t>s,t-1</m:t>
            </m:r>
          </m:sub>
        </m:sSub>
      </m:oMath>
      <w:r>
        <w:rPr>
          <w:rFonts w:ascii="Times New Roman" w:eastAsia="Calibri" w:hAnsi="Times New Roman" w:cs="Times New Roman"/>
          <w:color w:val="000000" w:themeColor="text1"/>
          <w:lang w:val="en-US"/>
        </w:rPr>
        <w:t xml:space="preserve">, where </w:t>
      </w:r>
      <m:oMath>
        <m:sSub>
          <m:sSubPr>
            <m:ctrlPr>
              <w:rPr>
                <w:rFonts w:ascii="Cambria Math" w:hAnsi="Cambria Math"/>
              </w:rPr>
            </m:ctrlPr>
          </m:sSubPr>
          <m:e>
            <m:r>
              <w:rPr>
                <w:rFonts w:ascii="Cambria Math" w:hAnsi="Cambria Math"/>
              </w:rPr>
              <m:t>S</m:t>
            </m:r>
          </m:e>
          <m:sub>
            <m:r>
              <w:rPr>
                <w:rFonts w:ascii="Cambria Math" w:hAnsi="Cambria Math"/>
              </w:rPr>
              <m:t>s,t-1</m:t>
            </m:r>
          </m:sub>
        </m:sSub>
      </m:oMath>
      <w:r>
        <w:rPr>
          <w:rFonts w:ascii="Times New Roman" w:eastAsia="Calibri" w:hAnsi="Times New Roman" w:cs="Times New Roman"/>
          <w:color w:val="000000" w:themeColor="text1"/>
          <w:lang w:val="en-US"/>
        </w:rPr>
        <w:t xml:space="preserve">  is the stimulus chosen by the subject on the previous trial. This value is 1 if the same stimulus was chosen, and 0 if the other stimulus was chosen. Finally, the Q-value is determined by the sum </w:t>
      </w:r>
      <w:r>
        <w:rPr>
          <w:rFonts w:ascii="Times New Roman" w:hAnsi="Times New Roman" w:cs="Times New Roman"/>
          <w:color w:val="000000" w:themeColor="text1"/>
          <w:lang w:val="en-US"/>
        </w:rPr>
        <w:t xml:space="preserve">of  </w:t>
      </w:r>
      <m:oMath>
        <m:sSub>
          <m:sSubPr>
            <m:ctrlPr>
              <w:rPr>
                <w:rFonts w:ascii="Cambria Math" w:hAnsi="Cambria Math"/>
              </w:rPr>
            </m:ctrlPr>
          </m:sSubPr>
          <m:e>
            <m:sSup>
              <m:sSupPr>
                <m:ctrlPr>
                  <w:rPr>
                    <w:rFonts w:ascii="Cambria Math" w:hAnsi="Cambria Math"/>
                  </w:rPr>
                </m:ctrlPr>
              </m:sSupPr>
              <m:e>
                <m:r>
                  <w:rPr>
                    <w:rFonts w:ascii="Cambria Math" w:hAnsi="Cambria Math"/>
                  </w:rPr>
                  <m:t>Q</m:t>
                </m:r>
              </m:e>
              <m:sup>
                <m:r>
                  <w:rPr>
                    <w:rFonts w:ascii="Cambria Math" w:hAnsi="Cambria Math"/>
                  </w:rPr>
                  <m:t>stim</m:t>
                </m:r>
              </m:sup>
            </m:sSup>
          </m:e>
          <m:sub>
            <m:r>
              <w:rPr>
                <w:rFonts w:ascii="Cambria Math" w:hAnsi="Cambria Math"/>
              </w:rPr>
              <m:t>s,t</m:t>
            </m:r>
          </m:sub>
        </m:sSub>
      </m:oMath>
      <w:r>
        <w:rPr>
          <w:rFonts w:ascii="Times New Roman" w:hAnsi="Times New Roman" w:cs="Times New Roman"/>
          <w:color w:val="000000" w:themeColor="text1"/>
          <w:lang w:val="en-US"/>
        </w:rPr>
        <w:t xml:space="preserve"> and the Q-value as calculated in equation 1.</w:t>
      </w:r>
    </w:p>
    <w:p w14:paraId="10D17B8E" w14:textId="5D445618" w:rsidR="00790D11" w:rsidRDefault="00623501">
      <w:pPr>
        <w:spacing w:before="240" w:after="240"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 xml:space="preserve">3. </w:t>
      </w:r>
      <w:r>
        <w:rPr>
          <w:rFonts w:ascii="Times New Roman" w:eastAsia="Calibri" w:hAnsi="Times New Roman" w:cs="Times New Roman"/>
          <w:b/>
          <w:color w:val="000000" w:themeColor="text1"/>
          <w:lang w:val="en-US"/>
        </w:rPr>
        <w:t>Three parameters: α,</w:t>
      </w:r>
      <w:r>
        <w:rPr>
          <w:rFonts w:ascii="Times New Roman" w:eastAsia="Calibri" w:hAnsi="Times New Roman" w:cs="Times New Roman"/>
          <w:color w:val="000000" w:themeColor="text1"/>
          <w:lang w:val="en-US"/>
        </w:rPr>
        <w:t xml:space="preserve"> </w:t>
      </w:r>
      <w:r>
        <w:rPr>
          <w:rFonts w:ascii="Times New Roman" w:eastAsia="Calibri" w:hAnsi="Times New Roman" w:cs="Times New Roman"/>
          <w:b/>
          <w:color w:val="000000" w:themeColor="text1"/>
          <w:lang w:val="en-US"/>
        </w:rPr>
        <w:t>β,</w:t>
      </w:r>
      <w:r>
        <w:rPr>
          <w:rFonts w:ascii="Times New Roman" w:eastAsia="Calibri" w:hAnsi="Times New Roman" w:cs="Times New Roman"/>
          <w:color w:val="000000" w:themeColor="text1"/>
          <w:lang w:val="en-US"/>
        </w:rPr>
        <w:t xml:space="preserve"> side stickiness parameter </w:t>
      </w:r>
      <w:r>
        <w:rPr>
          <w:rFonts w:ascii="Times New Roman" w:eastAsia="Calibri" w:hAnsi="Times New Roman" w:cs="Times New Roman"/>
          <w:b/>
          <w:color w:val="000000" w:themeColor="text1"/>
          <w:lang w:val="en-US"/>
        </w:rPr>
        <w:t>κ</w:t>
      </w:r>
      <w:r>
        <w:rPr>
          <w:rFonts w:ascii="Times New Roman" w:eastAsia="Calibri" w:hAnsi="Times New Roman" w:cs="Times New Roman"/>
          <w:b/>
          <w:color w:val="000000" w:themeColor="text1"/>
          <w:vertAlign w:val="subscript"/>
          <w:lang w:val="en-US"/>
        </w:rPr>
        <w:t>side</w:t>
      </w:r>
      <w:r>
        <w:rPr>
          <w:rFonts w:ascii="Times New Roman" w:eastAsia="Calibri" w:hAnsi="Times New Roman" w:cs="Times New Roman"/>
          <w:color w:val="000000" w:themeColor="text1"/>
          <w:lang w:val="en-US"/>
        </w:rPr>
        <w:t xml:space="preserve">. </w:t>
      </w:r>
      <w:r>
        <w:rPr>
          <w:rFonts w:ascii="Times New Roman" w:eastAsia="Calibri" w:hAnsi="Times New Roman" w:cs="Times New Roman"/>
          <w:bCs/>
          <w:color w:val="000000" w:themeColor="text1"/>
          <w:lang w:val="en-US"/>
        </w:rPr>
        <w:t xml:space="preserve">Instead of the stimulus stickiness parameter, the side stickiness parameter was included. It reflects the tendency to select the same </w:t>
      </w:r>
      <w:r>
        <w:rPr>
          <w:rFonts w:ascii="Times New Roman" w:eastAsia="Calibri" w:hAnsi="Times New Roman" w:cs="Times New Roman"/>
          <w:bCs/>
          <w:color w:val="000000" w:themeColor="text1"/>
          <w:lang w:val="en-US"/>
        </w:rPr>
        <w:lastRenderedPageBreak/>
        <w:t>side as on the last trial. It was used to update the Q-values using the following equation</w:t>
      </w:r>
      <w:r>
        <w:rPr>
          <w:rFonts w:ascii="Times New Roman" w:eastAsia="Calibri" w:hAnsi="Times New Roman" w:cs="Times New Roman"/>
          <w:color w:val="000000" w:themeColor="text1"/>
          <w:lang w:val="en-US"/>
        </w:rPr>
        <w:t xml:space="preserve">: </w:t>
      </w:r>
      <m:oMath>
        <m:sSub>
          <m:sSubPr>
            <m:ctrlPr>
              <w:rPr>
                <w:rFonts w:ascii="Cambria Math" w:hAnsi="Cambria Math"/>
              </w:rPr>
            </m:ctrlPr>
          </m:sSubPr>
          <m:e>
            <m:sSup>
              <m:sSupPr>
                <m:ctrlPr>
                  <w:rPr>
                    <w:rFonts w:ascii="Cambria Math" w:hAnsi="Cambria Math"/>
                  </w:rPr>
                </m:ctrlPr>
              </m:sSupPr>
              <m:e>
                <m:r>
                  <w:rPr>
                    <w:rFonts w:ascii="Cambria Math" w:hAnsi="Cambria Math"/>
                  </w:rPr>
                  <m:t>Q</m:t>
                </m:r>
              </m:e>
              <m:sup>
                <m:r>
                  <w:rPr>
                    <w:rFonts w:ascii="Cambria Math" w:hAnsi="Cambria Math"/>
                  </w:rPr>
                  <m:t>loc</m:t>
                </m:r>
              </m:sup>
            </m:sSup>
          </m:e>
          <m:sub>
            <m:r>
              <w:rPr>
                <w:rFonts w:ascii="Cambria Math" w:hAnsi="Cambria Math"/>
              </w:rPr>
              <m:t>s,t</m:t>
            </m:r>
          </m:sub>
        </m:sSub>
        <m:r>
          <w:rPr>
            <w:rFonts w:ascii="Cambria Math" w:hAnsi="Cambria Math"/>
          </w:rPr>
          <m:t>=</m:t>
        </m:r>
        <m:sSub>
          <m:sSubPr>
            <m:ctrlPr>
              <w:rPr>
                <w:rFonts w:ascii="Cambria Math" w:hAnsi="Cambria Math"/>
              </w:rPr>
            </m:ctrlPr>
          </m:sSubPr>
          <m:e>
            <m:r>
              <w:rPr>
                <w:rFonts w:ascii="Cambria Math" w:hAnsi="Cambria Math"/>
              </w:rPr>
              <m:t>κ</m:t>
            </m:r>
          </m:e>
          <m:sub>
            <m:r>
              <w:rPr>
                <w:rFonts w:ascii="Cambria Math" w:hAnsi="Cambria Math"/>
              </w:rPr>
              <m:t>side</m:t>
            </m:r>
          </m:sub>
        </m:sSub>
        <m:sSub>
          <m:sSubPr>
            <m:ctrlPr>
              <w:rPr>
                <w:rFonts w:ascii="Cambria Math" w:hAnsi="Cambria Math"/>
              </w:rPr>
            </m:ctrlPr>
          </m:sSubPr>
          <m:e>
            <m:r>
              <w:rPr>
                <w:rFonts w:ascii="Cambria Math" w:hAnsi="Cambria Math"/>
              </w:rPr>
              <m:t>L</m:t>
            </m:r>
          </m:e>
          <m:sub>
            <m:r>
              <w:rPr>
                <w:rFonts w:ascii="Cambria Math" w:hAnsi="Cambria Math"/>
              </w:rPr>
              <m:t>s,t-1</m:t>
            </m:r>
          </m:sub>
        </m:sSub>
      </m:oMath>
      <w:r>
        <w:rPr>
          <w:rFonts w:ascii="Times New Roman" w:eastAsia="Calibri" w:hAnsi="Times New Roman" w:cs="Times New Roman"/>
          <w:color w:val="000000" w:themeColor="text1"/>
          <w:lang w:val="en-US"/>
        </w:rPr>
        <w:t xml:space="preserve">. </w:t>
      </w:r>
      <m:oMath>
        <m:sSub>
          <m:sSubPr>
            <m:ctrlPr>
              <w:rPr>
                <w:rFonts w:ascii="Cambria Math" w:hAnsi="Cambria Math"/>
              </w:rPr>
            </m:ctrlPr>
          </m:sSubPr>
          <m:e>
            <m:r>
              <w:rPr>
                <w:rFonts w:ascii="Cambria Math" w:hAnsi="Cambria Math"/>
              </w:rPr>
              <m:t>L</m:t>
            </m:r>
          </m:e>
          <m:sub>
            <m:r>
              <w:rPr>
                <w:rFonts w:ascii="Cambria Math" w:hAnsi="Cambria Math"/>
              </w:rPr>
              <m:t>s,t-1</m:t>
            </m:r>
          </m:sub>
        </m:sSub>
      </m:oMath>
      <w:r>
        <w:rPr>
          <w:rFonts w:ascii="Times New Roman" w:eastAsia="Calibri" w:hAnsi="Times New Roman" w:cs="Times New Roman"/>
          <w:color w:val="000000" w:themeColor="text1"/>
          <w:lang w:val="en-US"/>
        </w:rPr>
        <w:t xml:space="preserve"> is the side chosen by the subject on the last trial. This value is 1 if the same side was chosen, and 0 if the other side was chosen. The final Q-value is the sum of </w:t>
      </w:r>
      <m:oMath>
        <m:sSub>
          <m:sSubPr>
            <m:ctrlPr>
              <w:rPr>
                <w:rFonts w:ascii="Cambria Math" w:hAnsi="Cambria Math"/>
              </w:rPr>
            </m:ctrlPr>
          </m:sSubPr>
          <m:e>
            <m:sSup>
              <m:sSupPr>
                <m:ctrlPr>
                  <w:rPr>
                    <w:rFonts w:ascii="Cambria Math" w:hAnsi="Cambria Math"/>
                  </w:rPr>
                </m:ctrlPr>
              </m:sSupPr>
              <m:e>
                <m:r>
                  <w:rPr>
                    <w:rFonts w:ascii="Cambria Math" w:hAnsi="Cambria Math"/>
                  </w:rPr>
                  <m:t>Q</m:t>
                </m:r>
              </m:e>
              <m:sup>
                <m:r>
                  <w:rPr>
                    <w:rFonts w:ascii="Cambria Math" w:hAnsi="Cambria Math"/>
                  </w:rPr>
                  <m:t>loc</m:t>
                </m:r>
              </m:sup>
            </m:sSup>
          </m:e>
          <m:sub>
            <m:r>
              <w:rPr>
                <w:rFonts w:ascii="Cambria Math" w:hAnsi="Cambria Math"/>
              </w:rPr>
              <m:t>s,t</m:t>
            </m:r>
          </m:sub>
        </m:sSub>
      </m:oMath>
      <w:r>
        <w:rPr>
          <w:rFonts w:ascii="Times New Roman" w:eastAsia="Calibri" w:hAnsi="Times New Roman" w:cs="Times New Roman"/>
          <w:color w:val="000000" w:themeColor="text1"/>
          <w:lang w:val="en-US"/>
        </w:rPr>
        <w:t xml:space="preserve"> and the Q-value as calculated in equation 1.</w:t>
      </w:r>
    </w:p>
    <w:p w14:paraId="10D17B8F" w14:textId="77777777" w:rsidR="00790D11" w:rsidRDefault="00623501">
      <w:pPr>
        <w:spacing w:before="240" w:after="240" w:line="480" w:lineRule="auto"/>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4. </w:t>
      </w:r>
      <w:r>
        <w:rPr>
          <w:rFonts w:ascii="Times New Roman" w:eastAsia="Calibri" w:hAnsi="Times New Roman" w:cs="Times New Roman"/>
          <w:b/>
          <w:color w:val="000000" w:themeColor="text1"/>
          <w:lang w:val="en-US"/>
        </w:rPr>
        <w:t>Four parameters: α, β, κ</w:t>
      </w:r>
      <w:r>
        <w:rPr>
          <w:rFonts w:ascii="Times New Roman" w:eastAsia="Calibri" w:hAnsi="Times New Roman" w:cs="Times New Roman"/>
          <w:b/>
          <w:color w:val="000000" w:themeColor="text1"/>
          <w:vertAlign w:val="subscript"/>
          <w:lang w:val="en-US"/>
        </w:rPr>
        <w:t>stim</w:t>
      </w:r>
      <w:r>
        <w:rPr>
          <w:rFonts w:ascii="Times New Roman" w:eastAsia="Calibri" w:hAnsi="Times New Roman" w:cs="Times New Roman"/>
          <w:b/>
          <w:color w:val="000000" w:themeColor="text1"/>
          <w:lang w:val="en-US"/>
        </w:rPr>
        <w:t xml:space="preserve"> and κ</w:t>
      </w:r>
      <w:r>
        <w:rPr>
          <w:rFonts w:ascii="Times New Roman" w:eastAsia="Calibri" w:hAnsi="Times New Roman" w:cs="Times New Roman"/>
          <w:b/>
          <w:color w:val="000000" w:themeColor="text1"/>
          <w:vertAlign w:val="subscript"/>
          <w:lang w:val="en-US"/>
        </w:rPr>
        <w:t>side</w:t>
      </w:r>
      <w:r>
        <w:rPr>
          <w:rFonts w:ascii="Times New Roman" w:eastAsia="Calibri" w:hAnsi="Times New Roman" w:cs="Times New Roman"/>
          <w:b/>
          <w:color w:val="000000" w:themeColor="text1"/>
          <w:lang w:val="en-US"/>
        </w:rPr>
        <w:t>.</w:t>
      </w:r>
    </w:p>
    <w:p w14:paraId="10D17B90" w14:textId="77777777" w:rsidR="00790D11" w:rsidRDefault="00623501">
      <w:pPr>
        <w:spacing w:before="240" w:after="240"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 xml:space="preserve">5. </w:t>
      </w:r>
      <w:r>
        <w:rPr>
          <w:rFonts w:ascii="Times New Roman" w:eastAsia="Calibri" w:hAnsi="Times New Roman" w:cs="Times New Roman"/>
          <w:b/>
          <w:color w:val="000000" w:themeColor="text1"/>
          <w:lang w:val="en-US"/>
        </w:rPr>
        <w:t>Three parameters: α</w:t>
      </w:r>
      <w:r>
        <w:rPr>
          <w:rFonts w:ascii="Times New Roman" w:eastAsia="Calibri" w:hAnsi="Times New Roman" w:cs="Times New Roman"/>
          <w:b/>
          <w:color w:val="000000" w:themeColor="text1"/>
          <w:vertAlign w:val="subscript"/>
          <w:lang w:val="en-US"/>
        </w:rPr>
        <w:t>rew</w:t>
      </w:r>
      <w:r>
        <w:rPr>
          <w:rFonts w:ascii="Times New Roman" w:eastAsia="Calibri" w:hAnsi="Times New Roman" w:cs="Times New Roman"/>
          <w:b/>
          <w:color w:val="000000" w:themeColor="text1"/>
          <w:lang w:val="en-US"/>
        </w:rPr>
        <w:t>, α</w:t>
      </w:r>
      <w:r>
        <w:rPr>
          <w:rFonts w:ascii="Times New Roman" w:eastAsia="Calibri" w:hAnsi="Times New Roman" w:cs="Times New Roman"/>
          <w:b/>
          <w:color w:val="000000" w:themeColor="text1"/>
          <w:vertAlign w:val="subscript"/>
          <w:lang w:val="en-US"/>
        </w:rPr>
        <w:t>pun</w:t>
      </w:r>
      <w:r>
        <w:rPr>
          <w:rFonts w:ascii="Times New Roman" w:eastAsia="Calibri" w:hAnsi="Times New Roman" w:cs="Times New Roman"/>
          <w:b/>
          <w:color w:val="000000" w:themeColor="text1"/>
          <w:lang w:val="en-US"/>
        </w:rPr>
        <w:t xml:space="preserve">, β. </w:t>
      </w:r>
      <w:r>
        <w:rPr>
          <w:rFonts w:ascii="Times New Roman" w:eastAsia="Calibri" w:hAnsi="Times New Roman" w:cs="Times New Roman"/>
          <w:color w:val="000000" w:themeColor="text1"/>
          <w:lang w:val="en-US"/>
        </w:rPr>
        <w:t>As in model 1, but the learning rates were separated for rewarded and non-rewarded trials.</w:t>
      </w:r>
    </w:p>
    <w:p w14:paraId="10D17B91" w14:textId="77777777" w:rsidR="00790D11" w:rsidRDefault="00623501">
      <w:pPr>
        <w:spacing w:before="240" w:after="240" w:line="480" w:lineRule="auto"/>
        <w:jc w:val="both"/>
        <w:rPr>
          <w:rFonts w:ascii="Times New Roman" w:eastAsia="Calibri" w:hAnsi="Times New Roman" w:cs="Times New Roman"/>
          <w:b/>
          <w:color w:val="000000" w:themeColor="text1"/>
          <w:lang w:val="en-US"/>
        </w:rPr>
      </w:pPr>
      <w:r>
        <w:rPr>
          <w:rFonts w:ascii="Times New Roman" w:eastAsia="Calibri" w:hAnsi="Times New Roman" w:cs="Times New Roman"/>
          <w:color w:val="000000" w:themeColor="text1"/>
          <w:lang w:val="en-US"/>
        </w:rPr>
        <w:t xml:space="preserve">6. </w:t>
      </w:r>
      <w:r>
        <w:rPr>
          <w:rFonts w:ascii="Times New Roman" w:eastAsia="Calibri" w:hAnsi="Times New Roman" w:cs="Times New Roman"/>
          <w:b/>
          <w:color w:val="000000" w:themeColor="text1"/>
          <w:lang w:val="en-US"/>
        </w:rPr>
        <w:t>Four parameters: α</w:t>
      </w:r>
      <w:r>
        <w:rPr>
          <w:rFonts w:ascii="Times New Roman" w:eastAsia="Calibri" w:hAnsi="Times New Roman" w:cs="Times New Roman"/>
          <w:b/>
          <w:color w:val="000000" w:themeColor="text1"/>
          <w:vertAlign w:val="subscript"/>
          <w:lang w:val="en-US"/>
        </w:rPr>
        <w:t>rew</w:t>
      </w:r>
      <w:r>
        <w:rPr>
          <w:rFonts w:ascii="Times New Roman" w:eastAsia="Calibri" w:hAnsi="Times New Roman" w:cs="Times New Roman"/>
          <w:b/>
          <w:color w:val="000000" w:themeColor="text1"/>
          <w:lang w:val="en-US"/>
        </w:rPr>
        <w:t>, α</w:t>
      </w:r>
      <w:r>
        <w:rPr>
          <w:rFonts w:ascii="Times New Roman" w:eastAsia="Calibri" w:hAnsi="Times New Roman" w:cs="Times New Roman"/>
          <w:b/>
          <w:color w:val="000000" w:themeColor="text1"/>
          <w:vertAlign w:val="subscript"/>
          <w:lang w:val="en-US"/>
        </w:rPr>
        <w:t>pun</w:t>
      </w:r>
      <w:r>
        <w:rPr>
          <w:rFonts w:ascii="Times New Roman" w:eastAsia="Calibri" w:hAnsi="Times New Roman" w:cs="Times New Roman"/>
          <w:b/>
          <w:color w:val="000000" w:themeColor="text1"/>
          <w:lang w:val="en-US"/>
        </w:rPr>
        <w:t>, β and κ</w:t>
      </w:r>
      <w:r>
        <w:rPr>
          <w:rFonts w:ascii="Times New Roman" w:eastAsia="Calibri" w:hAnsi="Times New Roman" w:cs="Times New Roman"/>
          <w:b/>
          <w:color w:val="000000" w:themeColor="text1"/>
          <w:vertAlign w:val="subscript"/>
          <w:lang w:val="en-US"/>
        </w:rPr>
        <w:t>stim</w:t>
      </w:r>
      <w:r>
        <w:rPr>
          <w:rFonts w:ascii="Times New Roman" w:eastAsia="Calibri" w:hAnsi="Times New Roman" w:cs="Times New Roman"/>
          <w:b/>
          <w:color w:val="000000" w:themeColor="text1"/>
          <w:lang w:val="en-US"/>
        </w:rPr>
        <w:t>.</w:t>
      </w:r>
    </w:p>
    <w:p w14:paraId="10D17B92" w14:textId="77777777" w:rsidR="00790D11" w:rsidRDefault="00623501">
      <w:pPr>
        <w:spacing w:before="240" w:after="240"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7.</w:t>
      </w:r>
      <w:r>
        <w:rPr>
          <w:rFonts w:ascii="Times New Roman" w:eastAsia="Calibri" w:hAnsi="Times New Roman" w:cs="Times New Roman"/>
          <w:b/>
          <w:color w:val="000000" w:themeColor="text1"/>
          <w:lang w:val="en-US"/>
        </w:rPr>
        <w:t xml:space="preserve"> Four parameters: α</w:t>
      </w:r>
      <w:r>
        <w:rPr>
          <w:rFonts w:ascii="Times New Roman" w:eastAsia="Calibri" w:hAnsi="Times New Roman" w:cs="Times New Roman"/>
          <w:b/>
          <w:color w:val="000000" w:themeColor="text1"/>
          <w:vertAlign w:val="subscript"/>
          <w:lang w:val="en-US"/>
        </w:rPr>
        <w:t>rew</w:t>
      </w:r>
      <w:r>
        <w:rPr>
          <w:rFonts w:ascii="Times New Roman" w:eastAsia="Calibri" w:hAnsi="Times New Roman" w:cs="Times New Roman"/>
          <w:b/>
          <w:color w:val="000000" w:themeColor="text1"/>
          <w:lang w:val="en-US"/>
        </w:rPr>
        <w:t>, α</w:t>
      </w:r>
      <w:r>
        <w:rPr>
          <w:rFonts w:ascii="Times New Roman" w:eastAsia="Calibri" w:hAnsi="Times New Roman" w:cs="Times New Roman"/>
          <w:b/>
          <w:color w:val="000000" w:themeColor="text1"/>
          <w:vertAlign w:val="subscript"/>
          <w:lang w:val="en-US"/>
        </w:rPr>
        <w:t>pun</w:t>
      </w:r>
      <w:r>
        <w:rPr>
          <w:rFonts w:ascii="Times New Roman" w:eastAsia="Calibri" w:hAnsi="Times New Roman" w:cs="Times New Roman"/>
          <w:b/>
          <w:color w:val="000000" w:themeColor="text1"/>
          <w:lang w:val="en-US"/>
        </w:rPr>
        <w:t>, β and κ</w:t>
      </w:r>
      <w:r>
        <w:rPr>
          <w:rFonts w:ascii="Times New Roman" w:eastAsia="Calibri" w:hAnsi="Times New Roman" w:cs="Times New Roman"/>
          <w:b/>
          <w:color w:val="000000" w:themeColor="text1"/>
          <w:vertAlign w:val="subscript"/>
          <w:lang w:val="en-US"/>
        </w:rPr>
        <w:t>side</w:t>
      </w:r>
      <w:r>
        <w:rPr>
          <w:rFonts w:ascii="Times New Roman" w:eastAsia="Calibri" w:hAnsi="Times New Roman" w:cs="Times New Roman"/>
          <w:b/>
          <w:color w:val="000000" w:themeColor="text1"/>
          <w:lang w:val="en-US"/>
        </w:rPr>
        <w:t xml:space="preserve">. </w:t>
      </w:r>
    </w:p>
    <w:p w14:paraId="10D17B93" w14:textId="77777777" w:rsidR="00790D11" w:rsidRDefault="00623501">
      <w:pPr>
        <w:spacing w:before="240" w:after="240" w:line="480" w:lineRule="auto"/>
        <w:jc w:val="both"/>
        <w:rPr>
          <w:rFonts w:ascii="Times New Roman" w:eastAsia="Calibri" w:hAnsi="Times New Roman" w:cs="Times New Roman"/>
          <w:b/>
          <w:color w:val="000000" w:themeColor="text1"/>
          <w:lang w:val="en-US"/>
        </w:rPr>
      </w:pPr>
      <w:r>
        <w:rPr>
          <w:rFonts w:ascii="Times New Roman" w:eastAsia="Calibri" w:hAnsi="Times New Roman" w:cs="Times New Roman"/>
          <w:color w:val="000000" w:themeColor="text1"/>
          <w:lang w:val="en-US"/>
        </w:rPr>
        <w:t xml:space="preserve">8. </w:t>
      </w:r>
      <w:r>
        <w:rPr>
          <w:rFonts w:ascii="Times New Roman" w:eastAsia="Calibri" w:hAnsi="Times New Roman" w:cs="Times New Roman"/>
          <w:b/>
          <w:color w:val="000000" w:themeColor="text1"/>
          <w:lang w:val="en-US"/>
        </w:rPr>
        <w:t>Five parameters: α</w:t>
      </w:r>
      <w:r>
        <w:rPr>
          <w:rFonts w:ascii="Times New Roman" w:eastAsia="Calibri" w:hAnsi="Times New Roman" w:cs="Times New Roman"/>
          <w:b/>
          <w:color w:val="000000" w:themeColor="text1"/>
          <w:vertAlign w:val="subscript"/>
          <w:lang w:val="en-US"/>
        </w:rPr>
        <w:t>rew</w:t>
      </w:r>
      <w:r>
        <w:rPr>
          <w:rFonts w:ascii="Times New Roman" w:eastAsia="Calibri" w:hAnsi="Times New Roman" w:cs="Times New Roman"/>
          <w:b/>
          <w:color w:val="000000" w:themeColor="text1"/>
          <w:lang w:val="en-US"/>
        </w:rPr>
        <w:t>, α</w:t>
      </w:r>
      <w:r>
        <w:rPr>
          <w:rFonts w:ascii="Times New Roman" w:eastAsia="Calibri" w:hAnsi="Times New Roman" w:cs="Times New Roman"/>
          <w:b/>
          <w:color w:val="000000" w:themeColor="text1"/>
          <w:vertAlign w:val="subscript"/>
          <w:lang w:val="en-US"/>
        </w:rPr>
        <w:t>pun</w:t>
      </w:r>
      <w:r>
        <w:rPr>
          <w:rFonts w:ascii="Times New Roman" w:eastAsia="Calibri" w:hAnsi="Times New Roman" w:cs="Times New Roman"/>
          <w:b/>
          <w:color w:val="000000" w:themeColor="text1"/>
          <w:lang w:val="en-US"/>
        </w:rPr>
        <w:t>, β, κ</w:t>
      </w:r>
      <w:r>
        <w:rPr>
          <w:rFonts w:ascii="Times New Roman" w:eastAsia="Calibri" w:hAnsi="Times New Roman" w:cs="Times New Roman"/>
          <w:b/>
          <w:color w:val="000000" w:themeColor="text1"/>
          <w:vertAlign w:val="subscript"/>
          <w:lang w:val="en-US"/>
        </w:rPr>
        <w:t>stim</w:t>
      </w:r>
      <w:r>
        <w:rPr>
          <w:rFonts w:ascii="Times New Roman" w:eastAsia="Calibri" w:hAnsi="Times New Roman" w:cs="Times New Roman"/>
          <w:b/>
          <w:color w:val="000000" w:themeColor="text1"/>
          <w:lang w:val="en-US"/>
        </w:rPr>
        <w:t xml:space="preserve"> and κ</w:t>
      </w:r>
      <w:r>
        <w:rPr>
          <w:rFonts w:ascii="Times New Roman" w:eastAsia="Calibri" w:hAnsi="Times New Roman" w:cs="Times New Roman"/>
          <w:b/>
          <w:color w:val="000000" w:themeColor="text1"/>
          <w:vertAlign w:val="subscript"/>
          <w:lang w:val="en-US"/>
        </w:rPr>
        <w:t>side</w:t>
      </w:r>
      <w:r>
        <w:rPr>
          <w:rFonts w:ascii="Times New Roman" w:eastAsia="Calibri" w:hAnsi="Times New Roman" w:cs="Times New Roman"/>
          <w:b/>
          <w:color w:val="000000" w:themeColor="text1"/>
          <w:lang w:val="en-US"/>
        </w:rPr>
        <w:t>.</w:t>
      </w:r>
    </w:p>
    <w:p w14:paraId="10D17B94" w14:textId="1C473AD3" w:rsidR="00790D11" w:rsidRDefault="00623501">
      <w:pPr>
        <w:spacing w:before="240" w:after="240" w:line="480" w:lineRule="auto"/>
        <w:jc w:val="both"/>
        <w:rPr>
          <w:rFonts w:ascii="Times New Roman" w:eastAsia="Calibri" w:hAnsi="Times New Roman" w:cs="Times New Roman"/>
          <w:lang w:val="en-US"/>
        </w:rPr>
      </w:pPr>
      <w:r>
        <w:rPr>
          <w:rFonts w:ascii="Times New Roman" w:eastAsia="Calibri" w:hAnsi="Times New Roman" w:cs="Times New Roman"/>
          <w:color w:val="000000" w:themeColor="text1"/>
          <w:lang w:val="en-US"/>
        </w:rPr>
        <w:t xml:space="preserve">9. </w:t>
      </w:r>
      <w:r>
        <w:rPr>
          <w:rFonts w:ascii="Times New Roman" w:eastAsia="Calibri" w:hAnsi="Times New Roman" w:cs="Times New Roman"/>
          <w:b/>
          <w:color w:val="000000" w:themeColor="text1"/>
          <w:lang w:val="en-US"/>
        </w:rPr>
        <w:t>Six parameters: α</w:t>
      </w:r>
      <w:r>
        <w:rPr>
          <w:rFonts w:ascii="Times New Roman" w:eastAsia="Calibri" w:hAnsi="Times New Roman" w:cs="Times New Roman"/>
          <w:b/>
          <w:color w:val="000000" w:themeColor="text1"/>
          <w:vertAlign w:val="subscript"/>
          <w:lang w:val="en-US"/>
        </w:rPr>
        <w:t>rew</w:t>
      </w:r>
      <w:r>
        <w:rPr>
          <w:rFonts w:ascii="Times New Roman" w:eastAsia="Calibri" w:hAnsi="Times New Roman" w:cs="Times New Roman"/>
          <w:b/>
          <w:color w:val="000000" w:themeColor="text1"/>
          <w:lang w:val="en-US"/>
        </w:rPr>
        <w:t>, α</w:t>
      </w:r>
      <w:r>
        <w:rPr>
          <w:rFonts w:ascii="Times New Roman" w:eastAsia="Calibri" w:hAnsi="Times New Roman" w:cs="Times New Roman"/>
          <w:b/>
          <w:color w:val="000000" w:themeColor="text1"/>
          <w:vertAlign w:val="subscript"/>
          <w:lang w:val="en-US"/>
        </w:rPr>
        <w:t>pun</w:t>
      </w:r>
      <w:r>
        <w:rPr>
          <w:rFonts w:ascii="Times New Roman" w:eastAsia="Calibri" w:hAnsi="Times New Roman" w:cs="Times New Roman"/>
          <w:b/>
          <w:color w:val="000000" w:themeColor="text1"/>
          <w:lang w:val="en-US"/>
        </w:rPr>
        <w:t>, β, κ</w:t>
      </w:r>
      <w:r>
        <w:rPr>
          <w:rFonts w:ascii="Times New Roman" w:eastAsia="Calibri" w:hAnsi="Times New Roman" w:cs="Times New Roman"/>
          <w:b/>
          <w:color w:val="000000" w:themeColor="text1"/>
          <w:vertAlign w:val="subscript"/>
          <w:lang w:val="en-US"/>
        </w:rPr>
        <w:t>stim</w:t>
      </w:r>
      <w:r>
        <w:rPr>
          <w:rFonts w:ascii="Times New Roman" w:eastAsia="Calibri" w:hAnsi="Times New Roman" w:cs="Times New Roman"/>
          <w:b/>
          <w:color w:val="000000" w:themeColor="text1"/>
          <w:lang w:val="en-US"/>
        </w:rPr>
        <w:t>, κ</w:t>
      </w:r>
      <w:r>
        <w:rPr>
          <w:rFonts w:ascii="Times New Roman" w:eastAsia="Calibri" w:hAnsi="Times New Roman" w:cs="Times New Roman"/>
          <w:b/>
          <w:color w:val="000000" w:themeColor="text1"/>
          <w:vertAlign w:val="subscript"/>
          <w:lang w:val="en-US"/>
        </w:rPr>
        <w:t>side</w:t>
      </w:r>
      <w:r>
        <w:rPr>
          <w:rFonts w:ascii="Times New Roman" w:eastAsia="Calibri" w:hAnsi="Times New Roman" w:cs="Times New Roman"/>
          <w:b/>
          <w:color w:val="000000" w:themeColor="text1"/>
          <w:lang w:val="en-US"/>
        </w:rPr>
        <w:t xml:space="preserve">, </w:t>
      </w:r>
      <w:r w:rsidRPr="007C3254">
        <w:rPr>
          <w:rFonts w:ascii="Times New Roman" w:eastAsia="Calibri" w:hAnsi="Times New Roman" w:cs="Times New Roman"/>
          <w:b/>
          <w:color w:val="000000" w:themeColor="text1"/>
          <w:lang w:val="en-US"/>
        </w:rPr>
        <w:t>discount factor</w:t>
      </w:r>
      <w:r>
        <w:rPr>
          <w:rFonts w:ascii="Times New Roman" w:eastAsia="Calibri" w:hAnsi="Times New Roman" w:cs="Times New Roman"/>
          <w:b/>
          <w:color w:val="000000" w:themeColor="text1"/>
          <w:lang w:val="en-US"/>
        </w:rPr>
        <w:t xml:space="preserve"> ρ</w:t>
      </w:r>
      <w:r>
        <w:rPr>
          <w:rFonts w:ascii="Times New Roman" w:eastAsia="Calibri" w:hAnsi="Times New Roman" w:cs="Times New Roman"/>
          <w:bCs/>
          <w:color w:val="000000" w:themeColor="text1"/>
          <w:lang w:val="en-US"/>
        </w:rPr>
        <w:t xml:space="preserve">. The novel parameter </w:t>
      </w:r>
      <w:r>
        <w:rPr>
          <w:rFonts w:ascii="Times New Roman" w:eastAsia="Calibri" w:hAnsi="Times New Roman" w:cs="Times New Roman"/>
          <w:b/>
          <w:color w:val="000000" w:themeColor="text1"/>
          <w:lang w:val="en-US"/>
        </w:rPr>
        <w:t>ρ</w:t>
      </w:r>
      <w:r>
        <w:rPr>
          <w:rFonts w:ascii="Times New Roman" w:eastAsia="Calibri" w:hAnsi="Times New Roman" w:cs="Times New Roman"/>
          <w:bCs/>
          <w:color w:val="000000" w:themeColor="text1"/>
          <w:lang w:val="en-US"/>
        </w:rPr>
        <w:t xml:space="preserve"> was included to better reflect behavior on the VPVD task. It accounts for slower learning from the probe stimulus, as this stimulus is randomly linked to reward. </w:t>
      </w:r>
      <w:r w:rsidR="00A023AB">
        <w:rPr>
          <w:rFonts w:ascii="Times New Roman" w:eastAsia="Calibri" w:hAnsi="Times New Roman" w:cs="Times New Roman"/>
          <w:bCs/>
          <w:color w:val="000000" w:themeColor="text1"/>
          <w:lang w:val="en-US"/>
        </w:rPr>
        <w:t xml:space="preserve">Note also that the task </w:t>
      </w:r>
      <w:r w:rsidR="009B4F28">
        <w:rPr>
          <w:rFonts w:ascii="Times New Roman" w:eastAsia="Calibri" w:hAnsi="Times New Roman" w:cs="Times New Roman"/>
          <w:bCs/>
          <w:color w:val="000000" w:themeColor="text1"/>
          <w:lang w:val="en-US"/>
        </w:rPr>
        <w:t>wa</w:t>
      </w:r>
      <w:r w:rsidR="00A023AB">
        <w:rPr>
          <w:rFonts w:ascii="Times New Roman" w:eastAsia="Calibri" w:hAnsi="Times New Roman" w:cs="Times New Roman"/>
          <w:bCs/>
          <w:color w:val="000000" w:themeColor="text1"/>
          <w:lang w:val="en-US"/>
        </w:rPr>
        <w:t xml:space="preserve">s designed such that the rats had extensive experience with the probe stimulus during pre-training. </w:t>
      </w:r>
      <w:r>
        <w:rPr>
          <w:rFonts w:ascii="Times New Roman" w:eastAsia="Calibri" w:hAnsi="Times New Roman" w:cs="Times New Roman"/>
          <w:bCs/>
          <w:color w:val="000000" w:themeColor="text1"/>
          <w:lang w:val="en-US"/>
        </w:rPr>
        <w:t>The value</w:t>
      </w:r>
      <w:r w:rsidR="001B60C0">
        <w:rPr>
          <w:rFonts w:ascii="Times New Roman" w:eastAsia="Calibri" w:hAnsi="Times New Roman" w:cs="Times New Roman"/>
          <w:bCs/>
          <w:color w:val="000000" w:themeColor="text1"/>
          <w:lang w:val="en-US"/>
        </w:rPr>
        <w:t xml:space="preserve"> </w:t>
      </w:r>
      <w:r>
        <w:rPr>
          <w:rFonts w:ascii="Times New Roman" w:eastAsia="Calibri" w:hAnsi="Times New Roman" w:cs="Times New Roman"/>
          <w:bCs/>
          <w:color w:val="000000" w:themeColor="text1"/>
          <w:lang w:val="en-US"/>
        </w:rPr>
        <w:t xml:space="preserve">updating is only discounted if the probe stimulus has been chosen. During a trial on which the probe stimulus is presented, the value change is calculated according to: </w:t>
      </w:r>
      <m:oMath>
        <m:f>
          <m:fPr>
            <m:type m:val="lin"/>
            <m:ctrlPr>
              <w:rPr>
                <w:rFonts w:ascii="Cambria Math" w:hAnsi="Cambria Math"/>
              </w:rPr>
            </m:ctrlPr>
          </m:fPr>
          <m:num>
            <m:d>
              <m:dPr>
                <m:ctrlPr>
                  <w:rPr>
                    <w:rFonts w:ascii="Cambria Math" w:hAnsi="Cambria Math"/>
                  </w:rPr>
                </m:ctrlPr>
              </m:dPr>
              <m:e>
                <m:r>
                  <w:rPr>
                    <w:rFonts w:ascii="Cambria Math" w:hAnsi="Cambria Math"/>
                  </w:rPr>
                  <m:t>α×</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t</m:t>
                        </m:r>
                      </m:sub>
                    </m:sSub>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t</m:t>
                            </m:r>
                          </m:sub>
                        </m:sSub>
                      </m:e>
                    </m:d>
                  </m:e>
                </m:d>
              </m:e>
            </m:d>
          </m:num>
          <m:den>
            <m:d>
              <m:dPr>
                <m:ctrlPr>
                  <w:rPr>
                    <w:rFonts w:ascii="Cambria Math" w:hAnsi="Cambria Math"/>
                  </w:rPr>
                </m:ctrlPr>
              </m:dPr>
              <m:e>
                <m:r>
                  <w:rPr>
                    <w:rFonts w:ascii="Cambria Math" w:hAnsi="Cambria Math"/>
                  </w:rPr>
                  <m:t>1+ρ</m:t>
                </m:r>
              </m:e>
            </m:d>
          </m:den>
        </m:f>
      </m:oMath>
      <w:r>
        <w:rPr>
          <w:rFonts w:ascii="Times New Roman" w:eastAsia="Calibri" w:hAnsi="Times New Roman" w:cs="Times New Roman"/>
          <w:lang w:val="en-US"/>
        </w:rPr>
        <w:t>.</w:t>
      </w:r>
      <w:r w:rsidR="005D2C2B">
        <w:rPr>
          <w:rFonts w:ascii="Times New Roman" w:eastAsia="Calibri" w:hAnsi="Times New Roman" w:cs="Times New Roman"/>
          <w:lang w:val="en-US"/>
        </w:rPr>
        <w:t xml:space="preserve"> </w:t>
      </w:r>
      <w:r w:rsidR="007C3254" w:rsidRPr="007C3254">
        <w:rPr>
          <w:rFonts w:ascii="Times New Roman" w:eastAsia="Calibri" w:hAnsi="Times New Roman" w:cs="Times New Roman"/>
          <w:bCs/>
          <w:color w:val="000000" w:themeColor="text1"/>
          <w:lang w:val="en-US"/>
        </w:rPr>
        <w:t>The prior distribution of ρ</w:t>
      </w:r>
      <w:r w:rsidR="007C3254">
        <w:rPr>
          <w:rFonts w:ascii="Times New Roman" w:eastAsia="Calibri" w:hAnsi="Times New Roman" w:cs="Times New Roman"/>
          <w:bCs/>
          <w:color w:val="000000" w:themeColor="text1"/>
          <w:lang w:val="en-US"/>
        </w:rPr>
        <w:t xml:space="preserve"> was </w:t>
      </w:r>
      <w:r w:rsidR="007C3254" w:rsidRPr="005C44E1">
        <w:rPr>
          <w:rFonts w:ascii="Times New Roman" w:eastAsia="Calibri" w:hAnsi="Times New Roman" w:cs="Times New Roman"/>
          <w:bCs/>
          <w:color w:val="000000" w:themeColor="text1"/>
          <w:lang w:val="en-US"/>
        </w:rPr>
        <w:t>g</w:t>
      </w:r>
      <w:r w:rsidR="007C3254">
        <w:rPr>
          <w:rFonts w:ascii="Times New Roman" w:hAnsi="Times New Roman" w:cs="Times New Roman"/>
          <w:color w:val="000000" w:themeColor="text1"/>
          <w:lang w:val="en-US"/>
        </w:rPr>
        <w:t xml:space="preserve">amma(α=4.82, β=0.88) and </w:t>
      </w:r>
      <w:r w:rsidR="0018715C">
        <w:rPr>
          <w:rFonts w:ascii="Times New Roman" w:hAnsi="Times New Roman" w:cs="Times New Roman"/>
          <w:color w:val="000000" w:themeColor="text1"/>
          <w:lang w:val="en-US"/>
        </w:rPr>
        <w:t>it had a lower bound of 0</w:t>
      </w:r>
      <w:r w:rsidR="005D2C2B">
        <w:rPr>
          <w:rFonts w:ascii="Times New Roman" w:eastAsia="Calibri" w:hAnsi="Times New Roman" w:cs="Times New Roman"/>
          <w:bCs/>
          <w:color w:val="000000" w:themeColor="text1"/>
          <w:lang w:val="en-US"/>
        </w:rPr>
        <w:t>.</w:t>
      </w:r>
      <w:r w:rsidR="00EA0AE8">
        <w:rPr>
          <w:rFonts w:ascii="Times New Roman" w:eastAsia="Calibri" w:hAnsi="Times New Roman" w:cs="Times New Roman"/>
          <w:bCs/>
          <w:color w:val="000000" w:themeColor="text1"/>
          <w:lang w:val="en-US"/>
        </w:rPr>
        <w:t xml:space="preserve"> </w:t>
      </w:r>
      <w:r>
        <w:rPr>
          <w:rFonts w:ascii="Times New Roman" w:eastAsia="Calibri" w:hAnsi="Times New Roman" w:cs="Times New Roman"/>
          <w:lang w:val="en-US"/>
        </w:rPr>
        <w:t xml:space="preserve">The learning rate in this case can either be </w:t>
      </w:r>
      <m:oMath>
        <m:sSub>
          <m:sSubPr>
            <m:ctrlPr>
              <w:rPr>
                <w:rFonts w:ascii="Cambria Math" w:hAnsi="Cambria Math"/>
              </w:rPr>
            </m:ctrlPr>
          </m:sSubPr>
          <m:e>
            <m:r>
              <w:rPr>
                <w:rFonts w:ascii="Cambria Math" w:hAnsi="Cambria Math"/>
              </w:rPr>
              <m:t>α</m:t>
            </m:r>
          </m:e>
          <m:sub>
            <m:r>
              <w:rPr>
                <w:rFonts w:ascii="Cambria Math" w:hAnsi="Cambria Math"/>
              </w:rPr>
              <m:t>rew</m:t>
            </m:r>
          </m:sub>
        </m:sSub>
      </m:oMath>
      <w:r>
        <w:rPr>
          <w:rFonts w:ascii="Times New Roman" w:eastAsia="Calibri" w:hAnsi="Times New Roman" w:cs="Times New Roman"/>
          <w:lang w:val="en-US"/>
        </w:rPr>
        <w:t xml:space="preserve"> or </w:t>
      </w:r>
      <m:oMath>
        <m:sSub>
          <m:sSubPr>
            <m:ctrlPr>
              <w:rPr>
                <w:rFonts w:ascii="Cambria Math" w:hAnsi="Cambria Math"/>
              </w:rPr>
            </m:ctrlPr>
          </m:sSubPr>
          <m:e>
            <m:r>
              <w:rPr>
                <w:rFonts w:ascii="Cambria Math" w:hAnsi="Cambria Math"/>
              </w:rPr>
              <m:t>α</m:t>
            </m:r>
          </m:e>
          <m:sub>
            <m:r>
              <w:rPr>
                <w:rFonts w:ascii="Cambria Math" w:hAnsi="Cambria Math"/>
              </w:rPr>
              <m:t>pun</m:t>
            </m:r>
          </m:sub>
        </m:sSub>
      </m:oMath>
      <w:r>
        <w:rPr>
          <w:rFonts w:ascii="Times New Roman" w:eastAsia="Calibri" w:hAnsi="Times New Roman" w:cs="Times New Roman"/>
          <w:lang w:val="en-US"/>
        </w:rPr>
        <w:t xml:space="preserve">, depending on the feedback received. </w:t>
      </w:r>
    </w:p>
    <w:p w14:paraId="40A961B7" w14:textId="77777777" w:rsidR="006F74E8" w:rsidRDefault="006F74E8" w:rsidP="006F74E8">
      <w:pPr>
        <w:spacing w:before="240" w:after="240" w:line="480" w:lineRule="auto"/>
        <w:jc w:val="both"/>
        <w:rPr>
          <w:rFonts w:ascii="Times New Roman" w:eastAsia="Calibri" w:hAnsi="Times New Roman" w:cs="Times New Roman"/>
          <w:color w:val="000000" w:themeColor="text1"/>
          <w:lang w:val="en-US"/>
        </w:rPr>
      </w:pPr>
    </w:p>
    <w:p w14:paraId="2BA0A4A5" w14:textId="2E846587" w:rsidR="006F74E8" w:rsidRDefault="006F74E8" w:rsidP="00B274B4">
      <w:pPr>
        <w:spacing w:before="240" w:after="240"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lastRenderedPageBreak/>
        <w:t xml:space="preserve">Hamiltonian Markov chain Monte Carlo sampling was used to fit the models via Stan 2.17.2 </w:t>
      </w:r>
      <w:r>
        <w:fldChar w:fldCharType="begin"/>
      </w:r>
      <w:r>
        <w:rPr>
          <w:rFonts w:ascii="Times New Roman" w:eastAsia="Calibri" w:hAnsi="Times New Roman" w:cs="Times New Roman"/>
          <w:color w:val="000000"/>
          <w:lang w:val="en-US"/>
        </w:rPr>
        <w:instrText>ADDIN CSL_CITATION {"citationItems":[{"id":"ITEM-1","itemData":{"DOI":"10.18637/JSS.V076.I01","ISSN":"1548-7660","abstract":"Stan is a probabilistic programming language for specifying statistical models. A Stan program imperatively defines a log probability function over parameters conditioned on specified data and constants. As of version 2.14.0, Stan provides full Bayesian inference for continuous-variable models through Markov chain Monte Carlo methods such as the No-U-Turn sampler, an adaptive form of Hamiltonian Monte Carlo sampling. Penalized maximum likelihood estimates are calculated using optimization methods such as the limited memory Broyden-Fletcher-Goldfarb-Shanno algorithm. Stan is also a platform for computing log densities and their gradients and Hessians, which can be used in alternative algorithms such as variational Bayes, expectation propagation, and marginal inference using approximate integration. To this end, Stan is set up so that the densities, gradients, and Hessians, along with intermediate quantities of the algorithm such as acceptance probabilities, are easily accessible. Stan can be called from the command line using the cmdstan package, through R using the rstan package, and through Python using the pystan package. All three interfaces support sampling and optimization-based inference with diagnostics and posterior analysis. rstan and pystan also provide access to log probabilities, gradients, Hessians, parameter transforms, and specialized plotting.","author":[{"dropping-particle":"","family":"Carpenter","given":"Bob","non-dropping-particle":"","parse-names":false,"suffix":""},{"dropping-particle":"","family":"Gelman","given":"Andrew","non-dropping-particle":"","parse-names":false,"suffix":""},{"dropping-particle":"","family":"Hoffman","given":"Matthew D.","non-dropping-particle":"","parse-names":false,"suffix":""},{"dropping-particle":"","family":"Lee","given":"Daniel","non-dropping-particle":"","parse-names":false,"suffix":""},{"dropping-particle":"","family":"Goodrich","given":"Ben","non-dropping-particle":"","parse-names":false,"suffix":""},{"dropping-particle":"","family":"Betancourt","given":"Michael","non-dropping-particle":"","parse-names":false,"suffix":""},{"dropping-particle":"","family":"Brubaker","given":"Marcus A.","non-dropping-particle":"","parse-names":false,"suffix":""},{"dropping-particle":"","family":"Guo","given":"Jiqiang","non-dropping-particle":"","parse-names":false,"suffix":""},{"dropping-particle":"","family":"Li","given":"Peter","non-dropping-particle":"","parse-names":false,"suffix":""},{"dropping-particle":"","family":"Riddell","given":"Allen","non-dropping-particle":"","parse-names":false,"suffix":""}],"container-title":"Journal of Statistical Software","id":"ITEM-1","issue":"1","issued":{"date-parts":[["2017","1","11"]]},"page":"1-32","publisher":"American Statistical Association","title":"Stan: A Probabilistic Programming Language","type":"article-journal","volume":"76"},"uris":["http://www.mendeley.com/documents/?uuid=df2c7737-5f41-3e1e-87f0-d5f71d04705c"]}],"mendeley":{"formattedCitation":"(Carpenter et al., 2017)","plainTextFormattedCitation":"(Carpenter et al., 2017)","previouslyFormattedCitation":"(Carpenter et al., 2017)"},"properties":{"noteIndex":0},"schema":"https://github.com/citation-style-language/schema/raw/master/csl-citation.json"}</w:instrText>
      </w:r>
      <w:r>
        <w:rPr>
          <w:rFonts w:ascii="Times New Roman" w:eastAsia="Calibri" w:hAnsi="Times New Roman" w:cs="Times New Roman"/>
          <w:color w:val="000000"/>
          <w:lang w:val="en-US"/>
        </w:rPr>
        <w:fldChar w:fldCharType="separate"/>
      </w:r>
      <w:r>
        <w:rPr>
          <w:rFonts w:ascii="Times New Roman" w:eastAsia="Calibri" w:hAnsi="Times New Roman" w:cs="Times New Roman"/>
          <w:color w:val="000000" w:themeColor="text1"/>
          <w:lang w:val="en-US"/>
        </w:rPr>
        <w:t>(Carpenter et al., 2017)</w:t>
      </w:r>
      <w:r>
        <w:rPr>
          <w:rFonts w:ascii="Times New Roman" w:eastAsia="Calibri" w:hAnsi="Times New Roman" w:cs="Times New Roman"/>
          <w:color w:val="000000"/>
          <w:lang w:val="en-US"/>
        </w:rPr>
        <w:fldChar w:fldCharType="end"/>
      </w:r>
      <w:r>
        <w:rPr>
          <w:rFonts w:ascii="Times New Roman" w:eastAsia="Calibri" w:hAnsi="Times New Roman" w:cs="Times New Roman"/>
          <w:color w:val="000000" w:themeColor="text1"/>
          <w:lang w:val="en-US"/>
        </w:rPr>
        <w:t xml:space="preserve">. The potential scale reduction factor was used to ensure convergence </w:t>
      </w:r>
      <w:r>
        <w:fldChar w:fldCharType="begin"/>
      </w:r>
      <w:r>
        <w:rPr>
          <w:rFonts w:ascii="Times New Roman" w:eastAsia="Calibri" w:hAnsi="Times New Roman" w:cs="Times New Roman"/>
          <w:color w:val="000000"/>
          <w:lang w:val="en-US"/>
        </w:rPr>
        <w:instrText>ADDIN CSL_CITATION {"citationItems":[{"id":"ITEM-1","itemData":{"DOI":"10.1080/10618600.1998.10474787","ISSN":"15372715","abstract":"We generalize the method proposed by Gelman and Rubin (1992a) for monitoring the convergence of iterative simulations by comparing between and within variances of multiple chains, in order to obtain a family of tests for convergence. We review methods of inference from simulations in order to develop convergence-monitoring summaries that are relevant for the purposes for which the simulations are used. We recommend applying a battery of tests for mixing based on the comparison of inferences from individual sequences and from the mixture of sequences. Finally, we discuss multivariate analogues, for assessing convergence of several parameters simultaneously. © 1998 American Statistical Association, Institute of Mathematical Statistics, and Interface Foundation of North America.","author":[{"dropping-particle":"","family":"Brooks","given":"Stephen P.","non-dropping-particle":"","parse-names":false,"suffix":""},{"dropping-particle":"","family":"Gelman","given":"Andrew","non-dropping-particle":"","parse-names":false,"suffix":""}],"container-title":"Journal of Computational and Graphical Statistics","id":"ITEM-1","issue":"4","issued":{"date-parts":[["1998"]]},"title":"General methods for monitoring convergence of iterative simulations)?","type":"article-journal","volume":"7"},"uris":["http://www.mendeley.com/documents/?uuid=2ea75628-5b7e-3b76-bc4c-96a5dc57184c"]},{"id":"ITEM-2","itemData":{"ISSN":"1098-6596","abstract":"Predicting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approach.","author":[{"dropping-particle":"","family":"Gelman","given":"Andrew","non-dropping-particle":"","parse-names":false,"suffix":""}],"container-title":"Journal of Chemical Information and Modeling","id":"ITEM-2","issue":"9","issued":{"date-parts":[["2013"]]},"title":"Bayesian data analysis","type":"book","volume":"53"},"uris":["http://www.mendeley.com/documents/?uuid=12772f35-7e6d-356c-9801-ca90e197cf52"]}],"mendeley":{"formattedCitation":"(Brooks &amp; Gelman, 1998; Gelman, 2013)","plainTextFormattedCitation":"(Brooks &amp; Gelman, 1998; Gelman, 2013)","previouslyFormattedCitation":"(Brooks &amp; Gelman, 1998; Gelman, 2013)"},"properties":{"noteIndex":0},"schema":"https://github.com/citation-style-language/schema/raw/master/csl-citation.json"}</w:instrText>
      </w:r>
      <w:r>
        <w:rPr>
          <w:rFonts w:ascii="Times New Roman" w:eastAsia="Calibri" w:hAnsi="Times New Roman" w:cs="Times New Roman"/>
          <w:color w:val="000000"/>
          <w:lang w:val="en-US"/>
        </w:rPr>
        <w:fldChar w:fldCharType="separate"/>
      </w:r>
      <w:r>
        <w:rPr>
          <w:rFonts w:ascii="Times New Roman" w:eastAsia="Calibri" w:hAnsi="Times New Roman" w:cs="Times New Roman"/>
          <w:color w:val="000000" w:themeColor="text1"/>
          <w:lang w:val="en-US"/>
        </w:rPr>
        <w:t>(Brooks &amp; Gelman, 1998; Gelman, 2013)</w:t>
      </w:r>
      <w:r>
        <w:rPr>
          <w:rFonts w:ascii="Times New Roman" w:eastAsia="Calibri" w:hAnsi="Times New Roman" w:cs="Times New Roman"/>
          <w:color w:val="000000"/>
          <w:lang w:val="en-US"/>
        </w:rPr>
        <w:fldChar w:fldCharType="end"/>
      </w:r>
      <w:r>
        <w:rPr>
          <w:rFonts w:ascii="Times New Roman" w:eastAsia="Calibri" w:hAnsi="Times New Roman" w:cs="Times New Roman"/>
          <w:color w:val="000000" w:themeColor="text1"/>
          <w:lang w:val="en-US"/>
        </w:rPr>
        <w:t xml:space="preserve">. A value close to 1 indicates perfect convergence. A cut-off of 1.1 was selected as a stringent criterion for convergence. Models were compared using a bridge sampling estimate of the marginal likelihood using the “bridgesampling” R package </w:t>
      </w:r>
      <w:r>
        <w:fldChar w:fldCharType="begin"/>
      </w:r>
      <w:r>
        <w:rPr>
          <w:rFonts w:ascii="Times New Roman" w:eastAsia="Calibri" w:hAnsi="Times New Roman" w:cs="Times New Roman"/>
          <w:color w:val="000000"/>
          <w:lang w:val="en-US"/>
        </w:rPr>
        <w:instrText>ADDIN CSL_CITATION {"citationItems":[{"id":"ITEM-1","itemData":{"DOI":"10.1080/23743603.2017.1326760","ISSN":"23743611","abstract":"Earlier work found that–compared to participants who adopted constrictive body postures–participants who adopted expansive body postures reported feeling more powerful, showed an increase in testosterone and a decrease in cortisol, and displayed an increased tolerance for risk. However, these power pose effects have recently come under considerable scrutiny. Here, we present a Bayesian meta-analysis of six preregistered studies from this special issue, focusing on the effect of power posing on felt power. Our analysis improves on standard classical meta-analyses in several ways. First and foremost, we considered only preregistered studies, eliminating concerns about publication bias. Second, the Bayesian approach enables us to quantify evidence for both the alternative and the null hypothesis. Third, we use Bayesian model-averaging to account for the uncertainty with respect to the choice for a fixed-effect model or a random-effect model. Fourth, based on a literature review, we obtained an empirically informed prior distribution for the between-study heterogeneity of effect sizes. This empirically informed prior can serve as a default choice not only for the investigation of the power pose effect but for effects in the field of psychology more generally. For effect size, we considered a default and an informed prior. Our meta-analysis yields very strong evidence for an effect of power posing on felt power. However, when the analysis is restricted to participants unfamiliar with the effect, the meta-analysis yields evidence that is only moderate.","author":[{"dropping-particle":"","family":"Gronau","given":"Quentin F.","non-dropping-particle":"","parse-names":false,"suffix":""},{"dropping-particle":"","family":"Erp","given":"Sara","non-dropping-particle":"Van","parse-names":false,"suffix":""},{"dropping-particle":"","family":"Heck","given":"Daniel W.","non-dropping-particle":"","parse-names":false,"suffix":""},{"dropping-particle":"","family":"Cesario","given":"Joseph","non-dropping-particle":"","parse-names":false,"suffix":""},{"dropping-particle":"","family":"Jonas","given":"Kai J.","non-dropping-particle":"","parse-names":false,"suffix":""},{"dropping-particle":"","family":"Wagenmakers","given":"Eric Jan","non-dropping-particle":"","parse-names":false,"suffix":""}],"container-title":"Comprehensive Results in Social Psychology","id":"ITEM-1","issue":"1","issued":{"date-parts":[["2017"]]},"title":"A Bayesian model-averaged meta-analysis of the power pose effect with informed and default priors: the case of felt power","type":"article-journal","volume":"2"},"uris":["http://www.mendeley.com/documents/?uuid=e8b1bd7e-1d85-3235-9533-fa006b38720a"]},{"id":"ITEM-2","itemData":{"DOI":"10.18637/jss.v092.i10","ISSN":"15487660","abstract":"Statistical procedures such as Bayes factor model selection and Bayesian model averaging require the computation of normalizing constants (e.g., marginal likelihoods). These normalizing constants are notoriously difficult to obtain, as they usually involve high-dimensional integrals that cannot be solved analytically. Here we introduce an R package that uses bridge sampling (Meng and Wong 1996; Meng and Schilling 2002) to estimate normalizing constants in a generic and easy-to-use fashion. For models implemented in Stan, the estimation procedure is automatic. We illustrate the functionality of the package with three examples.","author":[{"dropping-particle":"","family":"Gronau","given":"Quentin F.","non-dropping-particle":"","parse-names":false,"suffix":""},{"dropping-particle":"","family":"Singmann","given":"Henrik","non-dropping-particle":"","parse-names":false,"suffix":""},{"dropping-particle":"","family":"Wagenmakers","given":"Eric Jan","non-dropping-particle":"","parse-names":false,"suffix":""}],"container-title":"Journal of Statistical Software","id":"ITEM-2","issued":{"date-parts":[["2020"]]},"title":"Bridgesampling: An R package for estimating normalizing constants","type":"article-journal","volume":"92"},"uris":["http://www.mendeley.com/documents/?uuid=0e5f0e56-c441-3c76-9b48-81fe1174e2be"]}],"mendeley":{"formattedCitation":"(Gronau et al., 2017, 2020)","plainTextFormattedCitation":"(Gronau et al., 2017, 2020)","previouslyFormattedCitation":"(Gronau et al., 2020, 2017)"},"properties":{"noteIndex":0},"schema":"https://github.com/citation-style-language/schema/raw/master/csl-citation.json"}</w:instrText>
      </w:r>
      <w:r>
        <w:rPr>
          <w:rFonts w:ascii="Times New Roman" w:eastAsia="Calibri" w:hAnsi="Times New Roman" w:cs="Times New Roman"/>
          <w:color w:val="000000"/>
          <w:lang w:val="en-US"/>
        </w:rPr>
        <w:fldChar w:fldCharType="separate"/>
      </w:r>
      <w:r>
        <w:rPr>
          <w:rFonts w:ascii="Times New Roman" w:eastAsia="Calibri" w:hAnsi="Times New Roman" w:cs="Times New Roman"/>
          <w:color w:val="000000" w:themeColor="text1"/>
          <w:lang w:val="en-US"/>
        </w:rPr>
        <w:t>(Gronau et al., 2017, 2020)</w:t>
      </w:r>
      <w:r>
        <w:rPr>
          <w:rFonts w:ascii="Times New Roman" w:eastAsia="Calibri" w:hAnsi="Times New Roman" w:cs="Times New Roman"/>
          <w:color w:val="000000"/>
          <w:lang w:val="en-US"/>
        </w:rPr>
        <w:fldChar w:fldCharType="end"/>
      </w:r>
      <w:r>
        <w:rPr>
          <w:rFonts w:ascii="Times New Roman" w:eastAsia="Calibri" w:hAnsi="Times New Roman" w:cs="Times New Roman"/>
          <w:color w:val="000000" w:themeColor="text1"/>
          <w:lang w:val="en-US"/>
        </w:rPr>
        <w:t>.</w:t>
      </w:r>
    </w:p>
    <w:p w14:paraId="4B325B8D" w14:textId="77777777" w:rsidR="00B274B4" w:rsidRPr="00B274B4" w:rsidRDefault="00B274B4" w:rsidP="00B274B4">
      <w:pPr>
        <w:spacing w:before="240" w:after="240" w:line="480" w:lineRule="auto"/>
        <w:jc w:val="both"/>
        <w:rPr>
          <w:rFonts w:ascii="Times New Roman" w:eastAsia="Calibri" w:hAnsi="Times New Roman" w:cs="Times New Roman"/>
          <w:color w:val="000000" w:themeColor="text1"/>
          <w:lang w:val="en-US"/>
        </w:rPr>
      </w:pPr>
    </w:p>
    <w:p w14:paraId="61E37778" w14:textId="25D75B90" w:rsidR="00621277" w:rsidRDefault="00623501" w:rsidP="00621277">
      <w:pPr>
        <w:spacing w:before="240" w:after="240" w:line="480" w:lineRule="auto"/>
        <w:jc w:val="both"/>
        <w:rPr>
          <w:rFonts w:ascii="Times New Roman" w:hAnsi="Times New Roman" w:cs="Times New Roman"/>
          <w:color w:val="000000" w:themeColor="text1"/>
          <w:lang w:val="en-US"/>
        </w:rPr>
      </w:pPr>
      <w:r>
        <w:rPr>
          <w:rFonts w:ascii="Times New Roman" w:eastAsia="Calibri" w:hAnsi="Times New Roman" w:cs="Times New Roman"/>
          <w:lang w:val="en-US"/>
        </w:rPr>
        <w:t>Given that the simulations for the 5-HT</w:t>
      </w:r>
      <w:r w:rsidRPr="006F74E8">
        <w:rPr>
          <w:rFonts w:ascii="Times New Roman" w:hAnsi="Times New Roman" w:cs="Times New Roman"/>
          <w:vertAlign w:val="subscript"/>
          <w:lang w:val="en-US"/>
        </w:rPr>
        <w:t>2C</w:t>
      </w:r>
      <w:r>
        <w:rPr>
          <w:rFonts w:ascii="Times New Roman" w:eastAsia="Calibri" w:hAnsi="Times New Roman" w:cs="Times New Roman"/>
          <w:lang w:val="en-US"/>
        </w:rPr>
        <w:t>R receptor antagonist (SB-242084, Experiment 2) data</w:t>
      </w:r>
      <w:r w:rsidR="00EA0AE8">
        <w:rPr>
          <w:rFonts w:ascii="Times New Roman" w:eastAsia="Calibri" w:hAnsi="Times New Roman" w:cs="Times New Roman"/>
          <w:lang w:val="en-US"/>
        </w:rPr>
        <w:t xml:space="preserve"> from model 7</w:t>
      </w:r>
      <w:r>
        <w:rPr>
          <w:rFonts w:ascii="Times New Roman" w:eastAsia="Calibri" w:hAnsi="Times New Roman" w:cs="Times New Roman"/>
          <w:lang w:val="en-US"/>
        </w:rPr>
        <w:t xml:space="preserve"> did not fully capture the animals’ original behaviour on the task (see </w:t>
      </w:r>
      <w:r w:rsidRPr="00943628">
        <w:rPr>
          <w:rFonts w:ascii="Times New Roman" w:eastAsia="Calibri" w:hAnsi="Times New Roman" w:cs="Times New Roman"/>
          <w:b/>
          <w:bCs/>
          <w:lang w:val="en-US"/>
        </w:rPr>
        <w:t>Supplementary Figure 2</w:t>
      </w:r>
      <w:r>
        <w:rPr>
          <w:rFonts w:ascii="Times New Roman" w:eastAsia="Calibri" w:hAnsi="Times New Roman" w:cs="Times New Roman"/>
          <w:lang w:val="en-US"/>
        </w:rPr>
        <w:t xml:space="preserve"> and </w:t>
      </w:r>
      <w:r w:rsidRPr="00943628">
        <w:rPr>
          <w:rFonts w:ascii="Times New Roman" w:eastAsia="Calibri" w:hAnsi="Times New Roman" w:cs="Times New Roman"/>
          <w:b/>
          <w:bCs/>
          <w:lang w:val="en-US"/>
        </w:rPr>
        <w:t>Fig. 3A</w:t>
      </w:r>
      <w:r>
        <w:rPr>
          <w:rFonts w:ascii="Times New Roman" w:eastAsia="Calibri" w:hAnsi="Times New Roman" w:cs="Times New Roman"/>
          <w:lang w:val="en-US"/>
        </w:rPr>
        <w:t>), and that model 9 best explained the 5-HT</w:t>
      </w:r>
      <w:r>
        <w:rPr>
          <w:rFonts w:ascii="Times New Roman" w:eastAsia="Calibri" w:hAnsi="Times New Roman" w:cs="Times New Roman"/>
          <w:vertAlign w:val="subscript"/>
          <w:lang w:val="en-US"/>
        </w:rPr>
        <w:t>2A</w:t>
      </w:r>
      <w:r>
        <w:rPr>
          <w:rFonts w:ascii="Times New Roman" w:eastAsia="Calibri" w:hAnsi="Times New Roman" w:cs="Times New Roman"/>
          <w:lang w:val="en-US"/>
        </w:rPr>
        <w:t xml:space="preserve">R antagonist (M100907, Experiment 1) data, model 9 performance was examined in more detail, given that this was the winning model for Experiment 1 but did not converge well for this data set. First, the Stan parameters </w:t>
      </w:r>
      <w:r w:rsidRPr="001B60C0">
        <w:rPr>
          <w:rFonts w:ascii="Times New Roman" w:hAnsi="Times New Roman" w:cs="Times New Roman"/>
          <w:i/>
          <w:iCs/>
          <w:lang w:val="en-US"/>
        </w:rPr>
        <w:t>adapt</w:t>
      </w:r>
      <w:r>
        <w:rPr>
          <w:rFonts w:ascii="Times New Roman" w:eastAsia="Calibri" w:hAnsi="Times New Roman" w:cs="Times New Roman"/>
          <w:i/>
          <w:iCs/>
          <w:lang w:val="en-US"/>
        </w:rPr>
        <w:t>_</w:t>
      </w:r>
      <w:r w:rsidRPr="001B60C0">
        <w:rPr>
          <w:rFonts w:ascii="Times New Roman" w:eastAsia="Calibri" w:hAnsi="Times New Roman" w:cs="Times New Roman"/>
          <w:i/>
          <w:iCs/>
          <w:lang w:val="en-US"/>
        </w:rPr>
        <w:t>delta</w:t>
      </w:r>
      <w:r>
        <w:rPr>
          <w:rFonts w:ascii="Times New Roman" w:eastAsia="Calibri" w:hAnsi="Times New Roman" w:cs="Times New Roman"/>
          <w:lang w:val="en-US"/>
        </w:rPr>
        <w:t xml:space="preserve"> and </w:t>
      </w:r>
      <w:r w:rsidRPr="001B60C0">
        <w:rPr>
          <w:rFonts w:ascii="Times New Roman" w:hAnsi="Times New Roman" w:cs="Times New Roman"/>
          <w:i/>
          <w:iCs/>
          <w:lang w:val="en-US"/>
        </w:rPr>
        <w:t>max</w:t>
      </w:r>
      <w:r>
        <w:rPr>
          <w:rFonts w:ascii="Times New Roman" w:eastAsia="Calibri" w:hAnsi="Times New Roman" w:cs="Times New Roman"/>
          <w:i/>
          <w:iCs/>
          <w:lang w:val="en-US"/>
        </w:rPr>
        <w:t>_</w:t>
      </w:r>
      <w:r w:rsidRPr="001B60C0">
        <w:rPr>
          <w:rFonts w:ascii="Times New Roman" w:eastAsia="Calibri" w:hAnsi="Times New Roman" w:cs="Times New Roman"/>
          <w:i/>
          <w:iCs/>
          <w:lang w:val="en-US"/>
        </w:rPr>
        <w:t>treedepth</w:t>
      </w:r>
      <w:r>
        <w:rPr>
          <w:rFonts w:ascii="Times New Roman" w:eastAsia="Calibri" w:hAnsi="Times New Roman" w:cs="Times New Roman"/>
          <w:lang w:val="en-US"/>
        </w:rPr>
        <w:t xml:space="preserve"> were increased and the step size was decreased when running this model in an attempt to attain convergence; however, this did not result in convergence. Next, animals that did not reach criterion of 80% were excluded (5 rats). Nonetheless, convergence was not achieved, perhaps because performance of the excluded rats was still high (at above 70%). Lastly, the prior for the </w:t>
      </w:r>
      <m:oMath>
        <m:r>
          <w:rPr>
            <w:rFonts w:ascii="Cambria Math" w:hAnsi="Cambria Math"/>
          </w:rPr>
          <m:t>ρ</m:t>
        </m:r>
      </m:oMath>
      <w:r>
        <w:rPr>
          <w:rFonts w:ascii="Times New Roman" w:eastAsia="Calibri" w:hAnsi="Times New Roman" w:cs="Times New Roman"/>
          <w:lang w:val="en-US"/>
        </w:rPr>
        <w:t xml:space="preserve"> parameter was changed to a </w:t>
      </w:r>
      <w:r>
        <w:rPr>
          <w:rFonts w:ascii="Times New Roman" w:hAnsi="Times New Roman" w:cs="Times New Roman"/>
          <w:color w:val="000000" w:themeColor="text1"/>
          <w:lang w:val="en-US"/>
        </w:rPr>
        <w:t>beta(1.2, 1.2) distribution, to tighten the prior. T</w:t>
      </w:r>
      <w:r w:rsidR="00D24985">
        <w:rPr>
          <w:rFonts w:ascii="Times New Roman" w:hAnsi="Times New Roman" w:cs="Times New Roman"/>
          <w:color w:val="000000" w:themeColor="text1"/>
          <w:lang w:val="en-US"/>
        </w:rPr>
        <w:t xml:space="preserve">his </w:t>
      </w:r>
      <w:r>
        <w:rPr>
          <w:rFonts w:ascii="Times New Roman" w:hAnsi="Times New Roman" w:cs="Times New Roman"/>
          <w:color w:val="000000" w:themeColor="text1"/>
          <w:lang w:val="en-US"/>
        </w:rPr>
        <w:t>model did also not converge. Therefore, we proceeded with the winning model, model 7.</w:t>
      </w:r>
      <w:r w:rsidR="00C13755">
        <w:rPr>
          <w:rFonts w:ascii="Times New Roman" w:hAnsi="Times New Roman" w:cs="Times New Roman"/>
          <w:color w:val="000000" w:themeColor="text1"/>
          <w:lang w:val="en-US"/>
        </w:rPr>
        <w:t xml:space="preserve"> </w:t>
      </w:r>
    </w:p>
    <w:p w14:paraId="1FAC6A9D" w14:textId="77777777" w:rsidR="00B274B4" w:rsidRDefault="00B274B4" w:rsidP="00621277">
      <w:pPr>
        <w:spacing w:before="240" w:after="240" w:line="480" w:lineRule="auto"/>
        <w:jc w:val="both"/>
        <w:rPr>
          <w:rFonts w:ascii="Times New Roman" w:hAnsi="Times New Roman" w:cs="Times New Roman"/>
          <w:color w:val="000000" w:themeColor="text1"/>
          <w:lang w:val="en-US"/>
        </w:rPr>
      </w:pPr>
    </w:p>
    <w:p w14:paraId="10D17B95" w14:textId="359F53A3" w:rsidR="00790D11" w:rsidRDefault="00C13755">
      <w:pPr>
        <w:spacing w:before="240" w:after="240" w:line="480" w:lineRule="auto"/>
        <w:jc w:val="both"/>
        <w:rPr>
          <w:rFonts w:ascii="Times New Roman" w:eastAsia="Calibri" w:hAnsi="Times New Roman" w:cs="Times New Roman"/>
          <w:lang w:val="en-US"/>
        </w:rPr>
      </w:pPr>
      <w:r>
        <w:rPr>
          <w:rFonts w:ascii="Times New Roman" w:hAnsi="Times New Roman" w:cs="Times New Roman"/>
          <w:color w:val="000000" w:themeColor="text1"/>
          <w:lang w:val="en-US"/>
        </w:rPr>
        <w:t xml:space="preserve">To </w:t>
      </w:r>
      <w:r w:rsidR="00CA4B9F">
        <w:rPr>
          <w:rFonts w:ascii="Times New Roman" w:hAnsi="Times New Roman" w:cs="Times New Roman"/>
          <w:color w:val="000000" w:themeColor="text1"/>
          <w:lang w:val="en-US"/>
        </w:rPr>
        <w:t xml:space="preserve">check that the results from model 7 would be the same as for model 9 </w:t>
      </w:r>
      <w:r w:rsidR="00A73525">
        <w:rPr>
          <w:rFonts w:ascii="Times New Roman" w:hAnsi="Times New Roman" w:cs="Times New Roman"/>
          <w:color w:val="000000" w:themeColor="text1"/>
          <w:lang w:val="en-US"/>
        </w:rPr>
        <w:t>for</w:t>
      </w:r>
      <w:r w:rsidR="00CA4B9F">
        <w:rPr>
          <w:rFonts w:ascii="Times New Roman" w:hAnsi="Times New Roman" w:cs="Times New Roman"/>
          <w:color w:val="000000" w:themeColor="text1"/>
          <w:lang w:val="en-US"/>
        </w:rPr>
        <w:t xml:space="preserve"> the 5-HT</w:t>
      </w:r>
      <w:r w:rsidR="00CA4B9F">
        <w:rPr>
          <w:rFonts w:ascii="Times New Roman" w:hAnsi="Times New Roman" w:cs="Times New Roman"/>
          <w:color w:val="000000" w:themeColor="text1"/>
          <w:vertAlign w:val="subscript"/>
          <w:lang w:val="en-US"/>
        </w:rPr>
        <w:t>2A</w:t>
      </w:r>
      <w:r w:rsidR="00B945EE">
        <w:rPr>
          <w:rFonts w:ascii="Times New Roman" w:hAnsi="Times New Roman" w:cs="Times New Roman"/>
          <w:color w:val="000000" w:themeColor="text1"/>
          <w:lang w:val="en-US"/>
        </w:rPr>
        <w:t xml:space="preserve">R antagonist data, group comparisons were also analyzed for this dataset. </w:t>
      </w:r>
      <w:r w:rsidR="00A73525">
        <w:rPr>
          <w:rFonts w:ascii="Times New Roman" w:hAnsi="Times New Roman" w:cs="Times New Roman"/>
          <w:color w:val="000000" w:themeColor="text1"/>
          <w:lang w:val="en-US"/>
        </w:rPr>
        <w:t xml:space="preserve">Indeed, it confirmed that the results would be the same; </w:t>
      </w:r>
      <w:r w:rsidR="00870F88">
        <w:rPr>
          <w:rFonts w:ascii="Times New Roman" w:hAnsi="Times New Roman" w:cs="Times New Roman"/>
          <w:color w:val="000000" w:themeColor="text1"/>
          <w:lang w:val="en-US"/>
        </w:rPr>
        <w:t xml:space="preserve">the punishment learning rate was decreased at the lower dose of </w:t>
      </w:r>
      <w:r w:rsidR="00870F88" w:rsidRPr="00176788">
        <w:rPr>
          <w:rFonts w:ascii="Times New Roman" w:eastAsia="Calibri" w:hAnsi="Times New Roman" w:cs="Times New Roman"/>
          <w:lang w:val="en-US"/>
        </w:rPr>
        <w:t>M100907 (</w:t>
      </w:r>
      <w:r w:rsidR="00176788" w:rsidRPr="00176788">
        <w:rPr>
          <w:rFonts w:ascii="Times New Roman" w:hAnsi="Times New Roman" w:cs="Times New Roman"/>
          <w:color w:val="000000" w:themeColor="text1"/>
          <w:lang w:val="en-US"/>
        </w:rPr>
        <w:t xml:space="preserve">group difference, 0 </w:t>
      </w:r>
      <w:r w:rsidR="00176788" w:rsidRPr="00176788">
        <w:rPr>
          <w:rFonts w:ascii="Cambria Math" w:hAnsi="Cambria Math" w:cs="Cambria Math"/>
          <w:color w:val="000000" w:themeColor="text1"/>
          <w:lang w:val="en-US"/>
        </w:rPr>
        <w:t>∉</w:t>
      </w:r>
      <w:r w:rsidR="00176788" w:rsidRPr="00176788">
        <w:rPr>
          <w:rFonts w:ascii="Times New Roman" w:hAnsi="Times New Roman" w:cs="Times New Roman"/>
          <w:color w:val="000000" w:themeColor="text1"/>
          <w:lang w:val="en-US"/>
        </w:rPr>
        <w:t xml:space="preserve"> 95% HDI</w:t>
      </w:r>
      <w:r w:rsidR="00870F88" w:rsidRPr="00176788">
        <w:rPr>
          <w:rFonts w:ascii="Times New Roman" w:eastAsia="Calibri" w:hAnsi="Times New Roman" w:cs="Times New Roman"/>
          <w:lang w:val="en-US"/>
        </w:rPr>
        <w:t>),</w:t>
      </w:r>
      <w:r w:rsidR="00870F88">
        <w:rPr>
          <w:rFonts w:ascii="Times New Roman" w:eastAsia="Calibri" w:hAnsi="Times New Roman" w:cs="Times New Roman"/>
          <w:lang w:val="en-US"/>
        </w:rPr>
        <w:t xml:space="preserve"> as well as at the higher dose</w:t>
      </w:r>
      <w:r w:rsidR="00176788">
        <w:rPr>
          <w:rFonts w:ascii="Times New Roman" w:eastAsia="Calibri" w:hAnsi="Times New Roman" w:cs="Times New Roman"/>
          <w:lang w:val="en-US"/>
        </w:rPr>
        <w:t xml:space="preserve"> </w:t>
      </w:r>
      <w:r w:rsidR="00176788" w:rsidRPr="00176788">
        <w:rPr>
          <w:rFonts w:ascii="Times New Roman" w:eastAsia="Calibri" w:hAnsi="Times New Roman" w:cs="Times New Roman"/>
          <w:lang w:val="en-US"/>
        </w:rPr>
        <w:t>(</w:t>
      </w:r>
      <w:r w:rsidR="00176788" w:rsidRPr="00176788">
        <w:rPr>
          <w:rFonts w:ascii="Times New Roman" w:hAnsi="Times New Roman" w:cs="Times New Roman"/>
          <w:color w:val="000000" w:themeColor="text1"/>
          <w:lang w:val="en-US"/>
        </w:rPr>
        <w:t xml:space="preserve">group </w:t>
      </w:r>
      <w:r w:rsidR="00176788" w:rsidRPr="00176788">
        <w:rPr>
          <w:rFonts w:ascii="Times New Roman" w:hAnsi="Times New Roman" w:cs="Times New Roman"/>
          <w:color w:val="000000" w:themeColor="text1"/>
          <w:lang w:val="en-US"/>
        </w:rPr>
        <w:lastRenderedPageBreak/>
        <w:t xml:space="preserve">difference, 0 </w:t>
      </w:r>
      <w:r w:rsidR="00176788" w:rsidRPr="00176788">
        <w:rPr>
          <w:rFonts w:ascii="Cambria Math" w:hAnsi="Cambria Math" w:cs="Cambria Math"/>
          <w:color w:val="000000" w:themeColor="text1"/>
          <w:lang w:val="en-US"/>
        </w:rPr>
        <w:t>∉</w:t>
      </w:r>
      <w:r w:rsidR="00176788" w:rsidRPr="00176788">
        <w:rPr>
          <w:rFonts w:ascii="Times New Roman" w:hAnsi="Times New Roman" w:cs="Times New Roman"/>
          <w:color w:val="000000" w:themeColor="text1"/>
          <w:lang w:val="en-US"/>
        </w:rPr>
        <w:t xml:space="preserve"> </w:t>
      </w:r>
      <w:r w:rsidR="00176788">
        <w:rPr>
          <w:rFonts w:ascii="Times New Roman" w:hAnsi="Times New Roman" w:cs="Times New Roman"/>
          <w:color w:val="000000" w:themeColor="text1"/>
          <w:lang w:val="en-US"/>
        </w:rPr>
        <w:t>7</w:t>
      </w:r>
      <w:r w:rsidR="00176788" w:rsidRPr="00176788">
        <w:rPr>
          <w:rFonts w:ascii="Times New Roman" w:hAnsi="Times New Roman" w:cs="Times New Roman"/>
          <w:color w:val="000000" w:themeColor="text1"/>
          <w:lang w:val="en-US"/>
        </w:rPr>
        <w:t>5% HDI</w:t>
      </w:r>
      <w:r w:rsidR="00176788" w:rsidRPr="00176788">
        <w:rPr>
          <w:rFonts w:ascii="Times New Roman" w:eastAsia="Calibri" w:hAnsi="Times New Roman" w:cs="Times New Roman"/>
          <w:lang w:val="en-US"/>
        </w:rPr>
        <w:t>)</w:t>
      </w:r>
      <w:r w:rsidR="00870F88">
        <w:rPr>
          <w:rFonts w:ascii="Times New Roman" w:eastAsia="Calibri" w:hAnsi="Times New Roman" w:cs="Times New Roman"/>
          <w:lang w:val="en-US"/>
        </w:rPr>
        <w:t>.</w:t>
      </w:r>
      <w:r w:rsidR="00E26EF6">
        <w:rPr>
          <w:rFonts w:ascii="Times New Roman" w:eastAsia="Calibri" w:hAnsi="Times New Roman" w:cs="Times New Roman"/>
          <w:lang w:val="en-US"/>
        </w:rPr>
        <w:t xml:space="preserve"> The reinforcement sensitivity was also decreased at the lower dose (</w:t>
      </w:r>
      <w:r w:rsidR="00176788" w:rsidRPr="00176788">
        <w:rPr>
          <w:rFonts w:ascii="Times New Roman" w:hAnsi="Times New Roman" w:cs="Times New Roman"/>
          <w:color w:val="000000" w:themeColor="text1"/>
          <w:lang w:val="en-US"/>
        </w:rPr>
        <w:t xml:space="preserve">group difference, 0 </w:t>
      </w:r>
      <w:r w:rsidR="00176788" w:rsidRPr="00176788">
        <w:rPr>
          <w:rFonts w:ascii="Cambria Math" w:hAnsi="Cambria Math" w:cs="Cambria Math"/>
          <w:color w:val="000000" w:themeColor="text1"/>
          <w:lang w:val="en-US"/>
        </w:rPr>
        <w:t>∉</w:t>
      </w:r>
      <w:r w:rsidR="00176788" w:rsidRPr="00176788">
        <w:rPr>
          <w:rFonts w:ascii="Times New Roman" w:hAnsi="Times New Roman" w:cs="Times New Roman"/>
          <w:color w:val="000000" w:themeColor="text1"/>
          <w:lang w:val="en-US"/>
        </w:rPr>
        <w:t xml:space="preserve"> </w:t>
      </w:r>
      <w:r w:rsidR="00176788">
        <w:rPr>
          <w:rFonts w:ascii="Times New Roman" w:hAnsi="Times New Roman" w:cs="Times New Roman"/>
          <w:color w:val="000000" w:themeColor="text1"/>
          <w:lang w:val="en-US"/>
        </w:rPr>
        <w:t>7</w:t>
      </w:r>
      <w:r w:rsidR="00176788" w:rsidRPr="00176788">
        <w:rPr>
          <w:rFonts w:ascii="Times New Roman" w:hAnsi="Times New Roman" w:cs="Times New Roman"/>
          <w:color w:val="000000" w:themeColor="text1"/>
          <w:lang w:val="en-US"/>
        </w:rPr>
        <w:t>5% HDI</w:t>
      </w:r>
      <w:r w:rsidR="00E26EF6">
        <w:rPr>
          <w:rFonts w:ascii="Times New Roman" w:eastAsia="Calibri" w:hAnsi="Times New Roman" w:cs="Times New Roman"/>
          <w:lang w:val="en-US"/>
        </w:rPr>
        <w:t>)</w:t>
      </w:r>
      <w:r w:rsidR="00C24282">
        <w:rPr>
          <w:rFonts w:ascii="Times New Roman" w:eastAsia="Calibri" w:hAnsi="Times New Roman" w:cs="Times New Roman"/>
          <w:lang w:val="en-US"/>
        </w:rPr>
        <w:t xml:space="preserve"> and the </w:t>
      </w:r>
      <w:r w:rsidR="008070E1">
        <w:rPr>
          <w:rFonts w:ascii="Times New Roman" w:eastAsia="Calibri" w:hAnsi="Times New Roman" w:cs="Times New Roman"/>
          <w:lang w:val="en-US"/>
        </w:rPr>
        <w:t xml:space="preserve">side stickiness was increased at </w:t>
      </w:r>
      <w:r w:rsidR="009A6D36">
        <w:rPr>
          <w:rFonts w:ascii="Times New Roman" w:eastAsia="Calibri" w:hAnsi="Times New Roman" w:cs="Times New Roman"/>
          <w:lang w:val="en-US"/>
        </w:rPr>
        <w:t>th</w:t>
      </w:r>
      <w:r w:rsidR="00C24282">
        <w:rPr>
          <w:rFonts w:ascii="Times New Roman" w:eastAsia="Calibri" w:hAnsi="Times New Roman" w:cs="Times New Roman"/>
          <w:lang w:val="en-US"/>
        </w:rPr>
        <w:t xml:space="preserve">is dose </w:t>
      </w:r>
      <w:r w:rsidR="008070E1">
        <w:rPr>
          <w:rFonts w:ascii="Times New Roman" w:eastAsia="Calibri" w:hAnsi="Times New Roman" w:cs="Times New Roman"/>
          <w:lang w:val="en-US"/>
        </w:rPr>
        <w:t>(</w:t>
      </w:r>
      <w:r w:rsidR="009A6D36" w:rsidRPr="00176788">
        <w:rPr>
          <w:rFonts w:ascii="Times New Roman" w:hAnsi="Times New Roman" w:cs="Times New Roman"/>
          <w:color w:val="000000" w:themeColor="text1"/>
          <w:lang w:val="en-US"/>
        </w:rPr>
        <w:t xml:space="preserve">group difference, 0 </w:t>
      </w:r>
      <w:r w:rsidR="009A6D36" w:rsidRPr="00176788">
        <w:rPr>
          <w:rFonts w:ascii="Cambria Math" w:hAnsi="Cambria Math" w:cs="Cambria Math"/>
          <w:color w:val="000000" w:themeColor="text1"/>
          <w:lang w:val="en-US"/>
        </w:rPr>
        <w:t>∉</w:t>
      </w:r>
      <w:r w:rsidR="009A6D36" w:rsidRPr="00176788">
        <w:rPr>
          <w:rFonts w:ascii="Times New Roman" w:hAnsi="Times New Roman" w:cs="Times New Roman"/>
          <w:color w:val="000000" w:themeColor="text1"/>
          <w:lang w:val="en-US"/>
        </w:rPr>
        <w:t xml:space="preserve"> </w:t>
      </w:r>
      <w:r w:rsidR="009A6D36">
        <w:rPr>
          <w:rFonts w:ascii="Times New Roman" w:hAnsi="Times New Roman" w:cs="Times New Roman"/>
          <w:color w:val="000000" w:themeColor="text1"/>
          <w:lang w:val="en-US"/>
        </w:rPr>
        <w:t>9</w:t>
      </w:r>
      <w:r w:rsidR="009A6D36" w:rsidRPr="00176788">
        <w:rPr>
          <w:rFonts w:ascii="Times New Roman" w:hAnsi="Times New Roman" w:cs="Times New Roman"/>
          <w:color w:val="000000" w:themeColor="text1"/>
          <w:lang w:val="en-US"/>
        </w:rPr>
        <w:t>5% HDI</w:t>
      </w:r>
      <w:r w:rsidR="008070E1">
        <w:rPr>
          <w:rFonts w:ascii="Times New Roman" w:eastAsia="Calibri" w:hAnsi="Times New Roman" w:cs="Times New Roman"/>
          <w:lang w:val="en-US"/>
        </w:rPr>
        <w:t xml:space="preserve">). </w:t>
      </w:r>
    </w:p>
    <w:p w14:paraId="2B54A3D5" w14:textId="77777777" w:rsidR="00C46078" w:rsidRDefault="00C46078">
      <w:pPr>
        <w:spacing w:before="240" w:after="240" w:line="480" w:lineRule="auto"/>
        <w:jc w:val="both"/>
        <w:rPr>
          <w:rFonts w:ascii="Times New Roman" w:eastAsia="Calibri" w:hAnsi="Times New Roman" w:cs="Times New Roman"/>
          <w:lang w:val="en-US"/>
        </w:rPr>
      </w:pPr>
    </w:p>
    <w:p w14:paraId="025321ED" w14:textId="047927FD" w:rsidR="00B274B4" w:rsidRDefault="00B274B4" w:rsidP="00AF1FD0">
      <w:pPr>
        <w:spacing w:before="240" w:after="240" w:line="480" w:lineRule="auto"/>
        <w:jc w:val="both"/>
        <w:rPr>
          <w:rFonts w:ascii="Times New Roman" w:eastAsia="Calibri" w:hAnsi="Times New Roman" w:cs="Times New Roman"/>
          <w:lang w:val="en-US"/>
        </w:rPr>
      </w:pPr>
      <w:r>
        <w:rPr>
          <w:rFonts w:ascii="Times New Roman" w:eastAsia="Calibri" w:hAnsi="Times New Roman" w:cs="Times New Roman"/>
          <w:lang w:val="en-US"/>
        </w:rPr>
        <w:t>This was also repeated for the 5-HT</w:t>
      </w:r>
      <w:r>
        <w:rPr>
          <w:rFonts w:ascii="Times New Roman" w:eastAsia="Calibri" w:hAnsi="Times New Roman" w:cs="Times New Roman"/>
          <w:vertAlign w:val="subscript"/>
          <w:lang w:val="en-US"/>
        </w:rPr>
        <w:t>2C</w:t>
      </w:r>
      <w:r>
        <w:rPr>
          <w:rFonts w:ascii="Times New Roman" w:eastAsia="Calibri" w:hAnsi="Times New Roman" w:cs="Times New Roman"/>
          <w:lang w:val="en-US"/>
        </w:rPr>
        <w:t xml:space="preserve">R antagonist dataset (i.e., the group comparisons of model 9 were analyzed despite it not converging), </w:t>
      </w:r>
      <w:r w:rsidR="00F13611">
        <w:rPr>
          <w:rFonts w:ascii="Times New Roman" w:eastAsia="Calibri" w:hAnsi="Times New Roman" w:cs="Times New Roman"/>
          <w:lang w:val="en-US"/>
        </w:rPr>
        <w:t>and the results were also the same</w:t>
      </w:r>
      <w:r>
        <w:rPr>
          <w:rFonts w:ascii="Times New Roman" w:eastAsia="Calibri" w:hAnsi="Times New Roman" w:cs="Times New Roman"/>
          <w:lang w:val="en-US"/>
        </w:rPr>
        <w:t xml:space="preserve">. </w:t>
      </w:r>
      <w:r w:rsidR="00E24BD6">
        <w:rPr>
          <w:rFonts w:ascii="Times New Roman" w:eastAsia="Calibri" w:hAnsi="Times New Roman" w:cs="Times New Roman"/>
          <w:lang w:val="en-US"/>
        </w:rPr>
        <w:t xml:space="preserve">At the low dose of </w:t>
      </w:r>
      <w:r w:rsidR="00E24BD6">
        <w:rPr>
          <w:rFonts w:ascii="Times New Roman" w:eastAsia="Calibri" w:hAnsi="Times New Roman" w:cs="Times New Roman"/>
          <w:color w:val="000000" w:themeColor="text1"/>
          <w:lang w:val="en-US"/>
        </w:rPr>
        <w:t>SB-242084</w:t>
      </w:r>
      <w:r w:rsidR="00AF1FD0">
        <w:rPr>
          <w:rFonts w:ascii="Times New Roman" w:eastAsia="Calibri" w:hAnsi="Times New Roman" w:cs="Times New Roman"/>
          <w:color w:val="000000" w:themeColor="text1"/>
          <w:lang w:val="en-US"/>
        </w:rPr>
        <w:t xml:space="preserve">, reinforcement sensitivity was lower compared to the control group </w:t>
      </w:r>
      <w:r w:rsidR="00AF1FD0">
        <w:rPr>
          <w:rFonts w:ascii="Times New Roman" w:eastAsia="Calibri" w:hAnsi="Times New Roman" w:cs="Times New Roman"/>
          <w:lang w:val="en-US"/>
        </w:rPr>
        <w:t>(</w:t>
      </w:r>
      <w:r w:rsidR="00AF1FD0" w:rsidRPr="00176788">
        <w:rPr>
          <w:rFonts w:ascii="Times New Roman" w:hAnsi="Times New Roman" w:cs="Times New Roman"/>
          <w:color w:val="000000" w:themeColor="text1"/>
          <w:lang w:val="en-US"/>
        </w:rPr>
        <w:t xml:space="preserve">group difference, 0 </w:t>
      </w:r>
      <w:r w:rsidR="00AF1FD0" w:rsidRPr="00176788">
        <w:rPr>
          <w:rFonts w:ascii="Cambria Math" w:hAnsi="Cambria Math" w:cs="Cambria Math"/>
          <w:color w:val="000000" w:themeColor="text1"/>
          <w:lang w:val="en-US"/>
        </w:rPr>
        <w:t>∉</w:t>
      </w:r>
      <w:r w:rsidR="00AF1FD0" w:rsidRPr="00176788">
        <w:rPr>
          <w:rFonts w:ascii="Times New Roman" w:hAnsi="Times New Roman" w:cs="Times New Roman"/>
          <w:color w:val="000000" w:themeColor="text1"/>
          <w:lang w:val="en-US"/>
        </w:rPr>
        <w:t xml:space="preserve"> </w:t>
      </w:r>
      <w:r w:rsidR="00AF1FD0">
        <w:rPr>
          <w:rFonts w:ascii="Times New Roman" w:hAnsi="Times New Roman" w:cs="Times New Roman"/>
          <w:color w:val="000000" w:themeColor="text1"/>
          <w:lang w:val="en-US"/>
        </w:rPr>
        <w:t>7</w:t>
      </w:r>
      <w:r w:rsidR="00AF1FD0" w:rsidRPr="00176788">
        <w:rPr>
          <w:rFonts w:ascii="Times New Roman" w:hAnsi="Times New Roman" w:cs="Times New Roman"/>
          <w:color w:val="000000" w:themeColor="text1"/>
          <w:lang w:val="en-US"/>
        </w:rPr>
        <w:t>5% HDI</w:t>
      </w:r>
      <w:r w:rsidR="00AF1FD0">
        <w:rPr>
          <w:rFonts w:ascii="Times New Roman" w:eastAsia="Calibri" w:hAnsi="Times New Roman" w:cs="Times New Roman"/>
          <w:lang w:val="en-US"/>
        </w:rPr>
        <w:t>). Side stickiness was reduced at both low and high doses (</w:t>
      </w:r>
      <w:r w:rsidR="00AF1FD0" w:rsidRPr="00176788">
        <w:rPr>
          <w:rFonts w:ascii="Times New Roman" w:hAnsi="Times New Roman" w:cs="Times New Roman"/>
          <w:color w:val="000000" w:themeColor="text1"/>
          <w:lang w:val="en-US"/>
        </w:rPr>
        <w:t xml:space="preserve">group difference, 0 </w:t>
      </w:r>
      <w:r w:rsidR="00AF1FD0" w:rsidRPr="00176788">
        <w:rPr>
          <w:rFonts w:ascii="Cambria Math" w:hAnsi="Cambria Math" w:cs="Cambria Math"/>
          <w:color w:val="000000" w:themeColor="text1"/>
          <w:lang w:val="en-US"/>
        </w:rPr>
        <w:t>∉</w:t>
      </w:r>
      <w:r w:rsidR="00AF1FD0" w:rsidRPr="00176788">
        <w:rPr>
          <w:rFonts w:ascii="Times New Roman" w:hAnsi="Times New Roman" w:cs="Times New Roman"/>
          <w:color w:val="000000" w:themeColor="text1"/>
          <w:lang w:val="en-US"/>
        </w:rPr>
        <w:t xml:space="preserve"> </w:t>
      </w:r>
      <w:r w:rsidR="00AF1FD0">
        <w:rPr>
          <w:rFonts w:ascii="Times New Roman" w:hAnsi="Times New Roman" w:cs="Times New Roman"/>
          <w:color w:val="000000" w:themeColor="text1"/>
          <w:lang w:val="en-US"/>
        </w:rPr>
        <w:t>9</w:t>
      </w:r>
      <w:r w:rsidR="00AF1FD0" w:rsidRPr="00176788">
        <w:rPr>
          <w:rFonts w:ascii="Times New Roman" w:hAnsi="Times New Roman" w:cs="Times New Roman"/>
          <w:color w:val="000000" w:themeColor="text1"/>
          <w:lang w:val="en-US"/>
        </w:rPr>
        <w:t>5% HDI</w:t>
      </w:r>
      <w:r w:rsidR="00AF1FD0">
        <w:rPr>
          <w:rFonts w:ascii="Times New Roman" w:hAnsi="Times New Roman" w:cs="Times New Roman"/>
          <w:color w:val="000000" w:themeColor="text1"/>
          <w:lang w:val="en-US"/>
        </w:rPr>
        <w:t xml:space="preserve"> and </w:t>
      </w:r>
      <w:r w:rsidR="00AF1FD0" w:rsidRPr="00176788">
        <w:rPr>
          <w:rFonts w:ascii="Times New Roman" w:hAnsi="Times New Roman" w:cs="Times New Roman"/>
          <w:color w:val="000000" w:themeColor="text1"/>
          <w:lang w:val="en-US"/>
        </w:rPr>
        <w:t xml:space="preserve">group difference, 0 </w:t>
      </w:r>
      <w:r w:rsidR="00AF1FD0" w:rsidRPr="00176788">
        <w:rPr>
          <w:rFonts w:ascii="Cambria Math" w:hAnsi="Cambria Math" w:cs="Cambria Math"/>
          <w:color w:val="000000" w:themeColor="text1"/>
          <w:lang w:val="en-US"/>
        </w:rPr>
        <w:t>∉</w:t>
      </w:r>
      <w:r w:rsidR="00AF1FD0" w:rsidRPr="00176788">
        <w:rPr>
          <w:rFonts w:ascii="Times New Roman" w:hAnsi="Times New Roman" w:cs="Times New Roman"/>
          <w:color w:val="000000" w:themeColor="text1"/>
          <w:lang w:val="en-US"/>
        </w:rPr>
        <w:t xml:space="preserve"> </w:t>
      </w:r>
      <w:r w:rsidR="00AF1FD0">
        <w:rPr>
          <w:rFonts w:ascii="Times New Roman" w:hAnsi="Times New Roman" w:cs="Times New Roman"/>
          <w:color w:val="000000" w:themeColor="text1"/>
          <w:lang w:val="en-US"/>
        </w:rPr>
        <w:t>7</w:t>
      </w:r>
      <w:r w:rsidR="00AF1FD0" w:rsidRPr="00176788">
        <w:rPr>
          <w:rFonts w:ascii="Times New Roman" w:hAnsi="Times New Roman" w:cs="Times New Roman"/>
          <w:color w:val="000000" w:themeColor="text1"/>
          <w:lang w:val="en-US"/>
        </w:rPr>
        <w:t>5% HDI</w:t>
      </w:r>
      <w:r w:rsidR="00AF1FD0">
        <w:rPr>
          <w:rFonts w:ascii="Times New Roman" w:hAnsi="Times New Roman" w:cs="Times New Roman"/>
          <w:color w:val="000000" w:themeColor="text1"/>
          <w:lang w:val="en-US"/>
        </w:rPr>
        <w:t>, respectively</w:t>
      </w:r>
      <w:r w:rsidR="00AF1FD0">
        <w:rPr>
          <w:rFonts w:ascii="Times New Roman" w:eastAsia="Calibri" w:hAnsi="Times New Roman" w:cs="Times New Roman"/>
          <w:lang w:val="en-US"/>
        </w:rPr>
        <w:t>).</w:t>
      </w:r>
      <w:r w:rsidR="00F9581B">
        <w:rPr>
          <w:rFonts w:ascii="Times New Roman" w:eastAsia="Calibri" w:hAnsi="Times New Roman" w:cs="Times New Roman"/>
          <w:lang w:val="en-US"/>
        </w:rPr>
        <w:t xml:space="preserve"> No differences were found in the </w:t>
      </w:r>
      <w:r w:rsidR="009C3C66">
        <w:rPr>
          <w:rFonts w:ascii="Times New Roman" w:eastAsia="Calibri" w:hAnsi="Times New Roman" w:cs="Times New Roman"/>
          <w:lang w:val="en-US"/>
        </w:rPr>
        <w:t>other parameters.</w:t>
      </w:r>
      <w:r w:rsidR="00F9581B">
        <w:rPr>
          <w:rFonts w:ascii="Times New Roman" w:eastAsia="Calibri" w:hAnsi="Times New Roman" w:cs="Times New Roman"/>
          <w:lang w:val="en-US"/>
        </w:rPr>
        <w:t xml:space="preserve"> </w:t>
      </w:r>
    </w:p>
    <w:p w14:paraId="460FCE2B" w14:textId="77777777" w:rsidR="009A600A" w:rsidRPr="00B274B4" w:rsidRDefault="009A600A" w:rsidP="00AF1FD0">
      <w:pPr>
        <w:spacing w:before="240" w:after="240" w:line="480" w:lineRule="auto"/>
        <w:jc w:val="both"/>
        <w:rPr>
          <w:rFonts w:ascii="Times New Roman" w:hAnsi="Times New Roman" w:cs="Times New Roman"/>
          <w:color w:val="000000" w:themeColor="text1"/>
          <w:lang w:val="en-US"/>
        </w:rPr>
      </w:pPr>
    </w:p>
    <w:p w14:paraId="10D17B98" w14:textId="77777777" w:rsidR="00790D11" w:rsidRDefault="00623501">
      <w:pPr>
        <w:rPr>
          <w:rFonts w:ascii="Times New Roman" w:hAnsi="Times New Roman" w:cs="Times New Roman"/>
          <w:b/>
          <w:bCs/>
          <w:lang w:val="en-US"/>
        </w:rPr>
      </w:pPr>
      <w:r>
        <w:rPr>
          <w:rFonts w:ascii="Times New Roman" w:hAnsi="Times New Roman" w:cs="Times New Roman"/>
          <w:b/>
          <w:bCs/>
          <w:lang w:val="en-US"/>
        </w:rPr>
        <w:t>Results</w:t>
      </w:r>
    </w:p>
    <w:p w14:paraId="10D17B99" w14:textId="77777777" w:rsidR="00790D11" w:rsidRDefault="00623501">
      <w:pPr>
        <w:rPr>
          <w:rFonts w:ascii="Times New Roman" w:hAnsi="Times New Roman" w:cs="Times New Roman"/>
          <w:b/>
          <w:bCs/>
          <w:lang w:val="en-US"/>
        </w:rPr>
      </w:pPr>
      <w:r>
        <w:rPr>
          <w:rFonts w:ascii="Times New Roman" w:hAnsi="Times New Roman" w:cs="Times New Roman"/>
          <w:b/>
          <w:bCs/>
          <w:lang w:val="en-US"/>
        </w:rPr>
        <w:t>Additional analyses of conventional measures</w:t>
      </w:r>
    </w:p>
    <w:p w14:paraId="10D17B9A" w14:textId="77777777" w:rsidR="00790D11" w:rsidRDefault="00790D11">
      <w:pPr>
        <w:rPr>
          <w:rFonts w:ascii="Times New Roman" w:hAnsi="Times New Roman" w:cs="Times New Roman"/>
          <w:b/>
          <w:bCs/>
          <w:lang w:val="en-US"/>
        </w:rPr>
      </w:pPr>
    </w:p>
    <w:p w14:paraId="10D17B9B" w14:textId="53CDF630"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There was a trend for M100907 to decrease win-stay probability without reaching statistical significance (</w:t>
      </w:r>
      <w:r>
        <w:rPr>
          <w:rFonts w:ascii="Times New Roman" w:eastAsia="Calibri" w:hAnsi="Times New Roman" w:cs="Times New Roman"/>
          <w:i/>
          <w:color w:val="000000" w:themeColor="text1"/>
          <w:lang w:val="en-US"/>
        </w:rPr>
        <w:t>F</w:t>
      </w:r>
      <w:r>
        <w:rPr>
          <w:rFonts w:ascii="Times New Roman" w:eastAsia="Calibri" w:hAnsi="Times New Roman" w:cs="Times New Roman"/>
          <w:color w:val="000000" w:themeColor="text1"/>
          <w:vertAlign w:val="subscript"/>
          <w:lang w:val="en-US"/>
        </w:rPr>
        <w:t>2,35</w:t>
      </w:r>
      <w:r>
        <w:rPr>
          <w:rFonts w:ascii="Times New Roman" w:eastAsia="Calibri" w:hAnsi="Times New Roman" w:cs="Times New Roman"/>
          <w:color w:val="000000" w:themeColor="text1"/>
          <w:lang w:val="en-US"/>
        </w:rPr>
        <w:t xml:space="preserve"> = 2.91, </w:t>
      </w:r>
      <w:r>
        <w:rPr>
          <w:rFonts w:ascii="Times New Roman" w:eastAsia="Calibri" w:hAnsi="Times New Roman" w:cs="Times New Roman"/>
          <w:i/>
          <w:color w:val="000000" w:themeColor="text1"/>
          <w:lang w:val="en-US"/>
        </w:rPr>
        <w:t>p</w:t>
      </w:r>
      <w:r>
        <w:rPr>
          <w:rFonts w:ascii="Times New Roman" w:eastAsia="Calibri" w:hAnsi="Times New Roman" w:cs="Times New Roman"/>
          <w:color w:val="000000" w:themeColor="text1"/>
          <w:lang w:val="en-US"/>
        </w:rPr>
        <w:t xml:space="preserve"> = 0.068) with planned pairwise comparison revealing 0.03 mg/kg M10907 marginally reducing win-stay probability (</w:t>
      </w:r>
      <w:r>
        <w:rPr>
          <w:rFonts w:ascii="Times New Roman" w:eastAsia="Calibri" w:hAnsi="Times New Roman" w:cs="Times New Roman"/>
          <w:i/>
          <w:color w:val="000000" w:themeColor="text1"/>
          <w:lang w:val="en-US"/>
        </w:rPr>
        <w:t>t</w:t>
      </w:r>
      <w:r>
        <w:rPr>
          <w:rFonts w:ascii="Times New Roman" w:eastAsia="Calibri" w:hAnsi="Times New Roman" w:cs="Times New Roman"/>
          <w:color w:val="000000" w:themeColor="text1"/>
          <w:vertAlign w:val="subscript"/>
          <w:lang w:val="en-US"/>
        </w:rPr>
        <w:t>38.3</w:t>
      </w:r>
      <w:r>
        <w:rPr>
          <w:rFonts w:ascii="Times New Roman" w:eastAsia="Calibri" w:hAnsi="Times New Roman" w:cs="Times New Roman"/>
          <w:color w:val="000000" w:themeColor="text1"/>
          <w:lang w:val="en-US"/>
        </w:rPr>
        <w:t xml:space="preserve"> = -2.30, </w:t>
      </w:r>
      <w:r>
        <w:rPr>
          <w:rFonts w:ascii="Times New Roman" w:eastAsia="Calibri" w:hAnsi="Times New Roman" w:cs="Times New Roman"/>
          <w:i/>
          <w:color w:val="000000" w:themeColor="text1"/>
          <w:lang w:val="en-US"/>
        </w:rPr>
        <w:t>p</w:t>
      </w:r>
      <w:r>
        <w:rPr>
          <w:rFonts w:ascii="Times New Roman" w:eastAsia="Calibri" w:hAnsi="Times New Roman" w:cs="Times New Roman"/>
          <w:color w:val="000000" w:themeColor="text1"/>
          <w:lang w:val="en-US"/>
        </w:rPr>
        <w:t xml:space="preserve"> = 0.051) (</w:t>
      </w:r>
      <w:r w:rsidR="00702A9D">
        <w:rPr>
          <w:rFonts w:ascii="Times New Roman" w:eastAsia="Calibri" w:hAnsi="Times New Roman" w:cs="Times New Roman"/>
          <w:b/>
          <w:bCs/>
          <w:color w:val="000000" w:themeColor="text1"/>
          <w:lang w:val="en-US"/>
        </w:rPr>
        <w:t>Figure SF.3</w:t>
      </w:r>
      <w:r>
        <w:rPr>
          <w:rFonts w:ascii="Times New Roman" w:eastAsia="Calibri" w:hAnsi="Times New Roman" w:cs="Times New Roman"/>
          <w:b/>
          <w:bCs/>
          <w:color w:val="000000" w:themeColor="text1"/>
          <w:lang w:val="en-US"/>
        </w:rPr>
        <w:t>)</w:t>
      </w:r>
      <w:r>
        <w:rPr>
          <w:rFonts w:ascii="Times New Roman" w:eastAsia="Calibri" w:hAnsi="Times New Roman" w:cs="Times New Roman"/>
          <w:color w:val="000000" w:themeColor="text1"/>
          <w:lang w:val="en-US"/>
        </w:rPr>
        <w:t>. Likewise, M100907 trended towards decreasing lose-shift probability (</w:t>
      </w:r>
      <w:r>
        <w:rPr>
          <w:rFonts w:ascii="Times New Roman" w:eastAsia="Calibri" w:hAnsi="Times New Roman" w:cs="Times New Roman"/>
          <w:i/>
          <w:color w:val="000000" w:themeColor="text1"/>
          <w:lang w:val="en-US"/>
        </w:rPr>
        <w:t>F</w:t>
      </w:r>
      <w:r>
        <w:rPr>
          <w:rFonts w:ascii="Times New Roman" w:eastAsia="Calibri" w:hAnsi="Times New Roman" w:cs="Times New Roman"/>
          <w:color w:val="000000" w:themeColor="text1"/>
          <w:vertAlign w:val="subscript"/>
          <w:lang w:val="en-US"/>
        </w:rPr>
        <w:t>2,35</w:t>
      </w:r>
      <w:r>
        <w:rPr>
          <w:rFonts w:ascii="Times New Roman" w:eastAsia="Calibri" w:hAnsi="Times New Roman" w:cs="Times New Roman"/>
          <w:color w:val="000000" w:themeColor="text1"/>
          <w:lang w:val="en-US"/>
        </w:rPr>
        <w:t xml:space="preserve"> = 3.04, </w:t>
      </w:r>
      <w:r>
        <w:rPr>
          <w:rFonts w:ascii="Times New Roman" w:eastAsia="Calibri" w:hAnsi="Times New Roman" w:cs="Times New Roman"/>
          <w:i/>
          <w:color w:val="000000" w:themeColor="text1"/>
          <w:lang w:val="en-US"/>
        </w:rPr>
        <w:t>p</w:t>
      </w:r>
      <w:r>
        <w:rPr>
          <w:rFonts w:ascii="Times New Roman" w:eastAsia="Calibri" w:hAnsi="Times New Roman" w:cs="Times New Roman"/>
          <w:color w:val="000000" w:themeColor="text1"/>
          <w:lang w:val="en-US"/>
        </w:rPr>
        <w:t xml:space="preserve"> = 0.061) with a planned pairwise comparison for 0.03 mg/kg M10907 indicating significantly reduced lose-shift probability (</w:t>
      </w:r>
      <w:r>
        <w:rPr>
          <w:rFonts w:ascii="Times New Roman" w:eastAsia="Calibri" w:hAnsi="Times New Roman" w:cs="Times New Roman"/>
          <w:i/>
          <w:color w:val="000000" w:themeColor="text1"/>
          <w:lang w:val="en-US"/>
        </w:rPr>
        <w:t>t</w:t>
      </w:r>
      <w:r>
        <w:rPr>
          <w:rFonts w:ascii="Times New Roman" w:eastAsia="Calibri" w:hAnsi="Times New Roman" w:cs="Times New Roman"/>
          <w:color w:val="000000" w:themeColor="text1"/>
          <w:vertAlign w:val="subscript"/>
          <w:lang w:val="en-US"/>
        </w:rPr>
        <w:t>38.3</w:t>
      </w:r>
      <w:r>
        <w:rPr>
          <w:rFonts w:ascii="Times New Roman" w:eastAsia="Calibri" w:hAnsi="Times New Roman" w:cs="Times New Roman"/>
          <w:color w:val="000000" w:themeColor="text1"/>
          <w:lang w:val="en-US"/>
        </w:rPr>
        <w:t xml:space="preserve"> = -2.32, </w:t>
      </w:r>
      <w:r>
        <w:rPr>
          <w:rFonts w:ascii="Times New Roman" w:eastAsia="Calibri" w:hAnsi="Times New Roman" w:cs="Times New Roman"/>
          <w:i/>
          <w:color w:val="000000" w:themeColor="text1"/>
          <w:lang w:val="en-US"/>
        </w:rPr>
        <w:t>p</w:t>
      </w:r>
      <w:r>
        <w:rPr>
          <w:rFonts w:ascii="Times New Roman" w:eastAsia="Calibri" w:hAnsi="Times New Roman" w:cs="Times New Roman"/>
          <w:color w:val="000000" w:themeColor="text1"/>
          <w:lang w:val="en-US"/>
        </w:rPr>
        <w:t xml:space="preserve"> = 0.048).</w:t>
      </w:r>
    </w:p>
    <w:p w14:paraId="10D17B9C" w14:textId="77777777" w:rsidR="00790D11" w:rsidRDefault="00790D11">
      <w:pPr>
        <w:spacing w:line="480" w:lineRule="auto"/>
        <w:jc w:val="both"/>
        <w:rPr>
          <w:rFonts w:ascii="Times New Roman" w:eastAsia="Calibri" w:hAnsi="Times New Roman" w:cs="Times New Roman"/>
          <w:color w:val="000000" w:themeColor="text1"/>
          <w:lang w:val="en-US"/>
        </w:rPr>
      </w:pPr>
    </w:p>
    <w:p w14:paraId="10D17B9D" w14:textId="1C0EB03B"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We found no effects of M100907 on response or collection latencies</w:t>
      </w:r>
      <w:r w:rsidR="00DD1832">
        <w:rPr>
          <w:rFonts w:ascii="Times New Roman" w:eastAsia="Calibri" w:hAnsi="Times New Roman" w:cs="Times New Roman"/>
          <w:color w:val="000000" w:themeColor="text1"/>
          <w:lang w:val="en-US"/>
        </w:rPr>
        <w:t xml:space="preserve"> (</w:t>
      </w:r>
      <w:r w:rsidR="00DD1832">
        <w:rPr>
          <w:rFonts w:ascii="Times New Roman" w:eastAsia="Calibri" w:hAnsi="Times New Roman" w:cs="Times New Roman"/>
          <w:b/>
          <w:bCs/>
          <w:color w:val="000000" w:themeColor="text1"/>
          <w:lang w:val="en-US"/>
        </w:rPr>
        <w:t>Figure SF.4)</w:t>
      </w:r>
      <w:r>
        <w:rPr>
          <w:rFonts w:ascii="Times New Roman" w:eastAsia="Calibri" w:hAnsi="Times New Roman" w:cs="Times New Roman"/>
          <w:color w:val="000000" w:themeColor="text1"/>
          <w:lang w:val="en-US"/>
        </w:rPr>
        <w:t xml:space="preserve">. </w:t>
      </w:r>
    </w:p>
    <w:p w14:paraId="10D17B9E" w14:textId="77777777" w:rsidR="00790D11" w:rsidRDefault="00790D11">
      <w:pPr>
        <w:rPr>
          <w:rFonts w:ascii="Times New Roman" w:hAnsi="Times New Roman" w:cs="Times New Roman"/>
          <w:b/>
          <w:bCs/>
          <w:lang w:val="en-US"/>
        </w:rPr>
      </w:pPr>
    </w:p>
    <w:p w14:paraId="10D17B9F" w14:textId="557DFCBA"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SB-242084 affected win-stay probability significantly (</w:t>
      </w:r>
      <w:r>
        <w:rPr>
          <w:rFonts w:ascii="Times New Roman" w:eastAsia="Calibri" w:hAnsi="Times New Roman" w:cs="Times New Roman"/>
          <w:i/>
          <w:color w:val="000000" w:themeColor="text1"/>
          <w:lang w:val="en-US"/>
        </w:rPr>
        <w:t>F</w:t>
      </w:r>
      <w:r>
        <w:rPr>
          <w:rFonts w:ascii="Times New Roman" w:eastAsia="Calibri" w:hAnsi="Times New Roman" w:cs="Times New Roman"/>
          <w:color w:val="000000" w:themeColor="text1"/>
          <w:vertAlign w:val="subscript"/>
          <w:lang w:val="en-US"/>
        </w:rPr>
        <w:t>2,35</w:t>
      </w:r>
      <w:r>
        <w:rPr>
          <w:rFonts w:ascii="Times New Roman" w:eastAsia="Calibri" w:hAnsi="Times New Roman" w:cs="Times New Roman"/>
          <w:color w:val="000000" w:themeColor="text1"/>
          <w:lang w:val="en-US"/>
        </w:rPr>
        <w:t xml:space="preserve"> = 3.50, </w:t>
      </w:r>
      <w:r>
        <w:rPr>
          <w:rFonts w:ascii="Times New Roman" w:eastAsia="Calibri" w:hAnsi="Times New Roman" w:cs="Times New Roman"/>
          <w:i/>
          <w:color w:val="000000" w:themeColor="text1"/>
          <w:lang w:val="en-US"/>
        </w:rPr>
        <w:t>p</w:t>
      </w:r>
      <w:r>
        <w:rPr>
          <w:rFonts w:ascii="Times New Roman" w:eastAsia="Calibri" w:hAnsi="Times New Roman" w:cs="Times New Roman"/>
          <w:color w:val="000000" w:themeColor="text1"/>
          <w:lang w:val="en-US"/>
        </w:rPr>
        <w:t xml:space="preserve"> = 0.041) with planned pairwise comparison revealing that there was a trend for 1 mg/kg SB-242084 to reduce win-</w:t>
      </w:r>
      <w:r>
        <w:rPr>
          <w:rFonts w:ascii="Times New Roman" w:eastAsia="Calibri" w:hAnsi="Times New Roman" w:cs="Times New Roman"/>
          <w:color w:val="000000" w:themeColor="text1"/>
          <w:lang w:val="en-US"/>
        </w:rPr>
        <w:lastRenderedPageBreak/>
        <w:t>stay probability, although without reaching significance (</w:t>
      </w:r>
      <w:r>
        <w:rPr>
          <w:rFonts w:ascii="Times New Roman" w:eastAsia="Calibri" w:hAnsi="Times New Roman" w:cs="Times New Roman"/>
          <w:i/>
          <w:color w:val="000000" w:themeColor="text1"/>
          <w:lang w:val="en-US"/>
        </w:rPr>
        <w:t>t</w:t>
      </w:r>
      <w:r>
        <w:rPr>
          <w:rFonts w:ascii="Times New Roman" w:eastAsia="Calibri" w:hAnsi="Times New Roman" w:cs="Times New Roman"/>
          <w:color w:val="000000" w:themeColor="text1"/>
          <w:vertAlign w:val="subscript"/>
          <w:lang w:val="en-US"/>
        </w:rPr>
        <w:t>38.3</w:t>
      </w:r>
      <w:r>
        <w:rPr>
          <w:rFonts w:ascii="Times New Roman" w:eastAsia="Calibri" w:hAnsi="Times New Roman" w:cs="Times New Roman"/>
          <w:color w:val="000000" w:themeColor="text1"/>
          <w:lang w:val="en-US"/>
        </w:rPr>
        <w:t xml:space="preserve"> = -2.29, </w:t>
      </w:r>
      <w:r>
        <w:rPr>
          <w:rFonts w:ascii="Times New Roman" w:eastAsia="Calibri" w:hAnsi="Times New Roman" w:cs="Times New Roman"/>
          <w:i/>
          <w:color w:val="000000" w:themeColor="text1"/>
          <w:lang w:val="en-US"/>
        </w:rPr>
        <w:t>p</w:t>
      </w:r>
      <w:r>
        <w:rPr>
          <w:rFonts w:ascii="Times New Roman" w:eastAsia="Calibri" w:hAnsi="Times New Roman" w:cs="Times New Roman"/>
          <w:color w:val="000000" w:themeColor="text1"/>
          <w:lang w:val="en-US"/>
        </w:rPr>
        <w:t xml:space="preserve"> = 0.053)</w:t>
      </w:r>
      <w:r w:rsidR="006F74E8">
        <w:rPr>
          <w:rFonts w:ascii="Times New Roman" w:eastAsia="Calibri" w:hAnsi="Times New Roman" w:cs="Times New Roman"/>
          <w:color w:val="000000" w:themeColor="text1"/>
          <w:lang w:val="en-US"/>
        </w:rPr>
        <w:t xml:space="preserve"> </w:t>
      </w:r>
      <w:r>
        <w:rPr>
          <w:rFonts w:ascii="Times New Roman" w:eastAsia="Calibri" w:hAnsi="Times New Roman" w:cs="Times New Roman"/>
          <w:color w:val="000000" w:themeColor="text1"/>
          <w:lang w:val="en-US"/>
        </w:rPr>
        <w:t>(</w:t>
      </w:r>
      <w:r>
        <w:rPr>
          <w:rFonts w:ascii="Times New Roman" w:eastAsia="Calibri" w:hAnsi="Times New Roman" w:cs="Times New Roman"/>
          <w:b/>
          <w:bCs/>
          <w:color w:val="000000" w:themeColor="text1"/>
          <w:lang w:val="en-US"/>
        </w:rPr>
        <w:t xml:space="preserve">Figure </w:t>
      </w:r>
      <w:r w:rsidR="00291EFB">
        <w:rPr>
          <w:rFonts w:ascii="Times New Roman" w:eastAsia="Calibri" w:hAnsi="Times New Roman" w:cs="Times New Roman"/>
          <w:b/>
          <w:bCs/>
          <w:color w:val="000000" w:themeColor="text1"/>
          <w:lang w:val="en-US"/>
        </w:rPr>
        <w:t>SF.</w:t>
      </w:r>
      <w:r w:rsidR="00DD1832">
        <w:rPr>
          <w:rFonts w:ascii="Times New Roman" w:eastAsia="Calibri" w:hAnsi="Times New Roman" w:cs="Times New Roman"/>
          <w:b/>
          <w:bCs/>
          <w:color w:val="000000" w:themeColor="text1"/>
          <w:lang w:val="en-US"/>
        </w:rPr>
        <w:t>5</w:t>
      </w:r>
      <w:r>
        <w:rPr>
          <w:rFonts w:ascii="Times New Roman" w:eastAsia="Calibri" w:hAnsi="Times New Roman" w:cs="Times New Roman"/>
          <w:b/>
          <w:bCs/>
          <w:color w:val="000000" w:themeColor="text1"/>
          <w:lang w:val="en-US"/>
        </w:rPr>
        <w:t>)</w:t>
      </w:r>
      <w:r>
        <w:rPr>
          <w:rFonts w:ascii="Times New Roman" w:eastAsia="Calibri" w:hAnsi="Times New Roman" w:cs="Times New Roman"/>
          <w:color w:val="000000" w:themeColor="text1"/>
          <w:lang w:val="en-US"/>
        </w:rPr>
        <w:t>. Likewise, SB-242084 affected lose-shift probability significantly (</w:t>
      </w:r>
      <w:r>
        <w:rPr>
          <w:rFonts w:ascii="Times New Roman" w:eastAsia="Calibri" w:hAnsi="Times New Roman" w:cs="Times New Roman"/>
          <w:i/>
          <w:color w:val="000000" w:themeColor="text1"/>
          <w:lang w:val="en-US"/>
        </w:rPr>
        <w:t>F</w:t>
      </w:r>
      <w:r>
        <w:rPr>
          <w:rFonts w:ascii="Times New Roman" w:eastAsia="Calibri" w:hAnsi="Times New Roman" w:cs="Times New Roman"/>
          <w:color w:val="000000" w:themeColor="text1"/>
          <w:vertAlign w:val="subscript"/>
          <w:lang w:val="en-US"/>
        </w:rPr>
        <w:t>2,35</w:t>
      </w:r>
      <w:r>
        <w:rPr>
          <w:rFonts w:ascii="Times New Roman" w:eastAsia="Calibri" w:hAnsi="Times New Roman" w:cs="Times New Roman"/>
          <w:color w:val="000000" w:themeColor="text1"/>
          <w:lang w:val="en-US"/>
        </w:rPr>
        <w:t xml:space="preserve"> = 3.36, </w:t>
      </w:r>
      <w:r>
        <w:rPr>
          <w:rFonts w:ascii="Times New Roman" w:eastAsia="Calibri" w:hAnsi="Times New Roman" w:cs="Times New Roman"/>
          <w:i/>
          <w:color w:val="000000" w:themeColor="text1"/>
          <w:lang w:val="en-US"/>
        </w:rPr>
        <w:t>p</w:t>
      </w:r>
      <w:r>
        <w:rPr>
          <w:rFonts w:ascii="Times New Roman" w:eastAsia="Calibri" w:hAnsi="Times New Roman" w:cs="Times New Roman"/>
          <w:color w:val="000000" w:themeColor="text1"/>
          <w:lang w:val="en-US"/>
        </w:rPr>
        <w:t xml:space="preserve"> = 0.046) with a planned pairwise comparison revealing that there was a trend for 1 mg/kg SB-242084 to reduce </w:t>
      </w:r>
      <w:r w:rsidR="005167BF">
        <w:rPr>
          <w:rFonts w:ascii="Times New Roman" w:eastAsia="Calibri" w:hAnsi="Times New Roman" w:cs="Times New Roman"/>
          <w:color w:val="000000" w:themeColor="text1"/>
          <w:lang w:val="en-US"/>
        </w:rPr>
        <w:t>lose-shift</w:t>
      </w:r>
      <w:r>
        <w:rPr>
          <w:rFonts w:ascii="Times New Roman" w:eastAsia="Calibri" w:hAnsi="Times New Roman" w:cs="Times New Roman"/>
          <w:color w:val="000000" w:themeColor="text1"/>
          <w:lang w:val="en-US"/>
        </w:rPr>
        <w:t xml:space="preserve"> probability, albeit non-significantly (</w:t>
      </w:r>
      <w:r>
        <w:rPr>
          <w:rFonts w:ascii="Times New Roman" w:eastAsia="Calibri" w:hAnsi="Times New Roman" w:cs="Times New Roman"/>
          <w:i/>
          <w:color w:val="000000" w:themeColor="text1"/>
          <w:lang w:val="en-US"/>
        </w:rPr>
        <w:t>t</w:t>
      </w:r>
      <w:r>
        <w:rPr>
          <w:rFonts w:ascii="Times New Roman" w:eastAsia="Calibri" w:hAnsi="Times New Roman" w:cs="Times New Roman"/>
          <w:color w:val="000000" w:themeColor="text1"/>
          <w:vertAlign w:val="subscript"/>
          <w:lang w:val="en-US"/>
        </w:rPr>
        <w:t>38.3</w:t>
      </w:r>
      <w:r>
        <w:rPr>
          <w:rFonts w:ascii="Times New Roman" w:eastAsia="Calibri" w:hAnsi="Times New Roman" w:cs="Times New Roman"/>
          <w:color w:val="000000" w:themeColor="text1"/>
          <w:lang w:val="en-US"/>
        </w:rPr>
        <w:t xml:space="preserve"> = -2.11, </w:t>
      </w:r>
      <w:r>
        <w:rPr>
          <w:rFonts w:ascii="Times New Roman" w:eastAsia="Calibri" w:hAnsi="Times New Roman" w:cs="Times New Roman"/>
          <w:i/>
          <w:color w:val="000000" w:themeColor="text1"/>
          <w:lang w:val="en-US"/>
        </w:rPr>
        <w:t>p</w:t>
      </w:r>
      <w:r>
        <w:rPr>
          <w:rFonts w:ascii="Times New Roman" w:eastAsia="Calibri" w:hAnsi="Times New Roman" w:cs="Times New Roman"/>
          <w:color w:val="000000" w:themeColor="text1"/>
          <w:lang w:val="en-US"/>
        </w:rPr>
        <w:t xml:space="preserve"> = 0.078).</w:t>
      </w:r>
    </w:p>
    <w:p w14:paraId="10D17BA0" w14:textId="77777777" w:rsidR="00790D11" w:rsidRDefault="00790D11">
      <w:pPr>
        <w:spacing w:line="480" w:lineRule="auto"/>
        <w:jc w:val="both"/>
        <w:rPr>
          <w:rFonts w:ascii="Times New Roman" w:eastAsia="Calibri" w:hAnsi="Times New Roman" w:cs="Times New Roman"/>
          <w:color w:val="000000" w:themeColor="text1"/>
          <w:lang w:val="en-US"/>
        </w:rPr>
      </w:pPr>
    </w:p>
    <w:p w14:paraId="10D17BA1" w14:textId="2659AE01" w:rsidR="00790D11" w:rsidRDefault="00623501">
      <w:pPr>
        <w:spacing w:line="480" w:lineRule="auto"/>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SB-242084 did not affect response latencies but there was a trend towards speeding collection latencies (</w:t>
      </w:r>
      <w:r>
        <w:rPr>
          <w:rFonts w:ascii="Times New Roman" w:eastAsia="Calibri" w:hAnsi="Times New Roman" w:cs="Times New Roman"/>
          <w:i/>
          <w:color w:val="000000" w:themeColor="text1"/>
          <w:lang w:val="en-US"/>
        </w:rPr>
        <w:t>F</w:t>
      </w:r>
      <w:r>
        <w:rPr>
          <w:rFonts w:ascii="Times New Roman" w:eastAsia="Calibri" w:hAnsi="Times New Roman" w:cs="Times New Roman"/>
          <w:color w:val="000000" w:themeColor="text1"/>
          <w:vertAlign w:val="subscript"/>
          <w:lang w:val="en-US"/>
        </w:rPr>
        <w:t>2,35</w:t>
      </w:r>
      <w:r>
        <w:rPr>
          <w:rFonts w:ascii="Times New Roman" w:eastAsia="Calibri" w:hAnsi="Times New Roman" w:cs="Times New Roman"/>
          <w:color w:val="000000" w:themeColor="text1"/>
          <w:lang w:val="en-US"/>
        </w:rPr>
        <w:t xml:space="preserve"> = 2.69, </w:t>
      </w:r>
      <w:r>
        <w:rPr>
          <w:rFonts w:ascii="Times New Roman" w:eastAsia="Calibri" w:hAnsi="Times New Roman" w:cs="Times New Roman"/>
          <w:i/>
          <w:color w:val="000000" w:themeColor="text1"/>
          <w:lang w:val="en-US"/>
        </w:rPr>
        <w:t>p</w:t>
      </w:r>
      <w:r>
        <w:rPr>
          <w:rFonts w:ascii="Times New Roman" w:eastAsia="Calibri" w:hAnsi="Times New Roman" w:cs="Times New Roman"/>
          <w:color w:val="000000" w:themeColor="text1"/>
          <w:lang w:val="en-US"/>
        </w:rPr>
        <w:t xml:space="preserve"> = 0.082)</w:t>
      </w:r>
      <w:r w:rsidR="00DD1832">
        <w:rPr>
          <w:rFonts w:ascii="Times New Roman" w:eastAsia="Calibri" w:hAnsi="Times New Roman" w:cs="Times New Roman"/>
          <w:color w:val="000000" w:themeColor="text1"/>
          <w:lang w:val="en-US"/>
        </w:rPr>
        <w:t xml:space="preserve"> (</w:t>
      </w:r>
      <w:r w:rsidR="00DD1832">
        <w:rPr>
          <w:rFonts w:ascii="Times New Roman" w:eastAsia="Calibri" w:hAnsi="Times New Roman" w:cs="Times New Roman"/>
          <w:b/>
          <w:bCs/>
          <w:color w:val="000000" w:themeColor="text1"/>
          <w:lang w:val="en-US"/>
        </w:rPr>
        <w:t>Figure SF.6)</w:t>
      </w:r>
      <w:r>
        <w:rPr>
          <w:rFonts w:ascii="Times New Roman" w:eastAsia="Calibri" w:hAnsi="Times New Roman" w:cs="Times New Roman"/>
          <w:color w:val="000000" w:themeColor="text1"/>
          <w:lang w:val="en-US"/>
        </w:rPr>
        <w:t>.</w:t>
      </w:r>
    </w:p>
    <w:p w14:paraId="10D17BA2" w14:textId="77777777" w:rsidR="00790D11" w:rsidRDefault="00790D11">
      <w:pPr>
        <w:spacing w:line="480" w:lineRule="auto"/>
        <w:jc w:val="both"/>
        <w:rPr>
          <w:rFonts w:ascii="Times New Roman" w:eastAsia="Calibri" w:hAnsi="Times New Roman" w:cs="Times New Roman"/>
          <w:color w:val="000000" w:themeColor="text1"/>
          <w:lang w:val="en-US"/>
        </w:rPr>
      </w:pPr>
    </w:p>
    <w:p w14:paraId="10D17BA3" w14:textId="77777777" w:rsidR="00790D11" w:rsidRDefault="00623501">
      <w:pPr>
        <w:spacing w:line="480" w:lineRule="auto"/>
        <w:ind w:left="480" w:hanging="480"/>
        <w:jc w:val="both"/>
        <w:rPr>
          <w:rFonts w:ascii="Times New Roman" w:hAnsi="Times New Roman" w:cs="Times New Roman"/>
          <w:color w:val="000000" w:themeColor="text1"/>
          <w:lang w:val="en-US"/>
        </w:rPr>
      </w:pPr>
      <w:r>
        <w:rPr>
          <w:rFonts w:ascii="Times New Roman" w:hAnsi="Times New Roman" w:cs="Times New Roman"/>
          <w:b/>
          <w:color w:val="000000" w:themeColor="text1"/>
          <w:lang w:val="en-US"/>
        </w:rPr>
        <w:t xml:space="preserve">Supplementary Table 1. </w:t>
      </w:r>
      <w:r>
        <w:rPr>
          <w:rFonts w:ascii="Times New Roman" w:hAnsi="Times New Roman" w:cs="Times New Roman"/>
          <w:color w:val="000000" w:themeColor="text1"/>
          <w:lang w:val="en-US"/>
        </w:rPr>
        <w:t>Priors for model parameters.</w:t>
      </w:r>
    </w:p>
    <w:tbl>
      <w:tblPr>
        <w:tblW w:w="9016" w:type="dxa"/>
        <w:tblInd w:w="-11" w:type="dxa"/>
        <w:tblLayout w:type="fixed"/>
        <w:tblCellMar>
          <w:top w:w="13" w:type="dxa"/>
          <w:left w:w="95" w:type="dxa"/>
          <w:right w:w="95" w:type="dxa"/>
        </w:tblCellMar>
        <w:tblLook w:val="04A0" w:firstRow="1" w:lastRow="0" w:firstColumn="1" w:lastColumn="0" w:noHBand="0" w:noVBand="1"/>
      </w:tblPr>
      <w:tblGrid>
        <w:gridCol w:w="4251"/>
        <w:gridCol w:w="2160"/>
        <w:gridCol w:w="2605"/>
      </w:tblGrid>
      <w:tr w:rsidR="00790D11" w14:paraId="10D17BA7" w14:textId="77777777">
        <w:trPr>
          <w:trHeight w:val="460"/>
        </w:trPr>
        <w:tc>
          <w:tcPr>
            <w:tcW w:w="4251" w:type="dxa"/>
            <w:tcBorders>
              <w:top w:val="single" w:sz="8" w:space="0" w:color="B4C6E7"/>
              <w:left w:val="single" w:sz="8" w:space="0" w:color="B4C6E7"/>
              <w:bottom w:val="single" w:sz="12" w:space="0" w:color="8EAADB"/>
              <w:right w:val="single" w:sz="8" w:space="0" w:color="B4C6E7"/>
            </w:tcBorders>
            <w:shd w:val="clear" w:color="auto" w:fill="auto"/>
          </w:tcPr>
          <w:p w14:paraId="10D17BA4"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b/>
                <w:color w:val="000000" w:themeColor="text1"/>
                <w:lang w:val="en-US"/>
              </w:rPr>
              <w:t>Parameter</w:t>
            </w:r>
          </w:p>
        </w:tc>
        <w:tc>
          <w:tcPr>
            <w:tcW w:w="2160" w:type="dxa"/>
            <w:tcBorders>
              <w:top w:val="single" w:sz="8" w:space="0" w:color="B4C6E7"/>
              <w:left w:val="single" w:sz="8" w:space="0" w:color="B4C6E7"/>
              <w:bottom w:val="single" w:sz="12" w:space="0" w:color="8EAADB"/>
              <w:right w:val="single" w:sz="8" w:space="0" w:color="B4C6E7"/>
            </w:tcBorders>
            <w:shd w:val="clear" w:color="auto" w:fill="auto"/>
          </w:tcPr>
          <w:p w14:paraId="10D17BA5"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b/>
                <w:color w:val="000000" w:themeColor="text1"/>
                <w:lang w:val="en-US"/>
              </w:rPr>
              <w:t>Prior</w:t>
            </w:r>
          </w:p>
        </w:tc>
        <w:tc>
          <w:tcPr>
            <w:tcW w:w="2605" w:type="dxa"/>
            <w:tcBorders>
              <w:top w:val="single" w:sz="8" w:space="0" w:color="B4C6E7"/>
              <w:left w:val="single" w:sz="8" w:space="0" w:color="B4C6E7"/>
              <w:bottom w:val="single" w:sz="12" w:space="0" w:color="8EAADB"/>
              <w:right w:val="single" w:sz="8" w:space="0" w:color="B4C6E7"/>
            </w:tcBorders>
          </w:tcPr>
          <w:p w14:paraId="10D17BA6" w14:textId="77777777" w:rsidR="00790D11" w:rsidRDefault="00623501">
            <w:pPr>
              <w:widowControl w:val="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Reference</w:t>
            </w:r>
          </w:p>
        </w:tc>
      </w:tr>
      <w:tr w:rsidR="00790D11" w14:paraId="10D17BAB" w14:textId="77777777">
        <w:trPr>
          <w:trHeight w:val="394"/>
        </w:trPr>
        <w:tc>
          <w:tcPr>
            <w:tcW w:w="4251" w:type="dxa"/>
            <w:tcBorders>
              <w:top w:val="single" w:sz="8" w:space="0" w:color="B4C6E7"/>
              <w:left w:val="single" w:sz="8" w:space="0" w:color="B4C6E7"/>
              <w:bottom w:val="single" w:sz="8" w:space="0" w:color="B4C6E7"/>
              <w:right w:val="single" w:sz="8" w:space="0" w:color="B4C6E7"/>
            </w:tcBorders>
            <w:shd w:val="clear" w:color="auto" w:fill="auto"/>
          </w:tcPr>
          <w:p w14:paraId="10D17BA8"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Reward learning rate, </w:t>
            </w:r>
            <m:oMath>
              <m:sSub>
                <m:sSubPr>
                  <m:ctrlPr>
                    <w:rPr>
                      <w:rFonts w:ascii="Cambria Math" w:hAnsi="Cambria Math"/>
                    </w:rPr>
                  </m:ctrlPr>
                </m:sSubPr>
                <m:e>
                  <m:r>
                    <w:rPr>
                      <w:rFonts w:ascii="Cambria Math" w:hAnsi="Cambria Math"/>
                    </w:rPr>
                    <m:t>α</m:t>
                  </m:r>
                </m:e>
                <m:sub>
                  <m:r>
                    <w:rPr>
                      <w:rFonts w:ascii="Cambria Math" w:hAnsi="Cambria Math"/>
                    </w:rPr>
                    <m:t>rew</m:t>
                  </m:r>
                </m:sub>
              </m:sSub>
            </m:oMath>
          </w:p>
        </w:tc>
        <w:tc>
          <w:tcPr>
            <w:tcW w:w="2160" w:type="dxa"/>
            <w:tcBorders>
              <w:top w:val="single" w:sz="8" w:space="0" w:color="B4C6E7"/>
              <w:left w:val="single" w:sz="8" w:space="0" w:color="B4C6E7"/>
              <w:bottom w:val="single" w:sz="8" w:space="0" w:color="B4C6E7"/>
              <w:right w:val="single" w:sz="8" w:space="0" w:color="B4C6E7"/>
            </w:tcBorders>
            <w:shd w:val="clear" w:color="auto" w:fill="auto"/>
          </w:tcPr>
          <w:p w14:paraId="10D17BA9"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Beta(1.2, 1.2)</w:t>
            </w:r>
          </w:p>
        </w:tc>
        <w:tc>
          <w:tcPr>
            <w:tcW w:w="2605" w:type="dxa"/>
            <w:tcBorders>
              <w:top w:val="single" w:sz="8" w:space="0" w:color="B4C6E7"/>
              <w:left w:val="single" w:sz="8" w:space="0" w:color="B4C6E7"/>
              <w:bottom w:val="single" w:sz="8" w:space="0" w:color="B4C6E7"/>
              <w:right w:val="single" w:sz="8" w:space="0" w:color="B4C6E7"/>
            </w:tcBorders>
          </w:tcPr>
          <w:p w14:paraId="10D17BAA" w14:textId="77777777" w:rsidR="00790D11" w:rsidRDefault="00623501">
            <w:pPr>
              <w:widowControl w:val="0"/>
              <w:jc w:val="both"/>
              <w:rPr>
                <w:rFonts w:ascii="Times New Roman" w:hAnsi="Times New Roman" w:cs="Times New Roman"/>
                <w:color w:val="000000" w:themeColor="text1"/>
                <w:lang w:val="en-US"/>
              </w:rPr>
            </w:pPr>
            <w:r>
              <w:fldChar w:fldCharType="begin"/>
            </w:r>
            <w:r>
              <w:rPr>
                <w:rFonts w:ascii="Times New Roman" w:hAnsi="Times New Roman"/>
              </w:rPr>
              <w:instrText>ADDIN CSL_CITATION {"citationItems":[{"id":"ITEM-1","itemData":{"DOI":"10.1016/J.NEURON.2013.08.030","ISSN":"1097-4199","PMID":"24267657","abstract":"Serotonin and dopamine are speculated to subserve motivationally opponent functions, but this hypothesis has not been directly tested. We studied the role of these neurotransmitters in probabilistic reversal learning in nearly 700 individuals as a function of two polymorphisms in the genes encoding the serotonin and dopamine transporters (. SERT: 5HTTLPR plus rs25531; DAT1 3@UTR VNTR). A double dissociation was observed. The SERT polymorphism altered behavioral adaptation after losses, with increased lose-shift associated with L@ homozygosity, while leaving unaffected perseveration after reversal. In contrast, the DAT1 genotype affected the influence of prior choices on perseveration, while leaving lose-shifting unaltered. A model of reinforcement learning captured the dose-dependent effect of DAT1 genotype, such that an increasing number of 9R-alleles resulted in a stronger reliance on previous experience and therefore reluctance to update learned associations. These data provide direct evidence for doubly dissociable effects of serotonin and dopamine systems.","author":[{"dropping-particle":"","family":"Ouden","given":"Hanneke E.M.","non-dropping-particle":"Den","parse-names":false,"suffix":""},{"dropping-particle":"","family":"Daw","given":"Nathaniel D.","non-dropping-particle":"","parse-names":false,"suffix":""},{"dropping-particle":"","family":"Fernandez","given":"Guillén","non-dropping-particle":"","parse-names":false,"suffix":""},{"dropping-particle":"","family":"Elshout","given":"Joris A.","non-dropping-particle":"","parse-names":false,"suffix":""},{"dropping-particle":"","family":"Rijpkema","given":"Mark","non-dropping-particle":"","parse-names":false,"suffix":""},{"dropping-particle":"","family":"Hoogman","given":"Martine","non-dropping-particle":"","parse-names":false,"suffix":""},{"dropping-particle":"","family":"Franke","given":"Barbara","non-dropping-particle":"","parse-names":false,"suffix":""},{"dropping-particle":"","family":"Cools","given":"Roshan","non-dropping-particle":"","parse-names":false,"suffix":""}],"container-title":"Neuron","id":"ITEM-1","issue":"4","issued":{"date-parts":[["2013","11","20"]]},"page":"1090-1100","publisher":"Neuron","title":"Dissociable effects of dopamine and serotonin on reversal learning","type":"article-journal","volume":"80"},"uris":["http://www.mendeley.com/documents/?uuid=a950203c-532a-3b51-9f08-b511ecb7f9bb"]}],"mendeley":{"formattedCitation":"(Den Ouden et al., 2013)","plainTextFormattedCitation":"(Den Ouden et al., 2013)","previouslyFormattedCitation":"(Den Ouden et al., 2013)"},"properties":{"noteIndex":0},"schema":"https://github.com/citation-style-language/schema/raw/master/csl-citation.json"}</w:instrText>
            </w:r>
            <w:r>
              <w:rPr>
                <w:rFonts w:ascii="Times New Roman" w:hAnsi="Times New Roman"/>
              </w:rPr>
              <w:fldChar w:fldCharType="separate"/>
            </w:r>
            <w:r>
              <w:rPr>
                <w:rFonts w:ascii="Times New Roman" w:hAnsi="Times New Roman" w:cs="Times New Roman"/>
                <w:color w:val="000000" w:themeColor="text1"/>
                <w:lang w:val="en-US"/>
              </w:rPr>
              <w:t>(Den Ouden et al., 2013)</w:t>
            </w:r>
            <w:r>
              <w:rPr>
                <w:rFonts w:ascii="Times New Roman" w:hAnsi="Times New Roman"/>
              </w:rPr>
              <w:fldChar w:fldCharType="end"/>
            </w:r>
          </w:p>
        </w:tc>
      </w:tr>
      <w:tr w:rsidR="00790D11" w14:paraId="10D17BAF" w14:textId="77777777">
        <w:trPr>
          <w:trHeight w:val="394"/>
        </w:trPr>
        <w:tc>
          <w:tcPr>
            <w:tcW w:w="4251" w:type="dxa"/>
            <w:tcBorders>
              <w:top w:val="single" w:sz="8" w:space="0" w:color="B4C6E7"/>
              <w:left w:val="single" w:sz="8" w:space="0" w:color="B4C6E7"/>
              <w:bottom w:val="single" w:sz="8" w:space="0" w:color="B4C6E7"/>
              <w:right w:val="single" w:sz="8" w:space="0" w:color="B4C6E7"/>
            </w:tcBorders>
            <w:shd w:val="clear" w:color="auto" w:fill="auto"/>
          </w:tcPr>
          <w:p w14:paraId="10D17BAC"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Punishment learning rate, </w:t>
            </w:r>
            <m:oMath>
              <m:sSub>
                <m:sSubPr>
                  <m:ctrlPr>
                    <w:rPr>
                      <w:rFonts w:ascii="Cambria Math" w:hAnsi="Cambria Math"/>
                    </w:rPr>
                  </m:ctrlPr>
                </m:sSubPr>
                <m:e>
                  <m:r>
                    <w:rPr>
                      <w:rFonts w:ascii="Cambria Math" w:hAnsi="Cambria Math"/>
                    </w:rPr>
                    <m:t>α</m:t>
                  </m:r>
                </m:e>
                <m:sub>
                  <m:r>
                    <w:rPr>
                      <w:rFonts w:ascii="Cambria Math" w:hAnsi="Cambria Math"/>
                    </w:rPr>
                    <m:t>pun</m:t>
                  </m:r>
                </m:sub>
              </m:sSub>
            </m:oMath>
          </w:p>
        </w:tc>
        <w:tc>
          <w:tcPr>
            <w:tcW w:w="2160" w:type="dxa"/>
            <w:tcBorders>
              <w:top w:val="single" w:sz="8" w:space="0" w:color="B4C6E7"/>
              <w:left w:val="single" w:sz="8" w:space="0" w:color="B4C6E7"/>
              <w:bottom w:val="single" w:sz="8" w:space="0" w:color="B4C6E7"/>
              <w:right w:val="single" w:sz="8" w:space="0" w:color="B4C6E7"/>
            </w:tcBorders>
            <w:shd w:val="clear" w:color="auto" w:fill="auto"/>
          </w:tcPr>
          <w:p w14:paraId="10D17BAD"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Beta(1.2, 1.2)</w:t>
            </w:r>
          </w:p>
        </w:tc>
        <w:tc>
          <w:tcPr>
            <w:tcW w:w="2605" w:type="dxa"/>
            <w:tcBorders>
              <w:top w:val="single" w:sz="8" w:space="0" w:color="B4C6E7"/>
              <w:left w:val="single" w:sz="8" w:space="0" w:color="B4C6E7"/>
              <w:bottom w:val="single" w:sz="8" w:space="0" w:color="B4C6E7"/>
              <w:right w:val="single" w:sz="8" w:space="0" w:color="B4C6E7"/>
            </w:tcBorders>
          </w:tcPr>
          <w:p w14:paraId="10D17BAE" w14:textId="77777777" w:rsidR="00790D11" w:rsidRDefault="00623501">
            <w:pPr>
              <w:widowControl w:val="0"/>
              <w:jc w:val="both"/>
              <w:rPr>
                <w:rFonts w:ascii="Times New Roman" w:hAnsi="Times New Roman" w:cs="Times New Roman"/>
                <w:color w:val="000000" w:themeColor="text1"/>
                <w:lang w:val="en-US"/>
              </w:rPr>
            </w:pPr>
            <w:r>
              <w:fldChar w:fldCharType="begin"/>
            </w:r>
            <w:r>
              <w:rPr>
                <w:rFonts w:ascii="Times New Roman" w:hAnsi="Times New Roman"/>
              </w:rPr>
              <w:instrText>ADDIN CSL_CITATION {"citationItems":[{"id":"ITEM-1","itemData":{"DOI":"10.1016/J.NEURON.2013.08.030","ISSN":"1097-4199","PMID":"24267657","abstract":"Serotonin and dopamine are speculated to subserve motivationally opponent functions, but this hypothesis has not been directly tested. We studied the role of these neurotransmitters in probabilistic reversal learning in nearly 700 individuals as a function of two polymorphisms in the genes encoding the serotonin and dopamine transporters (. SERT: 5HTTLPR plus rs25531; DAT1 3@UTR VNTR). A double dissociation was observed. The SERT polymorphism altered behavioral adaptation after losses, with increased lose-shift associated with L@ homozygosity, while leaving unaffected perseveration after reversal. In contrast, the DAT1 genotype affected the influence of prior choices on perseveration, while leaving lose-shifting unaltered. A model of reinforcement learning captured the dose-dependent effect of DAT1 genotype, such that an increasing number of 9R-alleles resulted in a stronger reliance on previous experience and therefore reluctance to update learned associations. These data provide direct evidence for doubly dissociable effects of serotonin and dopamine systems.","author":[{"dropping-particle":"","family":"Ouden","given":"Hanneke E.M.","non-dropping-particle":"Den","parse-names":false,"suffix":""},{"dropping-particle":"","family":"Daw","given":"Nathaniel D.","non-dropping-particle":"","parse-names":false,"suffix":""},{"dropping-particle":"","family":"Fernandez","given":"Guillén","non-dropping-particle":"","parse-names":false,"suffix":""},{"dropping-particle":"","family":"Elshout","given":"Joris A.","non-dropping-particle":"","parse-names":false,"suffix":""},{"dropping-particle":"","family":"Rijpkema","given":"Mark","non-dropping-particle":"","parse-names":false,"suffix":""},{"dropping-particle":"","family":"Hoogman","given":"Martine","non-dropping-particle":"","parse-names":false,"suffix":""},{"dropping-particle":"","family":"Franke","given":"Barbara","non-dropping-particle":"","parse-names":false,"suffix":""},{"dropping-particle":"","family":"Cools","given":"Roshan","non-dropping-particle":"","parse-names":false,"suffix":""}],"container-title":"Neuron","id":"ITEM-1","issue":"4","issued":{"date-parts":[["2013","11","20"]]},"page":"1090-1100","publisher":"Neuron","title":"Dissociable effects of dopamine and serotonin on reversal learning","type":"article-journal","volume":"80"},"uris":["http://www.mendeley.com/documents/?uuid=a950203c-532a-3b51-9f08-b511ecb7f9bb"]}],"mendeley":{"formattedCitation":"(Den Ouden et al., 2013)","plainTextFormattedCitation":"(Den Ouden et al., 2013)","previouslyFormattedCitation":"(Den Ouden et al., 2013)"},"properties":{"noteIndex":0},"schema":"https://github.com/citation-style-language/schema/raw/master/csl-citation.json"}</w:instrText>
            </w:r>
            <w:r>
              <w:rPr>
                <w:rFonts w:ascii="Times New Roman" w:hAnsi="Times New Roman"/>
              </w:rPr>
              <w:fldChar w:fldCharType="separate"/>
            </w:r>
            <w:r>
              <w:rPr>
                <w:rFonts w:ascii="Times New Roman" w:hAnsi="Times New Roman" w:cs="Times New Roman"/>
                <w:color w:val="000000" w:themeColor="text1"/>
                <w:lang w:val="en-US"/>
              </w:rPr>
              <w:t>(Den Ouden et al., 2013)</w:t>
            </w:r>
            <w:r>
              <w:rPr>
                <w:rFonts w:ascii="Times New Roman" w:hAnsi="Times New Roman"/>
              </w:rPr>
              <w:fldChar w:fldCharType="end"/>
            </w:r>
          </w:p>
        </w:tc>
      </w:tr>
      <w:tr w:rsidR="00790D11" w14:paraId="10D17BB3" w14:textId="77777777">
        <w:trPr>
          <w:trHeight w:val="394"/>
        </w:trPr>
        <w:tc>
          <w:tcPr>
            <w:tcW w:w="4251" w:type="dxa"/>
            <w:tcBorders>
              <w:top w:val="single" w:sz="8" w:space="0" w:color="B4C6E7"/>
              <w:left w:val="single" w:sz="8" w:space="0" w:color="B4C6E7"/>
              <w:bottom w:val="single" w:sz="8" w:space="0" w:color="B4C6E7"/>
              <w:right w:val="single" w:sz="8" w:space="0" w:color="B4C6E7"/>
            </w:tcBorders>
            <w:shd w:val="clear" w:color="auto" w:fill="auto"/>
          </w:tcPr>
          <w:p w14:paraId="10D17BB0"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Combined learning rate, </w:t>
            </w:r>
            <m:oMath>
              <m:r>
                <w:rPr>
                  <w:rFonts w:ascii="Cambria Math" w:hAnsi="Cambria Math"/>
                </w:rPr>
                <m:t>α</m:t>
              </m:r>
            </m:oMath>
          </w:p>
        </w:tc>
        <w:tc>
          <w:tcPr>
            <w:tcW w:w="2160" w:type="dxa"/>
            <w:tcBorders>
              <w:top w:val="single" w:sz="8" w:space="0" w:color="B4C6E7"/>
              <w:left w:val="single" w:sz="8" w:space="0" w:color="B4C6E7"/>
              <w:bottom w:val="single" w:sz="8" w:space="0" w:color="B4C6E7"/>
              <w:right w:val="single" w:sz="8" w:space="0" w:color="B4C6E7"/>
            </w:tcBorders>
            <w:shd w:val="clear" w:color="auto" w:fill="auto"/>
          </w:tcPr>
          <w:p w14:paraId="10D17BB1"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Beta(1.2, 1.2)</w:t>
            </w:r>
          </w:p>
        </w:tc>
        <w:tc>
          <w:tcPr>
            <w:tcW w:w="2605" w:type="dxa"/>
            <w:tcBorders>
              <w:top w:val="single" w:sz="8" w:space="0" w:color="B4C6E7"/>
              <w:left w:val="single" w:sz="8" w:space="0" w:color="B4C6E7"/>
              <w:bottom w:val="single" w:sz="8" w:space="0" w:color="B4C6E7"/>
              <w:right w:val="single" w:sz="8" w:space="0" w:color="B4C6E7"/>
            </w:tcBorders>
          </w:tcPr>
          <w:p w14:paraId="10D17BB2" w14:textId="77777777" w:rsidR="00790D11" w:rsidRDefault="00623501">
            <w:pPr>
              <w:widowControl w:val="0"/>
              <w:jc w:val="both"/>
              <w:rPr>
                <w:rFonts w:ascii="Times New Roman" w:hAnsi="Times New Roman" w:cs="Times New Roman"/>
                <w:color w:val="000000" w:themeColor="text1"/>
                <w:lang w:val="en-US"/>
              </w:rPr>
            </w:pPr>
            <w:r>
              <w:fldChar w:fldCharType="begin"/>
            </w:r>
            <w:r>
              <w:rPr>
                <w:rFonts w:ascii="Times New Roman" w:hAnsi="Times New Roman"/>
              </w:rPr>
              <w:instrText>ADDIN CSL_CITATION {"citationItems":[{"id":"ITEM-1","itemData":{"DOI":"10.1016/J.NEURON.2013.08.030","ISSN":"1097-4199","PMID":"24267657","abstract":"Serotonin and dopamine are speculated to subserve motivationally opponent functions, but this hypothesis has not been directly tested. We studied the role of these neurotransmitters in probabilistic reversal learning in nearly 700 individuals as a function of two polymorphisms in the genes encoding the serotonin and dopamine transporters (. SERT: 5HTTLPR plus rs25531; DAT1 3@UTR VNTR). A double dissociation was observed. The SERT polymorphism altered behavioral adaptation after losses, with increased lose-shift associated with L@ homozygosity, while leaving unaffected perseveration after reversal. In contrast, the DAT1 genotype affected the influence of prior choices on perseveration, while leaving lose-shifting unaltered. A model of reinforcement learning captured the dose-dependent effect of DAT1 genotype, such that an increasing number of 9R-alleles resulted in a stronger reliance on previous experience and therefore reluctance to update learned associations. These data provide direct evidence for doubly dissociable effects of serotonin and dopamine systems.","author":[{"dropping-particle":"","family":"Ouden","given":"Hanneke E.M.","non-dropping-particle":"Den","parse-names":false,"suffix":""},{"dropping-particle":"","family":"Daw","given":"Nathaniel D.","non-dropping-particle":"","parse-names":false,"suffix":""},{"dropping-particle":"","family":"Fernandez","given":"Guillén","non-dropping-particle":"","parse-names":false,"suffix":""},{"dropping-particle":"","family":"Elshout","given":"Joris A.","non-dropping-particle":"","parse-names":false,"suffix":""},{"dropping-particle":"","family":"Rijpkema","given":"Mark","non-dropping-particle":"","parse-names":false,"suffix":""},{"dropping-particle":"","family":"Hoogman","given":"Martine","non-dropping-particle":"","parse-names":false,"suffix":""},{"dropping-particle":"","family":"Franke","given":"Barbara","non-dropping-particle":"","parse-names":false,"suffix":""},{"dropping-particle":"","family":"Cools","given":"Roshan","non-dropping-particle":"","parse-names":false,"suffix":""}],"container-title":"Neuron","id":"ITEM-1","issue":"4","issued":{"date-parts":[["2013","11","20"]]},"page":"1090-1100","publisher":"Neuron","title":"Dissociable effects of dopamine and serotonin on reversal learning","type":"article-journal","volume":"80"},"uris":["http://www.mendeley.com/documents/?uuid=a950203c-532a-3b51-9f08-b511ecb7f9bb"]}],"mendeley":{"formattedCitation":"(Den Ouden et al., 2013)","plainTextFormattedCitation":"(Den Ouden et al., 2013)","previouslyFormattedCitation":"(Den Ouden et al., 2013)"},"properties":{"noteIndex":0},"schema":"https://github.com/citation-style-language/schema/raw/master/csl-citation.json"}</w:instrText>
            </w:r>
            <w:r>
              <w:rPr>
                <w:rFonts w:ascii="Times New Roman" w:hAnsi="Times New Roman"/>
              </w:rPr>
              <w:fldChar w:fldCharType="separate"/>
            </w:r>
            <w:r>
              <w:rPr>
                <w:rFonts w:ascii="Times New Roman" w:hAnsi="Times New Roman" w:cs="Times New Roman"/>
                <w:color w:val="000000" w:themeColor="text1"/>
                <w:lang w:val="en-US"/>
              </w:rPr>
              <w:t>(Den Ouden et al., 2013)</w:t>
            </w:r>
            <w:r>
              <w:rPr>
                <w:rFonts w:ascii="Times New Roman" w:hAnsi="Times New Roman"/>
              </w:rPr>
              <w:fldChar w:fldCharType="end"/>
            </w:r>
          </w:p>
        </w:tc>
      </w:tr>
      <w:tr w:rsidR="00790D11" w14:paraId="10D17BB7" w14:textId="77777777">
        <w:trPr>
          <w:trHeight w:val="394"/>
        </w:trPr>
        <w:tc>
          <w:tcPr>
            <w:tcW w:w="4251" w:type="dxa"/>
            <w:tcBorders>
              <w:top w:val="single" w:sz="8" w:space="0" w:color="B4C6E7"/>
              <w:left w:val="single" w:sz="8" w:space="0" w:color="B4C6E7"/>
              <w:bottom w:val="single" w:sz="8" w:space="0" w:color="B4C6E7"/>
              <w:right w:val="single" w:sz="8" w:space="0" w:color="B4C6E7"/>
            </w:tcBorders>
            <w:shd w:val="clear" w:color="auto" w:fill="auto"/>
          </w:tcPr>
          <w:p w14:paraId="10D17BB4"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Reinforcement sensitivity, β</w:t>
            </w:r>
          </w:p>
        </w:tc>
        <w:tc>
          <w:tcPr>
            <w:tcW w:w="2160" w:type="dxa"/>
            <w:tcBorders>
              <w:top w:val="single" w:sz="8" w:space="0" w:color="B4C6E7"/>
              <w:left w:val="single" w:sz="8" w:space="0" w:color="B4C6E7"/>
              <w:bottom w:val="single" w:sz="8" w:space="0" w:color="B4C6E7"/>
              <w:right w:val="single" w:sz="8" w:space="0" w:color="B4C6E7"/>
            </w:tcBorders>
            <w:shd w:val="clear" w:color="auto" w:fill="auto"/>
          </w:tcPr>
          <w:p w14:paraId="10D17BB5"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Gamma(α=4.82, β=0.88)</w:t>
            </w:r>
          </w:p>
        </w:tc>
        <w:tc>
          <w:tcPr>
            <w:tcW w:w="2605" w:type="dxa"/>
            <w:tcBorders>
              <w:top w:val="single" w:sz="8" w:space="0" w:color="B4C6E7"/>
              <w:left w:val="single" w:sz="8" w:space="0" w:color="B4C6E7"/>
              <w:bottom w:val="single" w:sz="8" w:space="0" w:color="B4C6E7"/>
              <w:right w:val="single" w:sz="8" w:space="0" w:color="B4C6E7"/>
            </w:tcBorders>
          </w:tcPr>
          <w:p w14:paraId="10D17BB6" w14:textId="77777777" w:rsidR="00790D11" w:rsidRDefault="00623501">
            <w:pPr>
              <w:widowControl w:val="0"/>
              <w:jc w:val="both"/>
              <w:rPr>
                <w:rFonts w:ascii="Times New Roman" w:hAnsi="Times New Roman" w:cs="Times New Roman"/>
                <w:color w:val="000000" w:themeColor="text1"/>
                <w:lang w:val="en-US"/>
              </w:rPr>
            </w:pPr>
            <w:r>
              <w:fldChar w:fldCharType="begin"/>
            </w:r>
            <w:r>
              <w:rPr>
                <w:rFonts w:ascii="Times New Roman" w:hAnsi="Times New Roman"/>
              </w:rPr>
              <w:instrText>ADDIN CSL_CITATION {"citationItems":[{"id":"ITEM-1","itemData":{"DOI":"10.1016/j.jmp.2016.01.006","abstract":"h i g h l i g h t s • Reinforcement learning models suffer from the difficulty of parameter estimation. • Empirical priors improve predictive accuracy, reliability, identifiability, and detection of individual differences. • These priors are fairly robust across model variants. a b s t r a c t Computational models of reinforcement learning have played an important role in understanding learning and decision making behavior, as well as the neural mechanisms underlying these behaviors. However, fitting the parameters of these models can be challenging: the parameters are not identifiable, estimates are unreliable, and the fitted models may not have good predictive validity. Prior distributions on the parameters can help regularize estimates and to some extent deal with these challenges, but picking a good prior is itself challenging. This paper presents empirical priors for reinforcement learning models, showing that priors estimated from a relatively large dataset are more identifiable, more reliable, and have better predictive validity compared to model-fitting with uniform priors.","author":[{"dropping-particle":"","family":"Gershman","given":"Samuel J","non-dropping-particle":"","parse-names":false,"suffix":""}],"container-title":"Journal of Mathematical Psychology","id":"ITEM-1","issued":{"date-parts":[["2016"]]},"page":"1-6","title":"Empirical priors for reinforcement learning models","type":"article-journal","volume":"71"},"uris":["http://www.mendeley.com/documents/?uuid=3fcbc228-8794-32e1-95ed-8e6937cb6020"]}],"mendeley":{"formattedCitation":"(Gershman, 2016)","plainTextFormattedCitation":"(Gershman, 2016)","previouslyFormattedCitation":"(Gershman, 2016)"},"properties":{"noteIndex":0},"schema":"https://github.com/citation-style-language/schema/raw/master/csl-citation.json"}</w:instrText>
            </w:r>
            <w:r>
              <w:rPr>
                <w:rFonts w:ascii="Times New Roman" w:hAnsi="Times New Roman"/>
              </w:rPr>
              <w:fldChar w:fldCharType="separate"/>
            </w:r>
            <w:r>
              <w:rPr>
                <w:rFonts w:ascii="Times New Roman" w:hAnsi="Times New Roman" w:cs="Times New Roman"/>
                <w:color w:val="000000" w:themeColor="text1"/>
                <w:lang w:val="en-US"/>
              </w:rPr>
              <w:t>(Gershman, 2016)</w:t>
            </w:r>
            <w:r>
              <w:rPr>
                <w:rFonts w:ascii="Times New Roman" w:hAnsi="Times New Roman"/>
              </w:rPr>
              <w:fldChar w:fldCharType="end"/>
            </w:r>
          </w:p>
        </w:tc>
      </w:tr>
      <w:tr w:rsidR="00790D11" w14:paraId="10D17BBB" w14:textId="77777777">
        <w:trPr>
          <w:trHeight w:val="394"/>
        </w:trPr>
        <w:tc>
          <w:tcPr>
            <w:tcW w:w="4251" w:type="dxa"/>
            <w:tcBorders>
              <w:top w:val="single" w:sz="8" w:space="0" w:color="B4C6E7"/>
              <w:left w:val="single" w:sz="8" w:space="0" w:color="B4C6E7"/>
              <w:bottom w:val="single" w:sz="8" w:space="0" w:color="B4C6E7"/>
              <w:right w:val="single" w:sz="8" w:space="0" w:color="B4C6E7"/>
            </w:tcBorders>
            <w:shd w:val="clear" w:color="auto" w:fill="auto"/>
          </w:tcPr>
          <w:p w14:paraId="10D17BB8"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Side stickiness, κ</w:t>
            </w:r>
            <w:r>
              <w:rPr>
                <w:rFonts w:ascii="Times New Roman" w:hAnsi="Times New Roman" w:cs="Times New Roman"/>
                <w:color w:val="000000" w:themeColor="text1"/>
                <w:position w:val="-2"/>
                <w:lang w:val="en-US"/>
              </w:rPr>
              <w:t>side</w:t>
            </w:r>
          </w:p>
        </w:tc>
        <w:tc>
          <w:tcPr>
            <w:tcW w:w="2160" w:type="dxa"/>
            <w:tcBorders>
              <w:top w:val="single" w:sz="8" w:space="0" w:color="B4C6E7"/>
              <w:left w:val="single" w:sz="8" w:space="0" w:color="B4C6E7"/>
              <w:bottom w:val="single" w:sz="8" w:space="0" w:color="B4C6E7"/>
              <w:right w:val="single" w:sz="8" w:space="0" w:color="B4C6E7"/>
            </w:tcBorders>
            <w:shd w:val="clear" w:color="auto" w:fill="auto"/>
          </w:tcPr>
          <w:p w14:paraId="10D17BB9"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Normal(0,1)</w:t>
            </w:r>
          </w:p>
        </w:tc>
        <w:tc>
          <w:tcPr>
            <w:tcW w:w="2605" w:type="dxa"/>
            <w:tcBorders>
              <w:top w:val="single" w:sz="8" w:space="0" w:color="B4C6E7"/>
              <w:left w:val="single" w:sz="8" w:space="0" w:color="B4C6E7"/>
              <w:bottom w:val="single" w:sz="8" w:space="0" w:color="B4C6E7"/>
              <w:right w:val="single" w:sz="8" w:space="0" w:color="B4C6E7"/>
            </w:tcBorders>
          </w:tcPr>
          <w:p w14:paraId="10D17BBA" w14:textId="77777777" w:rsidR="00790D11" w:rsidRDefault="00623501">
            <w:pPr>
              <w:widowControl w:val="0"/>
              <w:jc w:val="both"/>
              <w:rPr>
                <w:rFonts w:ascii="Times New Roman" w:hAnsi="Times New Roman" w:cs="Times New Roman"/>
                <w:color w:val="000000" w:themeColor="text1"/>
                <w:lang w:val="en-US"/>
              </w:rPr>
            </w:pPr>
            <w:r>
              <w:fldChar w:fldCharType="begin"/>
            </w:r>
            <w:r>
              <w:rPr>
                <w:rFonts w:ascii="Times New Roman" w:hAnsi="Times New Roman"/>
              </w:rPr>
              <w:instrText>ADDIN CSL_CITATION {"citationItems":[{"id":"ITEM-1","itemData":{"DOI":"10.1162/JOCN_A_00447","ISSN":"1530-8898","PMID":"23859647","abstract":"We examined the maturation of decision-making from early adolescence to mid-adulthood using fMRI of a variant of the Iowa gambling task. We have previously shown that performance in this task relies on sensitivity to accumulating negative outcomes in ventromedial PFC and dorsolateral PFC. Here, we further formalize outcome evaluation (as driven by prediction errors [PE], using a reinforcement learning model) and examine its development. Task performance improved significantly during adolescence, stabilizing in adulthood. Performance relied on greater impact of negative compared with positive PEs, the relative impact of which matured from adolescence into adulthood. Adolescents also showed increased exploratory behavior, expressed as a propensity to shift responding between options independently of outcome quality, whereas adults showed no systematic shifting patterns. The correlation between PE representation and improved performance strengthened with age for activation in ventral and dorsal PFC, ventral striatum, and temporal and parietal cortices. There was a medial-lateral distinction in the prefrontal substrates of effective PE utilization between adults and adolescents: Increased utilization of negative PEs, a hallmark of successful performance in the task, was associated with increased activation in ventromedial PFC in adults, but decreased activation in ventrolateral PFC and striatum in adolescents. These results suggest that adults and adolescents engage qualitatively distinct neural and psychological processes during decision-making, the development of which is not exclusively dependent on reward-processing maturation.","author":[{"dropping-particle":"","family":"Christakou","given":"Anastasia","non-dropping-particle":"","parse-names":false,"suffix":""},{"dropping-particle":"","family":"Gershman","given":"Samuel J.","non-dropping-particle":"","parse-names":false,"suffix":""},{"dropping-particle":"","family":"Niv","given":"Yael","non-dropping-particle":"","parse-names":false,"suffix":""},{"dropping-particle":"","family":"Simmons","given":"Andrew","non-dropping-particle":"","parse-names":false,"suffix":""},{"dropping-particle":"","family":"Brammer","given":"Mick","non-dropping-particle":"","parse-names":false,"suffix":""},{"dropping-particle":"","family":"Rubia","given":"Katya","non-dropping-particle":"","parse-names":false,"suffix":""}],"container-title":"Journal of cognitive neuroscience","id":"ITEM-1","issue":"11","issued":{"date-parts":[["2013"]]},"page":"1807-1823","publisher":"J Cogn Neurosci","title":"Neural and psychological maturation of decision-making in adolescence and young adulthood","type":"article-journal","volume":"25"},"uris":["http://www.mendeley.com/documents/?uuid=9fb7faee-5768-3c97-9fce-d5a291801a9c"]}],"mendeley":{"formattedCitation":"(Christakou et al., 2013)","plainTextFormattedCitation":"(Christakou et al., 2013)","previouslyFormattedCitation":"(Christakou et al., 2013)"},"properties":{"noteIndex":0},"schema":"https://github.com/citation-style-language/schema/raw/master/csl-citation.json"}</w:instrText>
            </w:r>
            <w:r>
              <w:rPr>
                <w:rFonts w:ascii="Times New Roman" w:hAnsi="Times New Roman"/>
              </w:rPr>
              <w:fldChar w:fldCharType="separate"/>
            </w:r>
            <w:r>
              <w:rPr>
                <w:rFonts w:ascii="Times New Roman" w:hAnsi="Times New Roman" w:cs="Times New Roman"/>
                <w:color w:val="000000" w:themeColor="text1"/>
                <w:lang w:val="en-US"/>
              </w:rPr>
              <w:t>(Christakou et al., 2013)</w:t>
            </w:r>
            <w:r>
              <w:rPr>
                <w:rFonts w:ascii="Times New Roman" w:hAnsi="Times New Roman"/>
              </w:rPr>
              <w:fldChar w:fldCharType="end"/>
            </w:r>
          </w:p>
        </w:tc>
      </w:tr>
      <w:tr w:rsidR="00790D11" w14:paraId="10D17BBF" w14:textId="77777777">
        <w:trPr>
          <w:trHeight w:val="394"/>
        </w:trPr>
        <w:tc>
          <w:tcPr>
            <w:tcW w:w="4251" w:type="dxa"/>
            <w:tcBorders>
              <w:top w:val="single" w:sz="8" w:space="0" w:color="B4C6E7"/>
              <w:left w:val="single" w:sz="8" w:space="0" w:color="B4C6E7"/>
              <w:bottom w:val="single" w:sz="8" w:space="0" w:color="B4C6E7"/>
              <w:right w:val="single" w:sz="8" w:space="0" w:color="B4C6E7"/>
            </w:tcBorders>
            <w:shd w:val="clear" w:color="auto" w:fill="auto"/>
          </w:tcPr>
          <w:p w14:paraId="10D17BBC"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Stimulus stickiness, κ</w:t>
            </w:r>
            <w:r>
              <w:rPr>
                <w:rFonts w:ascii="Times New Roman" w:hAnsi="Times New Roman" w:cs="Times New Roman"/>
                <w:color w:val="000000" w:themeColor="text1"/>
                <w:position w:val="-2"/>
                <w:lang w:val="en-US"/>
              </w:rPr>
              <w:t>stim</w:t>
            </w:r>
          </w:p>
        </w:tc>
        <w:tc>
          <w:tcPr>
            <w:tcW w:w="2160" w:type="dxa"/>
            <w:tcBorders>
              <w:top w:val="single" w:sz="8" w:space="0" w:color="B4C6E7"/>
              <w:left w:val="single" w:sz="8" w:space="0" w:color="B4C6E7"/>
              <w:bottom w:val="single" w:sz="8" w:space="0" w:color="B4C6E7"/>
              <w:right w:val="single" w:sz="8" w:space="0" w:color="B4C6E7"/>
            </w:tcBorders>
            <w:shd w:val="clear" w:color="auto" w:fill="auto"/>
          </w:tcPr>
          <w:p w14:paraId="10D17BBD"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Normal(0,1)</w:t>
            </w:r>
          </w:p>
        </w:tc>
        <w:tc>
          <w:tcPr>
            <w:tcW w:w="2605" w:type="dxa"/>
            <w:tcBorders>
              <w:top w:val="single" w:sz="8" w:space="0" w:color="B4C6E7"/>
              <w:left w:val="single" w:sz="8" w:space="0" w:color="B4C6E7"/>
              <w:bottom w:val="single" w:sz="8" w:space="0" w:color="B4C6E7"/>
              <w:right w:val="single" w:sz="8" w:space="0" w:color="B4C6E7"/>
            </w:tcBorders>
          </w:tcPr>
          <w:p w14:paraId="10D17BBE" w14:textId="77777777" w:rsidR="00790D11" w:rsidRDefault="00623501">
            <w:pPr>
              <w:widowControl w:val="0"/>
              <w:jc w:val="both"/>
              <w:rPr>
                <w:rFonts w:ascii="Times New Roman" w:hAnsi="Times New Roman" w:cs="Times New Roman"/>
                <w:color w:val="000000" w:themeColor="text1"/>
                <w:lang w:val="en-US"/>
              </w:rPr>
            </w:pPr>
            <w:r>
              <w:fldChar w:fldCharType="begin"/>
            </w:r>
            <w:r>
              <w:rPr>
                <w:rFonts w:ascii="Times New Roman" w:hAnsi="Times New Roman"/>
              </w:rPr>
              <w:instrText>ADDIN CSL_CITATION {"citationItems":[{"id":"ITEM-1","itemData":{"DOI":"10.1162/JOCN_A_00447","ISSN":"1530-8898","PMID":"23859647","abstract":"We examined the maturation of decision-making from early adolescence to mid-adulthood using fMRI of a variant of the Iowa gambling task. We have previously shown that performance in this task relies on sensitivity to accumulating negative outcomes in ventromedial PFC and dorsolateral PFC. Here, we further formalize outcome evaluation (as driven by prediction errors [PE], using a reinforcement learning model) and examine its development. Task performance improved significantly during adolescence, stabilizing in adulthood. Performance relied on greater impact of negative compared with positive PEs, the relative impact of which matured from adolescence into adulthood. Adolescents also showed increased exploratory behavior, expressed as a propensity to shift responding between options independently of outcome quality, whereas adults showed no systematic shifting patterns. The correlation between PE representation and improved performance strengthened with age for activation in ventral and dorsal PFC, ventral striatum, and temporal and parietal cortices. There was a medial-lateral distinction in the prefrontal substrates of effective PE utilization between adults and adolescents: Increased utilization of negative PEs, a hallmark of successful performance in the task, was associated with increased activation in ventromedial PFC in adults, but decreased activation in ventrolateral PFC and striatum in adolescents. These results suggest that adults and adolescents engage qualitatively distinct neural and psychological processes during decision-making, the development of which is not exclusively dependent on reward-processing maturation.","author":[{"dropping-particle":"","family":"Christakou","given":"Anastasia","non-dropping-particle":"","parse-names":false,"suffix":""},{"dropping-particle":"","family":"Gershman","given":"Samuel J.","non-dropping-particle":"","parse-names":false,"suffix":""},{"dropping-particle":"","family":"Niv","given":"Yael","non-dropping-particle":"","parse-names":false,"suffix":""},{"dropping-particle":"","family":"Simmons","given":"Andrew","non-dropping-particle":"","parse-names":false,"suffix":""},{"dropping-particle":"","family":"Brammer","given":"Mick","non-dropping-particle":"","parse-names":false,"suffix":""},{"dropping-particle":"","family":"Rubia","given":"Katya","non-dropping-particle":"","parse-names":false,"suffix":""}],"container-title":"Journal of cognitive neuroscience","id":"ITEM-1","issue":"11","issued":{"date-parts":[["2013"]]},"page":"1807-1823","publisher":"J Cogn Neurosci","title":"Neural and psychological maturation of decision-making in adolescence and young adulthood","type":"article-journal","volume":"25"},"uris":["http://www.mendeley.com/documents/?uuid=9fb7faee-5768-3c97-9fce-d5a291801a9c"]}],"mendeley":{"formattedCitation":"(Christakou et al., 2013)","plainTextFormattedCitation":"(Christakou et al., 2013)","previouslyFormattedCitation":"(Christakou et al., 2013)"},"properties":{"noteIndex":0},"schema":"https://github.com/citation-style-language/schema/raw/master/csl-citation.json"}</w:instrText>
            </w:r>
            <w:r>
              <w:rPr>
                <w:rFonts w:ascii="Times New Roman" w:hAnsi="Times New Roman"/>
              </w:rPr>
              <w:fldChar w:fldCharType="separate"/>
            </w:r>
            <w:r>
              <w:rPr>
                <w:rFonts w:ascii="Times New Roman" w:hAnsi="Times New Roman" w:cs="Times New Roman"/>
                <w:color w:val="000000" w:themeColor="text1"/>
                <w:lang w:val="en-US"/>
              </w:rPr>
              <w:t>(Christakou et al., 2013)</w:t>
            </w:r>
            <w:r>
              <w:rPr>
                <w:rFonts w:ascii="Times New Roman" w:hAnsi="Times New Roman"/>
              </w:rPr>
              <w:fldChar w:fldCharType="end"/>
            </w:r>
          </w:p>
        </w:tc>
      </w:tr>
      <w:tr w:rsidR="00790D11" w14:paraId="10D17BC3" w14:textId="77777777">
        <w:trPr>
          <w:trHeight w:val="394"/>
        </w:trPr>
        <w:tc>
          <w:tcPr>
            <w:tcW w:w="4251" w:type="dxa"/>
            <w:tcBorders>
              <w:top w:val="single" w:sz="8" w:space="0" w:color="B4C6E7"/>
              <w:left w:val="single" w:sz="8" w:space="0" w:color="B4C6E7"/>
              <w:bottom w:val="single" w:sz="8" w:space="0" w:color="B4C6E7"/>
              <w:right w:val="single" w:sz="8" w:space="0" w:color="B4C6E7"/>
            </w:tcBorders>
            <w:shd w:val="clear" w:color="auto" w:fill="auto"/>
          </w:tcPr>
          <w:p w14:paraId="10D17BC0"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Discount factor, ρ</w:t>
            </w:r>
          </w:p>
        </w:tc>
        <w:tc>
          <w:tcPr>
            <w:tcW w:w="2160" w:type="dxa"/>
            <w:tcBorders>
              <w:top w:val="single" w:sz="8" w:space="0" w:color="B4C6E7"/>
              <w:left w:val="single" w:sz="8" w:space="0" w:color="B4C6E7"/>
              <w:bottom w:val="single" w:sz="8" w:space="0" w:color="B4C6E7"/>
              <w:right w:val="single" w:sz="8" w:space="0" w:color="B4C6E7"/>
            </w:tcBorders>
            <w:shd w:val="clear" w:color="auto" w:fill="auto"/>
          </w:tcPr>
          <w:p w14:paraId="10D17BC1"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Gamma(α=4.82, β=0.88)</w:t>
            </w:r>
          </w:p>
        </w:tc>
        <w:tc>
          <w:tcPr>
            <w:tcW w:w="2605" w:type="dxa"/>
            <w:tcBorders>
              <w:top w:val="single" w:sz="8" w:space="0" w:color="B4C6E7"/>
              <w:left w:val="single" w:sz="8" w:space="0" w:color="B4C6E7"/>
              <w:bottom w:val="single" w:sz="8" w:space="0" w:color="B4C6E7"/>
              <w:right w:val="single" w:sz="8" w:space="0" w:color="B4C6E7"/>
            </w:tcBorders>
          </w:tcPr>
          <w:p w14:paraId="10D17BC2"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(De novo)</w:t>
            </w:r>
          </w:p>
        </w:tc>
      </w:tr>
      <w:tr w:rsidR="00790D11" w14:paraId="10D17BC7" w14:textId="77777777">
        <w:trPr>
          <w:trHeight w:val="394"/>
        </w:trPr>
        <w:tc>
          <w:tcPr>
            <w:tcW w:w="4251" w:type="dxa"/>
            <w:tcBorders>
              <w:top w:val="single" w:sz="8" w:space="0" w:color="B4C6E7"/>
              <w:left w:val="single" w:sz="8" w:space="0" w:color="B4C6E7"/>
              <w:bottom w:val="single" w:sz="8" w:space="0" w:color="B4C6E7"/>
              <w:right w:val="single" w:sz="8" w:space="0" w:color="B4C6E7"/>
            </w:tcBorders>
            <w:shd w:val="clear" w:color="auto" w:fill="auto"/>
          </w:tcPr>
          <w:p w14:paraId="10D17BC4" w14:textId="77777777" w:rsidR="00790D11" w:rsidRDefault="00623501">
            <w:pPr>
              <w:widowControl w:val="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Intersubject variability in parameters</w:t>
            </w:r>
          </w:p>
        </w:tc>
        <w:tc>
          <w:tcPr>
            <w:tcW w:w="2160" w:type="dxa"/>
            <w:tcBorders>
              <w:top w:val="single" w:sz="8" w:space="0" w:color="B4C6E7"/>
              <w:left w:val="single" w:sz="8" w:space="0" w:color="B4C6E7"/>
              <w:bottom w:val="single" w:sz="8" w:space="0" w:color="B4C6E7"/>
              <w:right w:val="single" w:sz="8" w:space="0" w:color="B4C6E7"/>
            </w:tcBorders>
            <w:shd w:val="clear" w:color="auto" w:fill="auto"/>
          </w:tcPr>
          <w:p w14:paraId="10D17BC5" w14:textId="77777777" w:rsidR="00790D11" w:rsidRDefault="00790D11">
            <w:pPr>
              <w:widowControl w:val="0"/>
              <w:jc w:val="both"/>
              <w:rPr>
                <w:rFonts w:ascii="Times New Roman" w:hAnsi="Times New Roman" w:cs="Times New Roman"/>
                <w:color w:val="000000" w:themeColor="text1"/>
                <w:lang w:val="en-US"/>
              </w:rPr>
            </w:pPr>
          </w:p>
        </w:tc>
        <w:tc>
          <w:tcPr>
            <w:tcW w:w="2605" w:type="dxa"/>
            <w:tcBorders>
              <w:top w:val="single" w:sz="8" w:space="0" w:color="B4C6E7"/>
              <w:left w:val="single" w:sz="8" w:space="0" w:color="B4C6E7"/>
              <w:bottom w:val="single" w:sz="8" w:space="0" w:color="B4C6E7"/>
              <w:right w:val="single" w:sz="8" w:space="0" w:color="B4C6E7"/>
            </w:tcBorders>
          </w:tcPr>
          <w:p w14:paraId="10D17BC6" w14:textId="77777777" w:rsidR="00790D11" w:rsidRDefault="00790D11">
            <w:pPr>
              <w:widowControl w:val="0"/>
              <w:jc w:val="both"/>
              <w:rPr>
                <w:rFonts w:ascii="Times New Roman" w:hAnsi="Times New Roman" w:cs="Times New Roman"/>
                <w:color w:val="000000" w:themeColor="text1"/>
                <w:lang w:val="en-US"/>
              </w:rPr>
            </w:pPr>
          </w:p>
        </w:tc>
      </w:tr>
      <w:tr w:rsidR="00790D11" w14:paraId="10D17BCB" w14:textId="77777777">
        <w:trPr>
          <w:trHeight w:val="394"/>
        </w:trPr>
        <w:tc>
          <w:tcPr>
            <w:tcW w:w="4251" w:type="dxa"/>
            <w:tcBorders>
              <w:top w:val="single" w:sz="8" w:space="0" w:color="B4C6E7"/>
              <w:left w:val="single" w:sz="8" w:space="0" w:color="B4C6E7"/>
              <w:bottom w:val="single" w:sz="8" w:space="0" w:color="B4C6E7"/>
              <w:right w:val="single" w:sz="8" w:space="0" w:color="B4C6E7"/>
            </w:tcBorders>
            <w:shd w:val="clear" w:color="auto" w:fill="auto"/>
          </w:tcPr>
          <w:p w14:paraId="10D17BC8" w14:textId="77777777" w:rsidR="00790D11" w:rsidRDefault="00000000">
            <w:pPr>
              <w:widowControl w:val="0"/>
              <w:jc w:val="both"/>
              <w:rPr>
                <w:rFonts w:ascii="Times New Roman" w:hAnsi="Times New Roman" w:cs="Times New Roman"/>
                <w:b/>
                <w:color w:val="000000" w:themeColor="text1"/>
                <w:lang w:val="en-US"/>
              </w:rPr>
            </w:pPr>
            <m:oMath>
              <m:sSub>
                <m:sSubPr>
                  <m:ctrlPr>
                    <w:rPr>
                      <w:rFonts w:ascii="Cambria Math" w:hAnsi="Cambria Math"/>
                    </w:rPr>
                  </m:ctrlPr>
                </m:sSubPr>
                <m:e>
                  <m:r>
                    <w:rPr>
                      <w:rFonts w:ascii="Cambria Math" w:hAnsi="Cambria Math"/>
                    </w:rPr>
                    <m:t>α</m:t>
                  </m:r>
                </m:e>
                <m:sub>
                  <m:r>
                    <w:rPr>
                      <w:rFonts w:ascii="Cambria Math" w:hAnsi="Cambria Math"/>
                    </w:rPr>
                    <m:t>rew</m:t>
                  </m:r>
                </m:sub>
              </m:sSub>
            </m:oMath>
            <w:r w:rsidR="00623501">
              <w:rPr>
                <w:rFonts w:ascii="Times New Roman" w:eastAsiaTheme="minorEastAsia" w:hAnsi="Times New Roman" w:cs="Times New Roman"/>
                <w:color w:val="000000" w:themeColor="text1"/>
                <w:lang w:val="en-US"/>
              </w:rPr>
              <w:t>,</w:t>
            </w:r>
            <w:r w:rsidR="00623501">
              <w:rPr>
                <w:rFonts w:ascii="Times New Roman" w:hAnsi="Times New Roman" w:cs="Times New Roman"/>
                <w:color w:val="000000" w:themeColor="text1"/>
                <w:position w:val="-2"/>
                <w:lang w:val="en-US"/>
              </w:rPr>
              <w:t xml:space="preserve"> </w:t>
            </w:r>
            <m:oMath>
              <m:sSub>
                <m:sSubPr>
                  <m:ctrlPr>
                    <w:rPr>
                      <w:rFonts w:ascii="Cambria Math" w:hAnsi="Cambria Math"/>
                    </w:rPr>
                  </m:ctrlPr>
                </m:sSubPr>
                <m:e>
                  <m:r>
                    <w:rPr>
                      <w:rFonts w:ascii="Cambria Math" w:hAnsi="Cambria Math"/>
                    </w:rPr>
                    <m:t>α</m:t>
                  </m:r>
                </m:e>
                <m:sub>
                  <m:r>
                    <w:rPr>
                      <w:rFonts w:ascii="Cambria Math" w:hAnsi="Cambria Math"/>
                    </w:rPr>
                    <m:t>pun</m:t>
                  </m:r>
                </m:sub>
              </m:sSub>
            </m:oMath>
            <w:r w:rsidR="00623501">
              <w:rPr>
                <w:rFonts w:ascii="Times New Roman" w:hAnsi="Times New Roman" w:cs="Times New Roman"/>
                <w:color w:val="000000" w:themeColor="text1"/>
                <w:lang w:val="en-US"/>
              </w:rPr>
              <w:t xml:space="preserve">, </w:t>
            </w:r>
            <m:oMath>
              <m:r>
                <w:rPr>
                  <w:rFonts w:ascii="Cambria Math" w:hAnsi="Cambria Math"/>
                </w:rPr>
                <m:t>α</m:t>
              </m:r>
            </m:oMath>
            <w:r w:rsidR="00623501">
              <w:rPr>
                <w:rFonts w:ascii="Times New Roman" w:hAnsi="Times New Roman" w:cs="Times New Roman"/>
                <w:color w:val="000000" w:themeColor="text1"/>
                <w:lang w:val="en-US"/>
              </w:rPr>
              <w:t>, κ</w:t>
            </w:r>
            <w:r w:rsidR="00623501">
              <w:rPr>
                <w:rFonts w:ascii="Times New Roman" w:hAnsi="Times New Roman" w:cs="Times New Roman"/>
                <w:color w:val="000000" w:themeColor="text1"/>
                <w:position w:val="-2"/>
                <w:lang w:val="en-US"/>
              </w:rPr>
              <w:t>side,</w:t>
            </w:r>
            <w:r w:rsidR="00623501">
              <w:rPr>
                <w:rFonts w:ascii="Times New Roman" w:hAnsi="Times New Roman" w:cs="Times New Roman"/>
                <w:color w:val="000000" w:themeColor="text1"/>
                <w:lang w:val="en-US"/>
              </w:rPr>
              <w:t xml:space="preserve"> κ</w:t>
            </w:r>
            <w:r w:rsidR="00623501">
              <w:rPr>
                <w:rFonts w:ascii="Times New Roman" w:hAnsi="Times New Roman" w:cs="Times New Roman"/>
                <w:color w:val="000000" w:themeColor="text1"/>
                <w:position w:val="-2"/>
                <w:lang w:val="en-US"/>
              </w:rPr>
              <w:t>stim</w:t>
            </w:r>
            <w:r w:rsidR="00623501">
              <w:rPr>
                <w:rFonts w:ascii="Times New Roman" w:hAnsi="Times New Roman" w:cs="Times New Roman"/>
                <w:color w:val="000000" w:themeColor="text1"/>
                <w:lang w:val="en-US"/>
              </w:rPr>
              <w:t xml:space="preserve"> intersubject standard deviations</w:t>
            </w:r>
          </w:p>
        </w:tc>
        <w:tc>
          <w:tcPr>
            <w:tcW w:w="2160" w:type="dxa"/>
            <w:tcBorders>
              <w:top w:val="single" w:sz="8" w:space="0" w:color="B4C6E7"/>
              <w:left w:val="single" w:sz="8" w:space="0" w:color="B4C6E7"/>
              <w:bottom w:val="single" w:sz="8" w:space="0" w:color="B4C6E7"/>
              <w:right w:val="single" w:sz="8" w:space="0" w:color="B4C6E7"/>
            </w:tcBorders>
            <w:shd w:val="clear" w:color="auto" w:fill="auto"/>
          </w:tcPr>
          <w:p w14:paraId="10D17BC9"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Normal(0,0.05) constrained to </w:t>
            </w:r>
            <m:oMath>
              <m:r>
                <w:rPr>
                  <w:rFonts w:ascii="Cambria Math" w:hAnsi="Cambria Math"/>
                </w:rPr>
                <m:t>≥</m:t>
              </m:r>
            </m:oMath>
            <w:r>
              <w:rPr>
                <w:rFonts w:ascii="Times New Roman" w:eastAsiaTheme="minorEastAsia" w:hAnsi="Times New Roman" w:cs="Times New Roman"/>
                <w:color w:val="000000" w:themeColor="text1"/>
                <w:lang w:val="en-US"/>
              </w:rPr>
              <w:t>0</w:t>
            </w:r>
          </w:p>
        </w:tc>
        <w:tc>
          <w:tcPr>
            <w:tcW w:w="2605" w:type="dxa"/>
            <w:tcBorders>
              <w:top w:val="single" w:sz="8" w:space="0" w:color="B4C6E7"/>
              <w:left w:val="single" w:sz="8" w:space="0" w:color="B4C6E7"/>
              <w:bottom w:val="single" w:sz="8" w:space="0" w:color="B4C6E7"/>
              <w:right w:val="single" w:sz="8" w:space="0" w:color="B4C6E7"/>
            </w:tcBorders>
          </w:tcPr>
          <w:p w14:paraId="10D17BCA" w14:textId="77777777" w:rsidR="00790D11" w:rsidRDefault="00623501">
            <w:pPr>
              <w:widowControl w:val="0"/>
              <w:jc w:val="both"/>
              <w:rPr>
                <w:rFonts w:ascii="Times New Roman" w:hAnsi="Times New Roman" w:cs="Times New Roman"/>
                <w:color w:val="000000" w:themeColor="text1"/>
                <w:lang w:val="en-US"/>
              </w:rPr>
            </w:pPr>
            <w:r>
              <w:fldChar w:fldCharType="begin"/>
            </w:r>
            <w:r>
              <w:rPr>
                <w:rFonts w:ascii="Times New Roman" w:hAnsi="Times New Roman"/>
              </w:rPr>
              <w:instrText>ADDIN CSL_CITATION {"citationItems":[{"id":"ITEM-1","itemData":{"DOI":"10.1007/s00213-019-05325-w","ISSN":"14322072","PMID":"31324936","abstract":"Rationale: Disorders of compulsivity such as stimulant use disorder (SUD) and obsessive-compulsive disorder (OCD) are characterised by deficits in behavioural flexibility, some of which have been captured using probabilistic reversal learning (PRL) paradigms. Objectives: This study used computational modelling to characterise the reinforcement learning processes underlying patterns of PRL behaviour observed in SUD and OCD and to show how the dopamine D2/3 receptor agonist pramipexole and the D2/3 antagonist amisulpride affected these responses. Methods: We applied a hierarchical Bayesian method to PRL data across three groups: individuals with SUD, OCD, and healthy controls. Participants completed three sessions where they received placebo, pramipexole, and amisulpride, in a double-blind placebo-controlled, randomised design. We compared seven models using a bridge sampling estimate of the marginal likelihood. Results: Stimulus-bound perseveration, a measure of the degree to which participants responded to the same stimulus as before irrespective of outcome, was significantly increased in SUD, but decreased in OCD, compared to controls (on placebo). Individuals with SUD also exhibited reduced reward-driven learning, whilst both the SUD and OCD groups showed increased learning from punishment (nonreward). Pramipexole and amisulpride had similar effects on the control and OCD groups; both increased punishment-driven learning. These D2/3-modulating drugs affected the SUD group differently, remediating reward-driven learning and reducing aspects of perseverative behaviour, amongst other effects. Conclusions: We provide a parsimonious computational account of how perseverative tendencies and reward- and punishment-driven learning differentially contribute to PRL in SUD and OCD. D2/3 agents modulated these processes and remediated deficits in SUD in particular, which may inform therapeutic effects.","author":[{"dropping-particle":"","family":"Kanen","given":"Jonathan W.","non-dropping-particle":"","parse-names":false,"suffix":""},{"dropping-particle":"","family":"Ersche","given":"Karen D.","non-dropping-particle":"","parse-names":false,"suffix":""},{"dropping-particle":"","family":"Fineberg","given":"Naomi A.","non-dropping-particle":"","parse-names":false,"suffix":""},{"dropping-particle":"","family":"Robbins","given":"Trevor W.","non-dropping-particle":"","parse-names":false,"suffix":""},{"dropping-particle":"","family":"Cardinal","given":"Rudolf N.","non-dropping-particle":"","parse-names":false,"suffix":""}],"container-title":"Psychopharmacology","id":"ITEM-1","issue":"8","issued":{"date-parts":[["2019","8","1"]]},"page":"2337-2358","publisher":"Springer Verlag","title":"Computational modelling reveals contrasting effects on reinforcement learning and cognitive flexibility in stimulant use disorder and obsessive-compulsive disorder: remediating effects of dopaminergic D2/3 receptor agents","type":"article-journal","volume":"236"},"uris":["http://www.mendeley.com/documents/?uuid=04db551d-275f-3fee-8a02-8480d8d4b59b"]}],"mendeley":{"formattedCitation":"(Kanen et al., 2019)","plainTextFormattedCitation":"(Kanen et al., 2019)"},"properties":{"noteIndex":0},"schema":"https://github.com/citation-style-language/schema/raw/master/csl-citation.json"}</w:instrText>
            </w:r>
            <w:r>
              <w:rPr>
                <w:rFonts w:ascii="Times New Roman" w:hAnsi="Times New Roman"/>
              </w:rPr>
              <w:fldChar w:fldCharType="separate"/>
            </w:r>
            <w:r>
              <w:rPr>
                <w:rFonts w:ascii="Times New Roman" w:hAnsi="Times New Roman" w:cs="Times New Roman"/>
                <w:color w:val="000000" w:themeColor="text1"/>
                <w:lang w:val="en-US"/>
              </w:rPr>
              <w:t>(Kanen et al., 2019)</w:t>
            </w:r>
            <w:r>
              <w:rPr>
                <w:rFonts w:ascii="Times New Roman" w:hAnsi="Times New Roman"/>
              </w:rPr>
              <w:fldChar w:fldCharType="end"/>
            </w:r>
          </w:p>
        </w:tc>
      </w:tr>
      <w:tr w:rsidR="00790D11" w14:paraId="10D17BCF" w14:textId="77777777">
        <w:trPr>
          <w:trHeight w:val="394"/>
        </w:trPr>
        <w:tc>
          <w:tcPr>
            <w:tcW w:w="4251" w:type="dxa"/>
            <w:tcBorders>
              <w:top w:val="single" w:sz="8" w:space="0" w:color="B4C6E7"/>
              <w:left w:val="single" w:sz="8" w:space="0" w:color="B4C6E7"/>
              <w:bottom w:val="single" w:sz="8" w:space="0" w:color="B4C6E7"/>
              <w:right w:val="single" w:sz="8" w:space="0" w:color="B4C6E7"/>
            </w:tcBorders>
            <w:shd w:val="clear" w:color="auto" w:fill="auto"/>
          </w:tcPr>
          <w:p w14:paraId="10D17BCC" w14:textId="77777777" w:rsidR="00790D11" w:rsidRDefault="00623501">
            <w:pPr>
              <w:widowControl w:val="0"/>
              <w:jc w:val="both"/>
              <w:rPr>
                <w:rFonts w:ascii="Times New Roman" w:hAnsi="Times New Roman" w:cs="Times New Roman"/>
                <w:b/>
                <w:color w:val="000000" w:themeColor="text1"/>
                <w:lang w:val="en-US"/>
              </w:rPr>
            </w:pPr>
            <w:r>
              <w:rPr>
                <w:rFonts w:ascii="Times New Roman" w:hAnsi="Times New Roman" w:cs="Times New Roman"/>
                <w:color w:val="000000" w:themeColor="text1"/>
                <w:lang w:val="en-US"/>
              </w:rPr>
              <w:t>β intersubject standard deviations</w:t>
            </w:r>
          </w:p>
        </w:tc>
        <w:tc>
          <w:tcPr>
            <w:tcW w:w="2160" w:type="dxa"/>
            <w:tcBorders>
              <w:top w:val="single" w:sz="8" w:space="0" w:color="B4C6E7"/>
              <w:left w:val="single" w:sz="8" w:space="0" w:color="B4C6E7"/>
              <w:bottom w:val="single" w:sz="8" w:space="0" w:color="B4C6E7"/>
              <w:right w:val="single" w:sz="8" w:space="0" w:color="B4C6E7"/>
            </w:tcBorders>
            <w:shd w:val="clear" w:color="auto" w:fill="auto"/>
          </w:tcPr>
          <w:p w14:paraId="10D17BCD" w14:textId="77777777" w:rsidR="00790D11" w:rsidRDefault="00623501">
            <w:pPr>
              <w:widowControl w:val="0"/>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Normal(0,1) constrained to </w:t>
            </w:r>
            <m:oMath>
              <m:r>
                <w:rPr>
                  <w:rFonts w:ascii="Cambria Math" w:hAnsi="Cambria Math"/>
                </w:rPr>
                <m:t>≥</m:t>
              </m:r>
            </m:oMath>
            <w:r>
              <w:rPr>
                <w:rFonts w:ascii="Times New Roman" w:eastAsiaTheme="minorEastAsia" w:hAnsi="Times New Roman" w:cs="Times New Roman"/>
                <w:color w:val="000000" w:themeColor="text1"/>
                <w:lang w:val="en-US"/>
              </w:rPr>
              <w:t>0</w:t>
            </w:r>
          </w:p>
        </w:tc>
        <w:tc>
          <w:tcPr>
            <w:tcW w:w="2605" w:type="dxa"/>
            <w:tcBorders>
              <w:top w:val="single" w:sz="8" w:space="0" w:color="B4C6E7"/>
              <w:left w:val="single" w:sz="8" w:space="0" w:color="B4C6E7"/>
              <w:bottom w:val="single" w:sz="8" w:space="0" w:color="B4C6E7"/>
              <w:right w:val="single" w:sz="8" w:space="0" w:color="B4C6E7"/>
            </w:tcBorders>
          </w:tcPr>
          <w:p w14:paraId="10D17BCE" w14:textId="77777777" w:rsidR="00790D11" w:rsidRDefault="00623501">
            <w:pPr>
              <w:widowControl w:val="0"/>
              <w:jc w:val="both"/>
              <w:rPr>
                <w:rFonts w:ascii="Times New Roman" w:hAnsi="Times New Roman" w:cs="Times New Roman"/>
                <w:color w:val="000000" w:themeColor="text1"/>
                <w:lang w:val="en-US"/>
              </w:rPr>
            </w:pPr>
            <w:r>
              <w:fldChar w:fldCharType="begin"/>
            </w:r>
            <w:r>
              <w:rPr>
                <w:rFonts w:ascii="Times New Roman" w:hAnsi="Times New Roman"/>
              </w:rPr>
              <w:instrText>ADDIN CSL_CITATION {"citationItems":[{"id":"ITEM-1","itemData":{"DOI":"10.1016/j.jmp.2016.01.006","abstract":"h i g h l i g h t s • Reinforcement learning models suffer from the difficulty of parameter estimation. • Empirical priors improve predictive accuracy, reliability, identifiability, and detection of individual differences. • These priors are fairly robust across model variants. a b s t r a c t Computational models of reinforcement learning have played an important role in understanding learning and decision making behavior, as well as the neural mechanisms underlying these behaviors. However, fitting the parameters of these models can be challenging: the parameters are not identifiable, estimates are unreliable, and the fitted models may not have good predictive validity. Prior distributions on the parameters can help regularize estimates and to some extent deal with these challenges, but picking a good prior is itself challenging. This paper presents empirical priors for reinforcement learning models, showing that priors estimated from a relatively large dataset are more identifiable, more reliable, and have better predictive validity compared to model-fitting with uniform priors.","author":[{"dropping-particle":"","family":"Gershman","given":"Samuel J","non-dropping-particle":"","parse-names":false,"suffix":""}],"container-title":"Journal of Mathematical Psychology","id":"ITEM-1","issued":{"date-parts":[["2016"]]},"page":"1-6","title":"Empirical priors for reinforcement learning models","type":"article-journal","volume":"71"},"uris":["http://www.mendeley.com/documents/?uuid=3fcbc228-8794-32e1-95ed-8e6937cb6020"]}],"mendeley":{"formattedCitation":"(Gershman, 2016)","plainTextFormattedCitation":"(Gershman, 2016)","previouslyFormattedCitation":"(Gershman, 2016)"},"properties":{"noteIndex":0},"schema":"https://github.com/citation-style-language/schema/raw/master/csl-citation.json"}</w:instrText>
            </w:r>
            <w:r>
              <w:rPr>
                <w:rFonts w:ascii="Times New Roman" w:hAnsi="Times New Roman"/>
              </w:rPr>
              <w:fldChar w:fldCharType="separate"/>
            </w:r>
            <w:r>
              <w:rPr>
                <w:rFonts w:ascii="Times New Roman" w:hAnsi="Times New Roman" w:cs="Times New Roman"/>
                <w:color w:val="000000" w:themeColor="text1"/>
                <w:lang w:val="en-US"/>
              </w:rPr>
              <w:t>(Gershman, 2016)</w:t>
            </w:r>
            <w:r>
              <w:rPr>
                <w:rFonts w:ascii="Times New Roman" w:hAnsi="Times New Roman"/>
              </w:rPr>
              <w:fldChar w:fldCharType="end"/>
            </w:r>
          </w:p>
        </w:tc>
      </w:tr>
    </w:tbl>
    <w:p w14:paraId="10D17BD0" w14:textId="77777777" w:rsidR="00790D11" w:rsidRDefault="00790D11">
      <w:pPr>
        <w:rPr>
          <w:rFonts w:ascii="Times New Roman" w:hAnsi="Times New Roman" w:cs="Times New Roman"/>
          <w:b/>
          <w:bCs/>
          <w:lang w:val="en-US"/>
        </w:rPr>
      </w:pPr>
    </w:p>
    <w:p w14:paraId="07C7ACEA" w14:textId="77777777" w:rsidR="00256E07" w:rsidRDefault="00256E07">
      <w:pPr>
        <w:rPr>
          <w:rFonts w:ascii="Times New Roman" w:hAnsi="Times New Roman" w:cs="Times New Roman"/>
          <w:b/>
          <w:bCs/>
          <w:lang w:val="en-US"/>
        </w:rPr>
      </w:pPr>
    </w:p>
    <w:p w14:paraId="3066AC4B" w14:textId="47BD6717" w:rsidR="00DE023C" w:rsidRPr="00E9505B" w:rsidRDefault="00DE023C">
      <w:pPr>
        <w:rPr>
          <w:rFonts w:ascii="Times New Roman" w:hAnsi="Times New Roman" w:cs="Times New Roman"/>
          <w:lang w:val="en-US"/>
        </w:rPr>
      </w:pPr>
      <w:r>
        <w:rPr>
          <w:rFonts w:ascii="Times New Roman" w:hAnsi="Times New Roman" w:cs="Times New Roman"/>
          <w:b/>
          <w:bCs/>
          <w:lang w:val="en-US"/>
        </w:rPr>
        <w:t xml:space="preserve">Supplementary Table 2. </w:t>
      </w:r>
      <w:r w:rsidR="00E9505B">
        <w:rPr>
          <w:rFonts w:ascii="Times New Roman" w:hAnsi="Times New Roman" w:cs="Times New Roman"/>
          <w:lang w:val="en-US"/>
        </w:rPr>
        <w:t>Mean</w:t>
      </w:r>
      <w:r w:rsidR="00393544">
        <w:rPr>
          <w:rFonts w:ascii="Times New Roman" w:hAnsi="Times New Roman" w:cs="Times New Roman"/>
          <w:lang w:val="en-US"/>
        </w:rPr>
        <w:t xml:space="preserve"> and standard deviation of</w:t>
      </w:r>
      <w:r w:rsidR="00E9505B">
        <w:rPr>
          <w:rFonts w:ascii="Times New Roman" w:hAnsi="Times New Roman" w:cs="Times New Roman"/>
          <w:lang w:val="en-US"/>
        </w:rPr>
        <w:t xml:space="preserve"> </w:t>
      </w:r>
      <w:r w:rsidR="00E9505B" w:rsidRPr="00EE3D07">
        <w:rPr>
          <w:rFonts w:ascii="Times New Roman" w:hAnsi="Times New Roman" w:cs="Times New Roman"/>
          <w:i/>
          <w:iCs/>
          <w:color w:val="000000" w:themeColor="text1"/>
          <w:lang w:val="en-US"/>
        </w:rPr>
        <w:t>ρ</w:t>
      </w:r>
      <w:r w:rsidR="00E9505B">
        <w:rPr>
          <w:rFonts w:ascii="Times New Roman" w:hAnsi="Times New Roman" w:cs="Times New Roman"/>
          <w:color w:val="000000" w:themeColor="text1"/>
          <w:lang w:val="en-US"/>
        </w:rPr>
        <w:t xml:space="preserve"> values from </w:t>
      </w:r>
      <w:r w:rsidR="00B274B4">
        <w:rPr>
          <w:rFonts w:ascii="Times New Roman" w:hAnsi="Times New Roman" w:cs="Times New Roman"/>
          <w:color w:val="000000" w:themeColor="text1"/>
          <w:lang w:val="en-US"/>
        </w:rPr>
        <w:t>m</w:t>
      </w:r>
      <w:r w:rsidR="00E9505B">
        <w:rPr>
          <w:rFonts w:ascii="Times New Roman" w:hAnsi="Times New Roman" w:cs="Times New Roman"/>
          <w:color w:val="000000" w:themeColor="text1"/>
          <w:lang w:val="en-US"/>
        </w:rPr>
        <w:t xml:space="preserve">odel 9 fitted to the </w:t>
      </w:r>
      <w:r w:rsidR="00E9505B">
        <w:rPr>
          <w:rFonts w:ascii="Times New Roman" w:eastAsia="Calibri" w:hAnsi="Times New Roman" w:cs="Times New Roman"/>
          <w:lang w:val="en-US"/>
        </w:rPr>
        <w:t>M100907 dataset.</w:t>
      </w:r>
    </w:p>
    <w:p w14:paraId="03FFA6A8" w14:textId="77777777" w:rsidR="00DE023C" w:rsidRDefault="00DE023C">
      <w:pPr>
        <w:rPr>
          <w:rFonts w:ascii="Times New Roman" w:hAnsi="Times New Roman" w:cs="Times New Roman"/>
          <w:b/>
          <w:bCs/>
          <w:lang w:val="en-US"/>
        </w:rPr>
      </w:pPr>
    </w:p>
    <w:tbl>
      <w:tblPr>
        <w:tblStyle w:val="GridTable1Light-Accent5"/>
        <w:tblW w:w="0" w:type="auto"/>
        <w:tblLook w:val="04A0" w:firstRow="1" w:lastRow="0" w:firstColumn="1" w:lastColumn="0" w:noHBand="0" w:noVBand="1"/>
      </w:tblPr>
      <w:tblGrid>
        <w:gridCol w:w="3116"/>
        <w:gridCol w:w="3068"/>
        <w:gridCol w:w="2832"/>
      </w:tblGrid>
      <w:tr w:rsidR="006C1AB8" w14:paraId="1B3B16AB" w14:textId="5C2A8B6C" w:rsidTr="006C1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01C44F3" w14:textId="129E31F6" w:rsidR="006C1AB8" w:rsidRPr="00DE023C" w:rsidRDefault="006C1AB8">
            <w:pPr>
              <w:rPr>
                <w:rFonts w:ascii="Times New Roman" w:hAnsi="Times New Roman" w:cs="Times New Roman"/>
                <w:lang w:val="en-US"/>
              </w:rPr>
            </w:pPr>
            <w:r w:rsidRPr="00DE023C">
              <w:rPr>
                <w:rFonts w:ascii="Times New Roman" w:hAnsi="Times New Roman" w:cs="Times New Roman"/>
                <w:lang w:val="en-US"/>
              </w:rPr>
              <w:t>Group</w:t>
            </w:r>
          </w:p>
        </w:tc>
        <w:tc>
          <w:tcPr>
            <w:tcW w:w="3068" w:type="dxa"/>
          </w:tcPr>
          <w:p w14:paraId="778DEFF2" w14:textId="1654D245" w:rsidR="006C1AB8" w:rsidRDefault="006C1AB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r w:rsidRPr="00553A69">
              <w:rPr>
                <w:rFonts w:ascii="Times New Roman" w:hAnsi="Times New Roman" w:cs="Times New Roman"/>
                <w:lang w:val="en-US"/>
              </w:rPr>
              <w:t>Mean</w:t>
            </w:r>
            <w:r>
              <w:rPr>
                <w:rFonts w:ascii="Times New Roman" w:hAnsi="Times New Roman" w:cs="Times New Roman"/>
                <w:b w:val="0"/>
                <w:bCs w:val="0"/>
                <w:lang w:val="en-US"/>
              </w:rPr>
              <w:t xml:space="preserve"> </w:t>
            </w:r>
          </w:p>
        </w:tc>
        <w:tc>
          <w:tcPr>
            <w:tcW w:w="2832" w:type="dxa"/>
          </w:tcPr>
          <w:p w14:paraId="67339555" w14:textId="4F13651A" w:rsidR="006C1AB8" w:rsidRPr="00553A69" w:rsidRDefault="005A68D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Standard deviation</w:t>
            </w:r>
          </w:p>
        </w:tc>
      </w:tr>
      <w:tr w:rsidR="006C1AB8" w14:paraId="589AA7DC" w14:textId="6FEA2FDC" w:rsidTr="006C1AB8">
        <w:tc>
          <w:tcPr>
            <w:cnfStyle w:val="001000000000" w:firstRow="0" w:lastRow="0" w:firstColumn="1" w:lastColumn="0" w:oddVBand="0" w:evenVBand="0" w:oddHBand="0" w:evenHBand="0" w:firstRowFirstColumn="0" w:firstRowLastColumn="0" w:lastRowFirstColumn="0" w:lastRowLastColumn="0"/>
            <w:tcW w:w="3116" w:type="dxa"/>
          </w:tcPr>
          <w:p w14:paraId="44E16C6C" w14:textId="02481991" w:rsidR="006C1AB8" w:rsidRDefault="006C1AB8">
            <w:pPr>
              <w:rPr>
                <w:rFonts w:ascii="Times New Roman" w:hAnsi="Times New Roman" w:cs="Times New Roman"/>
                <w:b w:val="0"/>
                <w:bCs w:val="0"/>
                <w:lang w:val="en-US"/>
              </w:rPr>
            </w:pPr>
            <w:r>
              <w:rPr>
                <w:rFonts w:ascii="Times New Roman" w:hAnsi="Times New Roman" w:cs="Times New Roman"/>
                <w:b w:val="0"/>
                <w:bCs w:val="0"/>
                <w:lang w:val="en-US"/>
              </w:rPr>
              <w:t>Control</w:t>
            </w:r>
          </w:p>
        </w:tc>
        <w:tc>
          <w:tcPr>
            <w:tcW w:w="3068" w:type="dxa"/>
          </w:tcPr>
          <w:p w14:paraId="17093DF5" w14:textId="311F555C" w:rsidR="006C1AB8" w:rsidRPr="006C1AB8" w:rsidRDefault="006C1A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6C1AB8">
              <w:rPr>
                <w:rFonts w:ascii="Times New Roman" w:hAnsi="Times New Roman" w:cs="Times New Roman"/>
                <w:lang w:val="en-US"/>
              </w:rPr>
              <w:t>4.82</w:t>
            </w:r>
          </w:p>
        </w:tc>
        <w:tc>
          <w:tcPr>
            <w:tcW w:w="2832" w:type="dxa"/>
          </w:tcPr>
          <w:p w14:paraId="063AF387" w14:textId="181E1056" w:rsidR="006C1AB8" w:rsidRPr="00393544" w:rsidRDefault="003935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lang w:val="en-US"/>
              </w:rPr>
            </w:pPr>
            <w:r>
              <w:rPr>
                <w:rFonts w:ascii="Times New Roman" w:hAnsi="Times New Roman" w:cs="Times New Roman"/>
                <w:lang w:val="en-US"/>
              </w:rPr>
              <w:t>1.</w:t>
            </w:r>
            <w:r w:rsidR="005A68D7">
              <w:rPr>
                <w:rFonts w:ascii="Times New Roman" w:hAnsi="Times New Roman" w:cs="Times New Roman"/>
                <w:lang w:val="en-US"/>
              </w:rPr>
              <w:t>84</w:t>
            </w:r>
            <w:r>
              <w:rPr>
                <w:rFonts w:ascii="Times New Roman" w:hAnsi="Times New Roman" w:cs="Times New Roman"/>
                <w:lang w:val="en-US"/>
              </w:rPr>
              <w:t>x10</w:t>
            </w:r>
            <w:r>
              <w:rPr>
                <w:rFonts w:ascii="Times New Roman" w:hAnsi="Times New Roman" w:cs="Times New Roman"/>
                <w:vertAlign w:val="superscript"/>
                <w:lang w:val="en-US"/>
              </w:rPr>
              <w:t>-</w:t>
            </w:r>
            <w:r w:rsidR="005A68D7">
              <w:rPr>
                <w:rFonts w:ascii="Times New Roman" w:hAnsi="Times New Roman" w:cs="Times New Roman"/>
                <w:vertAlign w:val="superscript"/>
                <w:lang w:val="en-US"/>
              </w:rPr>
              <w:t>2</w:t>
            </w:r>
          </w:p>
        </w:tc>
      </w:tr>
      <w:tr w:rsidR="006C1AB8" w14:paraId="27E06C28" w14:textId="327EC35B" w:rsidTr="006C1AB8">
        <w:tc>
          <w:tcPr>
            <w:cnfStyle w:val="001000000000" w:firstRow="0" w:lastRow="0" w:firstColumn="1" w:lastColumn="0" w:oddVBand="0" w:evenVBand="0" w:oddHBand="0" w:evenHBand="0" w:firstRowFirstColumn="0" w:firstRowLastColumn="0" w:lastRowFirstColumn="0" w:lastRowLastColumn="0"/>
            <w:tcW w:w="3116" w:type="dxa"/>
          </w:tcPr>
          <w:p w14:paraId="4026842E" w14:textId="3432786F" w:rsidR="006C1AB8" w:rsidRDefault="006C1AB8">
            <w:pPr>
              <w:rPr>
                <w:rFonts w:ascii="Times New Roman" w:hAnsi="Times New Roman" w:cs="Times New Roman"/>
                <w:b w:val="0"/>
                <w:bCs w:val="0"/>
                <w:lang w:val="en-US"/>
              </w:rPr>
            </w:pPr>
            <w:r>
              <w:rPr>
                <w:rFonts w:ascii="Times New Roman" w:hAnsi="Times New Roman" w:cs="Times New Roman"/>
                <w:b w:val="0"/>
                <w:bCs w:val="0"/>
                <w:lang w:val="en-US"/>
              </w:rPr>
              <w:t xml:space="preserve">Low dose </w:t>
            </w:r>
          </w:p>
        </w:tc>
        <w:tc>
          <w:tcPr>
            <w:tcW w:w="3068" w:type="dxa"/>
          </w:tcPr>
          <w:p w14:paraId="20A9A9B6" w14:textId="78197FB3" w:rsidR="006C1AB8" w:rsidRPr="006C1AB8" w:rsidRDefault="006C1A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8.49</w:t>
            </w:r>
          </w:p>
        </w:tc>
        <w:tc>
          <w:tcPr>
            <w:tcW w:w="2832" w:type="dxa"/>
          </w:tcPr>
          <w:p w14:paraId="44194297" w14:textId="0C720E77" w:rsidR="006C1AB8" w:rsidRDefault="005A68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Pr>
                <w:rFonts w:ascii="Times New Roman" w:hAnsi="Times New Roman" w:cs="Times New Roman"/>
                <w:lang w:val="en-US"/>
              </w:rPr>
              <w:t>4.85x10</w:t>
            </w:r>
            <w:r>
              <w:rPr>
                <w:rFonts w:ascii="Times New Roman" w:hAnsi="Times New Roman" w:cs="Times New Roman"/>
                <w:vertAlign w:val="superscript"/>
                <w:lang w:val="en-US"/>
              </w:rPr>
              <w:t>-2</w:t>
            </w:r>
          </w:p>
        </w:tc>
      </w:tr>
      <w:tr w:rsidR="006C1AB8" w14:paraId="0A6F6B85" w14:textId="68ED3040" w:rsidTr="006C1AB8">
        <w:tc>
          <w:tcPr>
            <w:cnfStyle w:val="001000000000" w:firstRow="0" w:lastRow="0" w:firstColumn="1" w:lastColumn="0" w:oddVBand="0" w:evenVBand="0" w:oddHBand="0" w:evenHBand="0" w:firstRowFirstColumn="0" w:firstRowLastColumn="0" w:lastRowFirstColumn="0" w:lastRowLastColumn="0"/>
            <w:tcW w:w="3116" w:type="dxa"/>
          </w:tcPr>
          <w:p w14:paraId="5CE04BA6" w14:textId="70E7840D" w:rsidR="006C1AB8" w:rsidRDefault="006C1AB8">
            <w:pPr>
              <w:rPr>
                <w:rFonts w:ascii="Times New Roman" w:hAnsi="Times New Roman" w:cs="Times New Roman"/>
                <w:b w:val="0"/>
                <w:bCs w:val="0"/>
                <w:lang w:val="en-US"/>
              </w:rPr>
            </w:pPr>
            <w:r>
              <w:rPr>
                <w:rFonts w:ascii="Times New Roman" w:hAnsi="Times New Roman" w:cs="Times New Roman"/>
                <w:b w:val="0"/>
                <w:bCs w:val="0"/>
                <w:lang w:val="en-US"/>
              </w:rPr>
              <w:t>High dose</w:t>
            </w:r>
          </w:p>
        </w:tc>
        <w:tc>
          <w:tcPr>
            <w:tcW w:w="3068" w:type="dxa"/>
          </w:tcPr>
          <w:p w14:paraId="23C2FCF8" w14:textId="104B98D6" w:rsidR="006C1AB8" w:rsidRPr="00393544" w:rsidRDefault="003935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393544">
              <w:rPr>
                <w:rFonts w:ascii="Times New Roman" w:hAnsi="Times New Roman" w:cs="Times New Roman"/>
                <w:lang w:val="en-US"/>
              </w:rPr>
              <w:t>5.00</w:t>
            </w:r>
          </w:p>
        </w:tc>
        <w:tc>
          <w:tcPr>
            <w:tcW w:w="2832" w:type="dxa"/>
          </w:tcPr>
          <w:p w14:paraId="6E61013B" w14:textId="2E106F25" w:rsidR="006C1AB8" w:rsidRDefault="005A68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Pr>
                <w:rFonts w:ascii="Times New Roman" w:hAnsi="Times New Roman" w:cs="Times New Roman"/>
                <w:lang w:val="en-US"/>
              </w:rPr>
              <w:t>2.19x10</w:t>
            </w:r>
            <w:r>
              <w:rPr>
                <w:rFonts w:ascii="Times New Roman" w:hAnsi="Times New Roman" w:cs="Times New Roman"/>
                <w:vertAlign w:val="superscript"/>
                <w:lang w:val="en-US"/>
              </w:rPr>
              <w:t>-2</w:t>
            </w:r>
          </w:p>
        </w:tc>
      </w:tr>
    </w:tbl>
    <w:p w14:paraId="533339D8" w14:textId="77777777" w:rsidR="00DE023C" w:rsidRPr="00DE023C" w:rsidRDefault="00DE023C">
      <w:pPr>
        <w:rPr>
          <w:rFonts w:ascii="Times New Roman" w:hAnsi="Times New Roman" w:cs="Times New Roman"/>
          <w:b/>
          <w:bCs/>
          <w:lang w:val="en-US"/>
        </w:rPr>
      </w:pPr>
    </w:p>
    <w:p w14:paraId="10D17BD1" w14:textId="77777777" w:rsidR="00790D11" w:rsidRDefault="00790D11">
      <w:pPr>
        <w:rPr>
          <w:rFonts w:ascii="Times New Roman" w:hAnsi="Times New Roman" w:cs="Times New Roman"/>
          <w:b/>
          <w:bCs/>
          <w:lang w:val="en-US"/>
        </w:rPr>
      </w:pPr>
    </w:p>
    <w:p w14:paraId="10D17BD2" w14:textId="7CDC14FB" w:rsidR="00790D11" w:rsidRDefault="00C46078">
      <w:pPr>
        <w:spacing w:line="480" w:lineRule="auto"/>
        <w:jc w:val="both"/>
        <w:rPr>
          <w:rFonts w:ascii="Times New Roman" w:hAnsi="Times New Roman" w:cs="Times New Roman"/>
          <w:lang w:val="en-US"/>
        </w:rPr>
      </w:pPr>
      <w:r>
        <w:rPr>
          <w:noProof/>
        </w:rPr>
        <w:lastRenderedPageBreak/>
        <w:drawing>
          <wp:anchor distT="0" distB="0" distL="114300" distR="114300" simplePos="0" relativeHeight="251659264" behindDoc="1" locked="0" layoutInCell="1" allowOverlap="1" wp14:anchorId="10D17BD7" wp14:editId="3E6CCA97">
            <wp:simplePos x="0" y="0"/>
            <wp:positionH relativeFrom="column">
              <wp:posOffset>-8601</wp:posOffset>
            </wp:positionH>
            <wp:positionV relativeFrom="paragraph">
              <wp:posOffset>1654175</wp:posOffset>
            </wp:positionV>
            <wp:extent cx="4607560" cy="2616835"/>
            <wp:effectExtent l="12700" t="12700" r="15240" b="12065"/>
            <wp:wrapTight wrapText="bothSides">
              <wp:wrapPolygon edited="0">
                <wp:start x="-60" y="-105"/>
                <wp:lineTo x="-60" y="21595"/>
                <wp:lineTo x="21612" y="21595"/>
                <wp:lineTo x="21612" y="-105"/>
                <wp:lineTo x="-60" y="-10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4607560" cy="2616835"/>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r w:rsidR="00623501">
        <w:rPr>
          <w:rFonts w:ascii="Times New Roman" w:eastAsia="Calibri" w:hAnsi="Times New Roman" w:cs="Times New Roman"/>
          <w:b/>
          <w:lang w:val="en-US"/>
        </w:rPr>
        <w:t>Supplementary Figure 1.</w:t>
      </w:r>
      <w:r w:rsidR="00623501">
        <w:rPr>
          <w:rFonts w:ascii="Times New Roman" w:eastAsia="Calibri" w:hAnsi="Times New Roman" w:cs="Times New Roman"/>
          <w:lang w:val="en-US"/>
        </w:rPr>
        <w:t xml:space="preserve"> Behavioral simulations for the M100907 dataset using the winning model parameters (vd, standard visual discrimination trials; pos, positive probe trials; neg, negative probe trials; veh, vehicle). The ordinate (y axis) represents the mean for that behavioral measure across all simulated subjects. See </w:t>
      </w:r>
      <w:r w:rsidR="00623501" w:rsidRPr="00C46078">
        <w:rPr>
          <w:rFonts w:ascii="Times New Roman" w:eastAsia="Calibri" w:hAnsi="Times New Roman" w:cs="Times New Roman"/>
          <w:b/>
          <w:bCs/>
          <w:lang w:val="en-US"/>
        </w:rPr>
        <w:t>Figure 2A</w:t>
      </w:r>
      <w:r w:rsidR="00623501">
        <w:rPr>
          <w:rFonts w:ascii="Times New Roman" w:eastAsia="Calibri" w:hAnsi="Times New Roman" w:cs="Times New Roman"/>
          <w:lang w:val="en-US"/>
        </w:rPr>
        <w:t xml:space="preserve"> for a direct comparison to measures from the VPVD task. </w:t>
      </w:r>
    </w:p>
    <w:p w14:paraId="10D17BD3" w14:textId="3F772052" w:rsidR="00790D11" w:rsidRDefault="00790D11">
      <w:pPr>
        <w:spacing w:line="480" w:lineRule="auto"/>
        <w:jc w:val="both"/>
        <w:rPr>
          <w:rFonts w:ascii="Times New Roman" w:hAnsi="Times New Roman" w:cs="Times New Roman"/>
          <w:lang w:val="en-US"/>
        </w:rPr>
      </w:pPr>
    </w:p>
    <w:p w14:paraId="10D17BD4" w14:textId="1742F9CE" w:rsidR="00790D11" w:rsidRDefault="00790D11">
      <w:pPr>
        <w:spacing w:line="480" w:lineRule="auto"/>
        <w:jc w:val="both"/>
        <w:rPr>
          <w:rFonts w:ascii="Times New Roman" w:eastAsia="Calibri" w:hAnsi="Times New Roman" w:cs="Times New Roman"/>
          <w:b/>
          <w:lang w:val="en-US"/>
        </w:rPr>
      </w:pPr>
    </w:p>
    <w:p w14:paraId="6012197E" w14:textId="77777777" w:rsidR="00C46078" w:rsidRDefault="00C46078">
      <w:pPr>
        <w:spacing w:line="480" w:lineRule="auto"/>
        <w:jc w:val="both"/>
        <w:rPr>
          <w:rFonts w:ascii="Times New Roman" w:eastAsia="Calibri" w:hAnsi="Times New Roman" w:cs="Times New Roman"/>
          <w:b/>
          <w:lang w:val="en-US"/>
        </w:rPr>
      </w:pPr>
    </w:p>
    <w:p w14:paraId="1D34A76B" w14:textId="77777777" w:rsidR="00C46078" w:rsidRDefault="00C46078">
      <w:pPr>
        <w:spacing w:line="480" w:lineRule="auto"/>
        <w:jc w:val="both"/>
        <w:rPr>
          <w:rFonts w:ascii="Times New Roman" w:eastAsia="Calibri" w:hAnsi="Times New Roman" w:cs="Times New Roman"/>
          <w:b/>
          <w:lang w:val="en-US"/>
        </w:rPr>
      </w:pPr>
    </w:p>
    <w:p w14:paraId="1E9618B2" w14:textId="77777777" w:rsidR="00C46078" w:rsidRDefault="00C46078">
      <w:pPr>
        <w:spacing w:line="480" w:lineRule="auto"/>
        <w:jc w:val="both"/>
        <w:rPr>
          <w:rFonts w:ascii="Times New Roman" w:eastAsia="Calibri" w:hAnsi="Times New Roman" w:cs="Times New Roman"/>
          <w:b/>
          <w:lang w:val="en-US"/>
        </w:rPr>
      </w:pPr>
    </w:p>
    <w:p w14:paraId="104CFF6C" w14:textId="77777777" w:rsidR="00C46078" w:rsidRDefault="00C46078">
      <w:pPr>
        <w:spacing w:line="480" w:lineRule="auto"/>
        <w:jc w:val="both"/>
        <w:rPr>
          <w:rFonts w:ascii="Times New Roman" w:eastAsia="Calibri" w:hAnsi="Times New Roman" w:cs="Times New Roman"/>
          <w:b/>
          <w:lang w:val="en-US"/>
        </w:rPr>
      </w:pPr>
    </w:p>
    <w:p w14:paraId="22067E85" w14:textId="77777777" w:rsidR="00C46078" w:rsidRDefault="00C46078">
      <w:pPr>
        <w:spacing w:line="480" w:lineRule="auto"/>
        <w:jc w:val="both"/>
        <w:rPr>
          <w:rFonts w:ascii="Times New Roman" w:eastAsia="Calibri" w:hAnsi="Times New Roman" w:cs="Times New Roman"/>
          <w:b/>
          <w:lang w:val="en-US"/>
        </w:rPr>
      </w:pPr>
    </w:p>
    <w:p w14:paraId="2082DE5D" w14:textId="77777777" w:rsidR="00C46078" w:rsidRDefault="00C46078">
      <w:pPr>
        <w:spacing w:line="480" w:lineRule="auto"/>
        <w:jc w:val="both"/>
        <w:rPr>
          <w:rFonts w:ascii="Times New Roman" w:eastAsia="Calibri" w:hAnsi="Times New Roman" w:cs="Times New Roman"/>
          <w:b/>
          <w:lang w:val="en-US"/>
        </w:rPr>
      </w:pPr>
    </w:p>
    <w:p w14:paraId="10D17BD5" w14:textId="0602FAE8" w:rsidR="00790D11" w:rsidRDefault="00C46078">
      <w:pPr>
        <w:spacing w:line="480" w:lineRule="auto"/>
        <w:jc w:val="both"/>
        <w:rPr>
          <w:rFonts w:ascii="Times New Roman" w:eastAsia="Calibri" w:hAnsi="Times New Roman" w:cs="Times New Roman"/>
          <w:color w:val="000000" w:themeColor="text1"/>
          <w:lang w:val="en-US"/>
        </w:rPr>
      </w:pPr>
      <w:r>
        <w:rPr>
          <w:noProof/>
        </w:rPr>
        <w:drawing>
          <wp:anchor distT="0" distB="0" distL="114300" distR="114300" simplePos="0" relativeHeight="251658240" behindDoc="1" locked="0" layoutInCell="1" allowOverlap="1" wp14:anchorId="08C25B32" wp14:editId="22B2DB2C">
            <wp:simplePos x="0" y="0"/>
            <wp:positionH relativeFrom="column">
              <wp:posOffset>-8428</wp:posOffset>
            </wp:positionH>
            <wp:positionV relativeFrom="paragraph">
              <wp:posOffset>1635125</wp:posOffset>
            </wp:positionV>
            <wp:extent cx="4510405" cy="2654300"/>
            <wp:effectExtent l="12700" t="12700" r="10795" b="12700"/>
            <wp:wrapTight wrapText="bothSides">
              <wp:wrapPolygon edited="0">
                <wp:start x="-61" y="-103"/>
                <wp:lineTo x="-61" y="21600"/>
                <wp:lineTo x="21591" y="21600"/>
                <wp:lineTo x="21591" y="-103"/>
                <wp:lineTo x="-61" y="-103"/>
              </wp:wrapPolygon>
            </wp:wrapTight>
            <wp:docPr id="2" name="Picture 2"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different colored lines&#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4510405" cy="265430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r w:rsidR="00623501">
        <w:rPr>
          <w:rFonts w:ascii="Times New Roman" w:eastAsia="Calibri" w:hAnsi="Times New Roman" w:cs="Times New Roman"/>
          <w:b/>
          <w:lang w:val="en-US"/>
        </w:rPr>
        <w:t>Supplementary Figure 2.</w:t>
      </w:r>
      <w:r w:rsidR="00623501">
        <w:rPr>
          <w:rFonts w:ascii="Times New Roman" w:eastAsia="Calibri" w:hAnsi="Times New Roman" w:cs="Times New Roman"/>
          <w:lang w:val="en-US"/>
        </w:rPr>
        <w:t xml:space="preserve"> Behavioral simulations for the SB-242084 dataset using the winning model parameters (vd, standard visual discrimination trials; pos, positive probe trials; neg, negative probe trials; veh, vehicle). The ordinate (y axis) represents the mean for that behavioral measure across all simulated subjects. See </w:t>
      </w:r>
      <w:r w:rsidR="00623501" w:rsidRPr="00C46078">
        <w:rPr>
          <w:rFonts w:ascii="Times New Roman" w:eastAsia="Calibri" w:hAnsi="Times New Roman" w:cs="Times New Roman"/>
          <w:b/>
          <w:bCs/>
          <w:lang w:val="en-US"/>
        </w:rPr>
        <w:t>Figure 3A</w:t>
      </w:r>
      <w:r w:rsidR="00623501">
        <w:rPr>
          <w:rFonts w:ascii="Times New Roman" w:eastAsia="Calibri" w:hAnsi="Times New Roman" w:cs="Times New Roman"/>
          <w:lang w:val="en-US"/>
        </w:rPr>
        <w:t xml:space="preserve"> for direct comparison to measures from the VPVD task.</w:t>
      </w:r>
      <w:r w:rsidR="00141BBC" w:rsidRPr="00141BBC">
        <w:rPr>
          <w:noProof/>
        </w:rPr>
        <w:t xml:space="preserve"> </w:t>
      </w:r>
    </w:p>
    <w:p w14:paraId="10D17BD6" w14:textId="11305393" w:rsidR="00790D11" w:rsidRDefault="00790D11">
      <w:pPr>
        <w:spacing w:line="480" w:lineRule="auto"/>
        <w:rPr>
          <w:rFonts w:ascii="Times New Roman" w:hAnsi="Times New Roman" w:cs="Times New Roman"/>
          <w:lang w:val="en-US"/>
        </w:rPr>
      </w:pPr>
    </w:p>
    <w:p w14:paraId="40587A82" w14:textId="77777777" w:rsidR="00992C00" w:rsidRDefault="00992C00">
      <w:pPr>
        <w:spacing w:line="480" w:lineRule="auto"/>
        <w:rPr>
          <w:rFonts w:ascii="Times New Roman" w:hAnsi="Times New Roman" w:cs="Times New Roman"/>
          <w:lang w:val="en-US"/>
        </w:rPr>
      </w:pPr>
    </w:p>
    <w:p w14:paraId="41995C05" w14:textId="77777777" w:rsidR="00992C00" w:rsidRDefault="00992C00">
      <w:pPr>
        <w:spacing w:line="480" w:lineRule="auto"/>
        <w:rPr>
          <w:rFonts w:ascii="Times New Roman" w:hAnsi="Times New Roman" w:cs="Times New Roman"/>
          <w:lang w:val="en-US"/>
        </w:rPr>
      </w:pPr>
    </w:p>
    <w:p w14:paraId="52A04A03" w14:textId="77777777" w:rsidR="00992C00" w:rsidRDefault="00992C00">
      <w:pPr>
        <w:spacing w:line="480" w:lineRule="auto"/>
        <w:rPr>
          <w:rFonts w:ascii="Times New Roman" w:hAnsi="Times New Roman" w:cs="Times New Roman"/>
          <w:lang w:val="en-US"/>
        </w:rPr>
      </w:pPr>
    </w:p>
    <w:p w14:paraId="564A60CD" w14:textId="77777777" w:rsidR="00992C00" w:rsidRDefault="00992C00">
      <w:pPr>
        <w:spacing w:line="480" w:lineRule="auto"/>
        <w:rPr>
          <w:rFonts w:ascii="Times New Roman" w:hAnsi="Times New Roman" w:cs="Times New Roman"/>
          <w:lang w:val="en-US"/>
        </w:rPr>
      </w:pPr>
    </w:p>
    <w:p w14:paraId="3E48116B" w14:textId="77777777" w:rsidR="00992C00" w:rsidRDefault="00992C00">
      <w:pPr>
        <w:spacing w:line="480" w:lineRule="auto"/>
        <w:rPr>
          <w:rFonts w:ascii="Times New Roman" w:hAnsi="Times New Roman" w:cs="Times New Roman"/>
          <w:lang w:val="en-US"/>
        </w:rPr>
      </w:pPr>
    </w:p>
    <w:p w14:paraId="0A42F48C" w14:textId="77777777" w:rsidR="00992C00" w:rsidRDefault="00992C00">
      <w:pPr>
        <w:spacing w:line="480" w:lineRule="auto"/>
        <w:rPr>
          <w:rFonts w:ascii="Times New Roman" w:hAnsi="Times New Roman" w:cs="Times New Roman"/>
          <w:lang w:val="en-US"/>
        </w:rPr>
      </w:pPr>
    </w:p>
    <w:p w14:paraId="551E1B5C" w14:textId="77777777" w:rsidR="00001AD2" w:rsidRDefault="00001AD2">
      <w:pPr>
        <w:spacing w:line="480" w:lineRule="auto"/>
        <w:rPr>
          <w:rFonts w:ascii="Times New Roman" w:hAnsi="Times New Roman" w:cs="Times New Roman"/>
          <w:lang w:val="en-US"/>
        </w:rPr>
      </w:pPr>
    </w:p>
    <w:p w14:paraId="0C29FA6A" w14:textId="2B19BF0D" w:rsidR="00992C00" w:rsidRDefault="00992C00">
      <w:pPr>
        <w:spacing w:line="480" w:lineRule="auto"/>
        <w:rPr>
          <w:rFonts w:ascii="Times New Roman" w:eastAsia="Calibri" w:hAnsi="Times New Roman" w:cs="Times New Roman"/>
          <w:lang w:val="en-US"/>
        </w:rPr>
      </w:pPr>
      <w:r w:rsidRPr="00B04CED">
        <w:rPr>
          <w:rFonts w:ascii="Times New Roman" w:hAnsi="Times New Roman" w:cs="Times New Roman"/>
          <w:noProof/>
          <w:lang w:val="en-US"/>
        </w:rPr>
        <w:drawing>
          <wp:anchor distT="0" distB="0" distL="114300" distR="114300" simplePos="0" relativeHeight="251660288" behindDoc="1" locked="0" layoutInCell="1" allowOverlap="1" wp14:anchorId="4923FDDE" wp14:editId="08657003">
            <wp:simplePos x="0" y="0"/>
            <wp:positionH relativeFrom="column">
              <wp:posOffset>-34636</wp:posOffset>
            </wp:positionH>
            <wp:positionV relativeFrom="paragraph">
              <wp:posOffset>1013807</wp:posOffset>
            </wp:positionV>
            <wp:extent cx="3041015" cy="2057400"/>
            <wp:effectExtent l="12700" t="12700" r="6985" b="12700"/>
            <wp:wrapTight wrapText="bothSides">
              <wp:wrapPolygon edited="0">
                <wp:start x="-90" y="-133"/>
                <wp:lineTo x="-90" y="21600"/>
                <wp:lineTo x="21559" y="21600"/>
                <wp:lineTo x="21559" y="-133"/>
                <wp:lineTo x="-90" y="-133"/>
              </wp:wrapPolygon>
            </wp:wrapTight>
            <wp:docPr id="257392919" name="Picture 1" descr="A comparison of graph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92919" name="Picture 1" descr="A comparison of graphs with text&#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1015" cy="205740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r w:rsidRPr="00B04CED">
        <w:rPr>
          <w:rFonts w:ascii="Times New Roman" w:hAnsi="Times New Roman" w:cs="Times New Roman"/>
          <w:b/>
          <w:bCs/>
          <w:lang w:val="en-US"/>
        </w:rPr>
        <w:t xml:space="preserve">Supplementary Figure 3. </w:t>
      </w:r>
      <w:r w:rsidR="00B04CED" w:rsidRPr="00B04CED">
        <w:rPr>
          <w:rFonts w:ascii="Times New Roman" w:eastAsia="Calibri" w:hAnsi="Times New Roman" w:cs="Times New Roman"/>
          <w:lang w:val="en-US"/>
        </w:rPr>
        <w:t xml:space="preserve">Effects of M100907 on </w:t>
      </w:r>
      <w:r w:rsidR="005F57C2">
        <w:rPr>
          <w:rFonts w:ascii="Times New Roman" w:eastAsia="Calibri" w:hAnsi="Times New Roman" w:cs="Times New Roman"/>
          <w:lang w:val="en-US"/>
        </w:rPr>
        <w:t xml:space="preserve">the conventional </w:t>
      </w:r>
      <w:r w:rsidR="00B04CED" w:rsidRPr="00B04CED">
        <w:rPr>
          <w:rFonts w:ascii="Times New Roman" w:eastAsia="Calibri" w:hAnsi="Times New Roman" w:cs="Times New Roman"/>
          <w:lang w:val="en-US"/>
        </w:rPr>
        <w:t xml:space="preserve">VPVD </w:t>
      </w:r>
      <w:r w:rsidR="006C3886">
        <w:rPr>
          <w:rFonts w:ascii="Times New Roman" w:eastAsia="Calibri" w:hAnsi="Times New Roman" w:cs="Times New Roman"/>
          <w:lang w:val="en-US"/>
        </w:rPr>
        <w:t>measures win-stay and lose-shift probabilities</w:t>
      </w:r>
      <w:r w:rsidR="00B04CED" w:rsidRPr="00B04CED">
        <w:rPr>
          <w:rFonts w:ascii="Times New Roman" w:eastAsia="Calibri" w:hAnsi="Times New Roman" w:cs="Times New Roman"/>
          <w:lang w:val="en-US"/>
        </w:rPr>
        <w:t>. Results are represented as mean ± standard error of the mean (SEM); # p &lt; 0.1.</w:t>
      </w:r>
    </w:p>
    <w:p w14:paraId="1248B7AB" w14:textId="77777777" w:rsidR="00FF490C" w:rsidRDefault="00FF490C">
      <w:pPr>
        <w:spacing w:line="480" w:lineRule="auto"/>
        <w:rPr>
          <w:rFonts w:ascii="Times New Roman" w:eastAsia="Calibri" w:hAnsi="Times New Roman" w:cs="Times New Roman"/>
          <w:lang w:val="en-US"/>
        </w:rPr>
      </w:pPr>
    </w:p>
    <w:p w14:paraId="39F6A7E1" w14:textId="77777777" w:rsidR="00FF490C" w:rsidRDefault="00FF490C">
      <w:pPr>
        <w:spacing w:line="480" w:lineRule="auto"/>
        <w:rPr>
          <w:rFonts w:ascii="Times New Roman" w:eastAsia="Calibri" w:hAnsi="Times New Roman" w:cs="Times New Roman"/>
          <w:lang w:val="en-US"/>
        </w:rPr>
      </w:pPr>
    </w:p>
    <w:p w14:paraId="1668AF65" w14:textId="77777777" w:rsidR="00FF490C" w:rsidRDefault="00FF490C">
      <w:pPr>
        <w:spacing w:line="480" w:lineRule="auto"/>
        <w:rPr>
          <w:rFonts w:ascii="Times New Roman" w:eastAsia="Calibri" w:hAnsi="Times New Roman" w:cs="Times New Roman"/>
          <w:lang w:val="en-US"/>
        </w:rPr>
      </w:pPr>
    </w:p>
    <w:p w14:paraId="077DF220" w14:textId="77777777" w:rsidR="00FF490C" w:rsidRDefault="00FF490C">
      <w:pPr>
        <w:spacing w:line="480" w:lineRule="auto"/>
        <w:rPr>
          <w:rFonts w:ascii="Times New Roman" w:eastAsia="Calibri" w:hAnsi="Times New Roman" w:cs="Times New Roman"/>
          <w:lang w:val="en-US"/>
        </w:rPr>
      </w:pPr>
    </w:p>
    <w:p w14:paraId="75B31207" w14:textId="5E5F94D6" w:rsidR="00FF490C" w:rsidRDefault="00FF490C">
      <w:pPr>
        <w:spacing w:line="480" w:lineRule="auto"/>
        <w:rPr>
          <w:rFonts w:ascii="Times New Roman" w:eastAsia="Calibri" w:hAnsi="Times New Roman" w:cs="Times New Roman"/>
          <w:lang w:val="en-US"/>
        </w:rPr>
      </w:pPr>
    </w:p>
    <w:p w14:paraId="0EB00901" w14:textId="13935639" w:rsidR="00FF490C" w:rsidRDefault="00FF490C">
      <w:pPr>
        <w:spacing w:line="480" w:lineRule="auto"/>
        <w:rPr>
          <w:rFonts w:ascii="Times New Roman" w:eastAsia="Calibri" w:hAnsi="Times New Roman" w:cs="Times New Roman"/>
          <w:lang w:val="en-US"/>
        </w:rPr>
      </w:pPr>
    </w:p>
    <w:p w14:paraId="5C906683" w14:textId="0334D65E" w:rsidR="00FF490C" w:rsidRDefault="00FF490C">
      <w:pPr>
        <w:spacing w:line="480" w:lineRule="auto"/>
        <w:rPr>
          <w:rFonts w:ascii="Times New Roman" w:eastAsia="Calibri" w:hAnsi="Times New Roman" w:cs="Times New Roman"/>
          <w:lang w:val="en-US"/>
        </w:rPr>
      </w:pPr>
    </w:p>
    <w:p w14:paraId="7C997DEF" w14:textId="3EB28989" w:rsidR="00DD1832" w:rsidRDefault="00DD1832" w:rsidP="00DD1832">
      <w:pPr>
        <w:spacing w:line="480" w:lineRule="auto"/>
        <w:rPr>
          <w:rFonts w:ascii="Times New Roman" w:eastAsia="Calibri" w:hAnsi="Times New Roman" w:cs="Times New Roman"/>
          <w:lang w:val="en-US"/>
        </w:rPr>
      </w:pPr>
      <w:r w:rsidRPr="00D00075">
        <w:rPr>
          <w:rFonts w:ascii="Times New Roman" w:hAnsi="Times New Roman" w:cs="Times New Roman"/>
          <w:b/>
          <w:bCs/>
          <w:lang w:val="en-US"/>
        </w:rPr>
        <w:t xml:space="preserve">Supplementary Figure </w:t>
      </w:r>
      <w:r>
        <w:rPr>
          <w:rFonts w:ascii="Times New Roman" w:hAnsi="Times New Roman" w:cs="Times New Roman"/>
          <w:b/>
          <w:bCs/>
          <w:lang w:val="en-US"/>
        </w:rPr>
        <w:t>4</w:t>
      </w:r>
      <w:r w:rsidRPr="00D00075">
        <w:rPr>
          <w:rFonts w:ascii="Times New Roman" w:hAnsi="Times New Roman" w:cs="Times New Roman"/>
          <w:b/>
          <w:bCs/>
          <w:lang w:val="en-US"/>
        </w:rPr>
        <w:t xml:space="preserve">. </w:t>
      </w:r>
      <w:r w:rsidRPr="00D00075">
        <w:rPr>
          <w:rFonts w:ascii="Times New Roman" w:eastAsia="Calibri" w:hAnsi="Times New Roman" w:cs="Times New Roman"/>
          <w:lang w:val="en-US"/>
        </w:rPr>
        <w:t xml:space="preserve">Effects of </w:t>
      </w:r>
      <w:r w:rsidRPr="00B04CED">
        <w:rPr>
          <w:rFonts w:ascii="Times New Roman" w:eastAsia="Calibri" w:hAnsi="Times New Roman" w:cs="Times New Roman"/>
          <w:lang w:val="en-US"/>
        </w:rPr>
        <w:t xml:space="preserve">M100907 </w:t>
      </w:r>
      <w:r w:rsidRPr="00D00075">
        <w:rPr>
          <w:rFonts w:ascii="Times New Roman" w:eastAsia="Calibri" w:hAnsi="Times New Roman" w:cs="Times New Roman"/>
          <w:lang w:val="en-US"/>
        </w:rPr>
        <w:t>on</w:t>
      </w:r>
      <w:r w:rsidR="008A2B32">
        <w:rPr>
          <w:rFonts w:ascii="Times New Roman" w:eastAsia="Calibri" w:hAnsi="Times New Roman" w:cs="Times New Roman"/>
          <w:lang w:val="en-US"/>
        </w:rPr>
        <w:t xml:space="preserve"> </w:t>
      </w:r>
      <w:r w:rsidR="008A2B32">
        <w:rPr>
          <w:rFonts w:ascii="Times New Roman" w:eastAsia="Calibri" w:hAnsi="Times New Roman" w:cs="Times New Roman"/>
          <w:b/>
          <w:bCs/>
          <w:lang w:val="en-US"/>
        </w:rPr>
        <w:t>A)</w:t>
      </w:r>
      <w:r w:rsidRPr="00D00075">
        <w:rPr>
          <w:rFonts w:ascii="Times New Roman" w:eastAsia="Calibri" w:hAnsi="Times New Roman" w:cs="Times New Roman"/>
          <w:lang w:val="en-US"/>
        </w:rPr>
        <w:t xml:space="preserve"> </w:t>
      </w:r>
      <w:r w:rsidR="00383808">
        <w:rPr>
          <w:rFonts w:ascii="Times New Roman" w:eastAsia="Calibri" w:hAnsi="Times New Roman" w:cs="Times New Roman"/>
          <w:lang w:val="en-US"/>
        </w:rPr>
        <w:t xml:space="preserve">response and </w:t>
      </w:r>
      <w:r w:rsidR="008A2B32" w:rsidRPr="008A2B32">
        <w:rPr>
          <w:rFonts w:ascii="Times New Roman" w:eastAsia="Calibri" w:hAnsi="Times New Roman" w:cs="Times New Roman"/>
          <w:b/>
          <w:bCs/>
          <w:lang w:val="en-US"/>
        </w:rPr>
        <w:t>B</w:t>
      </w:r>
      <w:r w:rsidR="008A2B32">
        <w:rPr>
          <w:rFonts w:ascii="Times New Roman" w:eastAsia="Calibri" w:hAnsi="Times New Roman" w:cs="Times New Roman"/>
          <w:b/>
          <w:bCs/>
          <w:lang w:val="en-US"/>
        </w:rPr>
        <w:t xml:space="preserve">) </w:t>
      </w:r>
      <w:r w:rsidR="00383808">
        <w:rPr>
          <w:rFonts w:ascii="Times New Roman" w:eastAsia="Calibri" w:hAnsi="Times New Roman" w:cs="Times New Roman"/>
          <w:lang w:val="en-US"/>
        </w:rPr>
        <w:t>collection latencies</w:t>
      </w:r>
      <w:r w:rsidRPr="00D00075">
        <w:rPr>
          <w:rFonts w:ascii="Times New Roman" w:eastAsia="Calibri" w:hAnsi="Times New Roman" w:cs="Times New Roman"/>
          <w:lang w:val="en-US"/>
        </w:rPr>
        <w:t xml:space="preserve">. </w:t>
      </w:r>
    </w:p>
    <w:p w14:paraId="2504D8F1" w14:textId="31F892CD" w:rsidR="00675888" w:rsidRPr="00675888" w:rsidRDefault="00E52597" w:rsidP="00DD1832">
      <w:pPr>
        <w:spacing w:line="480" w:lineRule="auto"/>
        <w:rPr>
          <w:rFonts w:ascii="Times New Roman" w:hAnsi="Times New Roman" w:cs="Times New Roman"/>
          <w:lang w:val="en-US"/>
        </w:rPr>
      </w:pPr>
      <w:r w:rsidRPr="00052512">
        <w:rPr>
          <w:noProof/>
        </w:rPr>
        <w:drawing>
          <wp:anchor distT="0" distB="0" distL="114300" distR="114300" simplePos="0" relativeHeight="251663360" behindDoc="1" locked="0" layoutInCell="1" allowOverlap="1" wp14:anchorId="49D4422A" wp14:editId="13DCA4C8">
            <wp:simplePos x="0" y="0"/>
            <wp:positionH relativeFrom="column">
              <wp:posOffset>3096260</wp:posOffset>
            </wp:positionH>
            <wp:positionV relativeFrom="paragraph">
              <wp:posOffset>15875</wp:posOffset>
            </wp:positionV>
            <wp:extent cx="1966595" cy="1696085"/>
            <wp:effectExtent l="12700" t="12700" r="14605" b="18415"/>
            <wp:wrapTight wrapText="bothSides">
              <wp:wrapPolygon edited="0">
                <wp:start x="-139" y="-162"/>
                <wp:lineTo x="-139" y="21673"/>
                <wp:lineTo x="21621" y="21673"/>
                <wp:lineTo x="21621" y="-162"/>
                <wp:lineTo x="-139" y="-162"/>
              </wp:wrapPolygon>
            </wp:wrapTight>
            <wp:docPr id="56658686" name="Picture 1" descr="A graph of 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8686" name="Picture 1" descr="A graph of a graph with numbers and lines&#10;&#10;Description automatically generated with medium confidence"/>
                    <pic:cNvPicPr/>
                  </pic:nvPicPr>
                  <pic:blipFill rotWithShape="1">
                    <a:blip r:embed="rId8" cstate="print">
                      <a:extLst>
                        <a:ext uri="{28A0092B-C50C-407E-A947-70E740481C1C}">
                          <a14:useLocalDpi xmlns:a14="http://schemas.microsoft.com/office/drawing/2010/main" val="0"/>
                        </a:ext>
                      </a:extLst>
                    </a:blip>
                    <a:srcRect l="-2440" t="11633" r="1"/>
                    <a:stretch/>
                  </pic:blipFill>
                  <pic:spPr bwMode="auto">
                    <a:xfrm>
                      <a:off x="0" y="0"/>
                      <a:ext cx="1966595" cy="1696085"/>
                    </a:xfrm>
                    <a:prstGeom prst="rect">
                      <a:avLst/>
                    </a:prstGeom>
                    <a:ln w="9525" cap="flat" cmpd="sng" algn="ctr">
                      <a:solidFill>
                        <a:prstClr val="black"/>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2597">
        <w:rPr>
          <w:rFonts w:ascii="Times New Roman" w:eastAsia="Calibri" w:hAnsi="Times New Roman" w:cs="Times New Roman"/>
          <w:b/>
          <w:bCs/>
          <w:noProof/>
          <w:lang w:val="en-US"/>
        </w:rPr>
        <w:drawing>
          <wp:anchor distT="0" distB="0" distL="114300" distR="114300" simplePos="0" relativeHeight="251664384" behindDoc="1" locked="0" layoutInCell="1" allowOverlap="1" wp14:anchorId="18B9EC11" wp14:editId="28249AF7">
            <wp:simplePos x="0" y="0"/>
            <wp:positionH relativeFrom="column">
              <wp:posOffset>364392</wp:posOffset>
            </wp:positionH>
            <wp:positionV relativeFrom="paragraph">
              <wp:posOffset>13970</wp:posOffset>
            </wp:positionV>
            <wp:extent cx="1849120" cy="1696085"/>
            <wp:effectExtent l="12700" t="12700" r="17780" b="18415"/>
            <wp:wrapTight wrapText="bothSides">
              <wp:wrapPolygon edited="0">
                <wp:start x="-148" y="-162"/>
                <wp:lineTo x="-148" y="21673"/>
                <wp:lineTo x="21659" y="21673"/>
                <wp:lineTo x="21659" y="-162"/>
                <wp:lineTo x="-148" y="-162"/>
              </wp:wrapPolygon>
            </wp:wrapTight>
            <wp:docPr id="469918740" name="Picture 1" descr="A graph of a log response lat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18740" name="Picture 1" descr="A graph of a log response latenc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9120" cy="1696085"/>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r w:rsidR="00675888" w:rsidRPr="00675888">
        <w:rPr>
          <w:rFonts w:ascii="Times New Roman" w:eastAsia="Calibri" w:hAnsi="Times New Roman" w:cs="Times New Roman"/>
          <w:b/>
          <w:bCs/>
          <w:lang w:val="en-US"/>
        </w:rPr>
        <w:t xml:space="preserve">A) </w:t>
      </w:r>
      <w:r w:rsidR="00726B49">
        <w:rPr>
          <w:rFonts w:ascii="Times New Roman" w:eastAsia="Calibri" w:hAnsi="Times New Roman" w:cs="Times New Roman"/>
          <w:b/>
          <w:bCs/>
          <w:lang w:val="en-US"/>
        </w:rPr>
        <w:tab/>
      </w:r>
      <w:r w:rsidR="00675888" w:rsidRPr="00675888">
        <w:rPr>
          <w:rFonts w:ascii="Times New Roman" w:eastAsia="Calibri" w:hAnsi="Times New Roman" w:cs="Times New Roman"/>
          <w:b/>
          <w:bCs/>
          <w:lang w:val="en-US"/>
        </w:rPr>
        <w:t>B)</w:t>
      </w:r>
      <w:r w:rsidR="00186324" w:rsidRPr="00186324">
        <w:rPr>
          <w:noProof/>
        </w:rPr>
        <w:t xml:space="preserve"> </w:t>
      </w:r>
    </w:p>
    <w:p w14:paraId="55C5E26F" w14:textId="62F0F808" w:rsidR="00DD1832" w:rsidRDefault="00DD1832">
      <w:pPr>
        <w:spacing w:line="480" w:lineRule="auto"/>
        <w:rPr>
          <w:rFonts w:ascii="Times New Roman" w:eastAsia="Calibri" w:hAnsi="Times New Roman" w:cs="Times New Roman"/>
          <w:lang w:val="en-US"/>
        </w:rPr>
      </w:pPr>
    </w:p>
    <w:p w14:paraId="25E7E1A4" w14:textId="77777777" w:rsidR="00DD1832" w:rsidRDefault="00DD1832">
      <w:pPr>
        <w:spacing w:line="480" w:lineRule="auto"/>
        <w:rPr>
          <w:rFonts w:ascii="Times New Roman" w:eastAsia="Calibri" w:hAnsi="Times New Roman" w:cs="Times New Roman"/>
          <w:lang w:val="en-US"/>
        </w:rPr>
      </w:pPr>
    </w:p>
    <w:p w14:paraId="11D79813" w14:textId="77777777" w:rsidR="00197A89" w:rsidRDefault="00197A89">
      <w:pPr>
        <w:spacing w:line="480" w:lineRule="auto"/>
        <w:rPr>
          <w:rFonts w:ascii="Times New Roman" w:eastAsia="Calibri" w:hAnsi="Times New Roman" w:cs="Times New Roman"/>
          <w:lang w:val="en-US"/>
        </w:rPr>
      </w:pPr>
    </w:p>
    <w:p w14:paraId="54B6E705" w14:textId="77777777" w:rsidR="00197A89" w:rsidRDefault="00197A89">
      <w:pPr>
        <w:spacing w:line="480" w:lineRule="auto"/>
        <w:rPr>
          <w:rFonts w:ascii="Times New Roman" w:eastAsia="Calibri" w:hAnsi="Times New Roman" w:cs="Times New Roman"/>
          <w:lang w:val="en-US"/>
        </w:rPr>
      </w:pPr>
    </w:p>
    <w:p w14:paraId="739B6CAC" w14:textId="77777777" w:rsidR="00197A89" w:rsidRDefault="00197A89">
      <w:pPr>
        <w:spacing w:line="480" w:lineRule="auto"/>
        <w:rPr>
          <w:rFonts w:ascii="Times New Roman" w:eastAsia="Calibri" w:hAnsi="Times New Roman" w:cs="Times New Roman"/>
          <w:lang w:val="en-US"/>
        </w:rPr>
      </w:pPr>
    </w:p>
    <w:p w14:paraId="3537B1ED" w14:textId="6253275B" w:rsidR="00FF490C" w:rsidRPr="00D00075" w:rsidRDefault="00FF490C" w:rsidP="00FF490C">
      <w:pPr>
        <w:spacing w:line="480" w:lineRule="auto"/>
        <w:rPr>
          <w:rFonts w:ascii="Times New Roman" w:hAnsi="Times New Roman" w:cs="Times New Roman"/>
          <w:lang w:val="en-US"/>
        </w:rPr>
      </w:pPr>
      <w:r w:rsidRPr="00D00075">
        <w:rPr>
          <w:rFonts w:ascii="Times New Roman" w:hAnsi="Times New Roman" w:cs="Times New Roman"/>
          <w:b/>
          <w:bCs/>
          <w:lang w:val="en-US"/>
        </w:rPr>
        <w:t xml:space="preserve">Supplementary Figure </w:t>
      </w:r>
      <w:r w:rsidR="00DD1832">
        <w:rPr>
          <w:rFonts w:ascii="Times New Roman" w:hAnsi="Times New Roman" w:cs="Times New Roman"/>
          <w:b/>
          <w:bCs/>
          <w:lang w:val="en-US"/>
        </w:rPr>
        <w:t>5</w:t>
      </w:r>
      <w:r w:rsidRPr="00D00075">
        <w:rPr>
          <w:rFonts w:ascii="Times New Roman" w:hAnsi="Times New Roman" w:cs="Times New Roman"/>
          <w:b/>
          <w:bCs/>
          <w:lang w:val="en-US"/>
        </w:rPr>
        <w:t xml:space="preserve">. </w:t>
      </w:r>
      <w:r w:rsidRPr="00D00075">
        <w:rPr>
          <w:rFonts w:ascii="Times New Roman" w:eastAsia="Calibri" w:hAnsi="Times New Roman" w:cs="Times New Roman"/>
          <w:lang w:val="en-US"/>
        </w:rPr>
        <w:t xml:space="preserve">Effects of </w:t>
      </w:r>
      <w:r w:rsidR="00D00075" w:rsidRPr="00D00075">
        <w:rPr>
          <w:rFonts w:ascii="Times New Roman" w:eastAsia="Calibri" w:hAnsi="Times New Roman" w:cs="Times New Roman"/>
          <w:lang w:val="en-US"/>
        </w:rPr>
        <w:t xml:space="preserve">SB-242048 </w:t>
      </w:r>
      <w:r w:rsidRPr="00D00075">
        <w:rPr>
          <w:rFonts w:ascii="Times New Roman" w:eastAsia="Calibri" w:hAnsi="Times New Roman" w:cs="Times New Roman"/>
          <w:lang w:val="en-US"/>
        </w:rPr>
        <w:t>on the conventional VPVD measures win-stay and lose-shift probabilities. Results are represented as mean ± standard error of the mean (SEM); # p &lt; 0.1.</w:t>
      </w:r>
    </w:p>
    <w:p w14:paraId="39976F0E" w14:textId="77777777" w:rsidR="002A53CE" w:rsidRDefault="002A53CE">
      <w:pPr>
        <w:spacing w:line="480" w:lineRule="auto"/>
        <w:rPr>
          <w:rFonts w:ascii="Times New Roman" w:hAnsi="Times New Roman" w:cs="Times New Roman"/>
          <w:lang w:val="en-US"/>
        </w:rPr>
      </w:pPr>
    </w:p>
    <w:p w14:paraId="7A444AB8" w14:textId="77777777" w:rsidR="002A53CE" w:rsidRDefault="002A53CE">
      <w:pPr>
        <w:spacing w:line="480" w:lineRule="auto"/>
        <w:rPr>
          <w:rFonts w:ascii="Times New Roman" w:hAnsi="Times New Roman" w:cs="Times New Roman"/>
          <w:lang w:val="en-US"/>
        </w:rPr>
      </w:pPr>
    </w:p>
    <w:p w14:paraId="1E03B47A" w14:textId="77777777" w:rsidR="002A53CE" w:rsidRDefault="002A53CE">
      <w:pPr>
        <w:spacing w:line="480" w:lineRule="auto"/>
        <w:rPr>
          <w:rFonts w:ascii="Times New Roman" w:hAnsi="Times New Roman" w:cs="Times New Roman"/>
          <w:lang w:val="en-US"/>
        </w:rPr>
      </w:pPr>
    </w:p>
    <w:p w14:paraId="293E327B" w14:textId="049BD9B5" w:rsidR="002A53CE" w:rsidRDefault="002A53CE">
      <w:pPr>
        <w:spacing w:line="480" w:lineRule="auto"/>
        <w:rPr>
          <w:rFonts w:ascii="Times New Roman" w:hAnsi="Times New Roman" w:cs="Times New Roman"/>
          <w:lang w:val="en-US"/>
        </w:rPr>
      </w:pPr>
      <w:r w:rsidRPr="00D00075">
        <w:rPr>
          <w:rFonts w:ascii="Times New Roman" w:hAnsi="Times New Roman" w:cs="Times New Roman"/>
          <w:noProof/>
          <w:lang w:val="en-US"/>
        </w:rPr>
        <w:lastRenderedPageBreak/>
        <w:drawing>
          <wp:anchor distT="0" distB="0" distL="114300" distR="114300" simplePos="0" relativeHeight="251661312" behindDoc="1" locked="0" layoutInCell="1" allowOverlap="1" wp14:anchorId="6AF974AB" wp14:editId="48F40A70">
            <wp:simplePos x="0" y="0"/>
            <wp:positionH relativeFrom="column">
              <wp:posOffset>0</wp:posOffset>
            </wp:positionH>
            <wp:positionV relativeFrom="paragraph">
              <wp:posOffset>13139</wp:posOffset>
            </wp:positionV>
            <wp:extent cx="3004820" cy="2308225"/>
            <wp:effectExtent l="12700" t="12700" r="17780" b="15875"/>
            <wp:wrapTight wrapText="bothSides">
              <wp:wrapPolygon edited="0">
                <wp:start x="-91" y="-119"/>
                <wp:lineTo x="-91" y="21630"/>
                <wp:lineTo x="21637" y="21630"/>
                <wp:lineTo x="21637" y="-119"/>
                <wp:lineTo x="-91" y="-119"/>
              </wp:wrapPolygon>
            </wp:wrapTight>
            <wp:docPr id="1612624901" name="Picture 1" descr="A comparison of graph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624901" name="Picture 1" descr="A comparison of graphs with tex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4820" cy="2308225"/>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p>
    <w:p w14:paraId="0AF0068B" w14:textId="4A1AE3A4" w:rsidR="00FF490C" w:rsidRDefault="00FF490C">
      <w:pPr>
        <w:spacing w:line="480" w:lineRule="auto"/>
        <w:rPr>
          <w:rFonts w:ascii="Times New Roman" w:hAnsi="Times New Roman" w:cs="Times New Roman"/>
          <w:lang w:val="en-US"/>
        </w:rPr>
      </w:pPr>
    </w:p>
    <w:p w14:paraId="755DBD85" w14:textId="77777777" w:rsidR="002A53CE" w:rsidRDefault="002A53CE">
      <w:pPr>
        <w:spacing w:line="480" w:lineRule="auto"/>
        <w:rPr>
          <w:rFonts w:ascii="Times New Roman" w:hAnsi="Times New Roman" w:cs="Times New Roman"/>
          <w:lang w:val="en-US"/>
        </w:rPr>
      </w:pPr>
    </w:p>
    <w:p w14:paraId="4441A762" w14:textId="77777777" w:rsidR="002A53CE" w:rsidRDefault="002A53CE">
      <w:pPr>
        <w:spacing w:line="480" w:lineRule="auto"/>
        <w:rPr>
          <w:rFonts w:ascii="Times New Roman" w:hAnsi="Times New Roman" w:cs="Times New Roman"/>
          <w:lang w:val="en-US"/>
        </w:rPr>
      </w:pPr>
    </w:p>
    <w:p w14:paraId="32546FD9" w14:textId="77777777" w:rsidR="002A53CE" w:rsidRDefault="002A53CE">
      <w:pPr>
        <w:spacing w:line="480" w:lineRule="auto"/>
        <w:rPr>
          <w:rFonts w:ascii="Times New Roman" w:hAnsi="Times New Roman" w:cs="Times New Roman"/>
          <w:lang w:val="en-US"/>
        </w:rPr>
      </w:pPr>
    </w:p>
    <w:p w14:paraId="5D61985E" w14:textId="77777777" w:rsidR="002A53CE" w:rsidRDefault="002A53CE">
      <w:pPr>
        <w:spacing w:line="480" w:lineRule="auto"/>
        <w:rPr>
          <w:rFonts w:ascii="Times New Roman" w:hAnsi="Times New Roman" w:cs="Times New Roman"/>
          <w:lang w:val="en-US"/>
        </w:rPr>
      </w:pPr>
    </w:p>
    <w:p w14:paraId="3D5BC368" w14:textId="77777777" w:rsidR="002A53CE" w:rsidRDefault="002A53CE">
      <w:pPr>
        <w:spacing w:line="480" w:lineRule="auto"/>
        <w:rPr>
          <w:rFonts w:ascii="Times New Roman" w:hAnsi="Times New Roman" w:cs="Times New Roman"/>
          <w:lang w:val="en-US"/>
        </w:rPr>
      </w:pPr>
    </w:p>
    <w:p w14:paraId="14A2E2B2" w14:textId="74080CEE" w:rsidR="002A53CE" w:rsidRDefault="002A53CE">
      <w:pPr>
        <w:spacing w:line="480" w:lineRule="auto"/>
        <w:rPr>
          <w:rFonts w:ascii="Times New Roman" w:hAnsi="Times New Roman" w:cs="Times New Roman"/>
          <w:lang w:val="en-US"/>
        </w:rPr>
      </w:pPr>
    </w:p>
    <w:p w14:paraId="0BD8A9F8" w14:textId="26AB55CA" w:rsidR="002A53CE" w:rsidRDefault="002A53CE" w:rsidP="002A53CE">
      <w:pPr>
        <w:spacing w:line="480" w:lineRule="auto"/>
        <w:rPr>
          <w:rFonts w:ascii="Times New Roman" w:eastAsia="Calibri" w:hAnsi="Times New Roman" w:cs="Times New Roman"/>
          <w:lang w:val="en-US"/>
        </w:rPr>
      </w:pPr>
      <w:r w:rsidRPr="00D00075">
        <w:rPr>
          <w:rFonts w:ascii="Times New Roman" w:hAnsi="Times New Roman" w:cs="Times New Roman"/>
          <w:b/>
          <w:bCs/>
          <w:lang w:val="en-US"/>
        </w:rPr>
        <w:t xml:space="preserve">Supplementary Figure </w:t>
      </w:r>
      <w:r w:rsidR="00A46657">
        <w:rPr>
          <w:rFonts w:ascii="Times New Roman" w:hAnsi="Times New Roman" w:cs="Times New Roman"/>
          <w:b/>
          <w:bCs/>
          <w:lang w:val="en-US"/>
        </w:rPr>
        <w:t>6</w:t>
      </w:r>
      <w:r w:rsidRPr="00D00075">
        <w:rPr>
          <w:rFonts w:ascii="Times New Roman" w:hAnsi="Times New Roman" w:cs="Times New Roman"/>
          <w:b/>
          <w:bCs/>
          <w:lang w:val="en-US"/>
        </w:rPr>
        <w:t xml:space="preserve">. </w:t>
      </w:r>
      <w:r w:rsidRPr="00D00075">
        <w:rPr>
          <w:rFonts w:ascii="Times New Roman" w:eastAsia="Calibri" w:hAnsi="Times New Roman" w:cs="Times New Roman"/>
          <w:lang w:val="en-US"/>
        </w:rPr>
        <w:t>Effects of SB-242048 on</w:t>
      </w:r>
      <w:r>
        <w:rPr>
          <w:rFonts w:ascii="Times New Roman" w:eastAsia="Calibri" w:hAnsi="Times New Roman" w:cs="Times New Roman"/>
          <w:lang w:val="en-US"/>
        </w:rPr>
        <w:t xml:space="preserve"> </w:t>
      </w:r>
      <w:r>
        <w:rPr>
          <w:rFonts w:ascii="Times New Roman" w:eastAsia="Calibri" w:hAnsi="Times New Roman" w:cs="Times New Roman"/>
          <w:b/>
          <w:bCs/>
          <w:lang w:val="en-US"/>
        </w:rPr>
        <w:t>A)</w:t>
      </w:r>
      <w:r w:rsidRPr="00D00075">
        <w:rPr>
          <w:rFonts w:ascii="Times New Roman" w:eastAsia="Calibri" w:hAnsi="Times New Roman" w:cs="Times New Roman"/>
          <w:lang w:val="en-US"/>
        </w:rPr>
        <w:t xml:space="preserve"> </w:t>
      </w:r>
      <w:r>
        <w:rPr>
          <w:rFonts w:ascii="Times New Roman" w:eastAsia="Calibri" w:hAnsi="Times New Roman" w:cs="Times New Roman"/>
          <w:lang w:val="en-US"/>
        </w:rPr>
        <w:t xml:space="preserve">response and </w:t>
      </w:r>
      <w:r w:rsidRPr="008A2B32">
        <w:rPr>
          <w:rFonts w:ascii="Times New Roman" w:eastAsia="Calibri" w:hAnsi="Times New Roman" w:cs="Times New Roman"/>
          <w:b/>
          <w:bCs/>
          <w:lang w:val="en-US"/>
        </w:rPr>
        <w:t>B</w:t>
      </w:r>
      <w:r>
        <w:rPr>
          <w:rFonts w:ascii="Times New Roman" w:eastAsia="Calibri" w:hAnsi="Times New Roman" w:cs="Times New Roman"/>
          <w:b/>
          <w:bCs/>
          <w:lang w:val="en-US"/>
        </w:rPr>
        <w:t xml:space="preserve">) </w:t>
      </w:r>
      <w:r>
        <w:rPr>
          <w:rFonts w:ascii="Times New Roman" w:eastAsia="Calibri" w:hAnsi="Times New Roman" w:cs="Times New Roman"/>
          <w:lang w:val="en-US"/>
        </w:rPr>
        <w:t>collection latencies</w:t>
      </w:r>
      <w:r w:rsidRPr="00D00075">
        <w:rPr>
          <w:rFonts w:ascii="Times New Roman" w:eastAsia="Calibri" w:hAnsi="Times New Roman" w:cs="Times New Roman"/>
          <w:lang w:val="en-US"/>
        </w:rPr>
        <w:t xml:space="preserve">. </w:t>
      </w:r>
    </w:p>
    <w:p w14:paraId="672EDCC7" w14:textId="1606DD02" w:rsidR="002A53CE" w:rsidRPr="002A53CE" w:rsidRDefault="007738AE">
      <w:pPr>
        <w:spacing w:line="480" w:lineRule="auto"/>
        <w:rPr>
          <w:rFonts w:ascii="Times New Roman" w:hAnsi="Times New Roman" w:cs="Times New Roman"/>
          <w:b/>
          <w:bCs/>
          <w:lang w:val="en-US"/>
        </w:rPr>
      </w:pPr>
      <w:r w:rsidRPr="00A9731A">
        <w:rPr>
          <w:rFonts w:ascii="Times New Roman" w:hAnsi="Times New Roman" w:cs="Times New Roman"/>
          <w:b/>
          <w:bCs/>
          <w:noProof/>
          <w:lang w:val="en-US"/>
        </w:rPr>
        <w:drawing>
          <wp:anchor distT="0" distB="0" distL="114300" distR="114300" simplePos="0" relativeHeight="251666432" behindDoc="1" locked="0" layoutInCell="1" allowOverlap="1" wp14:anchorId="152BFDCB" wp14:editId="2059592A">
            <wp:simplePos x="0" y="0"/>
            <wp:positionH relativeFrom="column">
              <wp:posOffset>3064510</wp:posOffset>
            </wp:positionH>
            <wp:positionV relativeFrom="paragraph">
              <wp:posOffset>2553</wp:posOffset>
            </wp:positionV>
            <wp:extent cx="2047875" cy="1906905"/>
            <wp:effectExtent l="12700" t="12700" r="9525" b="10795"/>
            <wp:wrapTight wrapText="bothSides">
              <wp:wrapPolygon edited="0">
                <wp:start x="-134" y="-144"/>
                <wp:lineTo x="-134" y="21578"/>
                <wp:lineTo x="21567" y="21578"/>
                <wp:lineTo x="21567" y="-144"/>
                <wp:lineTo x="-134" y="-144"/>
              </wp:wrapPolygon>
            </wp:wrapTight>
            <wp:docPr id="178530750" name="Picture 1" descr="A graph of a log coll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0750" name="Picture 1" descr="A graph of a log collecti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7875" cy="1906905"/>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r w:rsidR="00B31DEF" w:rsidRPr="00B31DEF">
        <w:rPr>
          <w:rFonts w:ascii="Times New Roman" w:hAnsi="Times New Roman" w:cs="Times New Roman"/>
          <w:b/>
          <w:bCs/>
          <w:noProof/>
          <w:lang w:val="en-US"/>
        </w:rPr>
        <w:drawing>
          <wp:anchor distT="0" distB="0" distL="114300" distR="114300" simplePos="0" relativeHeight="251665408" behindDoc="1" locked="0" layoutInCell="1" allowOverlap="1" wp14:anchorId="626B4B58" wp14:editId="789F6077">
            <wp:simplePos x="0" y="0"/>
            <wp:positionH relativeFrom="column">
              <wp:posOffset>379730</wp:posOffset>
            </wp:positionH>
            <wp:positionV relativeFrom="paragraph">
              <wp:posOffset>-2540</wp:posOffset>
            </wp:positionV>
            <wp:extent cx="1990090" cy="1901190"/>
            <wp:effectExtent l="12700" t="12700" r="16510" b="16510"/>
            <wp:wrapTight wrapText="bothSides">
              <wp:wrapPolygon edited="0">
                <wp:start x="-138" y="-144"/>
                <wp:lineTo x="-138" y="21643"/>
                <wp:lineTo x="21641" y="21643"/>
                <wp:lineTo x="21641" y="-144"/>
                <wp:lineTo x="-138" y="-144"/>
              </wp:wrapPolygon>
            </wp:wrapTight>
            <wp:docPr id="1796812156" name="Picture 1" descr="A graph of a log response lat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12156" name="Picture 1" descr="A graph of a log response latency&#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90090" cy="1901190"/>
                    </a:xfrm>
                    <a:prstGeom prst="rect">
                      <a:avLst/>
                    </a:prstGeom>
                    <a:ln>
                      <a:solidFill>
                        <a:prstClr val="black"/>
                      </a:solidFill>
                    </a:ln>
                  </pic:spPr>
                </pic:pic>
              </a:graphicData>
            </a:graphic>
            <wp14:sizeRelH relativeFrom="page">
              <wp14:pctWidth>0</wp14:pctWidth>
            </wp14:sizeRelH>
            <wp14:sizeRelV relativeFrom="page">
              <wp14:pctHeight>0</wp14:pctHeight>
            </wp14:sizeRelV>
          </wp:anchor>
        </w:drawing>
      </w:r>
      <w:r w:rsidR="002A53CE">
        <w:rPr>
          <w:rFonts w:ascii="Times New Roman" w:hAnsi="Times New Roman" w:cs="Times New Roman"/>
          <w:b/>
          <w:bCs/>
          <w:lang w:val="en-US"/>
        </w:rPr>
        <w:t xml:space="preserve">A) </w:t>
      </w:r>
      <w:r w:rsidR="002A53CE">
        <w:rPr>
          <w:rFonts w:ascii="Times New Roman" w:hAnsi="Times New Roman" w:cs="Times New Roman"/>
          <w:b/>
          <w:bCs/>
          <w:lang w:val="en-US"/>
        </w:rPr>
        <w:tab/>
        <w:t>B)</w:t>
      </w:r>
      <w:r w:rsidR="00A9731A" w:rsidRPr="00A9731A">
        <w:rPr>
          <w:noProof/>
        </w:rPr>
        <w:t xml:space="preserve"> </w:t>
      </w:r>
    </w:p>
    <w:sectPr w:rsidR="002A53CE" w:rsidRPr="002A53CE">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roman"/>
    <w:pitch w:val="default"/>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11"/>
    <w:rsid w:val="00001AD2"/>
    <w:rsid w:val="00052512"/>
    <w:rsid w:val="000D0BB6"/>
    <w:rsid w:val="00141BBC"/>
    <w:rsid w:val="00176788"/>
    <w:rsid w:val="00186324"/>
    <w:rsid w:val="0018715C"/>
    <w:rsid w:val="00197A89"/>
    <w:rsid w:val="001B60C0"/>
    <w:rsid w:val="00256E07"/>
    <w:rsid w:val="00291EFB"/>
    <w:rsid w:val="002A53CE"/>
    <w:rsid w:val="00383808"/>
    <w:rsid w:val="00393544"/>
    <w:rsid w:val="003A5E8A"/>
    <w:rsid w:val="00450D62"/>
    <w:rsid w:val="004A5831"/>
    <w:rsid w:val="005167BF"/>
    <w:rsid w:val="00553A69"/>
    <w:rsid w:val="00572BB2"/>
    <w:rsid w:val="005A68D7"/>
    <w:rsid w:val="005C44E1"/>
    <w:rsid w:val="005D2C2B"/>
    <w:rsid w:val="005F57C2"/>
    <w:rsid w:val="00621277"/>
    <w:rsid w:val="00623501"/>
    <w:rsid w:val="00675888"/>
    <w:rsid w:val="006C1AB8"/>
    <w:rsid w:val="006C3886"/>
    <w:rsid w:val="006F74E8"/>
    <w:rsid w:val="00702A9D"/>
    <w:rsid w:val="00726B49"/>
    <w:rsid w:val="00761707"/>
    <w:rsid w:val="007738AE"/>
    <w:rsid w:val="00790D11"/>
    <w:rsid w:val="007C3254"/>
    <w:rsid w:val="00803D78"/>
    <w:rsid w:val="008070E1"/>
    <w:rsid w:val="0084580C"/>
    <w:rsid w:val="00870F88"/>
    <w:rsid w:val="008A2B32"/>
    <w:rsid w:val="00943628"/>
    <w:rsid w:val="00992C00"/>
    <w:rsid w:val="009A600A"/>
    <w:rsid w:val="009A6D36"/>
    <w:rsid w:val="009B4F28"/>
    <w:rsid w:val="009C3C66"/>
    <w:rsid w:val="009C698B"/>
    <w:rsid w:val="009F0BF8"/>
    <w:rsid w:val="00A023AB"/>
    <w:rsid w:val="00A46657"/>
    <w:rsid w:val="00A52C10"/>
    <w:rsid w:val="00A73525"/>
    <w:rsid w:val="00A9731A"/>
    <w:rsid w:val="00AE0882"/>
    <w:rsid w:val="00AF1FD0"/>
    <w:rsid w:val="00B04CED"/>
    <w:rsid w:val="00B274B4"/>
    <w:rsid w:val="00B31DEF"/>
    <w:rsid w:val="00B80EC2"/>
    <w:rsid w:val="00B945EE"/>
    <w:rsid w:val="00C0559C"/>
    <w:rsid w:val="00C13755"/>
    <w:rsid w:val="00C24282"/>
    <w:rsid w:val="00C46078"/>
    <w:rsid w:val="00CA4B9F"/>
    <w:rsid w:val="00CC6139"/>
    <w:rsid w:val="00D00075"/>
    <w:rsid w:val="00D24985"/>
    <w:rsid w:val="00D47FC0"/>
    <w:rsid w:val="00D90609"/>
    <w:rsid w:val="00DD1832"/>
    <w:rsid w:val="00DE023C"/>
    <w:rsid w:val="00E24BD6"/>
    <w:rsid w:val="00E26EF6"/>
    <w:rsid w:val="00E41F19"/>
    <w:rsid w:val="00E42054"/>
    <w:rsid w:val="00E52597"/>
    <w:rsid w:val="00E53B1D"/>
    <w:rsid w:val="00E66462"/>
    <w:rsid w:val="00E9505B"/>
    <w:rsid w:val="00EA0AE8"/>
    <w:rsid w:val="00EE3D07"/>
    <w:rsid w:val="00F13611"/>
    <w:rsid w:val="00F9581B"/>
    <w:rsid w:val="00FF490C"/>
  </w:rsids>
  <m:mathPr>
    <m:mathFont m:val="Cambria Math"/>
    <m:brkBin m:val="before"/>
    <m:brkBinSub m:val="--"/>
    <m:smallFrac m:val="0"/>
    <m:dispDef/>
    <m:lMargin m:val="0"/>
    <m:rMargin m:val="0"/>
    <m:defJc m:val="centerGroup"/>
    <m:wrapIndent m:val="1440"/>
    <m:intLim m:val="subSup"/>
    <m:naryLim m:val="undOvr"/>
  </m:mathPr>
  <w:themeFontLang w:val="en-GB"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7B74"/>
  <w15:docId w15:val="{A039FA1C-6BD3-1141-B69F-BBE4636EA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qFormat/>
    <w:rsid w:val="004C6E07"/>
    <w:rPr>
      <w:sz w:val="18"/>
      <w:szCs w:val="18"/>
    </w:rPr>
  </w:style>
  <w:style w:type="character" w:customStyle="1" w:styleId="HeaderChar">
    <w:name w:val="Header Char"/>
    <w:basedOn w:val="DefaultParagraphFont"/>
    <w:link w:val="Header"/>
    <w:uiPriority w:val="99"/>
    <w:qFormat/>
    <w:rsid w:val="00D57265"/>
  </w:style>
  <w:style w:type="character" w:customStyle="1" w:styleId="FooterChar">
    <w:name w:val="Footer Char"/>
    <w:basedOn w:val="DefaultParagraphFont"/>
    <w:link w:val="Footer"/>
    <w:uiPriority w:val="99"/>
    <w:qFormat/>
    <w:rsid w:val="00D57265"/>
  </w:style>
  <w:style w:type="character" w:customStyle="1" w:styleId="LineNumbering">
    <w:name w:val="Line Numbering"/>
  </w:style>
  <w:style w:type="character" w:customStyle="1" w:styleId="CommentTextChar">
    <w:name w:val="Comment Text Char"/>
    <w:basedOn w:val="DefaultParagraphFont"/>
    <w:link w:val="CommentText"/>
    <w:uiPriority w:val="99"/>
    <w:semiHidden/>
    <w:qFormat/>
    <w:rPr>
      <w:sz w:val="20"/>
      <w:szCs w:val="20"/>
    </w:rPr>
  </w:style>
  <w:style w:type="character" w:styleId="PlaceholderText">
    <w:name w:val="Placeholder Text"/>
    <w:basedOn w:val="DefaultParagraphFont"/>
    <w:uiPriority w:val="99"/>
    <w:semiHidden/>
    <w:qFormat/>
    <w:rsid w:val="000D198E"/>
    <w:rPr>
      <w:color w:val="80808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57265"/>
    <w:pPr>
      <w:tabs>
        <w:tab w:val="center" w:pos="4513"/>
        <w:tab w:val="right" w:pos="9026"/>
      </w:tabs>
    </w:pPr>
  </w:style>
  <w:style w:type="paragraph" w:styleId="Footer">
    <w:name w:val="footer"/>
    <w:basedOn w:val="Normal"/>
    <w:link w:val="FooterChar"/>
    <w:uiPriority w:val="99"/>
    <w:unhideWhenUsed/>
    <w:rsid w:val="00D57265"/>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styleId="Revision">
    <w:name w:val="Revision"/>
    <w:uiPriority w:val="99"/>
    <w:semiHidden/>
    <w:qFormat/>
    <w:rsid w:val="009463F9"/>
    <w:pPr>
      <w:suppressAutoHyphens w:val="0"/>
    </w:pPr>
  </w:style>
  <w:style w:type="table" w:styleId="TableGrid">
    <w:name w:val="Table Grid"/>
    <w:basedOn w:val="TableNormal"/>
    <w:uiPriority w:val="39"/>
    <w:rsid w:val="009E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EE72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EE72D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DE023C"/>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758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98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E74B-FEDF-43D5-A4F7-BE9CA7EFD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11</Pages>
  <Words>9930</Words>
  <Characters>56602</Characters>
  <Application>Microsoft Office Word</Application>
  <DocSecurity>0</DocSecurity>
  <Lines>471</Lines>
  <Paragraphs>132</Paragraphs>
  <ScaleCrop>false</ScaleCrop>
  <Company/>
  <LinksUpToDate>false</LinksUpToDate>
  <CharactersWithSpaces>66400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Zuhlsdorff</dc:creator>
  <dc:description/>
  <cp:lastModifiedBy>Katharina Zuhlsdorff</cp:lastModifiedBy>
  <cp:revision>206</cp:revision>
  <dcterms:created xsi:type="dcterms:W3CDTF">2023-05-17T15:20:00Z</dcterms:created>
  <dcterms:modified xsi:type="dcterms:W3CDTF">2023-12-29T15:03:00Z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Unique User Id_1">
    <vt:lpwstr>255dba6c-50e8-337d-8a1e-2570a9d8c088</vt:lpwstr>
  </property>
</Properties>
</file>