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ACB71" w14:textId="58215AF4" w:rsidR="00E56637" w:rsidRDefault="00E56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r w:rsidR="00652000">
        <w:rPr>
          <w:rFonts w:ascii="Times New Roman" w:hAnsi="Times New Roman" w:cs="Times New Roman"/>
          <w:sz w:val="24"/>
          <w:szCs w:val="24"/>
        </w:rPr>
        <w:t>1</w:t>
      </w:r>
    </w:p>
    <w:p w14:paraId="4BD790AE" w14:textId="44E91BC8" w:rsidR="00652000" w:rsidRDefault="00652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Exclusions of prominent studies</w:t>
      </w:r>
    </w:p>
    <w:p w14:paraId="166D4311" w14:textId="120E8715" w:rsidR="00E56637" w:rsidRDefault="00E56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Exclusion of Griffiths et al. (2016)</w:t>
      </w:r>
    </w:p>
    <w:p w14:paraId="13CD94AE" w14:textId="0CD8B7D5" w:rsidR="00652000" w:rsidRDefault="00CE3AD7" w:rsidP="00F35D1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Griffiths et al. (2016) was excluded due to </w:t>
      </w:r>
      <w:r w:rsidR="00E56637">
        <w:rPr>
          <w:rFonts w:ascii="Times New Roman" w:hAnsi="Times New Roman" w:cs="Times New Roman"/>
          <w:sz w:val="24"/>
          <w:szCs w:val="24"/>
        </w:rPr>
        <w:t>dosage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9B5">
        <w:rPr>
          <w:rFonts w:ascii="Times New Roman" w:hAnsi="Times New Roman" w:cs="Times New Roman"/>
          <w:sz w:val="24"/>
          <w:szCs w:val="24"/>
        </w:rPr>
        <w:t>modifications in both conditions, but particularly the control group</w:t>
      </w:r>
      <w:r>
        <w:rPr>
          <w:rFonts w:ascii="Times New Roman" w:hAnsi="Times New Roman" w:cs="Times New Roman"/>
          <w:sz w:val="24"/>
          <w:szCs w:val="24"/>
        </w:rPr>
        <w:t xml:space="preserve">. The original dosage for the experimental group was 30 mg/70kg but was reduced </w:t>
      </w:r>
      <w:r w:rsidR="00E5663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three participants to 22 mg/70 kg. The reason for </w:t>
      </w:r>
      <w:r w:rsidR="00BE79B5">
        <w:rPr>
          <w:rFonts w:ascii="Times New Roman" w:hAnsi="Times New Roman" w:cs="Times New Roman"/>
          <w:sz w:val="24"/>
          <w:szCs w:val="24"/>
        </w:rPr>
        <w:t>the reduction</w:t>
      </w:r>
      <w:r>
        <w:rPr>
          <w:rFonts w:ascii="Times New Roman" w:hAnsi="Times New Roman" w:cs="Times New Roman"/>
          <w:sz w:val="24"/>
          <w:szCs w:val="24"/>
        </w:rPr>
        <w:t xml:space="preserve"> was due to adverse events causing two participants of the first three</w:t>
      </w:r>
      <w:r w:rsidR="00BE79B5">
        <w:rPr>
          <w:rFonts w:ascii="Times New Roman" w:hAnsi="Times New Roman" w:cs="Times New Roman"/>
          <w:sz w:val="24"/>
          <w:szCs w:val="24"/>
        </w:rPr>
        <w:t xml:space="preserve"> examined</w:t>
      </w:r>
      <w:r>
        <w:rPr>
          <w:rFonts w:ascii="Times New Roman" w:hAnsi="Times New Roman" w:cs="Times New Roman"/>
          <w:sz w:val="24"/>
          <w:szCs w:val="24"/>
        </w:rPr>
        <w:t xml:space="preserve"> to drop out. The original dose for the </w:t>
      </w:r>
      <w:r w:rsidR="00E56637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group was 3 mg/70 kg, this was dropped to 1 mg/70 kg after 12 participants</w:t>
      </w:r>
      <w:r w:rsidR="00E56637">
        <w:rPr>
          <w:rFonts w:ascii="Times New Roman" w:hAnsi="Times New Roman" w:cs="Times New Roman"/>
          <w:sz w:val="24"/>
          <w:szCs w:val="24"/>
        </w:rPr>
        <w:t xml:space="preserve"> experienced </w:t>
      </w:r>
      <w:r w:rsidR="00BE79B5">
        <w:rPr>
          <w:rFonts w:ascii="Times New Roman" w:hAnsi="Times New Roman" w:cs="Times New Roman"/>
          <w:sz w:val="24"/>
          <w:szCs w:val="24"/>
        </w:rPr>
        <w:t xml:space="preserve">potentially experimental level </w:t>
      </w:r>
      <w:r w:rsidR="00E56637">
        <w:rPr>
          <w:rFonts w:ascii="Times New Roman" w:hAnsi="Times New Roman" w:cs="Times New Roman"/>
          <w:sz w:val="24"/>
          <w:szCs w:val="24"/>
        </w:rPr>
        <w:t>psychedelic effects</w:t>
      </w:r>
      <w:r>
        <w:rPr>
          <w:rFonts w:ascii="Times New Roman" w:hAnsi="Times New Roman" w:cs="Times New Roman"/>
          <w:sz w:val="24"/>
          <w:szCs w:val="24"/>
        </w:rPr>
        <w:t xml:space="preserve">. The intention of the </w:t>
      </w:r>
      <w:r w:rsidR="00E56637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group in Griffiths et al., 2016 was to </w:t>
      </w:r>
      <w:r w:rsidR="00E56637">
        <w:rPr>
          <w:rFonts w:ascii="Times New Roman" w:hAnsi="Times New Roman" w:cs="Times New Roman"/>
          <w:sz w:val="24"/>
          <w:szCs w:val="24"/>
        </w:rPr>
        <w:t>have a</w:t>
      </w:r>
      <w:r>
        <w:rPr>
          <w:rFonts w:ascii="Times New Roman" w:hAnsi="Times New Roman" w:cs="Times New Roman"/>
          <w:sz w:val="24"/>
          <w:szCs w:val="24"/>
        </w:rPr>
        <w:t xml:space="preserve"> small dose of psilocybin that would have no impact on the participant, effectively working to retain </w:t>
      </w:r>
      <w:r w:rsidR="00BE79B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blind throughout the study. This practice has been done in other RCTs of psilocybin’s effect on depression (see Carhart-Harris et al., 2021; Goodwin et al., 2022). However, these contemporary studies used 1 mg at a fixed bodyweight, with the assumption that it is a</w:t>
      </w:r>
      <w:r w:rsidR="00E5663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637">
        <w:rPr>
          <w:rFonts w:ascii="Times New Roman" w:hAnsi="Times New Roman" w:cs="Times New Roman"/>
          <w:sz w:val="24"/>
          <w:szCs w:val="24"/>
        </w:rPr>
        <w:t>inert</w:t>
      </w:r>
      <w:r>
        <w:rPr>
          <w:rFonts w:ascii="Times New Roman" w:hAnsi="Times New Roman" w:cs="Times New Roman"/>
          <w:sz w:val="24"/>
          <w:szCs w:val="24"/>
        </w:rPr>
        <w:t xml:space="preserve"> dose. Because of the change in doses in Griffiths et al. (2016), almost half of their sample (46%) received a dose that was close to an </w:t>
      </w:r>
      <w:r w:rsidR="00E56637">
        <w:rPr>
          <w:rFonts w:ascii="Times New Roman" w:hAnsi="Times New Roman" w:cs="Times New Roman"/>
          <w:sz w:val="24"/>
          <w:szCs w:val="24"/>
        </w:rPr>
        <w:t>experimental level</w:t>
      </w:r>
      <w:r>
        <w:rPr>
          <w:rFonts w:ascii="Times New Roman" w:hAnsi="Times New Roman" w:cs="Times New Roman"/>
          <w:sz w:val="24"/>
          <w:szCs w:val="24"/>
        </w:rPr>
        <w:t xml:space="preserve"> dose</w:t>
      </w:r>
      <w:r w:rsidR="00E56637">
        <w:rPr>
          <w:rFonts w:ascii="Times New Roman" w:hAnsi="Times New Roman" w:cs="Times New Roman"/>
          <w:sz w:val="24"/>
          <w:szCs w:val="24"/>
        </w:rPr>
        <w:t xml:space="preserve">. Thus, we opted to exclude this study from analyses. </w:t>
      </w:r>
    </w:p>
    <w:p w14:paraId="581EC770" w14:textId="1736F2A9" w:rsidR="00652000" w:rsidRDefault="00652000" w:rsidP="00652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Exclusion of Grob et al. (2011)</w:t>
      </w:r>
    </w:p>
    <w:p w14:paraId="59FBD1D9" w14:textId="44D7CAF7" w:rsidR="00E148D4" w:rsidRDefault="00652000" w:rsidP="00652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Grob et al. (2011) is one of the most prominent RCTs within the psilocybin for depression literature. They included the BDI as an outcome marker</w:t>
      </w:r>
      <w:r w:rsidR="00E148D4">
        <w:rPr>
          <w:rFonts w:ascii="Times New Roman" w:hAnsi="Times New Roman" w:cs="Times New Roman"/>
          <w:sz w:val="24"/>
          <w:szCs w:val="24"/>
        </w:rPr>
        <w:t xml:space="preserve"> in their study</w:t>
      </w:r>
      <w:r w:rsidRPr="00652000">
        <w:rPr>
          <w:rFonts w:ascii="Times New Roman" w:hAnsi="Times New Roman" w:cs="Times New Roman"/>
          <w:sz w:val="24"/>
          <w:szCs w:val="24"/>
        </w:rPr>
        <w:t xml:space="preserve">. However, they never provide specific BDI means, variance estimates or </w:t>
      </w:r>
      <w:r w:rsidRPr="0065200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52000">
        <w:rPr>
          <w:rFonts w:ascii="Times New Roman" w:hAnsi="Times New Roman" w:cs="Times New Roman"/>
          <w:sz w:val="24"/>
          <w:szCs w:val="24"/>
        </w:rPr>
        <w:t xml:space="preserve">’s for each group by time point. We </w:t>
      </w:r>
      <w:r w:rsidR="007E1C5E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652000">
        <w:rPr>
          <w:rFonts w:ascii="Times New Roman" w:hAnsi="Times New Roman" w:cs="Times New Roman"/>
          <w:sz w:val="24"/>
          <w:szCs w:val="24"/>
        </w:rPr>
        <w:t xml:space="preserve">extracted estimates from their figure 3a using our digital extraction tool </w:t>
      </w:r>
      <w:r w:rsidRPr="0065200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65200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{"citationItems":[{"id":"ITEM-1","itemData":{"URL":"https://automeris.io/WebPlotDigitizer.html","accessed":{"date-parts":[["2024","1","5"]]},"container-title":"Web Plot Digitizer. Automeris.io.","id":"ITEM-1","issued":{"date-parts":[["2024"]]},"title":"Automeris LLC.","type":"webpage"},"uris":["http://www.mendeley.com/documents/?uuid=98909115-1e6e-4935-8f37-bce034a5fa4d"]}],"mendeley":{"formattedCitation":"(“Automeris LLC.,” 2024)","manualFormatting":"(Automeris LLC., 2024)","plainTextFormattedCitation":"(“Automeris LLC.,” 2024)"},"properties":{"noteIndex":0},"schema":"https://github.com/citation-style-language/schema/raw/master/csl-citation.json"}</w:instrText>
      </w:r>
      <w:r w:rsidRPr="00652000">
        <w:rPr>
          <w:rFonts w:ascii="Times New Roman" w:hAnsi="Times New Roman" w:cs="Times New Roman"/>
          <w:sz w:val="24"/>
          <w:szCs w:val="24"/>
        </w:rPr>
        <w:fldChar w:fldCharType="separate"/>
      </w:r>
      <w:r w:rsidRPr="00652000">
        <w:rPr>
          <w:rFonts w:ascii="Times New Roman" w:hAnsi="Times New Roman" w:cs="Times New Roman"/>
          <w:noProof/>
          <w:sz w:val="24"/>
          <w:szCs w:val="24"/>
        </w:rPr>
        <w:t>(Automeris LLC., 2024)</w:t>
      </w:r>
      <w:r w:rsidRPr="00652000">
        <w:rPr>
          <w:rFonts w:ascii="Times New Roman" w:hAnsi="Times New Roman" w:cs="Times New Roman"/>
          <w:sz w:val="24"/>
          <w:szCs w:val="24"/>
        </w:rPr>
        <w:fldChar w:fldCharType="end"/>
      </w:r>
      <w:r w:rsidRPr="00652000">
        <w:rPr>
          <w:rFonts w:ascii="Times New Roman" w:hAnsi="Times New Roman" w:cs="Times New Roman"/>
          <w:sz w:val="24"/>
          <w:szCs w:val="24"/>
        </w:rPr>
        <w:t xml:space="preserve">. However, the following wording in their text gave us pause for inclusion: </w:t>
      </w:r>
    </w:p>
    <w:p w14:paraId="396B2B30" w14:textId="77777777" w:rsidR="00E148D4" w:rsidRDefault="00652000" w:rsidP="00652000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652000">
        <w:rPr>
          <w:rFonts w:ascii="Times New Roman" w:hAnsi="Times New Roman" w:cs="Times New Roman"/>
          <w:sz w:val="24"/>
          <w:szCs w:val="24"/>
        </w:rPr>
        <w:t>“</w:t>
      </w:r>
      <w:r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For the BDI, there was an overall interaction of psilocybin and day that approached but did not attain statistical significance (F</w:t>
      </w:r>
      <w:r w:rsidRPr="00E148D4">
        <w:rPr>
          <w:rFonts w:ascii="Times New Roman" w:hAnsi="Times New Roman" w:cs="Times New Roman"/>
          <w:i/>
          <w:iCs/>
          <w:color w:val="333333"/>
          <w:sz w:val="24"/>
          <w:szCs w:val="24"/>
          <w:vertAlign w:val="subscript"/>
        </w:rPr>
        <w:t>1,11</w:t>
      </w:r>
      <w:r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 = 3.75, P = .08). There was no appreciable change from 1 day prior to placebo administration to 2 weeks after experimental treatment, whereas a trend was observed after psilocybin administration, from a mean (SEM) score of 16.1 (3.6) one day before treatment to 10.0 (2.7) two weeks after treatment (</w:t>
      </w:r>
      <w:hyperlink r:id="rId5" w:anchor="yoa05049f3" w:history="1">
        <w:r w:rsidRPr="00E148D4">
          <w:rPr>
            <w:rStyle w:val="Hyperlink"/>
            <w:rFonts w:ascii="Times New Roman" w:hAnsi="Times New Roman" w:cs="Times New Roman"/>
            <w:i/>
            <w:iCs/>
            <w:color w:val="000000"/>
            <w:sz w:val="24"/>
            <w:szCs w:val="24"/>
          </w:rPr>
          <w:t>Figure 3</w:t>
        </w:r>
      </w:hyperlink>
      <w:r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A).</w:t>
      </w:r>
      <w:r w:rsidRPr="00652000">
        <w:rPr>
          <w:rFonts w:ascii="Times New Roman" w:hAnsi="Times New Roman" w:cs="Times New Roman"/>
          <w:color w:val="333333"/>
          <w:sz w:val="24"/>
          <w:szCs w:val="24"/>
        </w:rPr>
        <w:t>”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794B483A" w14:textId="139751BA" w:rsidR="00652000" w:rsidRPr="00CE3AD7" w:rsidRDefault="00652000" w:rsidP="00F35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Particularly, the </w:t>
      </w:r>
      <w:r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statistic with the noted degrees of freedom suggest that the estimates in 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igure 3A were within group changes of 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 xml:space="preserve">all </w:t>
      </w:r>
      <w:r>
        <w:rPr>
          <w:rFonts w:ascii="Times New Roman" w:hAnsi="Times New Roman" w:cs="Times New Roman"/>
          <w:color w:val="333333"/>
          <w:sz w:val="24"/>
          <w:szCs w:val="24"/>
        </w:rPr>
        <w:t>participants (</w:t>
      </w:r>
      <w:r w:rsidRPr="00652000">
        <w:rPr>
          <w:rFonts w:ascii="Times New Roman" w:hAnsi="Times New Roman" w:cs="Times New Roman"/>
          <w:i/>
          <w:iCs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=12) who had received both treatments (psilocybin and the control niacin)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 xml:space="preserve"> r</w:t>
      </w:r>
      <w:r>
        <w:rPr>
          <w:rFonts w:ascii="Times New Roman" w:hAnsi="Times New Roman" w:cs="Times New Roman"/>
          <w:color w:val="333333"/>
          <w:sz w:val="24"/>
          <w:szCs w:val="24"/>
        </w:rPr>
        <w:t>ather than psilocybin (</w:t>
      </w:r>
      <w:r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=6) compared to niacin (</w:t>
      </w:r>
      <w:r w:rsidRPr="007E1C5E">
        <w:rPr>
          <w:rFonts w:ascii="Times New Roman" w:hAnsi="Times New Roman" w:cs="Times New Roman"/>
          <w:i/>
          <w:iCs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=6) 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 xml:space="preserve">estimates </w:t>
      </w:r>
      <w:r>
        <w:rPr>
          <w:rFonts w:ascii="Times New Roman" w:hAnsi="Times New Roman" w:cs="Times New Roman"/>
          <w:color w:val="333333"/>
          <w:sz w:val="24"/>
          <w:szCs w:val="24"/>
        </w:rPr>
        <w:t>prior to their cross-over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>. A potential interpretation of figure 3A is the BDI changes by groups (</w:t>
      </w:r>
      <w:r w:rsidR="00E148D4"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n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>=6 each) over the course of two weeks, which would meet inclusion for our study. However,</w:t>
      </w:r>
      <w:r w:rsidR="007E1C5E">
        <w:rPr>
          <w:rFonts w:ascii="Times New Roman" w:hAnsi="Times New Roman" w:cs="Times New Roman"/>
          <w:color w:val="333333"/>
          <w:sz w:val="24"/>
          <w:szCs w:val="24"/>
        </w:rPr>
        <w:t xml:space="preserve"> as noted,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 xml:space="preserve"> the wording in their document suggests the estimates in figure 3a represent aggregate group (</w:t>
      </w:r>
      <w:r w:rsidR="00E148D4" w:rsidRPr="00E148D4">
        <w:rPr>
          <w:rFonts w:ascii="Times New Roman" w:hAnsi="Times New Roman" w:cs="Times New Roman"/>
          <w:i/>
          <w:iCs/>
          <w:color w:val="333333"/>
          <w:sz w:val="24"/>
          <w:szCs w:val="24"/>
        </w:rPr>
        <w:t>n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>=12) changes after participants had each respective intervention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 xml:space="preserve"> This would disqualify them from our study since we would not have pre-crossover estimates. Because the authors are unclear about their estimates, we opted to exclude them. We </w:t>
      </w:r>
      <w:r w:rsidR="007E1C5E">
        <w:rPr>
          <w:rFonts w:ascii="Times New Roman" w:hAnsi="Times New Roman" w:cs="Times New Roman"/>
          <w:color w:val="333333"/>
          <w:sz w:val="24"/>
          <w:szCs w:val="24"/>
        </w:rPr>
        <w:t>ran</w:t>
      </w:r>
      <w:r w:rsidR="00E148D4">
        <w:rPr>
          <w:rFonts w:ascii="Times New Roman" w:hAnsi="Times New Roman" w:cs="Times New Roman"/>
          <w:color w:val="333333"/>
          <w:sz w:val="24"/>
          <w:szCs w:val="24"/>
        </w:rPr>
        <w:t xml:space="preserve"> analyses with Grob et al. (2011) included and our findings do not measurably change (contact first author for specific estimates). </w:t>
      </w:r>
      <w:r>
        <w:rPr>
          <w:rFonts w:ascii="Times New Roman" w:hAnsi="Times New Roman" w:cs="Times New Roman"/>
          <w:color w:val="333333"/>
          <w:sz w:val="24"/>
          <w:szCs w:val="24"/>
        </w:rPr>
        <w:t>We attempted to contact Grob et al. (including many of the co-authors)</w:t>
      </w:r>
      <w:r w:rsidR="007E1C5E">
        <w:rPr>
          <w:rFonts w:ascii="Times New Roman" w:hAnsi="Times New Roman" w:cs="Times New Roman"/>
          <w:color w:val="333333"/>
          <w:sz w:val="24"/>
          <w:szCs w:val="24"/>
        </w:rPr>
        <w:t xml:space="preserve">, on this and many other issues,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but never received a reply (see </w:t>
      </w:r>
      <w:r w:rsidR="007E1C5E"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upplementary </w:t>
      </w:r>
      <w:r w:rsidR="007E1C5E"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z w:val="24"/>
          <w:szCs w:val="24"/>
        </w:rPr>
        <w:t>ile 1</w:t>
      </w:r>
      <w:r w:rsidR="0046279C">
        <w:rPr>
          <w:rFonts w:ascii="Times New Roman" w:hAnsi="Times New Roman" w:cs="Times New Roman"/>
          <w:color w:val="333333"/>
          <w:sz w:val="24"/>
          <w:szCs w:val="24"/>
        </w:rPr>
        <w:t>5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). </w:t>
      </w:r>
    </w:p>
    <w:sectPr w:rsidR="00652000" w:rsidRPr="00CE3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D7"/>
    <w:rsid w:val="000F4608"/>
    <w:rsid w:val="0023303C"/>
    <w:rsid w:val="003A2443"/>
    <w:rsid w:val="0046279C"/>
    <w:rsid w:val="006101A4"/>
    <w:rsid w:val="00652000"/>
    <w:rsid w:val="007E1C5E"/>
    <w:rsid w:val="00A06A8C"/>
    <w:rsid w:val="00BB4ECF"/>
    <w:rsid w:val="00BE79B5"/>
    <w:rsid w:val="00CE3AD7"/>
    <w:rsid w:val="00E148D4"/>
    <w:rsid w:val="00E56637"/>
    <w:rsid w:val="00F03DD7"/>
    <w:rsid w:val="00F3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89DD"/>
  <w15:chartTrackingRefBased/>
  <w15:docId w15:val="{2D57C363-27D1-4E45-B60F-CDFD5346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A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520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jamanetwork.com/journals/jamapsychiatry/fullarticle/2109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C6DAB-809F-48C2-B576-213ED0F6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Owen</dc:creator>
  <cp:keywords/>
  <dc:description/>
  <cp:lastModifiedBy>Borgogna, Nicholas</cp:lastModifiedBy>
  <cp:revision>3</cp:revision>
  <dcterms:created xsi:type="dcterms:W3CDTF">2024-06-17T20:46:00Z</dcterms:created>
  <dcterms:modified xsi:type="dcterms:W3CDTF">2025-02-21T18:08:00Z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http://www.zotero.org/styles/journal-of-affective-disorders</vt:lpwstr>
  </property>
  <property fmtid="{D5CDD505-2E9C-101B-9397-08002B2CF9AE}" pid="11" name="Mendeley Recent Style Name 4_1">
    <vt:lpwstr>Journal of Affective Disorders</vt:lpwstr>
  </property>
  <property fmtid="{D5CDD505-2E9C-101B-9397-08002B2CF9AE}" pid="12" name="Mendeley Recent Style Id 5_1">
    <vt:lpwstr>http://www.zotero.org/styles/parkinsonism-and-related-disorders</vt:lpwstr>
  </property>
  <property fmtid="{D5CDD505-2E9C-101B-9397-08002B2CF9AE}" pid="13" name="Mendeley Recent Style Name 5_1">
    <vt:lpwstr>Parkinsonism and Related Disorders</vt:lpwstr>
  </property>
  <property fmtid="{D5CDD505-2E9C-101B-9397-08002B2CF9AE}" pid="14" name="Mendeley Recent Style Id 6_1">
    <vt:lpwstr>http://www.zotero.org/styles/psychiatry-research</vt:lpwstr>
  </property>
  <property fmtid="{D5CDD505-2E9C-101B-9397-08002B2CF9AE}" pid="15" name="Mendeley Recent Style Name 6_1">
    <vt:lpwstr>Psychiatry Research</vt:lpwstr>
  </property>
  <property fmtid="{D5CDD505-2E9C-101B-9397-08002B2CF9AE}" pid="16" name="Mendeley Recent Style Id 7_1">
    <vt:lpwstr>http://www.zotero.org/styles/springer-basic-brackets</vt:lpwstr>
  </property>
  <property fmtid="{D5CDD505-2E9C-101B-9397-08002B2CF9AE}" pid="17" name="Mendeley Recent Style Name 7_1">
    <vt:lpwstr>Springer - Basic (numeric, brackets)</vt:lpwstr>
  </property>
  <property fmtid="{D5CDD505-2E9C-101B-9397-08002B2CF9AE}" pid="18" name="Mendeley Recent Style Id 8_1">
    <vt:lpwstr>http://www.zotero.org/styles/the-new-england-journal-of-medicine</vt:lpwstr>
  </property>
  <property fmtid="{D5CDD505-2E9C-101B-9397-08002B2CF9AE}" pid="19" name="Mendeley Recent Style Name 8_1">
    <vt:lpwstr>The New England Journal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6c5a7ae2-e9a9-300c-bc15-f80e53c0e85d</vt:lpwstr>
  </property>
  <property fmtid="{D5CDD505-2E9C-101B-9397-08002B2CF9AE}" pid="24" name="Mendeley Citation Style_1">
    <vt:lpwstr>http://www.zotero.org/styles/journal-of-affective-disorders</vt:lpwstr>
  </property>
  <property fmtid="{D5CDD505-2E9C-101B-9397-08002B2CF9AE}" pid="25" name="MSIP_Label_ae7542bc-63e5-412b-b0a0-d9586028a7d0_Enabled">
    <vt:lpwstr>true</vt:lpwstr>
  </property>
  <property fmtid="{D5CDD505-2E9C-101B-9397-08002B2CF9AE}" pid="26" name="MSIP_Label_ae7542bc-63e5-412b-b0a0-d9586028a7d0_SetDate">
    <vt:lpwstr>2025-02-21T18:08:04Z</vt:lpwstr>
  </property>
  <property fmtid="{D5CDD505-2E9C-101B-9397-08002B2CF9AE}" pid="27" name="MSIP_Label_ae7542bc-63e5-412b-b0a0-d9586028a7d0_Method">
    <vt:lpwstr>Standard</vt:lpwstr>
  </property>
  <property fmtid="{D5CDD505-2E9C-101B-9397-08002B2CF9AE}" pid="28" name="MSIP_Label_ae7542bc-63e5-412b-b0a0-d9586028a7d0_Name">
    <vt:lpwstr>Sensitive</vt:lpwstr>
  </property>
  <property fmtid="{D5CDD505-2E9C-101B-9397-08002B2CF9AE}" pid="29" name="MSIP_Label_ae7542bc-63e5-412b-b0a0-d9586028a7d0_SiteId">
    <vt:lpwstr>d8999fe4-76af-40b3-b435-1d8977abc08c</vt:lpwstr>
  </property>
  <property fmtid="{D5CDD505-2E9C-101B-9397-08002B2CF9AE}" pid="30" name="MSIP_Label_ae7542bc-63e5-412b-b0a0-d9586028a7d0_ActionId">
    <vt:lpwstr>abbf5ec1-da73-48dd-9d23-f9f27c3c36af</vt:lpwstr>
  </property>
  <property fmtid="{D5CDD505-2E9C-101B-9397-08002B2CF9AE}" pid="31" name="MSIP_Label_ae7542bc-63e5-412b-b0a0-d9586028a7d0_ContentBits">
    <vt:lpwstr>0</vt:lpwstr>
  </property>
  <property fmtid="{D5CDD505-2E9C-101B-9397-08002B2CF9AE}" pid="32" name="MSIP_Label_ae7542bc-63e5-412b-b0a0-d9586028a7d0_Tag">
    <vt:lpwstr>10, 3, 0, 1</vt:lpwstr>
  </property>
</Properties>
</file>