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A4C7E" w14:textId="77777777" w:rsidR="00DB3850" w:rsidRPr="00CA3CEB" w:rsidRDefault="00DB3850" w:rsidP="00DB3850">
      <w:pPr>
        <w:spacing w:line="480" w:lineRule="auto"/>
        <w:jc w:val="center"/>
        <w:rPr>
          <w:rFonts w:ascii="Times New Roman" w:hAnsi="Times New Roman" w:cs="Times New Roman"/>
          <w:b/>
          <w:bCs/>
          <w:color w:val="000000" w:themeColor="text1"/>
        </w:rPr>
      </w:pPr>
      <w:bookmarkStart w:id="0" w:name="OLE_LINK7"/>
      <w:r w:rsidRPr="00CA3CEB">
        <w:rPr>
          <w:rFonts w:ascii="Times New Roman" w:hAnsi="Times New Roman" w:cs="Times New Roman"/>
          <w:b/>
          <w:bCs/>
          <w:color w:val="000000" w:themeColor="text1"/>
        </w:rPr>
        <w:t>Supplementary methods</w:t>
      </w:r>
    </w:p>
    <w:p w14:paraId="5995670C" w14:textId="77777777" w:rsidR="00DB3850" w:rsidRPr="00CA3CEB" w:rsidRDefault="00DB3850" w:rsidP="00DB3850">
      <w:pPr>
        <w:spacing w:line="480" w:lineRule="auto"/>
        <w:rPr>
          <w:rFonts w:ascii="Times New Roman" w:hAnsi="Times New Roman" w:cs="Times New Roman"/>
          <w:b/>
          <w:bCs/>
          <w:color w:val="000000" w:themeColor="text1"/>
        </w:rPr>
      </w:pPr>
      <w:bookmarkStart w:id="1" w:name="OLE_LINK2"/>
      <w:r w:rsidRPr="00CA3CEB">
        <w:rPr>
          <w:rFonts w:ascii="Times New Roman" w:hAnsi="Times New Roman" w:cs="Times New Roman"/>
          <w:b/>
          <w:bCs/>
          <w:color w:val="000000" w:themeColor="text1"/>
        </w:rPr>
        <w:t>Dexamethasone administration and blood sample collection</w:t>
      </w:r>
    </w:p>
    <w:p w14:paraId="539F1911" w14:textId="77777777" w:rsidR="00DB3850" w:rsidRPr="00CA3CEB" w:rsidRDefault="00DB3850" w:rsidP="00DB3850">
      <w:pPr>
        <w:spacing w:line="480" w:lineRule="auto"/>
        <w:rPr>
          <w:rFonts w:ascii="Times New Roman" w:hAnsi="Times New Roman" w:cs="Times New Roman"/>
          <w:color w:val="000000" w:themeColor="text1"/>
        </w:rPr>
      </w:pPr>
      <w:r w:rsidRPr="00CA3CEB">
        <w:rPr>
          <w:rFonts w:ascii="Times New Roman" w:hAnsi="Times New Roman" w:cs="Times New Roman"/>
          <w:color w:val="000000" w:themeColor="text1"/>
        </w:rPr>
        <w:t xml:space="preserve">Male C57BL/6J mice (9 weeks old; Japan SLC, Shizuoka, Japan) received intraperitoneal injections of dexamethasone (Dex; FUJIFILM Wako Pure Chemical Corporation, Osaka, Japan) at doses of 10, 30, 50, and 100 mg/kg or vehicle, administered at Zeitgeber time 12 (ZT12). They were housed under controlled environmental conditions with a 12:12-h light/dark cycle (lights on at 8:00 a.m.), constant temperature (24 ± 1 ℃), and free access to food and water. Four mice were housed per cage, and food intake was measured for each cage to calculate the average intake per mouse. Body weight and food intake were monitored daily throughout the treatment period, and the animals were observed for signs of abnormal behavior. Peripheral blood was collected one day before the first injection and again on the day after the final injection. Hematological parameters were determined using a </w:t>
      </w:r>
      <w:proofErr w:type="spellStart"/>
      <w:r w:rsidRPr="00CA3CEB">
        <w:rPr>
          <w:rFonts w:ascii="Times New Roman" w:hAnsi="Times New Roman" w:cs="Times New Roman"/>
          <w:color w:val="000000" w:themeColor="text1"/>
        </w:rPr>
        <w:t>Celltac</w:t>
      </w:r>
      <w:proofErr w:type="spellEnd"/>
      <w:r w:rsidRPr="00CA3CEB">
        <w:rPr>
          <w:rFonts w:ascii="Times New Roman" w:hAnsi="Times New Roman" w:cs="Times New Roman"/>
          <w:color w:val="000000" w:themeColor="text1"/>
        </w:rPr>
        <w:t xml:space="preserve"> α MEK-6450 hematology analyzer (Nihon </w:t>
      </w:r>
      <w:proofErr w:type="spellStart"/>
      <w:r w:rsidRPr="00CA3CEB">
        <w:rPr>
          <w:rFonts w:ascii="Times New Roman" w:hAnsi="Times New Roman" w:cs="Times New Roman"/>
          <w:color w:val="000000" w:themeColor="text1"/>
        </w:rPr>
        <w:t>Kohden</w:t>
      </w:r>
      <w:proofErr w:type="spellEnd"/>
      <w:r w:rsidRPr="00CA3CEB">
        <w:rPr>
          <w:rFonts w:ascii="Times New Roman" w:hAnsi="Times New Roman" w:cs="Times New Roman"/>
          <w:color w:val="000000" w:themeColor="text1"/>
        </w:rPr>
        <w:t>, Tokyo, Japan).</w:t>
      </w:r>
    </w:p>
    <w:bookmarkEnd w:id="1"/>
    <w:p w14:paraId="1991759F" w14:textId="77777777" w:rsidR="00DB3850" w:rsidRPr="00CA3CEB" w:rsidRDefault="00DB3850" w:rsidP="00DB3850">
      <w:pPr>
        <w:spacing w:line="480" w:lineRule="auto"/>
        <w:rPr>
          <w:rFonts w:ascii="Times New Roman" w:hAnsi="Times New Roman" w:cs="Times New Roman"/>
          <w:color w:val="000000" w:themeColor="text1"/>
        </w:rPr>
      </w:pPr>
    </w:p>
    <w:p w14:paraId="7C5A236F" w14:textId="77777777" w:rsidR="00DB3850" w:rsidRPr="00CA3CEB" w:rsidRDefault="00DB3850" w:rsidP="00DB3850">
      <w:pPr>
        <w:spacing w:line="480" w:lineRule="auto"/>
        <w:rPr>
          <w:rFonts w:ascii="Times New Roman" w:hAnsi="Times New Roman" w:cs="Times New Roman"/>
          <w:b/>
          <w:bCs/>
          <w:color w:val="000000" w:themeColor="text1"/>
        </w:rPr>
      </w:pPr>
      <w:bookmarkStart w:id="2" w:name="OLE_LINK4"/>
      <w:r w:rsidRPr="00CA3CEB">
        <w:rPr>
          <w:rFonts w:ascii="Times New Roman" w:hAnsi="Times New Roman" w:cs="Times New Roman"/>
          <w:b/>
          <w:bCs/>
          <w:color w:val="000000" w:themeColor="text1"/>
        </w:rPr>
        <w:t>Plasma allopregnanolone measurement</w:t>
      </w:r>
    </w:p>
    <w:p w14:paraId="290E4EE3" w14:textId="77777777" w:rsidR="00DB3850" w:rsidRPr="00CA3CEB" w:rsidRDefault="00DB3850" w:rsidP="00DB3850">
      <w:pPr>
        <w:spacing w:line="480" w:lineRule="auto"/>
        <w:rPr>
          <w:rFonts w:ascii="Times New Roman" w:hAnsi="Times New Roman" w:cs="Times New Roman"/>
          <w:color w:val="000000" w:themeColor="text1"/>
        </w:rPr>
      </w:pPr>
      <w:r w:rsidRPr="00CA3CEB">
        <w:rPr>
          <w:rFonts w:ascii="Times New Roman" w:hAnsi="Times New Roman" w:cs="Times New Roman"/>
          <w:color w:val="000000" w:themeColor="text1"/>
        </w:rPr>
        <w:t>Mice were deeply anesthetized with a mixture consisting of 0.75 mg/kg medetomidine (</w:t>
      </w:r>
      <w:proofErr w:type="spellStart"/>
      <w:r w:rsidRPr="00CA3CEB">
        <w:rPr>
          <w:rFonts w:ascii="Times New Roman" w:hAnsi="Times New Roman" w:cs="Times New Roman"/>
          <w:color w:val="000000" w:themeColor="text1"/>
        </w:rPr>
        <w:t>Domitor</w:t>
      </w:r>
      <w:proofErr w:type="spellEnd"/>
      <w:r w:rsidRPr="00CA3CEB">
        <w:rPr>
          <w:rFonts w:ascii="Times New Roman" w:hAnsi="Times New Roman" w:cs="Times New Roman"/>
          <w:color w:val="000000" w:themeColor="text1"/>
        </w:rPr>
        <w:t xml:space="preserve">® Nippon </w:t>
      </w:r>
      <w:proofErr w:type="spellStart"/>
      <w:r w:rsidRPr="00CA3CEB">
        <w:rPr>
          <w:rFonts w:ascii="Times New Roman" w:hAnsi="Times New Roman" w:cs="Times New Roman"/>
          <w:color w:val="000000" w:themeColor="text1"/>
        </w:rPr>
        <w:t>Zenyaku</w:t>
      </w:r>
      <w:proofErr w:type="spellEnd"/>
      <w:r w:rsidRPr="00CA3CEB">
        <w:rPr>
          <w:rFonts w:ascii="Times New Roman" w:hAnsi="Times New Roman" w:cs="Times New Roman"/>
          <w:color w:val="000000" w:themeColor="text1"/>
        </w:rPr>
        <w:t xml:space="preserve"> Kogyo Co., Ltd., Tokyo, Japan), 4.0 mg/kg midazolam </w:t>
      </w:r>
      <w:r w:rsidRPr="00CA3CEB">
        <w:rPr>
          <w:rFonts w:ascii="Times New Roman" w:hAnsi="Times New Roman" w:cs="Times New Roman"/>
          <w:color w:val="000000" w:themeColor="text1"/>
        </w:rPr>
        <w:lastRenderedPageBreak/>
        <w:t>(</w:t>
      </w:r>
      <w:proofErr w:type="spellStart"/>
      <w:r w:rsidRPr="00CA3CEB">
        <w:rPr>
          <w:rFonts w:ascii="Times New Roman" w:hAnsi="Times New Roman" w:cs="Times New Roman"/>
          <w:color w:val="000000" w:themeColor="text1"/>
        </w:rPr>
        <w:t>Dormicum</w:t>
      </w:r>
      <w:proofErr w:type="spellEnd"/>
      <w:r w:rsidRPr="00CA3CEB">
        <w:rPr>
          <w:rFonts w:ascii="Times New Roman" w:hAnsi="Times New Roman" w:cs="Times New Roman"/>
          <w:color w:val="000000" w:themeColor="text1"/>
        </w:rPr>
        <w:t>®, Astellas Pharma Inc., Tokyo, Japan), and 5.0 mg/kg butorphanol (</w:t>
      </w:r>
      <w:proofErr w:type="spellStart"/>
      <w:r w:rsidRPr="00CA3CEB">
        <w:rPr>
          <w:rFonts w:ascii="Times New Roman" w:hAnsi="Times New Roman" w:cs="Times New Roman"/>
          <w:color w:val="000000" w:themeColor="text1"/>
        </w:rPr>
        <w:t>Vetorphale</w:t>
      </w:r>
      <w:proofErr w:type="spellEnd"/>
      <w:r w:rsidRPr="00CA3CEB">
        <w:rPr>
          <w:rFonts w:ascii="Times New Roman" w:hAnsi="Times New Roman" w:cs="Times New Roman"/>
          <w:color w:val="000000" w:themeColor="text1"/>
        </w:rPr>
        <w:t xml:space="preserve">®, Meiji Seika Kaisha, Ltd., Tokyo, Japan). Whole blood was collected through a cardiac puncture into a tube (Becton, Dickinson and Company, Franklin Lakes, NJ, USA) containing </w:t>
      </w:r>
      <w:proofErr w:type="gramStart"/>
      <w:r w:rsidRPr="00CA3CEB">
        <w:rPr>
          <w:rFonts w:ascii="Times New Roman" w:hAnsi="Times New Roman" w:cs="Times New Roman"/>
          <w:color w:val="000000" w:themeColor="text1"/>
        </w:rPr>
        <w:t>EDTA, and</w:t>
      </w:r>
      <w:proofErr w:type="gramEnd"/>
      <w:r w:rsidRPr="00CA3CEB">
        <w:rPr>
          <w:rFonts w:ascii="Times New Roman" w:hAnsi="Times New Roman" w:cs="Times New Roman"/>
          <w:color w:val="000000" w:themeColor="text1"/>
        </w:rPr>
        <w:t xml:space="preserve"> then centrifuged at 1000 × g for 10 minutes at room temperature to obtain plasma. Plasma allopregnanolone levels were determined using an Allopregnanolone ELISA Kit (Abcam, Cambridge, UK) according to the manufacturer’s instructions. The correlation between plasma allopregnanolone levels and electroencephalographic (EEG) parameters was also examined.</w:t>
      </w:r>
    </w:p>
    <w:bookmarkEnd w:id="2"/>
    <w:p w14:paraId="24F53428" w14:textId="77777777" w:rsidR="00DB3850" w:rsidRPr="00CA3CEB" w:rsidRDefault="00DB3850" w:rsidP="00DB3850">
      <w:pPr>
        <w:spacing w:line="480" w:lineRule="auto"/>
        <w:rPr>
          <w:rFonts w:ascii="Times New Roman" w:hAnsi="Times New Roman" w:cs="Times New Roman"/>
          <w:color w:val="000000" w:themeColor="text1"/>
        </w:rPr>
      </w:pPr>
    </w:p>
    <w:p w14:paraId="6DDEA644" w14:textId="77777777" w:rsidR="00DB3850" w:rsidRPr="00CA3CEB" w:rsidRDefault="00DB3850" w:rsidP="00DB3850">
      <w:pPr>
        <w:spacing w:line="480" w:lineRule="auto"/>
        <w:rPr>
          <w:rFonts w:ascii="Times New Roman" w:hAnsi="Times New Roman" w:cs="Times New Roman"/>
          <w:b/>
          <w:bCs/>
          <w:color w:val="000000" w:themeColor="text1"/>
        </w:rPr>
      </w:pPr>
      <w:bookmarkStart w:id="3" w:name="OLE_LINK6"/>
      <w:r w:rsidRPr="00CA3CEB">
        <w:rPr>
          <w:rFonts w:ascii="Times New Roman" w:hAnsi="Times New Roman" w:cs="Times New Roman"/>
          <w:b/>
          <w:bCs/>
          <w:color w:val="000000" w:themeColor="text1"/>
        </w:rPr>
        <w:t>Hypothalamic tissue collection and corticotropin-releasing hormone</w:t>
      </w:r>
      <w:sdt>
        <w:sdtPr>
          <w:rPr>
            <w:rFonts w:ascii="Times New Roman" w:hAnsi="Times New Roman" w:cs="Times New Roman"/>
            <w:b/>
            <w:bCs/>
            <w:color w:val="000000" w:themeColor="text1"/>
          </w:rPr>
          <w:tag w:val="Paperpal_CursorMarker"/>
          <w:id w:val="-1009522054"/>
          <w:placeholder>
            <w:docPart w:val="5DCC0464CA54764FAA3829548C936715"/>
          </w:placeholder>
          <w15:appearance w15:val="hidden"/>
        </w:sdtPr>
        <w:sdtContent>
          <w:r w:rsidRPr="00CA3CEB">
            <w:rPr>
              <w:rFonts w:ascii="Times New Roman" w:hAnsi="Times New Roman" w:cs="Times New Roman"/>
              <w:b/>
              <w:bCs/>
              <w:color w:val="000000" w:themeColor="text1"/>
            </w:rPr>
            <w:t>​</w:t>
          </w:r>
        </w:sdtContent>
      </w:sdt>
      <w:r w:rsidRPr="00CA3CEB">
        <w:rPr>
          <w:rFonts w:ascii="Times New Roman" w:hAnsi="Times New Roman" w:cs="Times New Roman"/>
          <w:b/>
          <w:bCs/>
          <w:color w:val="000000" w:themeColor="text1"/>
        </w:rPr>
        <w:t xml:space="preserve"> quantification</w:t>
      </w:r>
    </w:p>
    <w:p w14:paraId="119D6056" w14:textId="77777777" w:rsidR="00DB3850" w:rsidRPr="00CA3CEB" w:rsidRDefault="00DB3850" w:rsidP="00DB3850">
      <w:pPr>
        <w:spacing w:line="480" w:lineRule="auto"/>
        <w:rPr>
          <w:rFonts w:ascii="Times New Roman" w:hAnsi="Times New Roman" w:cs="Times New Roman"/>
          <w:color w:val="000000" w:themeColor="text1"/>
        </w:rPr>
      </w:pPr>
      <w:r w:rsidRPr="00CA3CEB">
        <w:rPr>
          <w:rFonts w:ascii="Times New Roman" w:hAnsi="Times New Roman" w:cs="Times New Roman"/>
          <w:color w:val="000000" w:themeColor="text1"/>
        </w:rPr>
        <w:t xml:space="preserve">Mice were sacrificed by cervical dislocation. The brains were quickly removed on ice and immediately frozen in liquid nitrogen. </w:t>
      </w:r>
      <w:sdt>
        <w:sdtPr>
          <w:rPr>
            <w:rFonts w:ascii="Times New Roman" w:hAnsi="Times New Roman" w:cs="Times New Roman"/>
            <w:color w:val="000000" w:themeColor="text1"/>
          </w:rPr>
          <w:tag w:val="TEMP_PARAGRAPH_MARKER"/>
          <w:id w:val="585425029"/>
          <w:placeholder>
            <w:docPart w:val="6BAA51283C7B3F4A960A1DEA0237357C"/>
          </w:placeholder>
          <w15:appearance w15:val="hidden"/>
        </w:sdtPr>
        <w:sdtContent>
          <w:r w:rsidRPr="00CA3CEB">
            <w:rPr>
              <w:rFonts w:ascii="Times New Roman" w:hAnsi="Times New Roman" w:cs="Times New Roman"/>
              <w:color w:val="000000" w:themeColor="text1"/>
            </w:rPr>
            <w:t>​</w:t>
          </w:r>
        </w:sdtContent>
      </w:sdt>
      <w:r w:rsidRPr="00CA3CEB">
        <w:rPr>
          <w:rFonts w:ascii="Times New Roman" w:hAnsi="Times New Roman" w:cs="Times New Roman"/>
          <w:color w:val="000000" w:themeColor="text1"/>
        </w:rPr>
        <w:t>A coronal brain section spanning Bregma −0.5 mm to −2.5 mm was prepared using a Brain Blocker (</w:t>
      </w:r>
      <w:proofErr w:type="spellStart"/>
      <w:r w:rsidRPr="00CA3CEB">
        <w:rPr>
          <w:rFonts w:ascii="Times New Roman" w:hAnsi="Times New Roman" w:cs="Times New Roman"/>
          <w:color w:val="000000" w:themeColor="text1"/>
        </w:rPr>
        <w:t>Muromachi</w:t>
      </w:r>
      <w:proofErr w:type="spellEnd"/>
      <w:r w:rsidRPr="00CA3CEB">
        <w:rPr>
          <w:rFonts w:ascii="Times New Roman" w:hAnsi="Times New Roman" w:cs="Times New Roman"/>
          <w:color w:val="000000" w:themeColor="text1"/>
        </w:rPr>
        <w:t xml:space="preserve"> Kikai Co., Ltd., Tokyo, Japan), and the hypothalamic region was isolated from this section for subsequent analysis. Hypothalamic tissues were homogenized in 30 volumes of PBS containing 0.2% </w:t>
      </w:r>
      <w:proofErr w:type="spellStart"/>
      <w:r w:rsidRPr="00CA3CEB">
        <w:rPr>
          <w:rFonts w:ascii="Times New Roman" w:hAnsi="Times New Roman" w:cs="Times New Roman"/>
          <w:color w:val="000000" w:themeColor="text1"/>
        </w:rPr>
        <w:t>Nonidet</w:t>
      </w:r>
      <w:proofErr w:type="spellEnd"/>
      <w:r w:rsidRPr="00CA3CEB">
        <w:rPr>
          <w:rFonts w:ascii="Times New Roman" w:hAnsi="Times New Roman" w:cs="Times New Roman"/>
          <w:color w:val="000000" w:themeColor="text1"/>
        </w:rPr>
        <w:t xml:space="preserve"> P-40 (</w:t>
      </w:r>
      <w:proofErr w:type="spellStart"/>
      <w:r w:rsidRPr="00CA3CEB">
        <w:rPr>
          <w:rFonts w:ascii="Times New Roman" w:hAnsi="Times New Roman" w:cs="Times New Roman"/>
          <w:color w:val="000000" w:themeColor="text1"/>
        </w:rPr>
        <w:t>Nacalai</w:t>
      </w:r>
      <w:proofErr w:type="spellEnd"/>
      <w:r w:rsidRPr="00CA3CEB">
        <w:rPr>
          <w:rFonts w:ascii="Times New Roman" w:hAnsi="Times New Roman" w:cs="Times New Roman"/>
          <w:color w:val="000000" w:themeColor="text1"/>
        </w:rPr>
        <w:t xml:space="preserve"> </w:t>
      </w:r>
      <w:proofErr w:type="spellStart"/>
      <w:r w:rsidRPr="00CA3CEB">
        <w:rPr>
          <w:rFonts w:ascii="Times New Roman" w:hAnsi="Times New Roman" w:cs="Times New Roman"/>
          <w:color w:val="000000" w:themeColor="text1"/>
        </w:rPr>
        <w:t>Tesque</w:t>
      </w:r>
      <w:proofErr w:type="spellEnd"/>
      <w:r w:rsidRPr="00CA3CEB">
        <w:rPr>
          <w:rFonts w:ascii="Times New Roman" w:hAnsi="Times New Roman" w:cs="Times New Roman"/>
          <w:color w:val="000000" w:themeColor="text1"/>
        </w:rPr>
        <w:t xml:space="preserve">, Kyoto, Japan), followed by centrifugation at 18,360 × g for 20 min at 4 °C. The resulting supernatant was collected and used as the brain extract to quantify </w:t>
      </w:r>
      <w:r w:rsidRPr="00CA3CEB">
        <w:rPr>
          <w:rFonts w:ascii="Times New Roman" w:hAnsi="Times New Roman" w:cs="Times New Roman"/>
          <w:color w:val="000000" w:themeColor="text1"/>
        </w:rPr>
        <w:lastRenderedPageBreak/>
        <w:t>corticotropin-releasing hormone</w:t>
      </w:r>
      <w:sdt>
        <w:sdtPr>
          <w:rPr>
            <w:rFonts w:ascii="Times New Roman" w:hAnsi="Times New Roman" w:cs="Times New Roman"/>
            <w:color w:val="000000" w:themeColor="text1"/>
          </w:rPr>
          <w:tag w:val="Paperpal_CursorMarker"/>
          <w:id w:val="-227698136"/>
          <w:placeholder>
            <w:docPart w:val="6BAA51283C7B3F4A960A1DEA0237357C"/>
          </w:placeholder>
          <w15:appearance w15:val="hidden"/>
        </w:sdtPr>
        <w:sdtContent>
          <w:r w:rsidRPr="00CA3CEB">
            <w:rPr>
              <w:rFonts w:ascii="Times New Roman" w:hAnsi="Times New Roman" w:cs="Times New Roman"/>
              <w:color w:val="000000" w:themeColor="text1"/>
            </w:rPr>
            <w:t>​</w:t>
          </w:r>
        </w:sdtContent>
      </w:sdt>
      <w:r w:rsidRPr="00CA3CEB">
        <w:rPr>
          <w:rFonts w:ascii="Times New Roman" w:hAnsi="Times New Roman" w:cs="Times New Roman"/>
          <w:color w:val="000000" w:themeColor="text1"/>
        </w:rPr>
        <w:t xml:space="preserve"> (CRH). The obtained extract was analyzed for CRH levels using a Mouse/Rat CRF-HS ELISA Kit (</w:t>
      </w:r>
      <w:proofErr w:type="spellStart"/>
      <w:r w:rsidRPr="00CA3CEB">
        <w:rPr>
          <w:rFonts w:ascii="Times New Roman" w:hAnsi="Times New Roman" w:cs="Times New Roman"/>
          <w:color w:val="000000" w:themeColor="text1"/>
        </w:rPr>
        <w:t>Yanaihara</w:t>
      </w:r>
      <w:proofErr w:type="spellEnd"/>
      <w:r w:rsidRPr="00CA3CEB">
        <w:rPr>
          <w:rFonts w:ascii="Times New Roman" w:hAnsi="Times New Roman" w:cs="Times New Roman"/>
          <w:color w:val="000000" w:themeColor="text1"/>
        </w:rPr>
        <w:t xml:space="preserve"> Institute Inc., Shizuoka, Japan) according to the manufacturer’s instructions.</w:t>
      </w:r>
      <w:bookmarkEnd w:id="0"/>
      <w:bookmarkEnd w:id="3"/>
    </w:p>
    <w:p w14:paraId="237E4F86" w14:textId="47CCB8E6" w:rsidR="00181026" w:rsidRPr="00CA3CEB" w:rsidRDefault="00181026">
      <w:pPr>
        <w:rPr>
          <w:rFonts w:ascii="Times New Roman" w:eastAsiaTheme="minorEastAsia" w:hAnsi="Times New Roman" w:cs="Times New Roman"/>
          <w:color w:val="000000" w:themeColor="text1"/>
        </w:rPr>
      </w:pPr>
      <w:r w:rsidRPr="00CA3CEB">
        <w:rPr>
          <w:color w:val="000000" w:themeColor="text1"/>
        </w:rPr>
        <w:br w:type="page"/>
      </w:r>
    </w:p>
    <w:p w14:paraId="13DE2F04" w14:textId="7E3455D9" w:rsidR="00095162" w:rsidRPr="00CA3CEB" w:rsidRDefault="00181026" w:rsidP="00181026">
      <w:pPr>
        <w:pStyle w:val="MdParagraph"/>
        <w:spacing w:before="0" w:after="0" w:line="360" w:lineRule="auto"/>
        <w:jc w:val="center"/>
        <w:rPr>
          <w:b/>
          <w:bCs/>
          <w:color w:val="000000" w:themeColor="text1"/>
        </w:rPr>
      </w:pPr>
      <w:r w:rsidRPr="00CA3CEB">
        <w:rPr>
          <w:b/>
          <w:bCs/>
          <w:color w:val="000000" w:themeColor="text1"/>
        </w:rPr>
        <w:lastRenderedPageBreak/>
        <w:t>Supplementary figures</w:t>
      </w:r>
    </w:p>
    <w:p w14:paraId="6FD5F420" w14:textId="4B06D965" w:rsidR="00095162" w:rsidRPr="00CA3CEB" w:rsidRDefault="00CA3CEB" w:rsidP="00137035">
      <w:pPr>
        <w:pStyle w:val="MdParagraph"/>
        <w:spacing w:before="0" w:after="0" w:line="360" w:lineRule="auto"/>
        <w:rPr>
          <w:color w:val="000000" w:themeColor="text1"/>
        </w:rPr>
      </w:pPr>
      <w:r w:rsidRPr="00CA3CEB">
        <w:rPr>
          <w:noProof/>
          <w:color w:val="000000" w:themeColor="text1"/>
        </w:rPr>
        <w:drawing>
          <wp:inline distT="0" distB="0" distL="0" distR="0" wp14:anchorId="60CEC384" wp14:editId="56BDE83B">
            <wp:extent cx="5620103" cy="8375678"/>
            <wp:effectExtent l="0" t="0" r="6350" b="0"/>
            <wp:docPr id="596395171" name="図 1" descr="ダイアグラム, 設計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5171" name="図 1" descr="ダイアグラム, 設計図&#10;&#10;AI 生成コンテンツは誤りを含む可能性があります。"/>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22781" cy="8379669"/>
                    </a:xfrm>
                    <a:prstGeom prst="rect">
                      <a:avLst/>
                    </a:prstGeom>
                  </pic:spPr>
                </pic:pic>
              </a:graphicData>
            </a:graphic>
          </wp:inline>
        </w:drawing>
      </w:r>
    </w:p>
    <w:p w14:paraId="58857B3A" w14:textId="77777777" w:rsidR="00DB3850" w:rsidRPr="00CA3CEB" w:rsidRDefault="00DB3850" w:rsidP="00DB3850">
      <w:pPr>
        <w:pStyle w:val="MdParagraph"/>
        <w:spacing w:before="0" w:after="0" w:line="360" w:lineRule="auto"/>
        <w:rPr>
          <w:b/>
          <w:bCs/>
          <w:color w:val="000000" w:themeColor="text1"/>
        </w:rPr>
      </w:pPr>
      <w:bookmarkStart w:id="4" w:name="OLE_LINK103"/>
      <w:r w:rsidRPr="00CA3CEB">
        <w:rPr>
          <w:b/>
          <w:bCs/>
          <w:color w:val="000000" w:themeColor="text1"/>
        </w:rPr>
        <w:lastRenderedPageBreak/>
        <w:t xml:space="preserve">Fig. S1 </w:t>
      </w:r>
      <w:r w:rsidRPr="00CA3CEB">
        <w:rPr>
          <w:color w:val="000000" w:themeColor="text1"/>
        </w:rPr>
        <w:t>Physiological and hematological assessment of chronic Dex treatment.</w:t>
      </w:r>
    </w:p>
    <w:p w14:paraId="13D5351E" w14:textId="588F1DA8" w:rsidR="00DB3850" w:rsidRPr="00CA3CEB" w:rsidRDefault="00DB3850" w:rsidP="00DB3850">
      <w:pPr>
        <w:pStyle w:val="MdParagraph"/>
        <w:spacing w:before="0" w:after="0" w:line="360" w:lineRule="auto"/>
        <w:rPr>
          <w:b/>
          <w:bCs/>
          <w:color w:val="000000" w:themeColor="text1"/>
        </w:rPr>
      </w:pPr>
      <w:r w:rsidRPr="00CA3CEB">
        <w:rPr>
          <w:b/>
          <w:bCs/>
          <w:color w:val="000000" w:themeColor="text1"/>
        </w:rPr>
        <w:t>(a, b)</w:t>
      </w:r>
      <w:r w:rsidRPr="00CA3CEB">
        <w:rPr>
          <w:color w:val="000000" w:themeColor="text1"/>
        </w:rPr>
        <w:t xml:space="preserve"> General physiological monitoring. Time course of </w:t>
      </w:r>
      <w:r w:rsidRPr="00CA3CEB">
        <w:rPr>
          <w:b/>
          <w:bCs/>
          <w:color w:val="000000" w:themeColor="text1"/>
        </w:rPr>
        <w:t>(a)</w:t>
      </w:r>
      <w:r w:rsidRPr="00CA3CEB">
        <w:rPr>
          <w:color w:val="000000" w:themeColor="text1"/>
        </w:rPr>
        <w:t xml:space="preserve"> body weight and </w:t>
      </w:r>
      <w:r w:rsidRPr="00CA3CEB">
        <w:rPr>
          <w:b/>
          <w:bCs/>
          <w:color w:val="000000" w:themeColor="text1"/>
        </w:rPr>
        <w:t>(b)</w:t>
      </w:r>
      <w:r w:rsidRPr="00CA3CEB">
        <w:rPr>
          <w:color w:val="000000" w:themeColor="text1"/>
        </w:rPr>
        <w:t xml:space="preserve"> daily food intake during the 5-day treatment period (Baseline to Day 5). Mice were treated with vehicle or varying doses of Dex (10, 30, 50, and 100 mg/kg, </w:t>
      </w:r>
      <w:proofErr w:type="spellStart"/>
      <w:r w:rsidRPr="00CA3CEB">
        <w:rPr>
          <w:color w:val="000000" w:themeColor="text1"/>
        </w:rPr>
        <w:t>i.p.</w:t>
      </w:r>
      <w:proofErr w:type="spellEnd"/>
      <w:r w:rsidRPr="00CA3CEB">
        <w:rPr>
          <w:color w:val="000000" w:themeColor="text1"/>
        </w:rPr>
        <w:t xml:space="preserve">). </w:t>
      </w:r>
      <w:r w:rsidRPr="00CA3CEB">
        <w:rPr>
          <w:b/>
          <w:bCs/>
          <w:color w:val="000000" w:themeColor="text1"/>
        </w:rPr>
        <w:t>(c–j)</w:t>
      </w:r>
      <w:r w:rsidRPr="00CA3CEB">
        <w:rPr>
          <w:color w:val="000000" w:themeColor="text1"/>
        </w:rPr>
        <w:t xml:space="preserve"> Hematological analysis performed after the 5-day treatment. </w:t>
      </w:r>
      <w:r w:rsidRPr="00CA3CEB">
        <w:rPr>
          <w:b/>
          <w:bCs/>
          <w:color w:val="000000" w:themeColor="text1"/>
        </w:rPr>
        <w:t>(c)</w:t>
      </w:r>
      <w:r w:rsidRPr="00CA3CEB">
        <w:rPr>
          <w:color w:val="000000" w:themeColor="text1"/>
        </w:rPr>
        <w:t xml:space="preserve"> White blood cell (WBC) counts. </w:t>
      </w:r>
      <w:r w:rsidRPr="00CA3CEB">
        <w:rPr>
          <w:b/>
          <w:bCs/>
          <w:color w:val="000000" w:themeColor="text1"/>
        </w:rPr>
        <w:t>(d–j)</w:t>
      </w:r>
      <w:r w:rsidRPr="00CA3CEB">
        <w:rPr>
          <w:color w:val="000000" w:themeColor="text1"/>
        </w:rPr>
        <w:t xml:space="preserve"> Erythropoietic and platelet parameters: </w:t>
      </w:r>
      <w:r w:rsidRPr="00CA3CEB">
        <w:rPr>
          <w:b/>
          <w:bCs/>
          <w:color w:val="000000" w:themeColor="text1"/>
        </w:rPr>
        <w:t>(d)</w:t>
      </w:r>
      <w:r w:rsidRPr="00CA3CEB">
        <w:rPr>
          <w:color w:val="000000" w:themeColor="text1"/>
        </w:rPr>
        <w:t xml:space="preserve"> red blood cell (RBC) count, </w:t>
      </w:r>
      <w:r w:rsidRPr="00CA3CEB">
        <w:rPr>
          <w:b/>
          <w:bCs/>
          <w:color w:val="000000" w:themeColor="text1"/>
        </w:rPr>
        <w:t>(e)</w:t>
      </w:r>
      <w:r w:rsidRPr="00CA3CEB">
        <w:rPr>
          <w:color w:val="000000" w:themeColor="text1"/>
        </w:rPr>
        <w:t xml:space="preserve"> platelet (PLT) count, </w:t>
      </w:r>
      <w:r w:rsidRPr="00CA3CEB">
        <w:rPr>
          <w:b/>
          <w:bCs/>
          <w:color w:val="000000" w:themeColor="text1"/>
        </w:rPr>
        <w:t>(f)</w:t>
      </w:r>
      <w:r w:rsidRPr="00CA3CEB">
        <w:rPr>
          <w:color w:val="000000" w:themeColor="text1"/>
        </w:rPr>
        <w:t xml:space="preserve"> hemoglobin (HGB), </w:t>
      </w:r>
      <w:r w:rsidRPr="00CA3CEB">
        <w:rPr>
          <w:b/>
          <w:bCs/>
          <w:color w:val="000000" w:themeColor="text1"/>
        </w:rPr>
        <w:t>(g)</w:t>
      </w:r>
      <w:r w:rsidRPr="00CA3CEB">
        <w:rPr>
          <w:color w:val="000000" w:themeColor="text1"/>
        </w:rPr>
        <w:t xml:space="preserve"> hematocrit (HCT), </w:t>
      </w:r>
      <w:r w:rsidRPr="00CA3CEB">
        <w:rPr>
          <w:b/>
          <w:bCs/>
          <w:color w:val="000000" w:themeColor="text1"/>
        </w:rPr>
        <w:t>(h)</w:t>
      </w:r>
      <w:r w:rsidRPr="00CA3CEB">
        <w:rPr>
          <w:color w:val="000000" w:themeColor="text1"/>
        </w:rPr>
        <w:t xml:space="preserve"> mean corpuscular volume (MCV), </w:t>
      </w:r>
      <w:r w:rsidRPr="00CA3CEB">
        <w:rPr>
          <w:b/>
          <w:bCs/>
          <w:color w:val="000000" w:themeColor="text1"/>
        </w:rPr>
        <w:t>(</w:t>
      </w:r>
      <w:proofErr w:type="spellStart"/>
      <w:r w:rsidRPr="00CA3CEB">
        <w:rPr>
          <w:b/>
          <w:bCs/>
          <w:color w:val="000000" w:themeColor="text1"/>
        </w:rPr>
        <w:t>i</w:t>
      </w:r>
      <w:proofErr w:type="spellEnd"/>
      <w:r w:rsidRPr="00CA3CEB">
        <w:rPr>
          <w:b/>
          <w:bCs/>
          <w:color w:val="000000" w:themeColor="text1"/>
        </w:rPr>
        <w:t>)</w:t>
      </w:r>
      <w:r w:rsidRPr="00CA3CEB">
        <w:rPr>
          <w:color w:val="000000" w:themeColor="text1"/>
        </w:rPr>
        <w:t xml:space="preserve"> mean corpuscular hemoglobin (MCH), and </w:t>
      </w:r>
      <w:r w:rsidRPr="00CA3CEB">
        <w:rPr>
          <w:b/>
          <w:bCs/>
          <w:color w:val="000000" w:themeColor="text1"/>
        </w:rPr>
        <w:t>(j)</w:t>
      </w:r>
      <w:r w:rsidRPr="00CA3CEB">
        <w:rPr>
          <w:color w:val="000000" w:themeColor="text1"/>
        </w:rPr>
        <w:t xml:space="preserve"> mean corpuscular hemoglobin concentration (MCHC). Data are presented as mean </w:t>
      </w:r>
      <w:r w:rsidR="00D161C4" w:rsidRPr="00CA3CEB">
        <w:rPr>
          <w:color w:val="000000" w:themeColor="text1"/>
        </w:rPr>
        <w:t>with SD</w:t>
      </w:r>
      <w:r w:rsidRPr="00CA3CEB">
        <w:rPr>
          <w:color w:val="000000" w:themeColor="text1"/>
        </w:rPr>
        <w:t>. (n = 4); *</w:t>
      </w:r>
      <w:r w:rsidRPr="00CA3CEB">
        <w:rPr>
          <w:i/>
          <w:iCs/>
          <w:color w:val="000000" w:themeColor="text1"/>
        </w:rPr>
        <w:t>p</w:t>
      </w:r>
      <w:r w:rsidRPr="00CA3CEB">
        <w:rPr>
          <w:color w:val="000000" w:themeColor="text1"/>
        </w:rPr>
        <w:t xml:space="preserve"> &lt; 0.05 vs. Vehicle group (two-way ANOVA followed by </w:t>
      </w:r>
      <w:r w:rsidRPr="00CA3CEB">
        <w:rPr>
          <w:i/>
          <w:iCs/>
          <w:color w:val="000000" w:themeColor="text1"/>
        </w:rPr>
        <w:t>Tukey's post hoc test</w:t>
      </w:r>
      <w:r w:rsidRPr="00CA3CEB">
        <w:rPr>
          <w:color w:val="000000" w:themeColor="text1"/>
        </w:rPr>
        <w:t xml:space="preserve"> or paired </w:t>
      </w:r>
      <w:r w:rsidRPr="00CA3CEB">
        <w:rPr>
          <w:i/>
          <w:iCs/>
          <w:color w:val="000000" w:themeColor="text1"/>
        </w:rPr>
        <w:t>t</w:t>
      </w:r>
      <w:r w:rsidRPr="00CA3CEB">
        <w:rPr>
          <w:color w:val="000000" w:themeColor="text1"/>
        </w:rPr>
        <w:t xml:space="preserve"> test)</w:t>
      </w:r>
    </w:p>
    <w:bookmarkEnd w:id="4"/>
    <w:p w14:paraId="6832BDA4" w14:textId="77777777" w:rsidR="00095162" w:rsidRPr="00CA3CEB" w:rsidRDefault="00095162" w:rsidP="00137035">
      <w:pPr>
        <w:pStyle w:val="MdParagraph"/>
        <w:spacing w:before="0" w:after="0" w:line="360" w:lineRule="auto"/>
        <w:rPr>
          <w:color w:val="000000" w:themeColor="text1"/>
        </w:rPr>
      </w:pPr>
    </w:p>
    <w:p w14:paraId="4FFD84A0" w14:textId="704F37E0" w:rsidR="00095162" w:rsidRPr="00CA3CEB" w:rsidRDefault="00095162">
      <w:pPr>
        <w:rPr>
          <w:rFonts w:ascii="Times New Roman" w:eastAsiaTheme="minorEastAsia" w:hAnsi="Times New Roman" w:cs="Times New Roman"/>
          <w:color w:val="000000" w:themeColor="text1"/>
        </w:rPr>
      </w:pPr>
      <w:r w:rsidRPr="00CA3CEB">
        <w:rPr>
          <w:color w:val="000000" w:themeColor="text1"/>
        </w:rPr>
        <w:br w:type="page"/>
      </w:r>
    </w:p>
    <w:p w14:paraId="2A1F89A8" w14:textId="054BADD7" w:rsidR="00095162" w:rsidRPr="00CA3CEB" w:rsidRDefault="00095162" w:rsidP="00137035">
      <w:pPr>
        <w:pStyle w:val="MdParagraph"/>
        <w:spacing w:before="0" w:after="0" w:line="360" w:lineRule="auto"/>
        <w:rPr>
          <w:color w:val="000000" w:themeColor="text1"/>
        </w:rPr>
      </w:pPr>
    </w:p>
    <w:p w14:paraId="65F482EA" w14:textId="4A174A8D" w:rsidR="00095162" w:rsidRPr="00CA3CEB" w:rsidRDefault="00405EF5" w:rsidP="00137035">
      <w:pPr>
        <w:pStyle w:val="MdParagraph"/>
        <w:spacing w:before="0" w:after="0" w:line="360" w:lineRule="auto"/>
        <w:rPr>
          <w:color w:val="000000" w:themeColor="text1"/>
        </w:rPr>
      </w:pPr>
      <w:r w:rsidRPr="00CA3CEB">
        <w:rPr>
          <w:noProof/>
          <w:color w:val="000000" w:themeColor="text1"/>
        </w:rPr>
        <w:drawing>
          <wp:inline distT="0" distB="0" distL="0" distR="0" wp14:anchorId="7A93D68A" wp14:editId="1508AB25">
            <wp:extent cx="5732145" cy="4509135"/>
            <wp:effectExtent l="0" t="0" r="0" b="0"/>
            <wp:docPr id="161939451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394511" name="図 1619394511"/>
                    <pic:cNvPicPr/>
                  </pic:nvPicPr>
                  <pic:blipFill>
                    <a:blip r:embed="rId8">
                      <a:extLst>
                        <a:ext uri="{28A0092B-C50C-407E-A947-70E740481C1C}">
                          <a14:useLocalDpi xmlns:a14="http://schemas.microsoft.com/office/drawing/2010/main" val="0"/>
                        </a:ext>
                      </a:extLst>
                    </a:blip>
                    <a:stretch>
                      <a:fillRect/>
                    </a:stretch>
                  </pic:blipFill>
                  <pic:spPr>
                    <a:xfrm>
                      <a:off x="0" y="0"/>
                      <a:ext cx="5732145" cy="4509135"/>
                    </a:xfrm>
                    <a:prstGeom prst="rect">
                      <a:avLst/>
                    </a:prstGeom>
                  </pic:spPr>
                </pic:pic>
              </a:graphicData>
            </a:graphic>
          </wp:inline>
        </w:drawing>
      </w:r>
    </w:p>
    <w:p w14:paraId="07CA8B39" w14:textId="77777777" w:rsidR="00DB3850" w:rsidRPr="00CA3CEB" w:rsidRDefault="00DB3850" w:rsidP="00DB3850">
      <w:pPr>
        <w:pStyle w:val="MdParagraph"/>
        <w:spacing w:after="0" w:line="360" w:lineRule="auto"/>
        <w:rPr>
          <w:b/>
          <w:bCs/>
          <w:color w:val="000000" w:themeColor="text1"/>
        </w:rPr>
      </w:pPr>
      <w:bookmarkStart w:id="5" w:name="OLE_LINK104"/>
      <w:r w:rsidRPr="00CA3CEB">
        <w:rPr>
          <w:b/>
          <w:bCs/>
          <w:color w:val="000000" w:themeColor="text1"/>
        </w:rPr>
        <w:t xml:space="preserve">Fig. S2 </w:t>
      </w:r>
      <w:r w:rsidRPr="00CA3CEB">
        <w:rPr>
          <w:color w:val="000000" w:themeColor="text1"/>
        </w:rPr>
        <w:t>Relationship between plasma allopregnanolone levels and sleep–wake patterns.</w:t>
      </w:r>
    </w:p>
    <w:p w14:paraId="004BB219" w14:textId="5C99908B" w:rsidR="00DB3850" w:rsidRPr="00CA3CEB" w:rsidRDefault="00DB3850" w:rsidP="00DB3850">
      <w:pPr>
        <w:spacing w:line="360" w:lineRule="auto"/>
        <w:rPr>
          <w:rFonts w:ascii="Times New Roman" w:hAnsi="Times New Roman" w:cs="Times New Roman"/>
          <w:color w:val="000000" w:themeColor="text1"/>
        </w:rPr>
      </w:pPr>
      <w:r w:rsidRPr="00CA3CEB">
        <w:rPr>
          <w:rFonts w:ascii="Times New Roman" w:hAnsi="Times New Roman" w:cs="Times New Roman"/>
          <w:b/>
          <w:bCs/>
          <w:color w:val="000000" w:themeColor="text1"/>
        </w:rPr>
        <w:t>(a)</w:t>
      </w:r>
      <w:r w:rsidRPr="00CA3CEB">
        <w:rPr>
          <w:rFonts w:ascii="Times New Roman" w:hAnsi="Times New Roman" w:cs="Times New Roman"/>
          <w:color w:val="000000" w:themeColor="text1"/>
        </w:rPr>
        <w:t xml:space="preserve"> Plasma concentrations of allopregnanolone measured after the 5-day treatment with Sal or Dex. </w:t>
      </w:r>
      <w:r w:rsidRPr="00CA3CEB">
        <w:rPr>
          <w:rFonts w:ascii="Times New Roman" w:hAnsi="Times New Roman" w:cs="Times New Roman"/>
          <w:b/>
          <w:bCs/>
          <w:color w:val="000000" w:themeColor="text1"/>
        </w:rPr>
        <w:t>(b–g)</w:t>
      </w:r>
      <w:r w:rsidRPr="00CA3CEB">
        <w:rPr>
          <w:rFonts w:ascii="Times New Roman" w:hAnsi="Times New Roman" w:cs="Times New Roman"/>
          <w:color w:val="000000" w:themeColor="text1"/>
        </w:rPr>
        <w:t xml:space="preserve"> Correlation analysis between plasma allopregnanolone concentrations (</w:t>
      </w:r>
      <w:proofErr w:type="spellStart"/>
      <w:r w:rsidRPr="00CA3CEB">
        <w:rPr>
          <w:rFonts w:ascii="Times New Roman" w:hAnsi="Times New Roman" w:cs="Times New Roman"/>
          <w:color w:val="000000" w:themeColor="text1"/>
        </w:rPr>
        <w:t>Allo</w:t>
      </w:r>
      <w:proofErr w:type="spellEnd"/>
      <w:r w:rsidRPr="00CA3CEB">
        <w:rPr>
          <w:rFonts w:ascii="Times New Roman" w:hAnsi="Times New Roman" w:cs="Times New Roman"/>
          <w:color w:val="000000" w:themeColor="text1"/>
        </w:rPr>
        <w:t xml:space="preserve"> conc.) and the total duration of each sleep–wake stage. Scatter plots show the relationships with </w:t>
      </w:r>
      <w:r w:rsidRPr="00CA3CEB">
        <w:rPr>
          <w:rFonts w:ascii="Times New Roman" w:hAnsi="Times New Roman" w:cs="Times New Roman"/>
          <w:b/>
          <w:bCs/>
          <w:color w:val="000000" w:themeColor="text1"/>
        </w:rPr>
        <w:t>(b)</w:t>
      </w:r>
      <w:r w:rsidRPr="00CA3CEB">
        <w:rPr>
          <w:rFonts w:ascii="Times New Roman" w:hAnsi="Times New Roman" w:cs="Times New Roman"/>
          <w:color w:val="000000" w:themeColor="text1"/>
        </w:rPr>
        <w:t xml:space="preserve"> wakefulness, </w:t>
      </w:r>
      <w:r w:rsidRPr="00CA3CEB">
        <w:rPr>
          <w:rFonts w:ascii="Times New Roman" w:hAnsi="Times New Roman" w:cs="Times New Roman"/>
          <w:b/>
          <w:bCs/>
          <w:color w:val="000000" w:themeColor="text1"/>
        </w:rPr>
        <w:t>(c)</w:t>
      </w:r>
      <w:r w:rsidRPr="00CA3CEB">
        <w:rPr>
          <w:rFonts w:ascii="Times New Roman" w:hAnsi="Times New Roman" w:cs="Times New Roman"/>
          <w:color w:val="000000" w:themeColor="text1"/>
        </w:rPr>
        <w:t xml:space="preserve"> REM sleep, and </w:t>
      </w:r>
      <w:r w:rsidRPr="00CA3CEB">
        <w:rPr>
          <w:rFonts w:ascii="Times New Roman" w:hAnsi="Times New Roman" w:cs="Times New Roman"/>
          <w:b/>
          <w:bCs/>
          <w:color w:val="000000" w:themeColor="text1"/>
        </w:rPr>
        <w:t>(d)</w:t>
      </w:r>
      <w:r w:rsidRPr="00CA3CEB">
        <w:rPr>
          <w:rFonts w:ascii="Times New Roman" w:hAnsi="Times New Roman" w:cs="Times New Roman"/>
          <w:color w:val="000000" w:themeColor="text1"/>
        </w:rPr>
        <w:t xml:space="preserve"> NREM sleep during the light phase, and with </w:t>
      </w:r>
      <w:r w:rsidRPr="00CA3CEB">
        <w:rPr>
          <w:rFonts w:ascii="Times New Roman" w:hAnsi="Times New Roman" w:cs="Times New Roman"/>
          <w:b/>
          <w:bCs/>
          <w:color w:val="000000" w:themeColor="text1"/>
        </w:rPr>
        <w:t>(e)</w:t>
      </w:r>
      <w:r w:rsidRPr="00CA3CEB">
        <w:rPr>
          <w:rFonts w:ascii="Times New Roman" w:hAnsi="Times New Roman" w:cs="Times New Roman"/>
          <w:color w:val="000000" w:themeColor="text1"/>
        </w:rPr>
        <w:t xml:space="preserve"> wakefulness, </w:t>
      </w:r>
      <w:r w:rsidRPr="00CA3CEB">
        <w:rPr>
          <w:rFonts w:ascii="Times New Roman" w:hAnsi="Times New Roman" w:cs="Times New Roman"/>
          <w:b/>
          <w:bCs/>
          <w:color w:val="000000" w:themeColor="text1"/>
        </w:rPr>
        <w:t>(f)</w:t>
      </w:r>
      <w:r w:rsidRPr="00CA3CEB">
        <w:rPr>
          <w:rFonts w:ascii="Times New Roman" w:hAnsi="Times New Roman" w:cs="Times New Roman"/>
          <w:color w:val="000000" w:themeColor="text1"/>
        </w:rPr>
        <w:t xml:space="preserve"> REM sleep, and </w:t>
      </w:r>
      <w:r w:rsidRPr="00CA3CEB">
        <w:rPr>
          <w:rFonts w:ascii="Times New Roman" w:hAnsi="Times New Roman" w:cs="Times New Roman"/>
          <w:b/>
          <w:bCs/>
          <w:color w:val="000000" w:themeColor="text1"/>
        </w:rPr>
        <w:t>(g)</w:t>
      </w:r>
      <w:r w:rsidRPr="00CA3CEB">
        <w:rPr>
          <w:rFonts w:ascii="Times New Roman" w:hAnsi="Times New Roman" w:cs="Times New Roman"/>
          <w:color w:val="000000" w:themeColor="text1"/>
        </w:rPr>
        <w:t xml:space="preserve"> NREM sleep during the dark phase. Blue circles: Sal-treated mice; Red circles: Dex-treated mice. Pearson’s correlation coefficient (</w:t>
      </w:r>
      <w:r w:rsidRPr="00CA3CEB">
        <w:rPr>
          <w:rFonts w:ascii="Times New Roman" w:hAnsi="Times New Roman" w:cs="Times New Roman"/>
          <w:i/>
          <w:iCs/>
          <w:color w:val="000000" w:themeColor="text1"/>
        </w:rPr>
        <w:t>r</w:t>
      </w:r>
      <w:r w:rsidRPr="00CA3CEB">
        <w:rPr>
          <w:rFonts w:ascii="Times New Roman" w:hAnsi="Times New Roman" w:cs="Times New Roman"/>
          <w:color w:val="000000" w:themeColor="text1"/>
        </w:rPr>
        <w:t xml:space="preserve">) and </w:t>
      </w:r>
      <w:r w:rsidRPr="00CA3CEB">
        <w:rPr>
          <w:rFonts w:ascii="Times New Roman" w:hAnsi="Times New Roman" w:cs="Times New Roman"/>
          <w:i/>
          <w:iCs/>
          <w:color w:val="000000" w:themeColor="text1"/>
        </w:rPr>
        <w:t>p</w:t>
      </w:r>
      <w:r w:rsidRPr="00CA3CEB">
        <w:rPr>
          <w:rFonts w:ascii="Times New Roman" w:hAnsi="Times New Roman" w:cs="Times New Roman"/>
          <w:color w:val="000000" w:themeColor="text1"/>
        </w:rPr>
        <w:t xml:space="preserve">-value are indicated in each panel. Data in </w:t>
      </w:r>
      <w:r w:rsidRPr="00CA3CEB">
        <w:rPr>
          <w:rFonts w:ascii="Times New Roman" w:hAnsi="Times New Roman" w:cs="Times New Roman"/>
          <w:b/>
          <w:bCs/>
          <w:color w:val="000000" w:themeColor="text1"/>
        </w:rPr>
        <w:t>(a)</w:t>
      </w:r>
      <w:r w:rsidRPr="00CA3CEB">
        <w:rPr>
          <w:rFonts w:ascii="Times New Roman" w:hAnsi="Times New Roman" w:cs="Times New Roman"/>
          <w:color w:val="000000" w:themeColor="text1"/>
        </w:rPr>
        <w:t xml:space="preserve"> are </w:t>
      </w:r>
      <w:bookmarkStart w:id="6" w:name="OLE_LINK89"/>
      <w:r w:rsidRPr="00CA3CEB">
        <w:rPr>
          <w:rFonts w:ascii="Times New Roman" w:hAnsi="Times New Roman" w:cs="Times New Roman"/>
          <w:color w:val="000000" w:themeColor="text1"/>
        </w:rPr>
        <w:t xml:space="preserve">presented as </w:t>
      </w:r>
      <w:r w:rsidR="00D161C4" w:rsidRPr="00CA3CEB">
        <w:rPr>
          <w:rFonts w:ascii="Times New Roman" w:hAnsi="Times New Roman" w:cs="Times New Roman"/>
          <w:color w:val="000000" w:themeColor="text1"/>
        </w:rPr>
        <w:t>individual data points with the median indicated</w:t>
      </w:r>
      <w:r w:rsidRPr="00CA3CEB">
        <w:rPr>
          <w:rFonts w:ascii="Times New Roman" w:hAnsi="Times New Roman" w:cs="Times New Roman"/>
          <w:color w:val="000000" w:themeColor="text1"/>
        </w:rPr>
        <w:t xml:space="preserve"> (two-tailed unpaired Student’s </w:t>
      </w:r>
      <w:r w:rsidRPr="00CA3CEB">
        <w:rPr>
          <w:rFonts w:ascii="Times New Roman" w:hAnsi="Times New Roman" w:cs="Times New Roman"/>
          <w:i/>
          <w:iCs/>
          <w:color w:val="000000" w:themeColor="text1"/>
        </w:rPr>
        <w:t>t</w:t>
      </w:r>
      <w:r w:rsidRPr="00CA3CEB">
        <w:rPr>
          <w:rFonts w:ascii="Times New Roman" w:hAnsi="Times New Roman" w:cs="Times New Roman"/>
          <w:color w:val="000000" w:themeColor="text1"/>
        </w:rPr>
        <w:t>-test)</w:t>
      </w:r>
      <w:bookmarkEnd w:id="5"/>
      <w:bookmarkEnd w:id="6"/>
    </w:p>
    <w:p w14:paraId="5C1216F8" w14:textId="6CEBD205" w:rsidR="00095162" w:rsidRPr="00CA3CEB" w:rsidRDefault="00095162">
      <w:pPr>
        <w:rPr>
          <w:rFonts w:ascii="Times New Roman" w:eastAsiaTheme="minorEastAsia" w:hAnsi="Times New Roman" w:cs="Times New Roman"/>
          <w:color w:val="000000" w:themeColor="text1"/>
        </w:rPr>
      </w:pPr>
      <w:r w:rsidRPr="00CA3CEB">
        <w:rPr>
          <w:color w:val="000000" w:themeColor="text1"/>
        </w:rPr>
        <w:br w:type="page"/>
      </w:r>
    </w:p>
    <w:p w14:paraId="7A9D58B2" w14:textId="089A718E" w:rsidR="00095162" w:rsidRPr="00CA3CEB" w:rsidRDefault="00095162" w:rsidP="00137035">
      <w:pPr>
        <w:pStyle w:val="MdParagraph"/>
        <w:spacing w:before="0" w:after="0" w:line="360" w:lineRule="auto"/>
        <w:rPr>
          <w:color w:val="000000" w:themeColor="text1"/>
        </w:rPr>
      </w:pPr>
    </w:p>
    <w:p w14:paraId="35C4D27E" w14:textId="24F0ABA5" w:rsidR="00095162" w:rsidRPr="00CA3CEB" w:rsidRDefault="00405EF5" w:rsidP="00137035">
      <w:pPr>
        <w:pStyle w:val="MdParagraph"/>
        <w:spacing w:before="0" w:after="0" w:line="360" w:lineRule="auto"/>
        <w:rPr>
          <w:color w:val="000000" w:themeColor="text1"/>
        </w:rPr>
      </w:pPr>
      <w:r w:rsidRPr="00CA3CEB">
        <w:rPr>
          <w:noProof/>
          <w:color w:val="000000" w:themeColor="text1"/>
        </w:rPr>
        <w:drawing>
          <wp:inline distT="0" distB="0" distL="0" distR="0" wp14:anchorId="3FF590EA" wp14:editId="09A09D54">
            <wp:extent cx="5651500" cy="2921000"/>
            <wp:effectExtent l="0" t="0" r="0" b="0"/>
            <wp:docPr id="32595667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956671" name="図 325956671"/>
                    <pic:cNvPicPr/>
                  </pic:nvPicPr>
                  <pic:blipFill>
                    <a:blip r:embed="rId9">
                      <a:extLst>
                        <a:ext uri="{28A0092B-C50C-407E-A947-70E740481C1C}">
                          <a14:useLocalDpi xmlns:a14="http://schemas.microsoft.com/office/drawing/2010/main" val="0"/>
                        </a:ext>
                      </a:extLst>
                    </a:blip>
                    <a:stretch>
                      <a:fillRect/>
                    </a:stretch>
                  </pic:blipFill>
                  <pic:spPr>
                    <a:xfrm>
                      <a:off x="0" y="0"/>
                      <a:ext cx="5651500" cy="2921000"/>
                    </a:xfrm>
                    <a:prstGeom prst="rect">
                      <a:avLst/>
                    </a:prstGeom>
                  </pic:spPr>
                </pic:pic>
              </a:graphicData>
            </a:graphic>
          </wp:inline>
        </w:drawing>
      </w:r>
    </w:p>
    <w:p w14:paraId="781D47AF" w14:textId="77777777" w:rsidR="007B1E75" w:rsidRPr="00CA3CEB" w:rsidRDefault="007B1E75" w:rsidP="004B53CB">
      <w:pPr>
        <w:pStyle w:val="MdParagraph"/>
        <w:spacing w:before="0" w:after="0" w:line="360" w:lineRule="auto"/>
        <w:rPr>
          <w:b/>
          <w:bCs/>
          <w:color w:val="000000" w:themeColor="text1"/>
        </w:rPr>
      </w:pPr>
    </w:p>
    <w:p w14:paraId="001128DA" w14:textId="77777777" w:rsidR="00DB3850" w:rsidRPr="00CA3CEB" w:rsidRDefault="00DB3850" w:rsidP="00DB3850">
      <w:pPr>
        <w:pStyle w:val="MdParagraph"/>
        <w:spacing w:before="0" w:after="0" w:line="360" w:lineRule="auto"/>
        <w:rPr>
          <w:b/>
          <w:bCs/>
          <w:color w:val="000000" w:themeColor="text1"/>
        </w:rPr>
      </w:pPr>
      <w:bookmarkStart w:id="7" w:name="OLE_LINK105"/>
      <w:r w:rsidRPr="00CA3CEB">
        <w:rPr>
          <w:b/>
          <w:bCs/>
          <w:color w:val="000000" w:themeColor="text1"/>
        </w:rPr>
        <w:t xml:space="preserve">Fig. S3 </w:t>
      </w:r>
      <w:r w:rsidRPr="00CA3CEB">
        <w:rPr>
          <w:color w:val="000000" w:themeColor="text1"/>
        </w:rPr>
        <w:t>Relationship between hypothalamic CRH levels and sleep–wake patterns.</w:t>
      </w:r>
    </w:p>
    <w:p w14:paraId="2D58DAC2" w14:textId="219A83E9" w:rsidR="00DB3850" w:rsidRPr="00CA3CEB" w:rsidRDefault="00DB3850" w:rsidP="00DB3850">
      <w:pPr>
        <w:pStyle w:val="MdParagraph"/>
        <w:spacing w:before="0" w:after="0" w:line="360" w:lineRule="auto"/>
        <w:rPr>
          <w:color w:val="000000" w:themeColor="text1"/>
        </w:rPr>
      </w:pPr>
      <w:r w:rsidRPr="00CA3CEB">
        <w:rPr>
          <w:b/>
          <w:bCs/>
          <w:color w:val="000000" w:themeColor="text1"/>
        </w:rPr>
        <w:t>(a)</w:t>
      </w:r>
      <w:r w:rsidRPr="00CA3CEB">
        <w:rPr>
          <w:color w:val="000000" w:themeColor="text1"/>
        </w:rPr>
        <w:t xml:space="preserve"> Hypothalamic CRH concentrations measured after 5-day treatment with Sal or Dex. </w:t>
      </w:r>
      <w:r w:rsidRPr="00CA3CEB">
        <w:rPr>
          <w:b/>
          <w:bCs/>
          <w:color w:val="000000" w:themeColor="text1"/>
        </w:rPr>
        <w:t>(b–d)</w:t>
      </w:r>
      <w:r w:rsidRPr="00CA3CEB">
        <w:rPr>
          <w:color w:val="000000" w:themeColor="text1"/>
        </w:rPr>
        <w:t xml:space="preserve"> Correlation analysis between hypothalamic CRH levels and sleep duration during the light phase. Scatter plots showing the relationships between CRH concentration and </w:t>
      </w:r>
      <w:r w:rsidRPr="00CA3CEB">
        <w:rPr>
          <w:b/>
          <w:bCs/>
          <w:color w:val="000000" w:themeColor="text1"/>
        </w:rPr>
        <w:t>(b)</w:t>
      </w:r>
      <w:r w:rsidRPr="00CA3CEB">
        <w:rPr>
          <w:color w:val="000000" w:themeColor="text1"/>
        </w:rPr>
        <w:t xml:space="preserve"> wakefulness, </w:t>
      </w:r>
      <w:r w:rsidRPr="00CA3CEB">
        <w:rPr>
          <w:b/>
          <w:bCs/>
          <w:color w:val="000000" w:themeColor="text1"/>
        </w:rPr>
        <w:t>(c)</w:t>
      </w:r>
      <w:r w:rsidRPr="00CA3CEB">
        <w:rPr>
          <w:color w:val="000000" w:themeColor="text1"/>
        </w:rPr>
        <w:t xml:space="preserve"> REM sleep, and </w:t>
      </w:r>
      <w:r w:rsidRPr="00CA3CEB">
        <w:rPr>
          <w:b/>
          <w:bCs/>
          <w:color w:val="000000" w:themeColor="text1"/>
        </w:rPr>
        <w:t>(d)</w:t>
      </w:r>
      <w:r w:rsidRPr="00CA3CEB">
        <w:rPr>
          <w:color w:val="000000" w:themeColor="text1"/>
        </w:rPr>
        <w:t xml:space="preserve"> NREM sleep. Blue circles: Sal group; Red circles: Dex group. Pearson’s correlation coefficient (</w:t>
      </w:r>
      <w:r w:rsidRPr="00CA3CEB">
        <w:rPr>
          <w:i/>
          <w:iCs/>
          <w:color w:val="000000" w:themeColor="text1"/>
        </w:rPr>
        <w:t>r</w:t>
      </w:r>
      <w:r w:rsidRPr="00CA3CEB">
        <w:rPr>
          <w:color w:val="000000" w:themeColor="text1"/>
        </w:rPr>
        <w:t xml:space="preserve">) and </w:t>
      </w:r>
      <w:r w:rsidRPr="00CA3CEB">
        <w:rPr>
          <w:i/>
          <w:iCs/>
          <w:color w:val="000000" w:themeColor="text1"/>
        </w:rPr>
        <w:t>p</w:t>
      </w:r>
      <w:r w:rsidRPr="00CA3CEB">
        <w:rPr>
          <w:color w:val="000000" w:themeColor="text1"/>
        </w:rPr>
        <w:t xml:space="preserve">-value are indicated in each panel. Data in </w:t>
      </w:r>
      <w:r w:rsidRPr="00CA3CEB">
        <w:rPr>
          <w:b/>
          <w:bCs/>
          <w:color w:val="000000" w:themeColor="text1"/>
        </w:rPr>
        <w:t>(a)</w:t>
      </w:r>
      <w:r w:rsidRPr="00CA3CEB">
        <w:rPr>
          <w:color w:val="000000" w:themeColor="text1"/>
        </w:rPr>
        <w:t xml:space="preserve"> are presented as </w:t>
      </w:r>
      <w:r w:rsidR="00D161C4" w:rsidRPr="00CA3CEB">
        <w:rPr>
          <w:color w:val="000000" w:themeColor="text1"/>
        </w:rPr>
        <w:t>individual data points with the median indicated</w:t>
      </w:r>
      <w:r w:rsidRPr="00CA3CEB">
        <w:rPr>
          <w:color w:val="000000" w:themeColor="text1"/>
        </w:rPr>
        <w:t xml:space="preserve"> (two-tailed unpaired Student’s </w:t>
      </w:r>
      <w:r w:rsidRPr="00CA3CEB">
        <w:rPr>
          <w:i/>
          <w:iCs/>
          <w:color w:val="000000" w:themeColor="text1"/>
        </w:rPr>
        <w:t>t</w:t>
      </w:r>
      <w:r w:rsidRPr="00CA3CEB">
        <w:rPr>
          <w:color w:val="000000" w:themeColor="text1"/>
        </w:rPr>
        <w:t>-test)</w:t>
      </w:r>
    </w:p>
    <w:bookmarkEnd w:id="7"/>
    <w:p w14:paraId="01FF37DE" w14:textId="7FD7843F" w:rsidR="00E12388" w:rsidRPr="00CA3CEB" w:rsidRDefault="00E12388">
      <w:pPr>
        <w:rPr>
          <w:rFonts w:ascii="Times New Roman" w:eastAsiaTheme="minorEastAsia" w:hAnsi="Times New Roman" w:cs="Times New Roman"/>
          <w:color w:val="000000" w:themeColor="text1"/>
        </w:rPr>
      </w:pPr>
    </w:p>
    <w:sectPr w:rsidR="00E12388" w:rsidRPr="00CA3CEB" w:rsidSect="00C0214A">
      <w:footerReference w:type="even" r:id="rId10"/>
      <w:footerReference w:type="default" r:id="rId11"/>
      <w:pgSz w:w="11907" w:h="16840"/>
      <w:pgMar w:top="1440" w:right="1440" w:bottom="1440" w:left="1440" w:header="709" w:footer="709" w:gutter="0"/>
      <w:lnNumType w:countBy="1"/>
      <w:cols w:space="720"/>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61B58" w14:textId="77777777" w:rsidR="005E699B" w:rsidRDefault="005E699B" w:rsidP="00C0214A">
      <w:r>
        <w:separator/>
      </w:r>
    </w:p>
  </w:endnote>
  <w:endnote w:type="continuationSeparator" w:id="0">
    <w:p w14:paraId="2C3B4ED1" w14:textId="77777777" w:rsidR="005E699B" w:rsidRDefault="005E699B" w:rsidP="00C02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1401637394"/>
      <w:docPartObj>
        <w:docPartGallery w:val="Page Numbers (Bottom of Page)"/>
        <w:docPartUnique/>
      </w:docPartObj>
    </w:sdtPr>
    <w:sdtContent>
      <w:p w14:paraId="6333E811" w14:textId="098761F6" w:rsidR="00C0214A" w:rsidRDefault="00C0214A" w:rsidP="00D07094">
        <w:pPr>
          <w:pStyle w:val="af1"/>
          <w:framePr w:wrap="none" w:vAnchor="text" w:hAnchor="margin" w:xAlign="center" w:y="1"/>
          <w:rPr>
            <w:rStyle w:val="af3"/>
          </w:rPr>
        </w:pPr>
        <w:r>
          <w:rPr>
            <w:rStyle w:val="af3"/>
          </w:rPr>
          <w:fldChar w:fldCharType="begin"/>
        </w:r>
        <w:r>
          <w:rPr>
            <w:rStyle w:val="af3"/>
          </w:rPr>
          <w:instrText xml:space="preserve"> PAGE </w:instrText>
        </w:r>
        <w:r>
          <w:rPr>
            <w:rStyle w:val="af3"/>
          </w:rPr>
          <w:fldChar w:fldCharType="separate"/>
        </w:r>
        <w:r>
          <w:rPr>
            <w:rStyle w:val="af3"/>
          </w:rPr>
          <w:fldChar w:fldCharType="end"/>
        </w:r>
      </w:p>
    </w:sdtContent>
  </w:sdt>
  <w:p w14:paraId="26FA163D" w14:textId="77777777" w:rsidR="00C0214A" w:rsidRDefault="00C0214A">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1707711303"/>
      <w:docPartObj>
        <w:docPartGallery w:val="Page Numbers (Bottom of Page)"/>
        <w:docPartUnique/>
      </w:docPartObj>
    </w:sdtPr>
    <w:sdtContent>
      <w:p w14:paraId="09AE2BF0" w14:textId="33AD600F" w:rsidR="00C0214A" w:rsidRDefault="00C0214A" w:rsidP="00D07094">
        <w:pPr>
          <w:pStyle w:val="af1"/>
          <w:framePr w:wrap="none" w:vAnchor="text" w:hAnchor="margin" w:xAlign="center" w:y="1"/>
          <w:rPr>
            <w:rStyle w:val="af3"/>
          </w:rPr>
        </w:pPr>
        <w:r>
          <w:rPr>
            <w:rStyle w:val="af3"/>
          </w:rPr>
          <w:fldChar w:fldCharType="begin"/>
        </w:r>
        <w:r>
          <w:rPr>
            <w:rStyle w:val="af3"/>
          </w:rPr>
          <w:instrText xml:space="preserve"> PAGE </w:instrText>
        </w:r>
        <w:r>
          <w:rPr>
            <w:rStyle w:val="af3"/>
          </w:rPr>
          <w:fldChar w:fldCharType="separate"/>
        </w:r>
        <w:r>
          <w:rPr>
            <w:rStyle w:val="af3"/>
            <w:noProof/>
          </w:rPr>
          <w:t>1</w:t>
        </w:r>
        <w:r>
          <w:rPr>
            <w:rStyle w:val="af3"/>
          </w:rPr>
          <w:fldChar w:fldCharType="end"/>
        </w:r>
      </w:p>
    </w:sdtContent>
  </w:sdt>
  <w:p w14:paraId="2116FB2A" w14:textId="77777777" w:rsidR="00C0214A" w:rsidRDefault="00C0214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9D8DE" w14:textId="77777777" w:rsidR="005E699B" w:rsidRDefault="005E699B" w:rsidP="00C0214A">
      <w:r>
        <w:separator/>
      </w:r>
    </w:p>
  </w:footnote>
  <w:footnote w:type="continuationSeparator" w:id="0">
    <w:p w14:paraId="6B522F4A" w14:textId="77777777" w:rsidR="005E699B" w:rsidRDefault="005E699B" w:rsidP="00C021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140B4"/>
    <w:multiLevelType w:val="multilevel"/>
    <w:tmpl w:val="3994346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8C42ECF"/>
    <w:multiLevelType w:val="hybridMultilevel"/>
    <w:tmpl w:val="D700CFDC"/>
    <w:lvl w:ilvl="0" w:tplc="A1FCC38C">
      <w:start w:val="1"/>
      <w:numFmt w:val="bullet"/>
      <w:lvlText w:val="●"/>
      <w:lvlJc w:val="left"/>
      <w:pPr>
        <w:ind w:left="720" w:hanging="360"/>
      </w:pPr>
    </w:lvl>
    <w:lvl w:ilvl="1" w:tplc="79A40838">
      <w:start w:val="1"/>
      <w:numFmt w:val="bullet"/>
      <w:lvlText w:val="○"/>
      <w:lvlJc w:val="left"/>
      <w:pPr>
        <w:ind w:left="1440" w:hanging="360"/>
      </w:pPr>
    </w:lvl>
    <w:lvl w:ilvl="2" w:tplc="CF34B7B8">
      <w:start w:val="1"/>
      <w:numFmt w:val="bullet"/>
      <w:lvlText w:val="■"/>
      <w:lvlJc w:val="left"/>
      <w:pPr>
        <w:ind w:left="2160" w:hanging="360"/>
      </w:pPr>
    </w:lvl>
    <w:lvl w:ilvl="3" w:tplc="B6AC85FA">
      <w:start w:val="1"/>
      <w:numFmt w:val="bullet"/>
      <w:lvlText w:val="●"/>
      <w:lvlJc w:val="left"/>
      <w:pPr>
        <w:ind w:left="2880" w:hanging="360"/>
      </w:pPr>
    </w:lvl>
    <w:lvl w:ilvl="4" w:tplc="6D9A1848">
      <w:start w:val="1"/>
      <w:numFmt w:val="bullet"/>
      <w:lvlText w:val="○"/>
      <w:lvlJc w:val="left"/>
      <w:pPr>
        <w:ind w:left="3600" w:hanging="360"/>
      </w:pPr>
    </w:lvl>
    <w:lvl w:ilvl="5" w:tplc="E362D656">
      <w:start w:val="1"/>
      <w:numFmt w:val="bullet"/>
      <w:lvlText w:val="■"/>
      <w:lvlJc w:val="left"/>
      <w:pPr>
        <w:ind w:left="4320" w:hanging="360"/>
      </w:pPr>
    </w:lvl>
    <w:lvl w:ilvl="6" w:tplc="41665BE8">
      <w:start w:val="1"/>
      <w:numFmt w:val="bullet"/>
      <w:lvlText w:val="●"/>
      <w:lvlJc w:val="left"/>
      <w:pPr>
        <w:ind w:left="5040" w:hanging="360"/>
      </w:pPr>
    </w:lvl>
    <w:lvl w:ilvl="7" w:tplc="3302478E">
      <w:start w:val="1"/>
      <w:numFmt w:val="bullet"/>
      <w:lvlText w:val="●"/>
      <w:lvlJc w:val="left"/>
      <w:pPr>
        <w:ind w:left="5760" w:hanging="360"/>
      </w:pPr>
    </w:lvl>
    <w:lvl w:ilvl="8" w:tplc="951CC700">
      <w:start w:val="1"/>
      <w:numFmt w:val="bullet"/>
      <w:lvlText w:val="●"/>
      <w:lvlJc w:val="left"/>
      <w:pPr>
        <w:ind w:left="6480" w:hanging="360"/>
      </w:pPr>
    </w:lvl>
  </w:abstractNum>
  <w:abstractNum w:abstractNumId="2" w15:restartNumberingAfterBreak="0">
    <w:nsid w:val="60F96AA1"/>
    <w:multiLevelType w:val="hybridMultilevel"/>
    <w:tmpl w:val="BCBAB876"/>
    <w:lvl w:ilvl="0" w:tplc="F642C42E">
      <w:start w:val="1"/>
      <w:numFmt w:val="bullet"/>
      <w:lvlText w:val="•"/>
      <w:lvlJc w:val="left"/>
      <w:pPr>
        <w:ind w:left="720" w:hanging="360"/>
      </w:pPr>
    </w:lvl>
    <w:lvl w:ilvl="1" w:tplc="C5E2195E">
      <w:start w:val="1"/>
      <w:numFmt w:val="bullet"/>
      <w:lvlText w:val="◦"/>
      <w:lvlJc w:val="left"/>
      <w:pPr>
        <w:ind w:left="1440" w:hanging="360"/>
      </w:pPr>
    </w:lvl>
    <w:lvl w:ilvl="2" w:tplc="694E69F8">
      <w:start w:val="1"/>
      <w:numFmt w:val="bullet"/>
      <w:lvlText w:val="•"/>
      <w:lvlJc w:val="left"/>
      <w:pPr>
        <w:ind w:left="2160" w:hanging="360"/>
      </w:pPr>
    </w:lvl>
    <w:lvl w:ilvl="3" w:tplc="BD96B3CE">
      <w:start w:val="1"/>
      <w:numFmt w:val="bullet"/>
      <w:lvlText w:val="◦"/>
      <w:lvlJc w:val="left"/>
      <w:pPr>
        <w:ind w:left="2880" w:hanging="360"/>
      </w:pPr>
    </w:lvl>
    <w:lvl w:ilvl="4" w:tplc="5D16A77C">
      <w:start w:val="1"/>
      <w:numFmt w:val="bullet"/>
      <w:lvlText w:val="•"/>
      <w:lvlJc w:val="left"/>
      <w:pPr>
        <w:ind w:left="3600" w:hanging="360"/>
      </w:pPr>
    </w:lvl>
    <w:lvl w:ilvl="5" w:tplc="AC92112E">
      <w:start w:val="1"/>
      <w:numFmt w:val="bullet"/>
      <w:lvlText w:val="◦"/>
      <w:lvlJc w:val="left"/>
      <w:pPr>
        <w:ind w:left="4320" w:hanging="360"/>
      </w:pPr>
    </w:lvl>
    <w:lvl w:ilvl="6" w:tplc="6DB8A730">
      <w:start w:val="1"/>
      <w:numFmt w:val="bullet"/>
      <w:lvlText w:val="•"/>
      <w:lvlJc w:val="left"/>
      <w:pPr>
        <w:ind w:left="5040" w:hanging="360"/>
      </w:pPr>
    </w:lvl>
    <w:lvl w:ilvl="7" w:tplc="746A9F88">
      <w:numFmt w:val="decimal"/>
      <w:lvlText w:val=""/>
      <w:lvlJc w:val="left"/>
    </w:lvl>
    <w:lvl w:ilvl="8" w:tplc="D6A4F284">
      <w:numFmt w:val="decimal"/>
      <w:lvlText w:val=""/>
      <w:lvlJc w:val="left"/>
    </w:lvl>
  </w:abstractNum>
  <w:num w:numId="1" w16cid:durableId="177859585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isplayBackgroundShape/>
  <w:bordersDoNotSurroundHeader/>
  <w:bordersDoNotSurroundFooter/>
  <w:proofState w:spelling="clean" w:grammar="clean"/>
  <w:defaultTabStop w:val="840"/>
  <w:drawingGridHorizontalSpacing w:val="120"/>
  <w:drawingGridVerticalSpacing w:val="20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A40"/>
    <w:rsid w:val="00011B7C"/>
    <w:rsid w:val="00036905"/>
    <w:rsid w:val="00046233"/>
    <w:rsid w:val="00054C2C"/>
    <w:rsid w:val="00057D83"/>
    <w:rsid w:val="00072132"/>
    <w:rsid w:val="000746C0"/>
    <w:rsid w:val="00092AA6"/>
    <w:rsid w:val="00095162"/>
    <w:rsid w:val="000957DE"/>
    <w:rsid w:val="000C13F9"/>
    <w:rsid w:val="000D7A3B"/>
    <w:rsid w:val="000E3489"/>
    <w:rsid w:val="000E3933"/>
    <w:rsid w:val="00102DE2"/>
    <w:rsid w:val="00124018"/>
    <w:rsid w:val="00125932"/>
    <w:rsid w:val="00127BE0"/>
    <w:rsid w:val="00137035"/>
    <w:rsid w:val="00167A83"/>
    <w:rsid w:val="00181026"/>
    <w:rsid w:val="001835BA"/>
    <w:rsid w:val="00194ACE"/>
    <w:rsid w:val="00194D2E"/>
    <w:rsid w:val="001A1A2E"/>
    <w:rsid w:val="001A2A27"/>
    <w:rsid w:val="001B1D96"/>
    <w:rsid w:val="001B78C9"/>
    <w:rsid w:val="001C1A5D"/>
    <w:rsid w:val="001C5C61"/>
    <w:rsid w:val="001D2322"/>
    <w:rsid w:val="001D5DD8"/>
    <w:rsid w:val="0021175D"/>
    <w:rsid w:val="00216E62"/>
    <w:rsid w:val="00232BBB"/>
    <w:rsid w:val="00233AA0"/>
    <w:rsid w:val="002418D5"/>
    <w:rsid w:val="002462CC"/>
    <w:rsid w:val="00254E23"/>
    <w:rsid w:val="00264852"/>
    <w:rsid w:val="0027136F"/>
    <w:rsid w:val="00275A8E"/>
    <w:rsid w:val="00295F3F"/>
    <w:rsid w:val="002A0891"/>
    <w:rsid w:val="002B038B"/>
    <w:rsid w:val="002B7070"/>
    <w:rsid w:val="002C2564"/>
    <w:rsid w:val="002D03B1"/>
    <w:rsid w:val="002D4BE0"/>
    <w:rsid w:val="002E38F6"/>
    <w:rsid w:val="002E453A"/>
    <w:rsid w:val="002F1E0C"/>
    <w:rsid w:val="002F781C"/>
    <w:rsid w:val="003002C1"/>
    <w:rsid w:val="00303FCD"/>
    <w:rsid w:val="00304FB2"/>
    <w:rsid w:val="00305123"/>
    <w:rsid w:val="00315231"/>
    <w:rsid w:val="00326BDF"/>
    <w:rsid w:val="0033441D"/>
    <w:rsid w:val="003356C4"/>
    <w:rsid w:val="00337897"/>
    <w:rsid w:val="00341E69"/>
    <w:rsid w:val="00355B63"/>
    <w:rsid w:val="0036514F"/>
    <w:rsid w:val="003809D7"/>
    <w:rsid w:val="003815EE"/>
    <w:rsid w:val="00385A3A"/>
    <w:rsid w:val="00386226"/>
    <w:rsid w:val="00387869"/>
    <w:rsid w:val="00391962"/>
    <w:rsid w:val="003A0D79"/>
    <w:rsid w:val="003A6349"/>
    <w:rsid w:val="003B1816"/>
    <w:rsid w:val="003B49AC"/>
    <w:rsid w:val="003B5640"/>
    <w:rsid w:val="003B6DB4"/>
    <w:rsid w:val="003D2F74"/>
    <w:rsid w:val="00405EF5"/>
    <w:rsid w:val="00407AD9"/>
    <w:rsid w:val="00437433"/>
    <w:rsid w:val="00446A2F"/>
    <w:rsid w:val="00447737"/>
    <w:rsid w:val="004659E5"/>
    <w:rsid w:val="00466E99"/>
    <w:rsid w:val="00473AB5"/>
    <w:rsid w:val="004812D5"/>
    <w:rsid w:val="00490141"/>
    <w:rsid w:val="00497D24"/>
    <w:rsid w:val="004B53CB"/>
    <w:rsid w:val="004C1135"/>
    <w:rsid w:val="004E5BCA"/>
    <w:rsid w:val="004F0F03"/>
    <w:rsid w:val="00501F0C"/>
    <w:rsid w:val="005055DC"/>
    <w:rsid w:val="00534D8D"/>
    <w:rsid w:val="00535960"/>
    <w:rsid w:val="00551478"/>
    <w:rsid w:val="0055318A"/>
    <w:rsid w:val="005610B3"/>
    <w:rsid w:val="00582C61"/>
    <w:rsid w:val="005878BD"/>
    <w:rsid w:val="00594BB8"/>
    <w:rsid w:val="005A3C5A"/>
    <w:rsid w:val="005B163F"/>
    <w:rsid w:val="005B2334"/>
    <w:rsid w:val="005D2AC8"/>
    <w:rsid w:val="005D3121"/>
    <w:rsid w:val="005E3826"/>
    <w:rsid w:val="005E699B"/>
    <w:rsid w:val="005F1149"/>
    <w:rsid w:val="00604B8E"/>
    <w:rsid w:val="00604EC9"/>
    <w:rsid w:val="00616C17"/>
    <w:rsid w:val="00616F0F"/>
    <w:rsid w:val="00623BEF"/>
    <w:rsid w:val="006310D4"/>
    <w:rsid w:val="006339FA"/>
    <w:rsid w:val="006349DA"/>
    <w:rsid w:val="00634D31"/>
    <w:rsid w:val="006365BF"/>
    <w:rsid w:val="006542EC"/>
    <w:rsid w:val="00661FF4"/>
    <w:rsid w:val="006811A5"/>
    <w:rsid w:val="006838B8"/>
    <w:rsid w:val="00683F9A"/>
    <w:rsid w:val="006955F2"/>
    <w:rsid w:val="006B1A8B"/>
    <w:rsid w:val="006B4749"/>
    <w:rsid w:val="006C4FB2"/>
    <w:rsid w:val="006E54B1"/>
    <w:rsid w:val="006F2A19"/>
    <w:rsid w:val="006F79D3"/>
    <w:rsid w:val="0070331C"/>
    <w:rsid w:val="00714618"/>
    <w:rsid w:val="00723157"/>
    <w:rsid w:val="007324EF"/>
    <w:rsid w:val="00763561"/>
    <w:rsid w:val="007838A9"/>
    <w:rsid w:val="0079606D"/>
    <w:rsid w:val="007A1B66"/>
    <w:rsid w:val="007B1144"/>
    <w:rsid w:val="007B1E75"/>
    <w:rsid w:val="007B2CA0"/>
    <w:rsid w:val="007B64E3"/>
    <w:rsid w:val="007C5D2F"/>
    <w:rsid w:val="007D046E"/>
    <w:rsid w:val="007E3F04"/>
    <w:rsid w:val="007E6AE6"/>
    <w:rsid w:val="00805710"/>
    <w:rsid w:val="00810A97"/>
    <w:rsid w:val="00836C13"/>
    <w:rsid w:val="0083790F"/>
    <w:rsid w:val="00842EB6"/>
    <w:rsid w:val="00845A40"/>
    <w:rsid w:val="008604A7"/>
    <w:rsid w:val="008D798B"/>
    <w:rsid w:val="008E303E"/>
    <w:rsid w:val="008E37FE"/>
    <w:rsid w:val="00902926"/>
    <w:rsid w:val="00903151"/>
    <w:rsid w:val="00910F21"/>
    <w:rsid w:val="00941B4A"/>
    <w:rsid w:val="00945D14"/>
    <w:rsid w:val="00946BAB"/>
    <w:rsid w:val="009654EC"/>
    <w:rsid w:val="009950B3"/>
    <w:rsid w:val="00996C9D"/>
    <w:rsid w:val="00996FCE"/>
    <w:rsid w:val="00997094"/>
    <w:rsid w:val="009A7622"/>
    <w:rsid w:val="009B12A7"/>
    <w:rsid w:val="009B35BF"/>
    <w:rsid w:val="009C130D"/>
    <w:rsid w:val="009C2A5F"/>
    <w:rsid w:val="009C4234"/>
    <w:rsid w:val="009C57B0"/>
    <w:rsid w:val="009C666D"/>
    <w:rsid w:val="009E19C4"/>
    <w:rsid w:val="009E35E8"/>
    <w:rsid w:val="009E7D3B"/>
    <w:rsid w:val="009F1343"/>
    <w:rsid w:val="009F2568"/>
    <w:rsid w:val="009F4B01"/>
    <w:rsid w:val="009F4D44"/>
    <w:rsid w:val="009F69BA"/>
    <w:rsid w:val="00A04F57"/>
    <w:rsid w:val="00A435AB"/>
    <w:rsid w:val="00A5091D"/>
    <w:rsid w:val="00A61353"/>
    <w:rsid w:val="00A65D47"/>
    <w:rsid w:val="00A7176E"/>
    <w:rsid w:val="00A739B7"/>
    <w:rsid w:val="00A76797"/>
    <w:rsid w:val="00A901C9"/>
    <w:rsid w:val="00A90D5F"/>
    <w:rsid w:val="00A955CD"/>
    <w:rsid w:val="00A96979"/>
    <w:rsid w:val="00A97386"/>
    <w:rsid w:val="00AA4F63"/>
    <w:rsid w:val="00AA5D0D"/>
    <w:rsid w:val="00B12880"/>
    <w:rsid w:val="00B20872"/>
    <w:rsid w:val="00B720D9"/>
    <w:rsid w:val="00B736E0"/>
    <w:rsid w:val="00B73FC8"/>
    <w:rsid w:val="00B91F32"/>
    <w:rsid w:val="00BA1428"/>
    <w:rsid w:val="00BA22B1"/>
    <w:rsid w:val="00BA6B76"/>
    <w:rsid w:val="00BA6BC6"/>
    <w:rsid w:val="00BB32BF"/>
    <w:rsid w:val="00BC080B"/>
    <w:rsid w:val="00BD7CED"/>
    <w:rsid w:val="00BE3E2F"/>
    <w:rsid w:val="00BE4F43"/>
    <w:rsid w:val="00C0214A"/>
    <w:rsid w:val="00C135E4"/>
    <w:rsid w:val="00C23FEC"/>
    <w:rsid w:val="00C32B8F"/>
    <w:rsid w:val="00C3321C"/>
    <w:rsid w:val="00C3667E"/>
    <w:rsid w:val="00C37CBB"/>
    <w:rsid w:val="00C60BCC"/>
    <w:rsid w:val="00C643BD"/>
    <w:rsid w:val="00C777B4"/>
    <w:rsid w:val="00C77F21"/>
    <w:rsid w:val="00C86413"/>
    <w:rsid w:val="00C96082"/>
    <w:rsid w:val="00CA1B9F"/>
    <w:rsid w:val="00CA3CEB"/>
    <w:rsid w:val="00CD492E"/>
    <w:rsid w:val="00CE5886"/>
    <w:rsid w:val="00CE603B"/>
    <w:rsid w:val="00CF2F54"/>
    <w:rsid w:val="00CF7698"/>
    <w:rsid w:val="00D00FA9"/>
    <w:rsid w:val="00D04B66"/>
    <w:rsid w:val="00D161C4"/>
    <w:rsid w:val="00D203C0"/>
    <w:rsid w:val="00D33919"/>
    <w:rsid w:val="00D435D9"/>
    <w:rsid w:val="00D6558A"/>
    <w:rsid w:val="00D65882"/>
    <w:rsid w:val="00D81086"/>
    <w:rsid w:val="00D81F84"/>
    <w:rsid w:val="00DB3850"/>
    <w:rsid w:val="00DB56EF"/>
    <w:rsid w:val="00DC2B7C"/>
    <w:rsid w:val="00DC5EB9"/>
    <w:rsid w:val="00DD3777"/>
    <w:rsid w:val="00E12388"/>
    <w:rsid w:val="00E1577B"/>
    <w:rsid w:val="00E157E4"/>
    <w:rsid w:val="00E17E09"/>
    <w:rsid w:val="00E211A2"/>
    <w:rsid w:val="00E21EFF"/>
    <w:rsid w:val="00E24016"/>
    <w:rsid w:val="00E31DFB"/>
    <w:rsid w:val="00E528F4"/>
    <w:rsid w:val="00E62CDF"/>
    <w:rsid w:val="00E656BC"/>
    <w:rsid w:val="00E738AC"/>
    <w:rsid w:val="00E9407E"/>
    <w:rsid w:val="00E96EDB"/>
    <w:rsid w:val="00EA4C49"/>
    <w:rsid w:val="00EA7A02"/>
    <w:rsid w:val="00EB1124"/>
    <w:rsid w:val="00EB1DC1"/>
    <w:rsid w:val="00EC7ED3"/>
    <w:rsid w:val="00ED23BE"/>
    <w:rsid w:val="00EE1093"/>
    <w:rsid w:val="00EF1AC2"/>
    <w:rsid w:val="00F031C1"/>
    <w:rsid w:val="00F06524"/>
    <w:rsid w:val="00F109C7"/>
    <w:rsid w:val="00F15141"/>
    <w:rsid w:val="00F321C6"/>
    <w:rsid w:val="00F437E1"/>
    <w:rsid w:val="00F4645C"/>
    <w:rsid w:val="00F477FB"/>
    <w:rsid w:val="00F53D0E"/>
    <w:rsid w:val="00F62485"/>
    <w:rsid w:val="00F7028E"/>
    <w:rsid w:val="00F74C70"/>
    <w:rsid w:val="00F75993"/>
    <w:rsid w:val="00F90EDC"/>
    <w:rsid w:val="00FD4FC6"/>
    <w:rsid w:val="00FE33C4"/>
    <w:rsid w:val="00FE5F52"/>
    <w:rsid w:val="00FE64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D0E6A5"/>
  <w15:docId w15:val="{87040702-F5C2-184F-8559-3592BA93E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6BDF"/>
    <w:rPr>
      <w:rFonts w:ascii="ＭＳ Ｐゴシック" w:eastAsia="ＭＳ Ｐゴシック" w:hAnsi="ＭＳ Ｐゴシック" w:cs="ＭＳ Ｐゴシック"/>
    </w:r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color="0563C1"/>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paragraph" w:customStyle="1" w:styleId="MdSpace">
    <w:name w:val="MdSpace"/>
    <w:qFormat/>
    <w:rPr>
      <w:sz w:val="12"/>
      <w:szCs w:val="12"/>
    </w:rPr>
  </w:style>
  <w:style w:type="paragraph" w:customStyle="1" w:styleId="MdCode">
    <w:name w:val="MdCode"/>
    <w:qFormat/>
    <w:pPr>
      <w:pBdr>
        <w:top w:val="single" w:sz="1" w:space="8" w:color="A5A5A5"/>
        <w:left w:val="single" w:sz="1" w:space="8" w:color="A5A5A5"/>
        <w:bottom w:val="single" w:sz="1" w:space="8" w:color="A5A5A5"/>
        <w:right w:val="single" w:sz="1" w:space="8" w:color="A5A5A5"/>
      </w:pBdr>
      <w:spacing w:before="200" w:after="200"/>
    </w:pPr>
    <w:rPr>
      <w:rFonts w:ascii="Courier New" w:eastAsia="Courier New" w:hAnsi="Courier New" w:cs="Courier New"/>
      <w:color w:val="70AD47"/>
      <w:sz w:val="22"/>
      <w:szCs w:val="22"/>
    </w:rPr>
  </w:style>
  <w:style w:type="paragraph" w:customStyle="1" w:styleId="MdHr">
    <w:name w:val="MdHr"/>
    <w:qFormat/>
    <w:pPr>
      <w:pBdr>
        <w:bottom w:val="single" w:sz="1" w:space="1" w:color="A5A5A5"/>
      </w:pBdr>
      <w:spacing w:before="240" w:after="240"/>
    </w:pPr>
  </w:style>
  <w:style w:type="paragraph" w:customStyle="1" w:styleId="MdBlockquote">
    <w:name w:val="MdBlockquote"/>
    <w:qFormat/>
    <w:pPr>
      <w:pBdr>
        <w:left w:val="single" w:sz="20" w:space="12" w:color="A5A5A5"/>
      </w:pBdr>
      <w:spacing w:before="200" w:after="200"/>
      <w:ind w:left="360"/>
    </w:pPr>
    <w:rPr>
      <w:i/>
      <w:iCs/>
      <w:color w:val="666666"/>
    </w:rPr>
  </w:style>
  <w:style w:type="paragraph" w:customStyle="1" w:styleId="MdHtml">
    <w:name w:val="MdHtml"/>
    <w:qFormat/>
    <w:rPr>
      <w:rFonts w:ascii="Courier New" w:eastAsia="Courier New" w:hAnsi="Courier New" w:cs="Courier New"/>
      <w:color w:val="ED7D31"/>
    </w:rPr>
  </w:style>
  <w:style w:type="paragraph" w:customStyle="1" w:styleId="MdDef">
    <w:name w:val="MdDef"/>
    <w:qFormat/>
    <w:pPr>
      <w:ind w:left="720" w:hanging="360"/>
    </w:pPr>
  </w:style>
  <w:style w:type="paragraph" w:customStyle="1" w:styleId="MdParagraph">
    <w:name w:val="MdParagraph"/>
    <w:qFormat/>
    <w:pPr>
      <w:spacing w:before="120" w:after="120"/>
    </w:pPr>
  </w:style>
  <w:style w:type="paragraph" w:customStyle="1" w:styleId="MdText">
    <w:name w:val="MdText"/>
    <w:qFormat/>
  </w:style>
  <w:style w:type="paragraph" w:customStyle="1" w:styleId="MdFootnote">
    <w:name w:val="MdFootnote"/>
    <w:qFormat/>
    <w:rPr>
      <w:vertAlign w:val="superscript"/>
    </w:rPr>
  </w:style>
  <w:style w:type="paragraph" w:customStyle="1" w:styleId="MdListItem">
    <w:name w:val="MdListItem"/>
    <w:qFormat/>
    <w:pPr>
      <w:spacing w:before="60" w:after="60"/>
      <w:ind w:left="720" w:hanging="360"/>
    </w:pPr>
  </w:style>
  <w:style w:type="paragraph" w:customStyle="1" w:styleId="MdTable">
    <w:name w:val="MdTable"/>
    <w:qFormat/>
    <w:pPr>
      <w:spacing w:before="60" w:after="60"/>
    </w:pPr>
  </w:style>
  <w:style w:type="paragraph" w:customStyle="1" w:styleId="MdTableHeader">
    <w:name w:val="MdTableHeader"/>
    <w:qFormat/>
    <w:pPr>
      <w:spacing w:before="60" w:after="60"/>
    </w:pPr>
    <w:rPr>
      <w:b/>
      <w:bCs/>
      <w:sz w:val="22"/>
      <w:szCs w:val="22"/>
    </w:rPr>
  </w:style>
  <w:style w:type="paragraph" w:customStyle="1" w:styleId="MdTableCell">
    <w:name w:val="MdTableCell"/>
    <w:qFormat/>
    <w:pPr>
      <w:spacing w:before="40" w:after="40"/>
    </w:pPr>
    <w:rPr>
      <w:sz w:val="20"/>
      <w:szCs w:val="20"/>
    </w:rPr>
  </w:style>
  <w:style w:type="paragraph" w:customStyle="1" w:styleId="MdHeading1">
    <w:name w:val="MdHeading1"/>
    <w:qFormat/>
    <w:pPr>
      <w:keepNext/>
      <w:spacing w:before="480" w:after="240"/>
      <w:outlineLvl w:val="0"/>
    </w:pPr>
    <w:rPr>
      <w:b/>
      <w:bCs/>
      <w:sz w:val="36"/>
      <w:szCs w:val="36"/>
    </w:rPr>
  </w:style>
  <w:style w:type="paragraph" w:customStyle="1" w:styleId="MdHeading2">
    <w:name w:val="MdHeading2"/>
    <w:qFormat/>
    <w:pPr>
      <w:keepNext/>
      <w:spacing w:before="400" w:after="200"/>
      <w:outlineLvl w:val="1"/>
    </w:pPr>
    <w:rPr>
      <w:b/>
      <w:bCs/>
      <w:sz w:val="32"/>
      <w:szCs w:val="32"/>
    </w:rPr>
  </w:style>
  <w:style w:type="paragraph" w:customStyle="1" w:styleId="MdHeading3">
    <w:name w:val="MdHeading3"/>
    <w:qFormat/>
    <w:pPr>
      <w:keepNext/>
      <w:spacing w:before="320" w:after="160"/>
      <w:outlineLvl w:val="2"/>
    </w:pPr>
    <w:rPr>
      <w:b/>
      <w:bCs/>
      <w:sz w:val="28"/>
      <w:szCs w:val="28"/>
    </w:rPr>
  </w:style>
  <w:style w:type="paragraph" w:customStyle="1" w:styleId="MdHeading4">
    <w:name w:val="MdHeading4"/>
    <w:qFormat/>
    <w:pPr>
      <w:keepNext/>
      <w:spacing w:before="280" w:after="140"/>
      <w:outlineLvl w:val="3"/>
    </w:pPr>
    <w:rPr>
      <w:b/>
      <w:bCs/>
      <w:sz w:val="26"/>
      <w:szCs w:val="26"/>
    </w:rPr>
  </w:style>
  <w:style w:type="paragraph" w:customStyle="1" w:styleId="MdHeading5">
    <w:name w:val="MdHeading5"/>
    <w:qFormat/>
    <w:pPr>
      <w:keepNext/>
      <w:spacing w:before="240" w:after="120"/>
      <w:outlineLvl w:val="4"/>
    </w:pPr>
    <w:rPr>
      <w:b/>
      <w:bCs/>
      <w:i/>
      <w:iCs/>
    </w:rPr>
  </w:style>
  <w:style w:type="paragraph" w:customStyle="1" w:styleId="MdHeading6">
    <w:name w:val="MdHeading6"/>
    <w:qFormat/>
    <w:pPr>
      <w:keepNext/>
      <w:spacing w:before="240" w:after="120"/>
      <w:outlineLvl w:val="5"/>
    </w:pPr>
    <w:rPr>
      <w:i/>
      <w:iCs/>
    </w:rPr>
  </w:style>
  <w:style w:type="character" w:customStyle="1" w:styleId="MdTag">
    <w:name w:val="MdTag"/>
    <w:uiPriority w:val="99"/>
    <w:unhideWhenUsed/>
    <w:qFormat/>
    <w:rPr>
      <w:rFonts w:ascii="Courier New" w:eastAsia="Courier New" w:hAnsi="Courier New" w:cs="Courier New"/>
      <w:color w:val="ED7D31"/>
    </w:rPr>
  </w:style>
  <w:style w:type="character" w:customStyle="1" w:styleId="MdLink">
    <w:name w:val="MdLink"/>
    <w:uiPriority w:val="99"/>
    <w:unhideWhenUsed/>
    <w:qFormat/>
    <w:rPr>
      <w:color w:val="0563C1"/>
      <w:u w:val="single"/>
    </w:rPr>
  </w:style>
  <w:style w:type="character" w:customStyle="1" w:styleId="MdStrong">
    <w:name w:val="MdStrong"/>
    <w:uiPriority w:val="99"/>
    <w:unhideWhenUsed/>
    <w:qFormat/>
    <w:rPr>
      <w:b/>
      <w:bCs/>
    </w:rPr>
  </w:style>
  <w:style w:type="character" w:customStyle="1" w:styleId="MdEm">
    <w:name w:val="MdEm"/>
    <w:uiPriority w:val="99"/>
    <w:unhideWhenUsed/>
    <w:qFormat/>
    <w:rPr>
      <w:i/>
      <w:iCs/>
    </w:rPr>
  </w:style>
  <w:style w:type="character" w:customStyle="1" w:styleId="MdCodespan">
    <w:name w:val="MdCodespan"/>
    <w:uiPriority w:val="99"/>
    <w:unhideWhenUsed/>
    <w:qFormat/>
    <w:rPr>
      <w:rFonts w:ascii="Courier New" w:eastAsia="Courier New" w:hAnsi="Courier New" w:cs="Courier New"/>
      <w:color w:val="70AD47"/>
    </w:rPr>
  </w:style>
  <w:style w:type="character" w:customStyle="1" w:styleId="MdDel">
    <w:name w:val="MdDel"/>
    <w:uiPriority w:val="99"/>
    <w:unhideWhenUsed/>
    <w:qFormat/>
    <w:rPr>
      <w:strike/>
    </w:rPr>
  </w:style>
  <w:style w:type="character" w:customStyle="1" w:styleId="MdBr">
    <w:name w:val="MdBr"/>
    <w:uiPriority w:val="99"/>
    <w:unhideWhenUsed/>
    <w:qFormat/>
  </w:style>
  <w:style w:type="character" w:styleId="a9">
    <w:name w:val="Emphasis"/>
    <w:basedOn w:val="a0"/>
    <w:uiPriority w:val="20"/>
    <w:qFormat/>
    <w:rsid w:val="00E21EFF"/>
    <w:rPr>
      <w:i/>
      <w:iCs/>
    </w:rPr>
  </w:style>
  <w:style w:type="paragraph" w:styleId="Web">
    <w:name w:val="Normal (Web)"/>
    <w:basedOn w:val="a"/>
    <w:uiPriority w:val="99"/>
    <w:unhideWhenUsed/>
    <w:rsid w:val="00326BDF"/>
    <w:pPr>
      <w:spacing w:before="100" w:beforeAutospacing="1" w:after="100" w:afterAutospacing="1"/>
    </w:pPr>
  </w:style>
  <w:style w:type="character" w:styleId="aa">
    <w:name w:val="Unresolved Mention"/>
    <w:basedOn w:val="a0"/>
    <w:uiPriority w:val="99"/>
    <w:semiHidden/>
    <w:unhideWhenUsed/>
    <w:rsid w:val="003002C1"/>
    <w:rPr>
      <w:color w:val="605E5C"/>
      <w:shd w:val="clear" w:color="auto" w:fill="E1DFDD"/>
    </w:rPr>
  </w:style>
  <w:style w:type="character" w:styleId="ab">
    <w:name w:val="annotation reference"/>
    <w:basedOn w:val="a0"/>
    <w:uiPriority w:val="99"/>
    <w:semiHidden/>
    <w:unhideWhenUsed/>
    <w:rsid w:val="004B53CB"/>
    <w:rPr>
      <w:sz w:val="18"/>
      <w:szCs w:val="18"/>
    </w:rPr>
  </w:style>
  <w:style w:type="paragraph" w:styleId="ac">
    <w:name w:val="annotation text"/>
    <w:basedOn w:val="a"/>
    <w:link w:val="ad"/>
    <w:uiPriority w:val="99"/>
    <w:semiHidden/>
    <w:unhideWhenUsed/>
  </w:style>
  <w:style w:type="character" w:customStyle="1" w:styleId="ad">
    <w:name w:val="コメント文字列 (文字)"/>
    <w:basedOn w:val="a0"/>
    <w:link w:val="ac"/>
    <w:uiPriority w:val="99"/>
    <w:semiHidden/>
    <w:rPr>
      <w:rFonts w:ascii="ＭＳ Ｐゴシック" w:eastAsia="ＭＳ Ｐゴシック" w:hAnsi="ＭＳ Ｐゴシック" w:cs="ＭＳ Ｐゴシック"/>
    </w:rPr>
  </w:style>
  <w:style w:type="paragraph" w:styleId="ae">
    <w:name w:val="Revision"/>
    <w:hidden/>
    <w:uiPriority w:val="99"/>
    <w:semiHidden/>
    <w:rsid w:val="005F1149"/>
    <w:rPr>
      <w:rFonts w:ascii="ＭＳ Ｐゴシック" w:eastAsia="ＭＳ Ｐゴシック" w:hAnsi="ＭＳ Ｐゴシック" w:cs="ＭＳ Ｐゴシック"/>
    </w:rPr>
  </w:style>
  <w:style w:type="paragraph" w:styleId="af">
    <w:name w:val="annotation subject"/>
    <w:basedOn w:val="ac"/>
    <w:next w:val="ac"/>
    <w:link w:val="af0"/>
    <w:uiPriority w:val="99"/>
    <w:semiHidden/>
    <w:unhideWhenUsed/>
    <w:rsid w:val="00C777B4"/>
    <w:rPr>
      <w:b/>
      <w:bCs/>
    </w:rPr>
  </w:style>
  <w:style w:type="character" w:customStyle="1" w:styleId="af0">
    <w:name w:val="コメント内容 (文字)"/>
    <w:basedOn w:val="ad"/>
    <w:link w:val="af"/>
    <w:uiPriority w:val="99"/>
    <w:semiHidden/>
    <w:rsid w:val="00C777B4"/>
    <w:rPr>
      <w:rFonts w:ascii="ＭＳ Ｐゴシック" w:eastAsia="ＭＳ Ｐゴシック" w:hAnsi="ＭＳ Ｐゴシック" w:cs="ＭＳ Ｐゴシック"/>
      <w:b/>
      <w:bCs/>
    </w:rPr>
  </w:style>
  <w:style w:type="character" w:customStyle="1" w:styleId="citation-doi">
    <w:name w:val="citation-doi"/>
    <w:basedOn w:val="a0"/>
    <w:rsid w:val="00254E23"/>
  </w:style>
  <w:style w:type="character" w:customStyle="1" w:styleId="math-inline">
    <w:name w:val="math-inline"/>
    <w:basedOn w:val="a0"/>
    <w:rsid w:val="00714618"/>
  </w:style>
  <w:style w:type="character" w:customStyle="1" w:styleId="anchor-text">
    <w:name w:val="anchor-text"/>
    <w:basedOn w:val="a0"/>
    <w:rsid w:val="009B12A7"/>
  </w:style>
  <w:style w:type="paragraph" w:styleId="af1">
    <w:name w:val="footer"/>
    <w:basedOn w:val="a"/>
    <w:link w:val="af2"/>
    <w:uiPriority w:val="99"/>
    <w:unhideWhenUsed/>
    <w:rsid w:val="00C0214A"/>
    <w:pPr>
      <w:tabs>
        <w:tab w:val="center" w:pos="4252"/>
        <w:tab w:val="right" w:pos="8504"/>
      </w:tabs>
      <w:snapToGrid w:val="0"/>
    </w:pPr>
  </w:style>
  <w:style w:type="character" w:customStyle="1" w:styleId="af2">
    <w:name w:val="フッター (文字)"/>
    <w:basedOn w:val="a0"/>
    <w:link w:val="af1"/>
    <w:uiPriority w:val="99"/>
    <w:rsid w:val="00C0214A"/>
    <w:rPr>
      <w:rFonts w:ascii="ＭＳ Ｐゴシック" w:eastAsia="ＭＳ Ｐゴシック" w:hAnsi="ＭＳ Ｐゴシック" w:cs="ＭＳ Ｐゴシック"/>
    </w:rPr>
  </w:style>
  <w:style w:type="character" w:styleId="af3">
    <w:name w:val="page number"/>
    <w:basedOn w:val="a0"/>
    <w:uiPriority w:val="99"/>
    <w:semiHidden/>
    <w:unhideWhenUsed/>
    <w:rsid w:val="00C0214A"/>
  </w:style>
  <w:style w:type="character" w:styleId="af4">
    <w:name w:val="line number"/>
    <w:basedOn w:val="a0"/>
    <w:uiPriority w:val="99"/>
    <w:semiHidden/>
    <w:unhideWhenUsed/>
    <w:rsid w:val="00C02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CC0464CA54764FAA3829548C936715"/>
        <w:category>
          <w:name w:val="全般"/>
          <w:gallery w:val="placeholder"/>
        </w:category>
        <w:types>
          <w:type w:val="bbPlcHdr"/>
        </w:types>
        <w:behaviors>
          <w:behavior w:val="content"/>
        </w:behaviors>
        <w:guid w:val="{8402A63F-50F6-B948-B256-4C36A4FFDC4E}"/>
      </w:docPartPr>
      <w:docPartBody>
        <w:p w:rsidR="00EC5E0B" w:rsidRDefault="0077371E" w:rsidP="0077371E">
          <w:pPr>
            <w:pStyle w:val="5DCC0464CA54764FAA3829548C936715"/>
          </w:pPr>
          <w:r w:rsidRPr="00011B22">
            <w:rPr>
              <w:rStyle w:val="a3"/>
            </w:rPr>
            <w:t>ここをクリックまたはタップしてテキストを入力してください。</w:t>
          </w:r>
        </w:p>
      </w:docPartBody>
    </w:docPart>
    <w:docPart>
      <w:docPartPr>
        <w:name w:val="6BAA51283C7B3F4A960A1DEA0237357C"/>
        <w:category>
          <w:name w:val="全般"/>
          <w:gallery w:val="placeholder"/>
        </w:category>
        <w:types>
          <w:type w:val="bbPlcHdr"/>
        </w:types>
        <w:behaviors>
          <w:behavior w:val="content"/>
        </w:behaviors>
        <w:guid w:val="{DBF21B71-9D9A-2F42-8855-80DE05DD7AA8}"/>
      </w:docPartPr>
      <w:docPartBody>
        <w:p w:rsidR="00EC5E0B" w:rsidRDefault="0077371E" w:rsidP="0077371E">
          <w:pPr>
            <w:pStyle w:val="6BAA51283C7B3F4A960A1DEA0237357C"/>
          </w:pPr>
          <w:r w:rsidRPr="00011B22">
            <w:rPr>
              <w:rStyle w:val="a3"/>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C3C"/>
    <w:rsid w:val="0009640C"/>
    <w:rsid w:val="00153C7A"/>
    <w:rsid w:val="00233AA0"/>
    <w:rsid w:val="00235C87"/>
    <w:rsid w:val="002C2564"/>
    <w:rsid w:val="002E38F6"/>
    <w:rsid w:val="00317BB8"/>
    <w:rsid w:val="00317D0C"/>
    <w:rsid w:val="003F4A1C"/>
    <w:rsid w:val="00433B28"/>
    <w:rsid w:val="00462553"/>
    <w:rsid w:val="005513D6"/>
    <w:rsid w:val="007204CC"/>
    <w:rsid w:val="0077371E"/>
    <w:rsid w:val="007840AF"/>
    <w:rsid w:val="007945FB"/>
    <w:rsid w:val="007E6AE6"/>
    <w:rsid w:val="00834038"/>
    <w:rsid w:val="008D6A06"/>
    <w:rsid w:val="00A510BD"/>
    <w:rsid w:val="00A765F5"/>
    <w:rsid w:val="00B00D00"/>
    <w:rsid w:val="00B0648B"/>
    <w:rsid w:val="00B11FFB"/>
    <w:rsid w:val="00B5747F"/>
    <w:rsid w:val="00D25C3C"/>
    <w:rsid w:val="00E2399D"/>
    <w:rsid w:val="00E60CA9"/>
    <w:rsid w:val="00EC5E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7371E"/>
    <w:rPr>
      <w:color w:val="666666"/>
    </w:rPr>
  </w:style>
  <w:style w:type="paragraph" w:customStyle="1" w:styleId="5DCC0464CA54764FAA3829548C936715">
    <w:name w:val="5DCC0464CA54764FAA3829548C936715"/>
    <w:rsid w:val="0077371E"/>
    <w:pPr>
      <w:widowControl w:val="0"/>
    </w:pPr>
  </w:style>
  <w:style w:type="paragraph" w:customStyle="1" w:styleId="6BAA51283C7B3F4A960A1DEA0237357C">
    <w:name w:val="6BAA51283C7B3F4A960A1DEA0237357C"/>
    <w:rsid w:val="0077371E"/>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754</Words>
  <Characters>4300</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Converted Document</vt:lpstr>
    </vt:vector>
  </TitlesOfParts>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Converted Document</dc:title>
  <dc:creator>md2docx converter</dc:creator>
  <dc:description>Converted from Markdown</dc:description>
  <cp:lastModifiedBy>山下 哲</cp:lastModifiedBy>
  <cp:revision>14</cp:revision>
  <cp:lastPrinted>2025-11-25T10:53:00Z</cp:lastPrinted>
  <dcterms:created xsi:type="dcterms:W3CDTF">2025-12-03T20:59:00Z</dcterms:created>
  <dcterms:modified xsi:type="dcterms:W3CDTF">2025-12-09T15:03:00Z</dcterms:modified>
</cp:coreProperties>
</file>