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45753" w14:textId="77777777" w:rsidR="00C960A2" w:rsidRPr="003162E4" w:rsidRDefault="00C960A2" w:rsidP="00C960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14:ligatures w14:val="none"/>
        </w:rPr>
      </w:pPr>
      <w:proofErr w:type="spellStart"/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14:ligatures w14:val="none"/>
        </w:rPr>
        <w:t>Khodavirdilou</w:t>
      </w:r>
      <w:proofErr w:type="spellEnd"/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14:ligatures w14:val="none"/>
        </w:rPr>
        <w:t>, Lida</w:t>
      </w:r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:vertAlign w:val="superscript"/>
          <w14:ligatures w14:val="none"/>
        </w:rPr>
        <w:t>1,2</w:t>
      </w:r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14:ligatures w14:val="none"/>
        </w:rPr>
        <w:t xml:space="preserve">; </w:t>
      </w:r>
      <w:proofErr w:type="spellStart"/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14:ligatures w14:val="none"/>
        </w:rPr>
        <w:t>Zuarth</w:t>
      </w:r>
      <w:proofErr w:type="spellEnd"/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14:ligatures w14:val="none"/>
        </w:rPr>
        <w:t xml:space="preserve"> Gonzalez, Julio D</w:t>
      </w:r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:vertAlign w:val="superscript"/>
          <w14:ligatures w14:val="none"/>
        </w:rPr>
        <w:t>1</w:t>
      </w:r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14:ligatures w14:val="none"/>
        </w:rPr>
        <w:t>; Mukhopadhyay, Sushobhan</w:t>
      </w:r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:vertAlign w:val="superscript"/>
          <w14:ligatures w14:val="none"/>
        </w:rPr>
        <w:t>3</w:t>
      </w:r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14:ligatures w14:val="none"/>
        </w:rPr>
        <w:t>; Guadagnoli, Nicholas</w:t>
      </w:r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:vertAlign w:val="superscript"/>
          <w14:ligatures w14:val="none"/>
        </w:rPr>
        <w:t>3</w:t>
      </w:r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14:ligatures w14:val="none"/>
        </w:rPr>
        <w:t>; Obeng, Samuel</w:t>
      </w:r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:vertAlign w:val="superscript"/>
          <w14:ligatures w14:val="none"/>
        </w:rPr>
        <w:t>1</w:t>
      </w:r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14:ligatures w14:val="none"/>
        </w:rPr>
        <w:t>; McCurdy, Christopher R</w:t>
      </w:r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:vertAlign w:val="superscript"/>
          <w14:ligatures w14:val="none"/>
        </w:rPr>
        <w:t>3</w:t>
      </w:r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14:ligatures w14:val="none"/>
        </w:rPr>
        <w:t>; McMahon, Lance R</w:t>
      </w:r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:vertAlign w:val="superscript"/>
          <w14:ligatures w14:val="none"/>
        </w:rPr>
        <w:t>1</w:t>
      </w:r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14:ligatures w14:val="none"/>
        </w:rPr>
        <w:t>; and Wilkerson, Jenny L</w:t>
      </w:r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:vertAlign w:val="superscript"/>
          <w14:ligatures w14:val="none"/>
        </w:rPr>
        <w:t>1,2</w:t>
      </w:r>
      <w:r w:rsidRPr="003162E4">
        <w:rPr>
          <w:rFonts w:ascii="Times New Roman" w:eastAsia="Google Sans Text" w:hAnsi="Times New Roman" w:cs="Times New Roman"/>
          <w:b/>
          <w:bCs/>
          <w:color w:val="1B1C1D"/>
          <w:kern w:val="0"/>
          <w:sz w:val="20"/>
          <w:szCs w:val="20"/>
          <w:vertAlign w:val="superscript"/>
          <w14:ligatures w14:val="none"/>
        </w:rPr>
        <w:t>*</w:t>
      </w:r>
    </w:p>
    <w:p w14:paraId="4406ADEB" w14:textId="77777777" w:rsidR="00C960A2" w:rsidRPr="003162E4" w:rsidRDefault="00C960A2" w:rsidP="00C960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14:ligatures w14:val="none"/>
        </w:rPr>
      </w:pPr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14:ligatures w14:val="none"/>
        </w:rPr>
        <w:t>¹ Department of Pharmaceutical Sciences, Texas Tech University Health Sciences Center, Amarillo, TX, USA</w:t>
      </w:r>
    </w:p>
    <w:p w14:paraId="4F4AF500" w14:textId="77777777" w:rsidR="00C960A2" w:rsidRPr="003162E4" w:rsidRDefault="00C960A2" w:rsidP="00C960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Times New Roman" w:eastAsia="Google Sans Text" w:hAnsi="Times New Roman" w:cs="Times New Roman"/>
          <w:b/>
          <w:color w:val="1B1C1D"/>
          <w:kern w:val="0"/>
          <w:sz w:val="20"/>
          <w:szCs w:val="20"/>
          <w14:ligatures w14:val="none"/>
        </w:rPr>
      </w:pPr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14:ligatures w14:val="none"/>
        </w:rPr>
        <w:t>² Department of Anesthesiology and Perioperative Medicine, Rutgers Biomedical and Health Sciences, Rutgers, The State University of New Jersey, Newark, NJ, USA</w:t>
      </w:r>
      <w:r w:rsidRPr="003162E4">
        <w:rPr>
          <w:rFonts w:ascii="Times New Roman" w:eastAsia="Google Sans Text" w:hAnsi="Times New Roman" w:cs="Times New Roman"/>
          <w:b/>
          <w:color w:val="1B1C1D"/>
          <w:kern w:val="0"/>
          <w:sz w:val="20"/>
          <w:szCs w:val="20"/>
          <w14:ligatures w14:val="none"/>
        </w:rPr>
        <w:t xml:space="preserve"> </w:t>
      </w:r>
    </w:p>
    <w:p w14:paraId="09A5D8AB" w14:textId="77777777" w:rsidR="00C960A2" w:rsidRPr="003162E4" w:rsidRDefault="00C960A2" w:rsidP="00C960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14:ligatures w14:val="none"/>
        </w:rPr>
      </w:pPr>
      <w:r w:rsidRPr="003162E4">
        <w:rPr>
          <w:rFonts w:ascii="Times New Roman" w:eastAsia="Google Sans Text" w:hAnsi="Times New Roman" w:cs="Times New Roman"/>
          <w:color w:val="1B1C1D"/>
          <w:kern w:val="0"/>
          <w:sz w:val="20"/>
          <w:szCs w:val="20"/>
          <w14:ligatures w14:val="none"/>
        </w:rPr>
        <w:t>³ Department of Medicinal Chemistry, College of Pharmacy, University of Florida, Gainesville, FL, USA</w:t>
      </w:r>
    </w:p>
    <w:p w14:paraId="451CDE76" w14:textId="517AB7BD" w:rsidR="000D40A2" w:rsidRPr="003162E4" w:rsidRDefault="00BA3003" w:rsidP="00A57477">
      <w:pPr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</w:pPr>
      <w:bookmarkStart w:id="0" w:name="_Hlk212733638"/>
      <w:r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t>Supplementa</w:t>
      </w:r>
      <w:r w:rsidR="000D40A2"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t>l Results</w:t>
      </w:r>
    </w:p>
    <w:p w14:paraId="66FB7C9A" w14:textId="77777777" w:rsidR="00360968" w:rsidRPr="003162E4" w:rsidRDefault="00360968" w:rsidP="003609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</w:pPr>
      <w:r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t xml:space="preserve">Experiment 1: Effects of MG on Responding </w:t>
      </w:r>
      <w:proofErr w:type="gramStart"/>
      <w:r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t>for</w:t>
      </w:r>
      <w:proofErr w:type="gramEnd"/>
      <w:r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t xml:space="preserve"> Methamphetamine Under a Fixed Ratio Schedule</w:t>
      </w:r>
    </w:p>
    <w:p w14:paraId="1E4C1311" w14:textId="77777777" w:rsidR="00360968" w:rsidRPr="003162E4" w:rsidRDefault="00360968" w:rsidP="003609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</w:pPr>
      <w:r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t>Active vs. Inactive Lever Presses</w:t>
      </w:r>
    </w:p>
    <w:p w14:paraId="678435A3" w14:textId="54007716" w:rsidR="00360968" w:rsidRPr="003162E4" w:rsidRDefault="00360968" w:rsidP="003609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</w:pPr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Under vehicle pretreatment, there were more active (252.5 presses) than inactive lever responses (59.82 presses; p = 0.0046). Mixed-effects analysis revealed significant main effects of lever type (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1.965, 23.59) = 22.38, p &lt; 0.0001) and MG dose (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1, 14) = 22.11, p = 0.0003), as well as a significant lever × dose interaction (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 xml:space="preserve">4, 48) = 9.675, p &lt; 0.0001). Active lever pressing was significantly greater than inactive pressing at vehicle, 10, 17.8, and 32 mg/kg, but not at 56 mg/kg, where responding was markedly reduced. Inactive 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lever</w:t>
      </w:r>
      <w:proofErr w:type="gramEnd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 xml:space="preserve"> responding remained low and unchanged across doses </w:t>
      </w:r>
      <w:r w:rsidR="00897152"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 xml:space="preserve">(Supplemental Figure </w:t>
      </w:r>
      <w:r w:rsidR="001E46E8"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1</w:t>
      </w:r>
      <w:r w:rsidR="00897152"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A).</w:t>
      </w:r>
    </w:p>
    <w:p w14:paraId="185F2C72" w14:textId="77777777" w:rsidR="004D5531" w:rsidRPr="003162E4" w:rsidRDefault="004D5531" w:rsidP="004D553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</w:pPr>
      <w:r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t>Sex Differences in Active Lever Presses</w:t>
      </w:r>
    </w:p>
    <w:p w14:paraId="6030B12C" w14:textId="366301C3" w:rsidR="004D5531" w:rsidRPr="003162E4" w:rsidRDefault="004D5531" w:rsidP="004D553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</w:pPr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 xml:space="preserve">Under vehicle pretreatment conditions, females and males exhibited mean active lever press counts of 245.8 and 259.3, respectively, with no significant difference between sexes (p = 0.4664). Mixed-effects analysis revealed a significant main effect of dose, 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 xml:space="preserve">2.632, 13.16) = 31.59, p &lt; 0.0001, but no main effect of sex, 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 xml:space="preserve">1, 6) = 0.6046, p = 0.4664, and no dose × sex interaction, 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4, 20) = 0.7065, p = 0.5969. These results indicate that MG’s effects on methamphetamine self-administration lever presses were consistent across sexes (</w:t>
      </w:r>
      <w:r w:rsidR="001E46E8"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Supplemental Figure 2A</w:t>
      </w:r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).</w:t>
      </w:r>
    </w:p>
    <w:p w14:paraId="22D29C5C" w14:textId="77777777" w:rsidR="004D5531" w:rsidRPr="003162E4" w:rsidRDefault="004D5531" w:rsidP="004D553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</w:pPr>
      <w:r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t>Sex Differences in Response Rate</w:t>
      </w:r>
    </w:p>
    <w:p w14:paraId="552BA448" w14:textId="210B008B" w:rsidR="004D5531" w:rsidRPr="003162E4" w:rsidRDefault="004D5531" w:rsidP="004D553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</w:pPr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 xml:space="preserve">Under vehicle pretreatment conditions, females and males responded at a mean rate of 0.0408 and 0.0448 responses/sec, respectively, with no significant difference between sexes (p = 0.4415). Mixed-effects analysis of response rate indicated a significant main effect of dose, 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 xml:space="preserve">2.400, 12.00) = 26.02, p &lt; 0.0001, but no main effect of sex, 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 xml:space="preserve">1, 6) = 0.6787, p = 0.4415, and no dose × sex interaction, 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4, 20) = 0.5515, p = 0.7001. These results indicate that MG’s effects on methamphetamine self-administration response rates were consistent across sexes (</w:t>
      </w:r>
      <w:r w:rsidR="001E46E8"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Supplemental Figure 2B</w:t>
      </w:r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).</w:t>
      </w:r>
    </w:p>
    <w:p w14:paraId="2A364D48" w14:textId="77777777" w:rsidR="004D5531" w:rsidRPr="003162E4" w:rsidRDefault="004D5531" w:rsidP="003609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</w:pPr>
    </w:p>
    <w:p w14:paraId="344740A7" w14:textId="77777777" w:rsidR="004D5531" w:rsidRPr="003162E4" w:rsidRDefault="004D5531" w:rsidP="003609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</w:pPr>
    </w:p>
    <w:p w14:paraId="3853F8F4" w14:textId="77777777" w:rsidR="007159A2" w:rsidRPr="003162E4" w:rsidRDefault="007159A2" w:rsidP="007159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</w:pPr>
      <w:r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lastRenderedPageBreak/>
        <w:t xml:space="preserve">Experiment 2: Effects of MG on </w:t>
      </w:r>
      <w:proofErr w:type="gramStart"/>
      <w:r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t>Responding for</w:t>
      </w:r>
      <w:proofErr w:type="gramEnd"/>
      <w:r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t xml:space="preserve"> Food </w:t>
      </w:r>
    </w:p>
    <w:p w14:paraId="6BA72526" w14:textId="77777777" w:rsidR="007159A2" w:rsidRPr="003162E4" w:rsidRDefault="007159A2" w:rsidP="007159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</w:pPr>
      <w:r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t>Active vs. Inactive Lever Presses</w:t>
      </w:r>
    </w:p>
    <w:p w14:paraId="0649208A" w14:textId="3A981893" w:rsidR="007159A2" w:rsidRPr="003162E4" w:rsidRDefault="007159A2" w:rsidP="007159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</w:pPr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Under vehicle pretreatment, there were more active than inactive lever presses (500.0 vs. 0.625, p &lt; 0.0001). Analysis revealed a significant main effect of lever type (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1, 14) = 150132, p &lt; 0.0001), but no main effect of MG dose (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4, 56) = 2.286, p = 0.0714) and no lever × dose interaction (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 xml:space="preserve">4, 56) = 2.286, p = 0.0714). Active lever pressing was significantly greater than inactive pressing at all doses tested, and inactive lever responding remained low and unchanged across doses </w:t>
      </w:r>
      <w:r w:rsidR="00897152"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 xml:space="preserve">(Supplemental Figure </w:t>
      </w:r>
      <w:r w:rsidR="001E46E8"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1</w:t>
      </w:r>
      <w:r w:rsidR="00897152"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B).</w:t>
      </w:r>
    </w:p>
    <w:p w14:paraId="70195473" w14:textId="77777777" w:rsidR="004D5531" w:rsidRPr="003162E4" w:rsidRDefault="004D5531" w:rsidP="004D5531">
      <w:pPr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</w:pPr>
      <w:r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t>Sex Differences in Active Lever Presses</w:t>
      </w:r>
    </w:p>
    <w:p w14:paraId="16C9A8FB" w14:textId="71DBA14C" w:rsidR="004D5531" w:rsidRPr="003162E4" w:rsidRDefault="004D5531" w:rsidP="004D5531">
      <w:pPr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</w:pPr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 xml:space="preserve">Under vehicle pretreatment conditions, both females and males exhibited a mean of 500 active lever presses per session. Active 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lever</w:t>
      </w:r>
      <w:proofErr w:type="gramEnd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 xml:space="preserve"> responding remained identical across all MG doses (10, 17.8, 32, and 56 mg/kg; 500 ± 0 for each), and statistical analysis could not be performed due to the absence of within-group variability. These results indicate that MG pretreatment did not alter food-maintained responding in either sex (</w:t>
      </w:r>
      <w:r w:rsidR="00BE3BB3"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Supplemental Figure 3A</w:t>
      </w:r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).</w:t>
      </w:r>
    </w:p>
    <w:p w14:paraId="5164598F" w14:textId="77777777" w:rsidR="004D5531" w:rsidRPr="003162E4" w:rsidRDefault="004D5531" w:rsidP="004D5531">
      <w:pPr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</w:pPr>
      <w:r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t>Sex Differences in Response Rate</w:t>
      </w:r>
    </w:p>
    <w:p w14:paraId="59716828" w14:textId="511389CB" w:rsidR="00360968" w:rsidRPr="003162E4" w:rsidRDefault="004D5531" w:rsidP="004D5531">
      <w:pPr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</w:pPr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 xml:space="preserve">Under vehicle pretreatment conditions, females and males had mean response rates of 2.198 and 1.378 responses/sec, respectively, with no significant difference between sexes (p = 0.9625). No significant main effect of dose, 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 xml:space="preserve">2.496, 14.98) = 0.5124, p = 0.6481, no main effect of sex, 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 xml:space="preserve">1, 6) = 0.0024, p = 0.9625, and no dose × sex interaction, 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4, 24) = 0.9927, p = 0.4305 were observed. These results indicate that MG’s effects on food-maintained response rates were consistent across sexes (</w:t>
      </w:r>
      <w:r w:rsidR="00BE3BB3"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Supplemental Figure 3B</w:t>
      </w:r>
      <w:r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).</w:t>
      </w:r>
    </w:p>
    <w:p w14:paraId="1196674A" w14:textId="000727B3" w:rsidR="000D40A2" w:rsidRPr="003162E4" w:rsidRDefault="00B357C7" w:rsidP="001E46E8">
      <w:pPr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</w:pPr>
      <w:r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t>Experiment 3: Effects of MG on Methamphetamine Self-Administration Under a Progressive Ratio Schedule</w:t>
      </w:r>
    </w:p>
    <w:p w14:paraId="3F812DE1" w14:textId="77777777" w:rsidR="00B357C7" w:rsidRPr="003162E4" w:rsidRDefault="00B357C7" w:rsidP="00B357C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Bidi" w:eastAsia="Google Sans Text" w:hAnsiTheme="majorBidi" w:cstheme="majorBidi"/>
          <w:b/>
          <w:bCs/>
          <w:color w:val="1B1C1D"/>
          <w:sz w:val="20"/>
          <w:szCs w:val="20"/>
        </w:rPr>
      </w:pPr>
      <w:r w:rsidRPr="003162E4">
        <w:rPr>
          <w:rFonts w:asciiTheme="majorBidi" w:eastAsia="Google Sans Text" w:hAnsiTheme="majorBidi" w:cstheme="majorBidi"/>
          <w:b/>
          <w:bCs/>
          <w:color w:val="1B1C1D"/>
          <w:sz w:val="20"/>
          <w:szCs w:val="20"/>
        </w:rPr>
        <w:t>Sex Differences in Active Lever Presses</w:t>
      </w:r>
    </w:p>
    <w:p w14:paraId="59C9F1C5" w14:textId="2CCD072C" w:rsidR="00B357C7" w:rsidRPr="003162E4" w:rsidRDefault="00B357C7" w:rsidP="00B357C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Bidi" w:eastAsia="Google Sans Text" w:hAnsiTheme="majorBidi" w:cstheme="majorBidi"/>
          <w:b/>
          <w:bCs/>
          <w:color w:val="1B1C1D"/>
          <w:sz w:val="20"/>
          <w:szCs w:val="20"/>
        </w:rPr>
      </w:pPr>
      <w:r w:rsidRPr="003162E4">
        <w:rPr>
          <w:rFonts w:asciiTheme="majorBidi" w:eastAsia="Google Sans Text" w:hAnsiTheme="majorBidi" w:cstheme="majorBidi"/>
          <w:color w:val="1B1C1D"/>
          <w:sz w:val="20"/>
          <w:szCs w:val="20"/>
        </w:rPr>
        <w:t xml:space="preserve">Under vehicle conditions, females and males made an average of 1014 and 1580 active lever presses, respectively, with no significant difference between sexes (p = 0.2903). Two-way ANOVA revealed a significant main effect of dose, 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sz w:val="20"/>
          <w:szCs w:val="20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sz w:val="20"/>
          <w:szCs w:val="20"/>
        </w:rPr>
        <w:t xml:space="preserve">1.665, 14.99) = 14.45, p = 0.0005, no main effect of sex, 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sz w:val="20"/>
          <w:szCs w:val="20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sz w:val="20"/>
          <w:szCs w:val="20"/>
        </w:rPr>
        <w:t xml:space="preserve">1, 9) = 1.262, p = 0.2903, and no dose × sex interaction, 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sz w:val="20"/>
          <w:szCs w:val="20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sz w:val="20"/>
          <w:szCs w:val="20"/>
        </w:rPr>
        <w:t>4, 36) = 1.988, p = 0.1172. These results indicate that MG’s effects on methamphetamine-maintained active lever responding were dose-dependent and consistent across sexes (</w:t>
      </w:r>
      <w:r w:rsidR="00BE3BB3"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Supplemental Figure 4A</w:t>
      </w:r>
      <w:r w:rsidRPr="003162E4">
        <w:rPr>
          <w:rFonts w:asciiTheme="majorBidi" w:eastAsia="Google Sans Text" w:hAnsiTheme="majorBidi" w:cstheme="majorBidi"/>
          <w:color w:val="1B1C1D"/>
          <w:sz w:val="20"/>
          <w:szCs w:val="20"/>
        </w:rPr>
        <w:t>).</w:t>
      </w:r>
    </w:p>
    <w:p w14:paraId="334CF506" w14:textId="77777777" w:rsidR="00B357C7" w:rsidRPr="003162E4" w:rsidRDefault="00B357C7" w:rsidP="00B357C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Bidi" w:eastAsia="Google Sans Text" w:hAnsiTheme="majorBidi" w:cstheme="majorBidi"/>
          <w:b/>
          <w:bCs/>
          <w:color w:val="1B1C1D"/>
          <w:sz w:val="20"/>
          <w:szCs w:val="20"/>
        </w:rPr>
      </w:pPr>
      <w:r w:rsidRPr="003162E4">
        <w:rPr>
          <w:rFonts w:asciiTheme="majorBidi" w:eastAsia="Google Sans Text" w:hAnsiTheme="majorBidi" w:cstheme="majorBidi"/>
          <w:b/>
          <w:bCs/>
          <w:color w:val="1B1C1D"/>
          <w:sz w:val="20"/>
          <w:szCs w:val="20"/>
        </w:rPr>
        <w:t>Sex Differences in Breakpoints</w:t>
      </w:r>
    </w:p>
    <w:p w14:paraId="2A60B495" w14:textId="1CB34B15" w:rsidR="00B357C7" w:rsidRPr="003162E4" w:rsidRDefault="00B357C7" w:rsidP="00B357C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ajorBidi" w:eastAsia="Google Sans Text" w:hAnsiTheme="majorBidi" w:cstheme="majorBidi"/>
          <w:color w:val="1B1C1D"/>
          <w:sz w:val="20"/>
          <w:szCs w:val="20"/>
        </w:rPr>
      </w:pPr>
      <w:r w:rsidRPr="003162E4">
        <w:rPr>
          <w:rFonts w:asciiTheme="majorBidi" w:eastAsia="Google Sans Text" w:hAnsiTheme="majorBidi" w:cstheme="majorBidi"/>
          <w:color w:val="1B1C1D"/>
          <w:sz w:val="20"/>
          <w:szCs w:val="20"/>
        </w:rPr>
        <w:t xml:space="preserve">Under vehicle pretreatment conditions, females responded at a breakpoint of 176.7 and males at 236.0, with no significant difference between sexes (p = 0.4786). Analysis of breakpoint revealed a significant main effect of dose, 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sz w:val="20"/>
          <w:szCs w:val="20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sz w:val="20"/>
          <w:szCs w:val="20"/>
        </w:rPr>
        <w:t xml:space="preserve">1.651, 14.86) = 8.775, p = 0.0043, no main effect of sex, 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sz w:val="20"/>
          <w:szCs w:val="20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sz w:val="20"/>
          <w:szCs w:val="20"/>
        </w:rPr>
        <w:t xml:space="preserve">1, 9) = 0.5464, p = 0.4786, and no dose × sex interaction, </w:t>
      </w:r>
      <w:proofErr w:type="gramStart"/>
      <w:r w:rsidRPr="003162E4">
        <w:rPr>
          <w:rFonts w:asciiTheme="majorBidi" w:eastAsia="Google Sans Text" w:hAnsiTheme="majorBidi" w:cstheme="majorBidi"/>
          <w:color w:val="1B1C1D"/>
          <w:sz w:val="20"/>
          <w:szCs w:val="20"/>
        </w:rPr>
        <w:t>F(</w:t>
      </w:r>
      <w:proofErr w:type="gramEnd"/>
      <w:r w:rsidRPr="003162E4">
        <w:rPr>
          <w:rFonts w:asciiTheme="majorBidi" w:eastAsia="Google Sans Text" w:hAnsiTheme="majorBidi" w:cstheme="majorBidi"/>
          <w:color w:val="1B1C1D"/>
          <w:sz w:val="20"/>
          <w:szCs w:val="20"/>
        </w:rPr>
        <w:t>4, 36) = 0.2872, p = 0.8844. These results indicate that MG’s effects on methamphetamine-maintained breakpoints were consistent across sexes (</w:t>
      </w:r>
      <w:r w:rsidR="00BE3BB3" w:rsidRPr="003162E4">
        <w:rPr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  <w:t>Supplemental Figure 4B</w:t>
      </w:r>
      <w:r w:rsidRPr="003162E4">
        <w:rPr>
          <w:rFonts w:asciiTheme="majorBidi" w:eastAsia="Google Sans Text" w:hAnsiTheme="majorBidi" w:cstheme="majorBidi"/>
          <w:color w:val="1B1C1D"/>
          <w:sz w:val="20"/>
          <w:szCs w:val="20"/>
        </w:rPr>
        <w:t>).</w:t>
      </w:r>
    </w:p>
    <w:p w14:paraId="2CC5DD21" w14:textId="77777777" w:rsidR="000D40A2" w:rsidRPr="003162E4" w:rsidRDefault="000D40A2">
      <w:pPr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</w:pPr>
      <w:r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br w:type="page"/>
      </w:r>
    </w:p>
    <w:p w14:paraId="0A906D94" w14:textId="761B0023" w:rsidR="00597420" w:rsidRPr="003162E4" w:rsidRDefault="000D40A2" w:rsidP="00BE3BB3">
      <w:pPr>
        <w:rPr>
          <w:rStyle w:val="Strong"/>
          <w:rFonts w:asciiTheme="majorBidi" w:eastAsia="Google Sans Text" w:hAnsiTheme="majorBidi" w:cstheme="majorBidi"/>
          <w:color w:val="1B1C1D"/>
          <w:kern w:val="0"/>
          <w:sz w:val="20"/>
          <w:szCs w:val="20"/>
          <w14:ligatures w14:val="none"/>
        </w:rPr>
      </w:pPr>
      <w:r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lastRenderedPageBreak/>
        <w:t>Supplementa</w:t>
      </w:r>
      <w:r w:rsidR="00897152"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t>l</w:t>
      </w:r>
      <w:r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t xml:space="preserve"> Figures</w:t>
      </w:r>
      <w:bookmarkEnd w:id="0"/>
    </w:p>
    <w:p w14:paraId="410BB606" w14:textId="0007351D" w:rsidR="00A64F57" w:rsidRPr="003162E4" w:rsidRDefault="00A64F57" w:rsidP="00F25331">
      <w:pPr>
        <w:rPr>
          <w:rStyle w:val="Strong"/>
          <w:rFonts w:asciiTheme="majorBidi" w:hAnsiTheme="majorBidi" w:cstheme="majorBidi"/>
          <w:sz w:val="20"/>
          <w:szCs w:val="20"/>
        </w:rPr>
      </w:pPr>
      <w:r w:rsidRPr="003162E4">
        <w:rPr>
          <w:rStyle w:val="Strong"/>
          <w:rFonts w:asciiTheme="majorBidi" w:hAnsiTheme="majorBidi" w:cstheme="majorBidi"/>
          <w:sz w:val="20"/>
          <w:szCs w:val="20"/>
        </w:rPr>
        <w:t>Fig S</w:t>
      </w:r>
      <w:r w:rsidR="001E46E8" w:rsidRPr="003162E4">
        <w:rPr>
          <w:rStyle w:val="Strong"/>
          <w:rFonts w:asciiTheme="majorBidi" w:hAnsiTheme="majorBidi" w:cstheme="majorBidi"/>
          <w:sz w:val="20"/>
          <w:szCs w:val="20"/>
        </w:rPr>
        <w:t>1</w:t>
      </w:r>
      <w:r w:rsidRPr="003162E4">
        <w:rPr>
          <w:rStyle w:val="Strong"/>
          <w:rFonts w:asciiTheme="majorBidi" w:hAnsiTheme="majorBidi" w:cstheme="majorBidi"/>
          <w:sz w:val="20"/>
          <w:szCs w:val="20"/>
        </w:rPr>
        <w:t>.</w:t>
      </w:r>
    </w:p>
    <w:p w14:paraId="6C8A9AD9" w14:textId="5D182F3D" w:rsidR="00A64F57" w:rsidRPr="003162E4" w:rsidRDefault="00A64F57" w:rsidP="00F25331">
      <w:pPr>
        <w:rPr>
          <w:rFonts w:asciiTheme="majorBidi" w:hAnsiTheme="majorBidi" w:cstheme="majorBidi"/>
          <w:sz w:val="20"/>
          <w:szCs w:val="20"/>
        </w:rPr>
      </w:pPr>
      <w:r w:rsidRPr="003162E4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6E9C4194" wp14:editId="4BFCB8C2">
            <wp:extent cx="6095473" cy="2229485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53" b="28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222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A8331A" w14:textId="5AD5EEEA" w:rsidR="00A64F57" w:rsidRPr="003162E4" w:rsidRDefault="00A64F57" w:rsidP="00A64F57">
      <w:pPr>
        <w:rPr>
          <w:rStyle w:val="Strong"/>
          <w:rFonts w:asciiTheme="majorBidi" w:hAnsiTheme="majorBidi" w:cstheme="majorBidi"/>
          <w:sz w:val="20"/>
          <w:szCs w:val="20"/>
        </w:rPr>
      </w:pPr>
      <w:r w:rsidRPr="003162E4">
        <w:rPr>
          <w:rStyle w:val="Strong"/>
          <w:rFonts w:asciiTheme="majorBidi" w:hAnsiTheme="majorBidi" w:cstheme="majorBidi"/>
          <w:sz w:val="20"/>
          <w:szCs w:val="20"/>
        </w:rPr>
        <w:t>Supplementa</w:t>
      </w:r>
      <w:r w:rsidR="00C71D40" w:rsidRPr="003162E4">
        <w:rPr>
          <w:rStyle w:val="Strong"/>
          <w:rFonts w:asciiTheme="majorBidi" w:hAnsiTheme="majorBidi" w:cstheme="majorBidi"/>
          <w:sz w:val="20"/>
          <w:szCs w:val="20"/>
        </w:rPr>
        <w:t>l</w:t>
      </w:r>
      <w:r w:rsidRPr="003162E4">
        <w:rPr>
          <w:rStyle w:val="Strong"/>
          <w:rFonts w:asciiTheme="majorBidi" w:hAnsiTheme="majorBidi" w:cstheme="majorBidi"/>
          <w:sz w:val="20"/>
          <w:szCs w:val="20"/>
        </w:rPr>
        <w:t xml:space="preserve"> Fig S</w:t>
      </w:r>
      <w:r w:rsidR="001E46E8" w:rsidRPr="003162E4">
        <w:rPr>
          <w:rStyle w:val="Strong"/>
          <w:rFonts w:asciiTheme="majorBidi" w:hAnsiTheme="majorBidi" w:cstheme="majorBidi"/>
          <w:sz w:val="20"/>
          <w:szCs w:val="20"/>
        </w:rPr>
        <w:t>1</w:t>
      </w:r>
      <w:r w:rsidRPr="003162E4">
        <w:rPr>
          <w:rStyle w:val="Strong"/>
          <w:rFonts w:asciiTheme="majorBidi" w:hAnsiTheme="majorBidi" w:cstheme="majorBidi"/>
          <w:sz w:val="20"/>
          <w:szCs w:val="20"/>
        </w:rPr>
        <w:t xml:space="preserve">. Active and inactive lever responding during methamphetamine and food self-administration after MG pretreatment. </w:t>
      </w:r>
    </w:p>
    <w:p w14:paraId="4D1E4EAA" w14:textId="3522DDEA" w:rsidR="00A64F57" w:rsidRPr="003162E4" w:rsidRDefault="00A64F57" w:rsidP="00A64F57">
      <w:pPr>
        <w:rPr>
          <w:rFonts w:asciiTheme="majorBidi" w:hAnsiTheme="majorBidi" w:cstheme="majorBidi"/>
          <w:sz w:val="20"/>
          <w:szCs w:val="20"/>
        </w:rPr>
      </w:pPr>
      <w:r w:rsidRPr="003162E4">
        <w:rPr>
          <w:rFonts w:asciiTheme="majorBidi" w:hAnsiTheme="majorBidi" w:cstheme="majorBidi"/>
          <w:sz w:val="20"/>
          <w:szCs w:val="20"/>
        </w:rPr>
        <w:t xml:space="preserve">(A) Active lever presses were significantly higher than inactive lever presses across all doses. MG (10–56 mg/kg, </w:t>
      </w:r>
      <w:proofErr w:type="spellStart"/>
      <w:r w:rsidRPr="003162E4">
        <w:rPr>
          <w:rFonts w:asciiTheme="majorBidi" w:hAnsiTheme="majorBidi" w:cstheme="majorBidi"/>
          <w:sz w:val="20"/>
          <w:szCs w:val="20"/>
        </w:rPr>
        <w:t>i.p.</w:t>
      </w:r>
      <w:proofErr w:type="spellEnd"/>
      <w:r w:rsidRPr="003162E4">
        <w:rPr>
          <w:rFonts w:asciiTheme="majorBidi" w:hAnsiTheme="majorBidi" w:cstheme="majorBidi"/>
          <w:sz w:val="20"/>
          <w:szCs w:val="20"/>
        </w:rPr>
        <w:t>) reduced active lever presses in a dose-dependent manner, with no significant changes in inactive lever responding. (B) Active lever presses remained significantly higher than inactive lever presses across all doses during food-maintained sessions, indicating that MG did not alter non–drug-related operant behavior.</w:t>
      </w:r>
    </w:p>
    <w:p w14:paraId="4756405E" w14:textId="52F0202D" w:rsidR="0058685E" w:rsidRPr="003162E4" w:rsidRDefault="00A64F57" w:rsidP="0058685E">
      <w:pPr>
        <w:rPr>
          <w:rFonts w:asciiTheme="majorBidi" w:hAnsiTheme="majorBidi" w:cstheme="majorBidi"/>
          <w:sz w:val="20"/>
          <w:szCs w:val="20"/>
        </w:rPr>
      </w:pPr>
      <w:r w:rsidRPr="003162E4">
        <w:rPr>
          <w:rFonts w:asciiTheme="majorBidi" w:hAnsiTheme="majorBidi" w:cstheme="majorBidi"/>
          <w:sz w:val="20"/>
          <w:szCs w:val="20"/>
        </w:rPr>
        <w:t>Data are expressed as mean ± SEM. *p &lt; .05, **p &lt; .01, ***p &lt; .001, ****p &lt; .0001 vs. vehicle. (n = 4/sex)</w:t>
      </w:r>
    </w:p>
    <w:p w14:paraId="37A308F8" w14:textId="77777777" w:rsidR="0058685E" w:rsidRPr="003162E4" w:rsidRDefault="0058685E" w:rsidP="0058685E">
      <w:pPr>
        <w:rPr>
          <w:rFonts w:asciiTheme="majorBidi" w:hAnsiTheme="majorBidi" w:cstheme="majorBidi"/>
          <w:sz w:val="20"/>
          <w:szCs w:val="20"/>
        </w:rPr>
      </w:pPr>
    </w:p>
    <w:p w14:paraId="1EFC1EA1" w14:textId="6F215DEE" w:rsidR="001E46E8" w:rsidRPr="003162E4" w:rsidRDefault="001E46E8" w:rsidP="001E46E8">
      <w:pPr>
        <w:rPr>
          <w:rStyle w:val="Strong"/>
          <w:rFonts w:asciiTheme="majorBidi" w:hAnsiTheme="majorBidi" w:cstheme="majorBidi"/>
          <w:sz w:val="20"/>
          <w:szCs w:val="20"/>
        </w:rPr>
      </w:pPr>
      <w:r w:rsidRPr="003162E4">
        <w:rPr>
          <w:rStyle w:val="Strong"/>
          <w:rFonts w:asciiTheme="majorBidi" w:hAnsiTheme="majorBidi" w:cstheme="majorBidi"/>
          <w:sz w:val="20"/>
          <w:szCs w:val="20"/>
        </w:rPr>
        <w:t>Fig S2.</w:t>
      </w:r>
    </w:p>
    <w:p w14:paraId="4365FDDD" w14:textId="16CBA0FA" w:rsidR="00072DC1" w:rsidRPr="003162E4" w:rsidRDefault="001E46E8">
      <w:pPr>
        <w:rPr>
          <w:rFonts w:asciiTheme="majorBidi" w:hAnsiTheme="majorBidi" w:cstheme="majorBidi"/>
          <w:b/>
          <w:bCs/>
          <w:sz w:val="20"/>
          <w:szCs w:val="20"/>
        </w:rPr>
      </w:pPr>
      <w:r w:rsidRPr="003162E4">
        <w:rPr>
          <w:noProof/>
        </w:rPr>
        <w:drawing>
          <wp:inline distT="0" distB="0" distL="0" distR="0" wp14:anchorId="7AEDC734" wp14:editId="3D363311">
            <wp:extent cx="5943600" cy="2159000"/>
            <wp:effectExtent l="0" t="0" r="0" b="0"/>
            <wp:docPr id="4040296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02964" name=""/>
                    <pic:cNvPicPr/>
                  </pic:nvPicPr>
                  <pic:blipFill rotWithShape="1"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b="35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5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72DC1" w:rsidRPr="003162E4">
        <w:rPr>
          <w:rFonts w:asciiTheme="majorBidi" w:hAnsiTheme="majorBidi" w:cstheme="majorBidi"/>
          <w:b/>
          <w:bCs/>
          <w:sz w:val="20"/>
          <w:szCs w:val="20"/>
        </w:rPr>
        <w:t>Supplemental Figure S2. Effects of MG on methamphetamine self-administration</w:t>
      </w:r>
      <w:r w:rsidR="00F811D8" w:rsidRPr="003162E4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F811D8"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t>Under a Fixed Ratio Schedule</w:t>
      </w:r>
      <w:r w:rsidR="00072DC1" w:rsidRPr="003162E4">
        <w:rPr>
          <w:rFonts w:asciiTheme="majorBidi" w:hAnsiTheme="majorBidi" w:cstheme="majorBidi"/>
          <w:b/>
          <w:bCs/>
          <w:sz w:val="20"/>
          <w:szCs w:val="20"/>
        </w:rPr>
        <w:t xml:space="preserve"> by sex.</w:t>
      </w:r>
    </w:p>
    <w:p w14:paraId="66965A9A" w14:textId="22CB2B19" w:rsidR="00072DC1" w:rsidRPr="003162E4" w:rsidRDefault="00072DC1" w:rsidP="00072DC1">
      <w:pPr>
        <w:rPr>
          <w:rFonts w:asciiTheme="majorBidi" w:hAnsiTheme="majorBidi" w:cstheme="majorBidi"/>
          <w:sz w:val="20"/>
          <w:szCs w:val="20"/>
        </w:rPr>
      </w:pPr>
      <w:r w:rsidRPr="003162E4">
        <w:rPr>
          <w:rFonts w:asciiTheme="majorBidi" w:hAnsiTheme="majorBidi" w:cstheme="majorBidi"/>
          <w:sz w:val="20"/>
          <w:szCs w:val="20"/>
        </w:rPr>
        <w:t xml:space="preserve">(A) Active lever presses did not differ between males and females across MG doses (10–56 mg/kg, </w:t>
      </w:r>
      <w:proofErr w:type="spellStart"/>
      <w:r w:rsidRPr="003162E4">
        <w:rPr>
          <w:rFonts w:asciiTheme="majorBidi" w:hAnsiTheme="majorBidi" w:cstheme="majorBidi"/>
          <w:sz w:val="20"/>
          <w:szCs w:val="20"/>
        </w:rPr>
        <w:t>i.p.</w:t>
      </w:r>
      <w:proofErr w:type="spellEnd"/>
      <w:r w:rsidRPr="003162E4">
        <w:rPr>
          <w:rFonts w:asciiTheme="majorBidi" w:hAnsiTheme="majorBidi" w:cstheme="majorBidi"/>
          <w:sz w:val="20"/>
          <w:szCs w:val="20"/>
        </w:rPr>
        <w:t>).</w:t>
      </w:r>
      <w:r w:rsidRPr="003162E4">
        <w:rPr>
          <w:rFonts w:asciiTheme="majorBidi" w:hAnsiTheme="majorBidi" w:cstheme="majorBidi"/>
          <w:sz w:val="20"/>
          <w:szCs w:val="20"/>
        </w:rPr>
        <w:br/>
        <w:t>(D) Normalized response rate (% of baseline) was not significantly different between sexes, with no main effect of sex or dose × sex interaction detected.</w:t>
      </w:r>
    </w:p>
    <w:p w14:paraId="311EA182" w14:textId="77777777" w:rsidR="00072DC1" w:rsidRPr="003162E4" w:rsidRDefault="00072DC1" w:rsidP="00072DC1">
      <w:pPr>
        <w:rPr>
          <w:rFonts w:asciiTheme="majorBidi" w:hAnsiTheme="majorBidi" w:cstheme="majorBidi"/>
          <w:sz w:val="20"/>
          <w:szCs w:val="20"/>
        </w:rPr>
      </w:pPr>
      <w:r w:rsidRPr="003162E4">
        <w:rPr>
          <w:rFonts w:asciiTheme="majorBidi" w:hAnsiTheme="majorBidi" w:cstheme="majorBidi"/>
          <w:sz w:val="20"/>
          <w:szCs w:val="20"/>
        </w:rPr>
        <w:lastRenderedPageBreak/>
        <w:t>Data are expressed as mean ± SEM. Analyses were not powered to detect sex differences.</w:t>
      </w:r>
    </w:p>
    <w:p w14:paraId="33328141" w14:textId="6741306D" w:rsidR="001E46E8" w:rsidRPr="003162E4" w:rsidRDefault="00E94165" w:rsidP="00072DC1">
      <w:pPr>
        <w:rPr>
          <w:rStyle w:val="Strong"/>
          <w:rFonts w:asciiTheme="majorBidi" w:hAnsiTheme="majorBidi" w:cstheme="majorBidi"/>
          <w:b w:val="0"/>
          <w:bCs w:val="0"/>
          <w:sz w:val="20"/>
          <w:szCs w:val="20"/>
        </w:rPr>
      </w:pPr>
      <w:r w:rsidRPr="003162E4">
        <w:rPr>
          <w:rFonts w:asciiTheme="majorBidi" w:hAnsiTheme="majorBidi" w:cstheme="majorBidi"/>
          <w:sz w:val="20"/>
          <w:szCs w:val="20"/>
        </w:rPr>
        <w:br w:type="page"/>
      </w:r>
      <w:r w:rsidR="001E46E8" w:rsidRPr="003162E4">
        <w:rPr>
          <w:rStyle w:val="Strong"/>
          <w:rFonts w:asciiTheme="majorBidi" w:hAnsiTheme="majorBidi" w:cstheme="majorBidi"/>
          <w:sz w:val="20"/>
          <w:szCs w:val="20"/>
        </w:rPr>
        <w:lastRenderedPageBreak/>
        <w:t>Fig S3.</w:t>
      </w:r>
    </w:p>
    <w:p w14:paraId="19F04FCF" w14:textId="4D1AAC23" w:rsidR="001E46E8" w:rsidRPr="003162E4" w:rsidRDefault="001E46E8" w:rsidP="00E94165">
      <w:pPr>
        <w:rPr>
          <w:rFonts w:asciiTheme="majorBidi" w:hAnsiTheme="majorBidi" w:cstheme="majorBidi"/>
          <w:b/>
          <w:bCs/>
          <w:sz w:val="20"/>
          <w:szCs w:val="20"/>
        </w:rPr>
      </w:pPr>
      <w:r w:rsidRPr="003162E4">
        <w:rPr>
          <w:noProof/>
        </w:rPr>
        <w:drawing>
          <wp:inline distT="0" distB="0" distL="0" distR="0" wp14:anchorId="134AA1D2" wp14:editId="7BC95986">
            <wp:extent cx="5943600" cy="1866900"/>
            <wp:effectExtent l="0" t="0" r="0" b="0"/>
            <wp:docPr id="67972004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20041" name=""/>
                    <pic:cNvPicPr/>
                  </pic:nvPicPr>
                  <pic:blipFill rotWithShape="1"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b="4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DD4E33" w14:textId="70084006" w:rsidR="00072DC1" w:rsidRPr="003162E4" w:rsidRDefault="00072DC1" w:rsidP="00072DC1">
      <w:pPr>
        <w:rPr>
          <w:rFonts w:asciiTheme="majorBidi" w:hAnsiTheme="majorBidi" w:cstheme="majorBidi"/>
          <w:b/>
          <w:bCs/>
          <w:sz w:val="20"/>
          <w:szCs w:val="20"/>
        </w:rPr>
      </w:pPr>
      <w:r w:rsidRPr="003162E4">
        <w:rPr>
          <w:rFonts w:asciiTheme="majorBidi" w:hAnsiTheme="majorBidi" w:cstheme="majorBidi"/>
          <w:b/>
          <w:bCs/>
          <w:sz w:val="20"/>
          <w:szCs w:val="20"/>
        </w:rPr>
        <w:t>Supplemental Figure S3. Effects of MG on food-maintained responding by sex.</w:t>
      </w:r>
    </w:p>
    <w:p w14:paraId="028C6BCF" w14:textId="7357BC3C" w:rsidR="00072DC1" w:rsidRPr="003162E4" w:rsidRDefault="00072DC1" w:rsidP="00072DC1">
      <w:pPr>
        <w:rPr>
          <w:rFonts w:asciiTheme="majorBidi" w:hAnsiTheme="majorBidi" w:cstheme="majorBidi"/>
          <w:sz w:val="20"/>
          <w:szCs w:val="20"/>
        </w:rPr>
      </w:pPr>
      <w:r w:rsidRPr="003162E4">
        <w:rPr>
          <w:rFonts w:asciiTheme="majorBidi" w:hAnsiTheme="majorBidi" w:cstheme="majorBidi"/>
          <w:sz w:val="20"/>
          <w:szCs w:val="20"/>
        </w:rPr>
        <w:t xml:space="preserve">(A) Active lever presses for food reward appeared similar between males and females across MG doses (10–56 mg/kg, </w:t>
      </w:r>
      <w:proofErr w:type="spellStart"/>
      <w:r w:rsidRPr="003162E4">
        <w:rPr>
          <w:rFonts w:asciiTheme="majorBidi" w:hAnsiTheme="majorBidi" w:cstheme="majorBidi"/>
          <w:sz w:val="20"/>
          <w:szCs w:val="20"/>
        </w:rPr>
        <w:t>i.p.</w:t>
      </w:r>
      <w:proofErr w:type="spellEnd"/>
      <w:r w:rsidRPr="003162E4">
        <w:rPr>
          <w:rFonts w:asciiTheme="majorBidi" w:hAnsiTheme="majorBidi" w:cstheme="majorBidi"/>
          <w:sz w:val="20"/>
          <w:szCs w:val="20"/>
        </w:rPr>
        <w:t>). (B) Normalized response rate (% of baseline) showed no apparent differences between sexes, with no main effect of sex or dose × sex interaction detected.</w:t>
      </w:r>
    </w:p>
    <w:p w14:paraId="0043E7D9" w14:textId="601094FA" w:rsidR="00072DC1" w:rsidRPr="003162E4" w:rsidRDefault="00072DC1" w:rsidP="00072DC1">
      <w:pPr>
        <w:rPr>
          <w:rFonts w:asciiTheme="majorBidi" w:hAnsiTheme="majorBidi" w:cstheme="majorBidi"/>
          <w:sz w:val="20"/>
          <w:szCs w:val="20"/>
        </w:rPr>
      </w:pPr>
      <w:r w:rsidRPr="003162E4">
        <w:rPr>
          <w:rFonts w:asciiTheme="majorBidi" w:hAnsiTheme="majorBidi" w:cstheme="majorBidi"/>
          <w:sz w:val="20"/>
          <w:szCs w:val="20"/>
        </w:rPr>
        <w:t>Data are expressed as mean ± SEM. Analyses were not powered to detect sex differences, and responding was constrained by a ceiling effect.</w:t>
      </w:r>
    </w:p>
    <w:p w14:paraId="6C07A962" w14:textId="77777777" w:rsidR="0058685E" w:rsidRPr="003162E4" w:rsidRDefault="0058685E" w:rsidP="00072DC1">
      <w:pPr>
        <w:rPr>
          <w:rFonts w:asciiTheme="majorBidi" w:hAnsiTheme="majorBidi" w:cstheme="majorBidi"/>
          <w:sz w:val="20"/>
          <w:szCs w:val="20"/>
        </w:rPr>
      </w:pPr>
    </w:p>
    <w:p w14:paraId="1C4D67FE" w14:textId="26BEC979" w:rsidR="001E46E8" w:rsidRPr="003162E4" w:rsidRDefault="001E46E8" w:rsidP="00E94165">
      <w:pPr>
        <w:rPr>
          <w:rFonts w:asciiTheme="majorBidi" w:hAnsiTheme="majorBidi" w:cstheme="majorBidi"/>
          <w:b/>
          <w:bCs/>
          <w:sz w:val="20"/>
          <w:szCs w:val="20"/>
        </w:rPr>
      </w:pPr>
      <w:r w:rsidRPr="003162E4">
        <w:rPr>
          <w:rFonts w:asciiTheme="majorBidi" w:hAnsiTheme="majorBidi" w:cstheme="majorBidi"/>
          <w:b/>
          <w:bCs/>
          <w:sz w:val="20"/>
          <w:szCs w:val="20"/>
        </w:rPr>
        <w:t>Fig S4.</w:t>
      </w:r>
    </w:p>
    <w:p w14:paraId="6FEA3A25" w14:textId="7DA9DD3F" w:rsidR="00BE3BB3" w:rsidRPr="003162E4" w:rsidRDefault="00BE3BB3" w:rsidP="00E94165">
      <w:pPr>
        <w:rPr>
          <w:rFonts w:asciiTheme="majorBidi" w:hAnsiTheme="majorBidi" w:cstheme="majorBidi"/>
          <w:b/>
          <w:bCs/>
          <w:sz w:val="20"/>
          <w:szCs w:val="20"/>
        </w:rPr>
      </w:pPr>
      <w:r w:rsidRPr="003162E4">
        <w:rPr>
          <w:noProof/>
        </w:rPr>
        <w:drawing>
          <wp:inline distT="0" distB="0" distL="0" distR="0" wp14:anchorId="7899ABC6" wp14:editId="69172D7F">
            <wp:extent cx="5943600" cy="2139950"/>
            <wp:effectExtent l="0" t="0" r="0" b="0"/>
            <wp:docPr id="34564952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649524" name=""/>
                    <pic:cNvPicPr/>
                  </pic:nvPicPr>
                  <pic:blipFill rotWithShape="1"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b="35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B6DC72" w14:textId="26132F5C" w:rsidR="00BE3BB3" w:rsidRPr="003162E4" w:rsidRDefault="00072DC1" w:rsidP="00072DC1">
      <w:pPr>
        <w:rPr>
          <w:rFonts w:asciiTheme="majorBidi" w:hAnsiTheme="majorBidi" w:cstheme="majorBidi"/>
          <w:b/>
          <w:bCs/>
          <w:sz w:val="20"/>
          <w:szCs w:val="20"/>
        </w:rPr>
      </w:pPr>
      <w:r w:rsidRPr="003162E4">
        <w:rPr>
          <w:rFonts w:asciiTheme="majorBidi" w:hAnsiTheme="majorBidi" w:cstheme="majorBidi"/>
          <w:b/>
          <w:bCs/>
          <w:sz w:val="20"/>
          <w:szCs w:val="20"/>
        </w:rPr>
        <w:t>Supplemental Figure S4. Effects of MG on progressive-ratio performance by sex.</w:t>
      </w:r>
    </w:p>
    <w:p w14:paraId="5B267A16" w14:textId="67BC45F9" w:rsidR="00072DC1" w:rsidRPr="003162E4" w:rsidRDefault="00072DC1" w:rsidP="00072DC1">
      <w:pPr>
        <w:rPr>
          <w:rFonts w:asciiTheme="majorBidi" w:hAnsiTheme="majorBidi" w:cstheme="majorBidi"/>
          <w:sz w:val="20"/>
          <w:szCs w:val="20"/>
        </w:rPr>
      </w:pPr>
      <w:r w:rsidRPr="003162E4">
        <w:rPr>
          <w:rFonts w:asciiTheme="majorBidi" w:hAnsiTheme="majorBidi" w:cstheme="majorBidi"/>
          <w:sz w:val="20"/>
          <w:szCs w:val="20"/>
        </w:rPr>
        <w:t xml:space="preserve">(A) Active lever presses appeared similar between males and females across MG doses (10–56 mg/kg, </w:t>
      </w:r>
      <w:proofErr w:type="spellStart"/>
      <w:r w:rsidRPr="003162E4">
        <w:rPr>
          <w:rFonts w:asciiTheme="majorBidi" w:hAnsiTheme="majorBidi" w:cstheme="majorBidi"/>
          <w:sz w:val="20"/>
          <w:szCs w:val="20"/>
        </w:rPr>
        <w:t>i.p.</w:t>
      </w:r>
      <w:proofErr w:type="spellEnd"/>
      <w:r w:rsidRPr="003162E4">
        <w:rPr>
          <w:rFonts w:asciiTheme="majorBidi" w:hAnsiTheme="majorBidi" w:cstheme="majorBidi"/>
          <w:sz w:val="20"/>
          <w:szCs w:val="20"/>
        </w:rPr>
        <w:t>). (B) Breakpoints showed no apparent differences between sexes, with no main effect of sex or dose × sex interaction detected.</w:t>
      </w:r>
    </w:p>
    <w:p w14:paraId="6E2674C2" w14:textId="77777777" w:rsidR="00072DC1" w:rsidRPr="003162E4" w:rsidRDefault="00072DC1" w:rsidP="00072DC1">
      <w:pPr>
        <w:rPr>
          <w:rFonts w:asciiTheme="majorBidi" w:hAnsiTheme="majorBidi" w:cstheme="majorBidi"/>
          <w:sz w:val="20"/>
          <w:szCs w:val="20"/>
        </w:rPr>
      </w:pPr>
      <w:r w:rsidRPr="003162E4">
        <w:rPr>
          <w:rFonts w:asciiTheme="majorBidi" w:hAnsiTheme="majorBidi" w:cstheme="majorBidi"/>
          <w:sz w:val="20"/>
          <w:szCs w:val="20"/>
        </w:rPr>
        <w:t>Data are expressed as mean ± SEM. Analyses were not powered to detect sex differences.</w:t>
      </w:r>
    </w:p>
    <w:p w14:paraId="03F60557" w14:textId="77777777" w:rsidR="00072DC1" w:rsidRPr="003162E4" w:rsidRDefault="00072DC1" w:rsidP="00072D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E0B24DB" w14:textId="77777777" w:rsidR="00072DC1" w:rsidRPr="003162E4" w:rsidRDefault="00072DC1" w:rsidP="00072D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DBEE55C" w14:textId="77777777" w:rsidR="00072DC1" w:rsidRPr="003162E4" w:rsidRDefault="00072DC1" w:rsidP="00072D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44491214" w14:textId="37AABF58" w:rsidR="00BE3BB3" w:rsidRPr="003162E4" w:rsidRDefault="00BE3BB3" w:rsidP="00E94165">
      <w:pPr>
        <w:rPr>
          <w:rFonts w:asciiTheme="majorBidi" w:hAnsiTheme="majorBidi" w:cstheme="majorBidi"/>
          <w:b/>
          <w:bCs/>
          <w:sz w:val="20"/>
          <w:szCs w:val="20"/>
        </w:rPr>
      </w:pPr>
      <w:r w:rsidRPr="003162E4">
        <w:rPr>
          <w:rFonts w:asciiTheme="majorBidi" w:eastAsia="Google Sans Text" w:hAnsiTheme="majorBidi" w:cstheme="majorBidi"/>
          <w:b/>
          <w:bCs/>
          <w:color w:val="1B1C1D"/>
          <w:kern w:val="0"/>
          <w:sz w:val="20"/>
          <w:szCs w:val="20"/>
          <w14:ligatures w14:val="none"/>
        </w:rPr>
        <w:t>Fig S5.</w:t>
      </w:r>
    </w:p>
    <w:p w14:paraId="44DA9533" w14:textId="55640EFE" w:rsidR="00BE3BB3" w:rsidRPr="003162E4" w:rsidRDefault="00BE3BB3" w:rsidP="00E94165">
      <w:pPr>
        <w:rPr>
          <w:rFonts w:asciiTheme="majorBidi" w:hAnsiTheme="majorBidi" w:cstheme="majorBidi"/>
          <w:b/>
          <w:bCs/>
          <w:sz w:val="20"/>
          <w:szCs w:val="20"/>
        </w:rPr>
      </w:pPr>
      <w:r w:rsidRPr="003162E4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7AA00FB2" wp14:editId="7AA045A2">
            <wp:extent cx="4984750" cy="2133600"/>
            <wp:effectExtent l="0" t="0" r="6350" b="0"/>
            <wp:docPr id="1820421156" name="Picture 1" descr="A graph showing the number of days and day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911473" name="Picture 1" descr="A graph showing the number of days and day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521" cy="213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72C84" w14:textId="3E10E0EB" w:rsidR="00BE3BB3" w:rsidRPr="003162E4" w:rsidRDefault="00BE3BB3" w:rsidP="00072DC1">
      <w:pPr>
        <w:tabs>
          <w:tab w:val="left" w:pos="1593"/>
        </w:tabs>
        <w:rPr>
          <w:rFonts w:asciiTheme="majorBidi" w:eastAsia="Aptos" w:hAnsiTheme="majorBidi" w:cstheme="majorBidi"/>
          <w:sz w:val="20"/>
          <w:szCs w:val="20"/>
        </w:rPr>
      </w:pPr>
      <w:r w:rsidRPr="003162E4">
        <w:rPr>
          <w:rFonts w:asciiTheme="majorBidi" w:eastAsia="Aptos" w:hAnsiTheme="majorBidi" w:cstheme="majorBidi"/>
          <w:b/>
          <w:bCs/>
          <w:sz w:val="20"/>
          <w:szCs w:val="20"/>
        </w:rPr>
        <w:t>Supplemental Fig S5. Fixed Ratio (FR), Acquisition of methamphetamine self-administration.</w:t>
      </w:r>
      <w:r w:rsidRPr="003162E4">
        <w:rPr>
          <w:rFonts w:asciiTheme="majorBidi" w:eastAsia="Aptos" w:hAnsiTheme="majorBidi" w:cstheme="majorBidi"/>
          <w:sz w:val="20"/>
          <w:szCs w:val="20"/>
        </w:rPr>
        <w:br/>
        <w:t>Mean (± SEM) active and inactive lever presses during daily 2-h acquisition sessions under an FR1→FR3→FR5 schedule (0.032 mg/kg/infusion; n = 8). Two-way repeated-measures ANOVA revealed significant main effects of Lever [</w:t>
      </w:r>
      <w:proofErr w:type="gramStart"/>
      <w:r w:rsidRPr="003162E4">
        <w:rPr>
          <w:rFonts w:asciiTheme="majorBidi" w:eastAsia="Aptos" w:hAnsiTheme="majorBidi" w:cstheme="majorBidi"/>
          <w:sz w:val="20"/>
          <w:szCs w:val="20"/>
        </w:rPr>
        <w:t>F(</w:t>
      </w:r>
      <w:proofErr w:type="gramEnd"/>
      <w:r w:rsidRPr="003162E4">
        <w:rPr>
          <w:rFonts w:asciiTheme="majorBidi" w:eastAsia="Aptos" w:hAnsiTheme="majorBidi" w:cstheme="majorBidi"/>
          <w:sz w:val="20"/>
          <w:szCs w:val="20"/>
        </w:rPr>
        <w:t>1, 14) = 12.75, p = 0.0031] and Session [</w:t>
      </w:r>
      <w:proofErr w:type="gramStart"/>
      <w:r w:rsidRPr="003162E4">
        <w:rPr>
          <w:rFonts w:asciiTheme="majorBidi" w:eastAsia="Aptos" w:hAnsiTheme="majorBidi" w:cstheme="majorBidi"/>
          <w:sz w:val="20"/>
          <w:szCs w:val="20"/>
        </w:rPr>
        <w:t>F(</w:t>
      </w:r>
      <w:proofErr w:type="gramEnd"/>
      <w:r w:rsidRPr="003162E4">
        <w:rPr>
          <w:rFonts w:asciiTheme="majorBidi" w:eastAsia="Aptos" w:hAnsiTheme="majorBidi" w:cstheme="majorBidi"/>
          <w:sz w:val="20"/>
          <w:szCs w:val="20"/>
        </w:rPr>
        <w:t>2.506, 35.08) = 7.84, p = 0.0007], as well as a significant Lever × Session interaction [</w:t>
      </w:r>
      <w:proofErr w:type="gramStart"/>
      <w:r w:rsidRPr="003162E4">
        <w:rPr>
          <w:rFonts w:asciiTheme="majorBidi" w:eastAsia="Aptos" w:hAnsiTheme="majorBidi" w:cstheme="majorBidi"/>
          <w:sz w:val="20"/>
          <w:szCs w:val="20"/>
        </w:rPr>
        <w:t>F(</w:t>
      </w:r>
      <w:proofErr w:type="gramEnd"/>
      <w:r w:rsidRPr="003162E4">
        <w:rPr>
          <w:rFonts w:asciiTheme="majorBidi" w:eastAsia="Aptos" w:hAnsiTheme="majorBidi" w:cstheme="majorBidi"/>
          <w:sz w:val="20"/>
          <w:szCs w:val="20"/>
        </w:rPr>
        <w:t>14, 196) = 10.19, p &lt; 0.0001]. Post-hoc comparisons indicated that active-lever responding became significantly greater than inactive-lever responding beginning on Day 7 (p = 0.03) and remained elevated through Day 15 (p = 0.0003). These findings confirm successful acquisition of methamphetamine-maintained behavior prior to MG testing.</w:t>
      </w:r>
    </w:p>
    <w:p w14:paraId="34E4E96C" w14:textId="672679B9" w:rsidR="00E94165" w:rsidRPr="003162E4" w:rsidRDefault="00E94165" w:rsidP="00E94165">
      <w:pPr>
        <w:rPr>
          <w:rFonts w:asciiTheme="majorBidi" w:hAnsiTheme="majorBidi" w:cstheme="majorBidi"/>
          <w:b/>
          <w:bCs/>
          <w:sz w:val="20"/>
          <w:szCs w:val="20"/>
        </w:rPr>
      </w:pPr>
      <w:r w:rsidRPr="003162E4">
        <w:rPr>
          <w:rFonts w:asciiTheme="majorBidi" w:hAnsiTheme="majorBidi" w:cstheme="majorBidi"/>
          <w:b/>
          <w:bCs/>
          <w:sz w:val="20"/>
          <w:szCs w:val="20"/>
        </w:rPr>
        <w:t>Fig S</w:t>
      </w:r>
      <w:r w:rsidR="00BE3BB3" w:rsidRPr="003162E4">
        <w:rPr>
          <w:rFonts w:asciiTheme="majorBidi" w:hAnsiTheme="majorBidi" w:cstheme="majorBidi"/>
          <w:b/>
          <w:bCs/>
          <w:sz w:val="20"/>
          <w:szCs w:val="20"/>
        </w:rPr>
        <w:t>6</w:t>
      </w:r>
      <w:r w:rsidRPr="003162E4">
        <w:rPr>
          <w:rFonts w:asciiTheme="majorBidi" w:hAnsiTheme="majorBidi" w:cstheme="majorBidi"/>
          <w:b/>
          <w:bCs/>
          <w:sz w:val="20"/>
          <w:szCs w:val="20"/>
        </w:rPr>
        <w:t>.</w:t>
      </w:r>
    </w:p>
    <w:p w14:paraId="210E3375" w14:textId="28917808" w:rsidR="00E94165" w:rsidRPr="003162E4" w:rsidRDefault="00E94165" w:rsidP="00072DC1">
      <w:pPr>
        <w:rPr>
          <w:rFonts w:asciiTheme="majorBidi" w:hAnsiTheme="majorBidi" w:cstheme="majorBidi"/>
          <w:sz w:val="20"/>
          <w:szCs w:val="20"/>
        </w:rPr>
      </w:pPr>
      <w:r w:rsidRPr="003162E4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7299BC5D" wp14:editId="00CACC6F">
            <wp:extent cx="5041224" cy="2387600"/>
            <wp:effectExtent l="0" t="0" r="7620" b="0"/>
            <wp:docPr id="97251589" name="Picture 2" descr="A graph showing the number of days and day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51589" name="Picture 2" descr="A graph showing the number of days and day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36" cy="239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8DCC1" w14:textId="2F358BD6" w:rsidR="00E94165" w:rsidRPr="003162E4" w:rsidRDefault="00E94165" w:rsidP="00E94165">
      <w:pPr>
        <w:rPr>
          <w:rFonts w:asciiTheme="majorBidi" w:hAnsiTheme="majorBidi" w:cstheme="majorBidi"/>
          <w:sz w:val="20"/>
          <w:szCs w:val="20"/>
        </w:rPr>
      </w:pPr>
      <w:r w:rsidRPr="003162E4">
        <w:rPr>
          <w:rFonts w:asciiTheme="majorBidi" w:hAnsiTheme="majorBidi" w:cstheme="majorBidi"/>
          <w:b/>
          <w:bCs/>
          <w:sz w:val="20"/>
          <w:szCs w:val="20"/>
        </w:rPr>
        <w:t>Supplementa</w:t>
      </w:r>
      <w:r w:rsidR="00897152" w:rsidRPr="003162E4">
        <w:rPr>
          <w:rFonts w:asciiTheme="majorBidi" w:hAnsiTheme="majorBidi" w:cstheme="majorBidi"/>
          <w:b/>
          <w:bCs/>
          <w:sz w:val="20"/>
          <w:szCs w:val="20"/>
        </w:rPr>
        <w:t>l</w:t>
      </w:r>
      <w:r w:rsidRPr="003162E4">
        <w:rPr>
          <w:rFonts w:asciiTheme="majorBidi" w:hAnsiTheme="majorBidi" w:cstheme="majorBidi"/>
          <w:b/>
          <w:bCs/>
          <w:sz w:val="20"/>
          <w:szCs w:val="20"/>
        </w:rPr>
        <w:t xml:space="preserve"> Fig</w:t>
      </w:r>
      <w:r w:rsidR="00597420" w:rsidRPr="003162E4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3162E4">
        <w:rPr>
          <w:rFonts w:asciiTheme="majorBidi" w:hAnsiTheme="majorBidi" w:cstheme="majorBidi"/>
          <w:b/>
          <w:bCs/>
          <w:sz w:val="20"/>
          <w:szCs w:val="20"/>
        </w:rPr>
        <w:t>S</w:t>
      </w:r>
      <w:r w:rsidR="00BE3BB3" w:rsidRPr="003162E4">
        <w:rPr>
          <w:rFonts w:asciiTheme="majorBidi" w:hAnsiTheme="majorBidi" w:cstheme="majorBidi"/>
          <w:b/>
          <w:bCs/>
          <w:sz w:val="20"/>
          <w:szCs w:val="20"/>
        </w:rPr>
        <w:t>6</w:t>
      </w:r>
      <w:r w:rsidRPr="003162E4">
        <w:rPr>
          <w:rFonts w:asciiTheme="majorBidi" w:hAnsiTheme="majorBidi" w:cstheme="majorBidi"/>
          <w:b/>
          <w:bCs/>
          <w:sz w:val="20"/>
          <w:szCs w:val="20"/>
        </w:rPr>
        <w:t>. Progressive ratio (PR) responding for methamphetamine.</w:t>
      </w:r>
      <w:r w:rsidRPr="003162E4">
        <w:rPr>
          <w:rFonts w:asciiTheme="majorBidi" w:hAnsiTheme="majorBidi" w:cstheme="majorBidi"/>
          <w:sz w:val="20"/>
          <w:szCs w:val="20"/>
        </w:rPr>
        <w:br/>
        <w:t>Mean (± SEM) active and inactive lever presses across PR sessions (0.032 mg/kg/infusion; n = 8). Two-way repeated-measures ANOVA revealed significant main effects of Lever [</w:t>
      </w:r>
      <w:proofErr w:type="gramStart"/>
      <w:r w:rsidRPr="003162E4">
        <w:rPr>
          <w:rFonts w:asciiTheme="majorBidi" w:hAnsiTheme="majorBidi" w:cstheme="majorBidi"/>
          <w:sz w:val="20"/>
          <w:szCs w:val="20"/>
        </w:rPr>
        <w:t>F(</w:t>
      </w:r>
      <w:proofErr w:type="gramEnd"/>
      <w:r w:rsidRPr="003162E4">
        <w:rPr>
          <w:rFonts w:asciiTheme="majorBidi" w:hAnsiTheme="majorBidi" w:cstheme="majorBidi"/>
          <w:sz w:val="20"/>
          <w:szCs w:val="20"/>
        </w:rPr>
        <w:t>1, 14) = 14.97, p = 0.0017] and Session [</w:t>
      </w:r>
      <w:proofErr w:type="gramStart"/>
      <w:r w:rsidRPr="003162E4">
        <w:rPr>
          <w:rFonts w:asciiTheme="majorBidi" w:hAnsiTheme="majorBidi" w:cstheme="majorBidi"/>
          <w:sz w:val="20"/>
          <w:szCs w:val="20"/>
        </w:rPr>
        <w:t>F(</w:t>
      </w:r>
      <w:proofErr w:type="gramEnd"/>
      <w:r w:rsidRPr="003162E4">
        <w:rPr>
          <w:rFonts w:asciiTheme="majorBidi" w:hAnsiTheme="majorBidi" w:cstheme="majorBidi"/>
          <w:sz w:val="20"/>
          <w:szCs w:val="20"/>
        </w:rPr>
        <w:t>1.695, 23.73) = 11.23, p = 0.0006], as well as a significant Lever × Session interaction [</w:t>
      </w:r>
      <w:proofErr w:type="gramStart"/>
      <w:r w:rsidRPr="003162E4">
        <w:rPr>
          <w:rFonts w:asciiTheme="majorBidi" w:hAnsiTheme="majorBidi" w:cstheme="majorBidi"/>
          <w:sz w:val="20"/>
          <w:szCs w:val="20"/>
        </w:rPr>
        <w:t>F(</w:t>
      </w:r>
      <w:proofErr w:type="gramEnd"/>
      <w:r w:rsidRPr="003162E4">
        <w:rPr>
          <w:rFonts w:asciiTheme="majorBidi" w:hAnsiTheme="majorBidi" w:cstheme="majorBidi"/>
          <w:sz w:val="20"/>
          <w:szCs w:val="20"/>
        </w:rPr>
        <w:t>14, 196) = 10.79, p &lt; 0.0001]. Post-hoc comparisons indicated that active-lever responding became significantly greater than inactive-lever responding beginning on</w:t>
      </w:r>
      <w:r w:rsidRPr="003162E4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3162E4">
        <w:rPr>
          <w:rFonts w:asciiTheme="majorBidi" w:hAnsiTheme="majorBidi" w:cstheme="majorBidi"/>
          <w:sz w:val="20"/>
          <w:szCs w:val="20"/>
        </w:rPr>
        <w:t>Day 10 (p = 0.035</w:t>
      </w:r>
      <w:r w:rsidRPr="003162E4">
        <w:rPr>
          <w:rFonts w:asciiTheme="majorBidi" w:hAnsiTheme="majorBidi" w:cstheme="majorBidi"/>
          <w:b/>
          <w:bCs/>
          <w:sz w:val="20"/>
          <w:szCs w:val="20"/>
        </w:rPr>
        <w:t>)</w:t>
      </w:r>
      <w:r w:rsidRPr="003162E4">
        <w:rPr>
          <w:rFonts w:asciiTheme="majorBidi" w:hAnsiTheme="majorBidi" w:cstheme="majorBidi"/>
          <w:sz w:val="20"/>
          <w:szCs w:val="20"/>
        </w:rPr>
        <w:t xml:space="preserve"> and remained elevated through Day 15 (p = 0.007). These results confirm stable motivation to obtain methamphetamine under the progressive-ratio schedule prior to MG testing.</w:t>
      </w:r>
    </w:p>
    <w:p w14:paraId="50183A56" w14:textId="4FA2DD92" w:rsidR="004C2B35" w:rsidRPr="003162E4" w:rsidRDefault="004C2B35" w:rsidP="004C2B35">
      <w:pPr>
        <w:rPr>
          <w:rFonts w:asciiTheme="majorBidi" w:hAnsiTheme="majorBidi" w:cstheme="majorBidi"/>
          <w:b/>
          <w:bCs/>
          <w:sz w:val="20"/>
          <w:szCs w:val="20"/>
        </w:rPr>
      </w:pPr>
      <w:r w:rsidRPr="003162E4">
        <w:rPr>
          <w:rFonts w:asciiTheme="majorBidi" w:hAnsiTheme="majorBidi" w:cstheme="majorBidi"/>
          <w:b/>
          <w:bCs/>
          <w:sz w:val="20"/>
          <w:szCs w:val="20"/>
        </w:rPr>
        <w:lastRenderedPageBreak/>
        <w:t>Fig S7.</w:t>
      </w:r>
    </w:p>
    <w:p w14:paraId="14425735" w14:textId="77777777" w:rsidR="004C2B35" w:rsidRPr="003162E4" w:rsidRDefault="004C2B35" w:rsidP="00E94165">
      <w:pPr>
        <w:rPr>
          <w:rFonts w:asciiTheme="majorBidi" w:hAnsiTheme="majorBidi" w:cstheme="majorBidi"/>
          <w:sz w:val="20"/>
          <w:szCs w:val="20"/>
        </w:rPr>
      </w:pPr>
    </w:p>
    <w:p w14:paraId="2D1FB80F" w14:textId="4222141D" w:rsidR="00E94165" w:rsidRPr="003162E4" w:rsidRDefault="004C2B35" w:rsidP="00A64F57">
      <w:pPr>
        <w:rPr>
          <w:noProof/>
        </w:rPr>
      </w:pPr>
      <w:r w:rsidRPr="003162E4">
        <w:rPr>
          <w:noProof/>
        </w:rPr>
        <w:drawing>
          <wp:inline distT="0" distB="0" distL="0" distR="0" wp14:anchorId="062547C6" wp14:editId="11716EA1">
            <wp:extent cx="5018986" cy="2133600"/>
            <wp:effectExtent l="0" t="0" r="0" b="0"/>
            <wp:docPr id="1800518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023" cy="213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BFC72" w14:textId="77777777" w:rsidR="004C2B35" w:rsidRPr="003162E4" w:rsidRDefault="004C2B35" w:rsidP="004C2B35">
      <w:pPr>
        <w:tabs>
          <w:tab w:val="left" w:pos="1710"/>
        </w:tabs>
        <w:rPr>
          <w:rFonts w:asciiTheme="majorBidi" w:hAnsiTheme="majorBidi" w:cstheme="majorBidi"/>
          <w:b/>
          <w:bCs/>
          <w:sz w:val="20"/>
          <w:szCs w:val="20"/>
        </w:rPr>
      </w:pPr>
      <w:r w:rsidRPr="003162E4">
        <w:rPr>
          <w:rFonts w:asciiTheme="majorBidi" w:hAnsiTheme="majorBidi" w:cstheme="majorBidi"/>
          <w:b/>
          <w:bCs/>
          <w:sz w:val="20"/>
          <w:szCs w:val="20"/>
        </w:rPr>
        <w:t>Supplemental Fig S7.</w:t>
      </w:r>
      <w:r w:rsidRPr="003162E4">
        <w:t xml:space="preserve"> </w:t>
      </w:r>
      <w:r w:rsidRPr="003162E4">
        <w:rPr>
          <w:rFonts w:asciiTheme="majorBidi" w:hAnsiTheme="majorBidi" w:cstheme="majorBidi"/>
          <w:b/>
          <w:bCs/>
          <w:sz w:val="20"/>
          <w:szCs w:val="20"/>
        </w:rPr>
        <w:t>Body weight during food-maintained responding experiment.</w:t>
      </w:r>
    </w:p>
    <w:p w14:paraId="0015C4A4" w14:textId="501439D8" w:rsidR="004C2B35" w:rsidRPr="004C2B35" w:rsidRDefault="004C2B35" w:rsidP="004C2B35">
      <w:pPr>
        <w:tabs>
          <w:tab w:val="left" w:pos="1710"/>
        </w:tabs>
        <w:rPr>
          <w:rFonts w:asciiTheme="majorBidi" w:hAnsiTheme="majorBidi" w:cstheme="majorBidi"/>
          <w:b/>
          <w:bCs/>
          <w:sz w:val="20"/>
          <w:szCs w:val="20"/>
        </w:rPr>
      </w:pPr>
      <w:r w:rsidRPr="003162E4">
        <w:rPr>
          <w:rFonts w:asciiTheme="majorBidi" w:hAnsiTheme="majorBidi" w:cstheme="majorBidi"/>
          <w:sz w:val="20"/>
          <w:szCs w:val="20"/>
        </w:rPr>
        <w:t>Body weights (</w:t>
      </w:r>
      <w:proofErr w:type="gramStart"/>
      <w:r w:rsidRPr="003162E4">
        <w:rPr>
          <w:rFonts w:asciiTheme="majorBidi" w:hAnsiTheme="majorBidi" w:cstheme="majorBidi"/>
          <w:sz w:val="20"/>
          <w:szCs w:val="20"/>
        </w:rPr>
        <w:t>mean ±</w:t>
      </w:r>
      <w:proofErr w:type="gramEnd"/>
      <w:r w:rsidRPr="003162E4">
        <w:rPr>
          <w:rFonts w:asciiTheme="majorBidi" w:hAnsiTheme="majorBidi" w:cstheme="majorBidi"/>
          <w:sz w:val="20"/>
          <w:szCs w:val="20"/>
        </w:rPr>
        <w:t xml:space="preserve"> SEM) were recorded daily throughout the food self-administration experiment under food-restricted conditions (~85% free-feeding weight). Body weight remained stable </w:t>
      </w:r>
      <w:proofErr w:type="gramStart"/>
      <w:r w:rsidRPr="003162E4">
        <w:rPr>
          <w:rFonts w:asciiTheme="majorBidi" w:hAnsiTheme="majorBidi" w:cstheme="majorBidi"/>
          <w:sz w:val="20"/>
          <w:szCs w:val="20"/>
        </w:rPr>
        <w:t>across</w:t>
      </w:r>
      <w:proofErr w:type="gramEnd"/>
      <w:r w:rsidRPr="003162E4">
        <w:rPr>
          <w:rFonts w:asciiTheme="majorBidi" w:hAnsiTheme="majorBidi" w:cstheme="majorBidi"/>
          <w:sz w:val="20"/>
          <w:szCs w:val="20"/>
        </w:rPr>
        <w:t xml:space="preserve"> the duration of the study. (n = 8)</w:t>
      </w:r>
    </w:p>
    <w:sectPr w:rsidR="004C2B35" w:rsidRPr="004C2B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68DB9" w14:textId="77777777" w:rsidR="00D61988" w:rsidRDefault="00D61988" w:rsidP="00C70C56">
      <w:pPr>
        <w:spacing w:after="0" w:line="240" w:lineRule="auto"/>
      </w:pPr>
      <w:r>
        <w:separator/>
      </w:r>
    </w:p>
  </w:endnote>
  <w:endnote w:type="continuationSeparator" w:id="0">
    <w:p w14:paraId="616B316C" w14:textId="77777777" w:rsidR="00D61988" w:rsidRDefault="00D61988" w:rsidP="00C70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ogle Sans Text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B4D1B" w14:textId="77777777" w:rsidR="00D61988" w:rsidRDefault="00D61988" w:rsidP="00C70C56">
      <w:pPr>
        <w:spacing w:after="0" w:line="240" w:lineRule="auto"/>
      </w:pPr>
      <w:r>
        <w:separator/>
      </w:r>
    </w:p>
  </w:footnote>
  <w:footnote w:type="continuationSeparator" w:id="0">
    <w:p w14:paraId="5887A6B8" w14:textId="77777777" w:rsidR="00D61988" w:rsidRDefault="00D61988" w:rsidP="00C70C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C41"/>
    <w:rsid w:val="00055F7F"/>
    <w:rsid w:val="000673C7"/>
    <w:rsid w:val="00072DC1"/>
    <w:rsid w:val="00074085"/>
    <w:rsid w:val="000A294A"/>
    <w:rsid w:val="000D40A2"/>
    <w:rsid w:val="000D4729"/>
    <w:rsid w:val="000E72BB"/>
    <w:rsid w:val="001D08AA"/>
    <w:rsid w:val="001E46E8"/>
    <w:rsid w:val="001F7921"/>
    <w:rsid w:val="002006BF"/>
    <w:rsid w:val="002D1034"/>
    <w:rsid w:val="003162E4"/>
    <w:rsid w:val="00354660"/>
    <w:rsid w:val="00360968"/>
    <w:rsid w:val="00373AEA"/>
    <w:rsid w:val="00457989"/>
    <w:rsid w:val="004B0D2D"/>
    <w:rsid w:val="004C2B35"/>
    <w:rsid w:val="004D5531"/>
    <w:rsid w:val="00526E96"/>
    <w:rsid w:val="0058685E"/>
    <w:rsid w:val="00597420"/>
    <w:rsid w:val="005C29AA"/>
    <w:rsid w:val="006330F8"/>
    <w:rsid w:val="00644199"/>
    <w:rsid w:val="00656589"/>
    <w:rsid w:val="006661C5"/>
    <w:rsid w:val="006C49ED"/>
    <w:rsid w:val="007159A2"/>
    <w:rsid w:val="00724212"/>
    <w:rsid w:val="00731745"/>
    <w:rsid w:val="0073210D"/>
    <w:rsid w:val="00733332"/>
    <w:rsid w:val="00745941"/>
    <w:rsid w:val="007634D7"/>
    <w:rsid w:val="0078627F"/>
    <w:rsid w:val="007944E5"/>
    <w:rsid w:val="007E51D2"/>
    <w:rsid w:val="00856C56"/>
    <w:rsid w:val="00897152"/>
    <w:rsid w:val="008D5D28"/>
    <w:rsid w:val="008F58C2"/>
    <w:rsid w:val="008F68A9"/>
    <w:rsid w:val="009828C8"/>
    <w:rsid w:val="009C597E"/>
    <w:rsid w:val="00A46BA3"/>
    <w:rsid w:val="00A512A2"/>
    <w:rsid w:val="00A57477"/>
    <w:rsid w:val="00A64F57"/>
    <w:rsid w:val="00A97DE8"/>
    <w:rsid w:val="00AA7A8E"/>
    <w:rsid w:val="00B357C7"/>
    <w:rsid w:val="00BA3003"/>
    <w:rsid w:val="00BA3430"/>
    <w:rsid w:val="00BE3BB3"/>
    <w:rsid w:val="00C17ED6"/>
    <w:rsid w:val="00C226CD"/>
    <w:rsid w:val="00C70C56"/>
    <w:rsid w:val="00C71D40"/>
    <w:rsid w:val="00C960A2"/>
    <w:rsid w:val="00CA73FE"/>
    <w:rsid w:val="00CD708C"/>
    <w:rsid w:val="00D61988"/>
    <w:rsid w:val="00DA4D54"/>
    <w:rsid w:val="00DD69CB"/>
    <w:rsid w:val="00DF1C41"/>
    <w:rsid w:val="00E2112A"/>
    <w:rsid w:val="00E341B8"/>
    <w:rsid w:val="00E92105"/>
    <w:rsid w:val="00E94165"/>
    <w:rsid w:val="00F11341"/>
    <w:rsid w:val="00F25331"/>
    <w:rsid w:val="00F7244C"/>
    <w:rsid w:val="00F811D8"/>
    <w:rsid w:val="00F83C64"/>
    <w:rsid w:val="00F96A55"/>
    <w:rsid w:val="00FA5601"/>
    <w:rsid w:val="00FD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C4C9A"/>
  <w15:chartTrackingRefBased/>
  <w15:docId w15:val="{0D72E5ED-7F7B-484C-BBA2-51198580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C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C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C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C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C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C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C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C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C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C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C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C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C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C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C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C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C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0C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C56"/>
  </w:style>
  <w:style w:type="paragraph" w:styleId="Footer">
    <w:name w:val="footer"/>
    <w:basedOn w:val="Normal"/>
    <w:link w:val="FooterChar"/>
    <w:uiPriority w:val="99"/>
    <w:unhideWhenUsed/>
    <w:rsid w:val="00C70C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C56"/>
  </w:style>
  <w:style w:type="character" w:styleId="Strong">
    <w:name w:val="Strong"/>
    <w:basedOn w:val="DefaultParagraphFont"/>
    <w:uiPriority w:val="22"/>
    <w:qFormat/>
    <w:rsid w:val="00F25331"/>
    <w:rPr>
      <w:b/>
      <w:bCs/>
    </w:rPr>
  </w:style>
  <w:style w:type="paragraph" w:styleId="Revision">
    <w:name w:val="Revision"/>
    <w:hidden/>
    <w:uiPriority w:val="99"/>
    <w:semiHidden/>
    <w:rsid w:val="007E51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sv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sv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7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Wilkerson</dc:creator>
  <cp:keywords/>
  <dc:description/>
  <cp:lastModifiedBy>Jenny Wilkerson</cp:lastModifiedBy>
  <cp:revision>37</cp:revision>
  <dcterms:created xsi:type="dcterms:W3CDTF">2025-10-28T02:27:00Z</dcterms:created>
  <dcterms:modified xsi:type="dcterms:W3CDTF">2026-05-05T22:59:00Z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id="CfXRW4HQ"/&gt;&lt;style id="http://www.zotero.org/styles/psychopharmacology" hasBibliography="1" bibliographyStyleHasBeenSet="0"/&gt;&lt;prefs&gt;&lt;pref name="fieldType" value="Field"/&gt;&lt;/prefs&gt;&lt;/data&gt;</vt:lpwstr>
  </property>
</Properties>
</file>