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4907A" w14:textId="77777777" w:rsidR="00BE3EA2" w:rsidRPr="00CF0549" w:rsidRDefault="00BE3EA2" w:rsidP="00182A52">
      <w:pPr>
        <w:contextualSpacing/>
        <w:rPr>
          <w:b/>
          <w:bCs/>
          <w:color w:val="000000" w:themeColor="text1"/>
        </w:rPr>
      </w:pPr>
    </w:p>
    <w:p w14:paraId="5C1F3024" w14:textId="42DF07D0" w:rsidR="00680F91" w:rsidRPr="00CF0549" w:rsidRDefault="0002606C" w:rsidP="00182A52">
      <w:pPr>
        <w:contextualSpacing/>
        <w:rPr>
          <w:b/>
          <w:bCs/>
          <w:color w:val="000000" w:themeColor="text1"/>
        </w:rPr>
      </w:pPr>
      <w:r w:rsidRPr="00CF0549">
        <w:rPr>
          <w:b/>
          <w:bCs/>
          <w:noProof/>
          <w:color w:val="000000" w:themeColor="text1"/>
        </w:rPr>
        <w:drawing>
          <wp:inline distT="0" distB="0" distL="0" distR="0" wp14:anchorId="7F618C65" wp14:editId="689AAA5F">
            <wp:extent cx="5943600" cy="3234055"/>
            <wp:effectExtent l="0" t="0" r="0" b="4445"/>
            <wp:docPr id="1188903802" name="Picture 1" descr="A comparison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903802" name="Picture 1" descr="A comparison of a graph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34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2C79E1" w14:textId="1F7D349F" w:rsidR="00BF3B04" w:rsidRPr="00CF0549" w:rsidRDefault="00BE3EA2" w:rsidP="00182A52">
      <w:pPr>
        <w:contextualSpacing/>
        <w:rPr>
          <w:color w:val="000000" w:themeColor="text1"/>
        </w:rPr>
      </w:pPr>
      <w:r w:rsidRPr="00CF0549">
        <w:rPr>
          <w:rStyle w:val="Strong"/>
          <w:rFonts w:eastAsiaTheme="majorEastAsia"/>
          <w:color w:val="000000" w:themeColor="text1"/>
        </w:rPr>
        <w:t xml:space="preserve">Supplemental Figure </w:t>
      </w:r>
      <w:r w:rsidR="00084F67">
        <w:rPr>
          <w:rStyle w:val="Strong"/>
          <w:rFonts w:eastAsiaTheme="majorEastAsia"/>
          <w:color w:val="000000" w:themeColor="text1"/>
        </w:rPr>
        <w:t>1</w:t>
      </w:r>
      <w:r w:rsidRPr="00CF0549">
        <w:rPr>
          <w:rStyle w:val="Strong"/>
          <w:rFonts w:eastAsiaTheme="majorEastAsia"/>
          <w:color w:val="000000" w:themeColor="text1"/>
        </w:rPr>
        <w:t>.</w:t>
      </w:r>
      <w:r w:rsidRPr="00CF0549">
        <w:rPr>
          <w:color w:val="000000" w:themeColor="text1"/>
        </w:rPr>
        <w:t xml:space="preserve"> No change in motivation for cocaine after cannula surgery. Percent change (± SEM)</w:t>
      </w:r>
      <w:r w:rsidR="00326E20" w:rsidRPr="00CF0549">
        <w:rPr>
          <w:color w:val="000000" w:themeColor="text1"/>
        </w:rPr>
        <w:t>, relative to baseline motivation established before extended-access (ExA) cocaine self-administration (Pre-ExA PR),</w:t>
      </w:r>
      <w:r w:rsidRPr="00CF0549">
        <w:rPr>
          <w:color w:val="000000" w:themeColor="text1"/>
        </w:rPr>
        <w:t xml:space="preserve"> in the number of cocaine infusions obtained under a progressive-ratio (PR) schedule, averaged across three PR testing days, </w:t>
      </w:r>
      <w:r w:rsidR="00AE4E6E" w:rsidRPr="00CF0549">
        <w:rPr>
          <w:color w:val="000000" w:themeColor="text1"/>
        </w:rPr>
        <w:t xml:space="preserve">measured at two timepoints: </w:t>
      </w:r>
      <w:r w:rsidR="00896FD8" w:rsidRPr="00CF0549">
        <w:rPr>
          <w:color w:val="000000" w:themeColor="text1"/>
        </w:rPr>
        <w:t xml:space="preserve">after the 7-day withdrawal period </w:t>
      </w:r>
      <w:r w:rsidRPr="00CF0549">
        <w:rPr>
          <w:color w:val="000000" w:themeColor="text1"/>
        </w:rPr>
        <w:t>(</w:t>
      </w:r>
      <w:r w:rsidR="003E7C71" w:rsidRPr="00CF0549">
        <w:rPr>
          <w:color w:val="000000" w:themeColor="text1"/>
        </w:rPr>
        <w:t>i.e., prior to cannula implantation</w:t>
      </w:r>
      <w:r w:rsidR="00AE4E6E" w:rsidRPr="00CF0549">
        <w:rPr>
          <w:color w:val="000000" w:themeColor="text1"/>
        </w:rPr>
        <w:t>;</w:t>
      </w:r>
      <w:r w:rsidR="003E7C71" w:rsidRPr="00CF0549">
        <w:rPr>
          <w:color w:val="000000" w:themeColor="text1"/>
        </w:rPr>
        <w:t xml:space="preserve"> </w:t>
      </w:r>
      <w:r w:rsidRPr="00CF0549">
        <w:rPr>
          <w:color w:val="000000" w:themeColor="text1"/>
        </w:rPr>
        <w:t>pre-surgery) and</w:t>
      </w:r>
      <w:r w:rsidR="00896FD8" w:rsidRPr="00CF0549">
        <w:rPr>
          <w:color w:val="000000" w:themeColor="text1"/>
        </w:rPr>
        <w:t xml:space="preserve"> prior to </w:t>
      </w:r>
      <w:proofErr w:type="spellStart"/>
      <w:r w:rsidR="00896FD8" w:rsidRPr="00CF0549">
        <w:rPr>
          <w:color w:val="000000" w:themeColor="text1"/>
        </w:rPr>
        <w:t>naspm</w:t>
      </w:r>
      <w:proofErr w:type="spellEnd"/>
      <w:r w:rsidR="00896FD8" w:rsidRPr="00CF0549">
        <w:rPr>
          <w:color w:val="000000" w:themeColor="text1"/>
        </w:rPr>
        <w:t xml:space="preserve"> treatment </w:t>
      </w:r>
      <w:r w:rsidRPr="00CF0549">
        <w:rPr>
          <w:color w:val="000000" w:themeColor="text1"/>
        </w:rPr>
        <w:t>(</w:t>
      </w:r>
      <w:r w:rsidR="003E7C71" w:rsidRPr="00CF0549">
        <w:rPr>
          <w:color w:val="000000" w:themeColor="text1"/>
        </w:rPr>
        <w:t>i.e., following cannula implantation</w:t>
      </w:r>
      <w:r w:rsidR="00631850">
        <w:rPr>
          <w:color w:val="000000" w:themeColor="text1"/>
        </w:rPr>
        <w:t xml:space="preserve"> </w:t>
      </w:r>
      <w:r w:rsidR="00631850" w:rsidRPr="00A54A23">
        <w:rPr>
          <w:color w:val="000000" w:themeColor="text1"/>
        </w:rPr>
        <w:t>and on average 33 days after the final JNJ or SYN treatment</w:t>
      </w:r>
      <w:r w:rsidR="00AE4E6E" w:rsidRPr="00CF0549">
        <w:rPr>
          <w:color w:val="000000" w:themeColor="text1"/>
        </w:rPr>
        <w:t>;</w:t>
      </w:r>
      <w:r w:rsidR="003E7C71" w:rsidRPr="00CF0549">
        <w:rPr>
          <w:color w:val="000000" w:themeColor="text1"/>
        </w:rPr>
        <w:t xml:space="preserve"> </w:t>
      </w:r>
      <w:r w:rsidRPr="00CF0549">
        <w:rPr>
          <w:color w:val="000000" w:themeColor="text1"/>
        </w:rPr>
        <w:t>post-surgery) in SYN-treated females (n = 4) and JNJ-treated males (n = 5). * Significant difference from baseline (or zero).</w:t>
      </w:r>
    </w:p>
    <w:p w14:paraId="71DBE32B" w14:textId="77777777" w:rsidR="00BE3EA2" w:rsidRPr="00CF0549" w:rsidRDefault="00BE3EA2" w:rsidP="00182A52">
      <w:pPr>
        <w:contextualSpacing/>
        <w:rPr>
          <w:rStyle w:val="Strong"/>
          <w:rFonts w:eastAsiaTheme="majorEastAsia"/>
          <w:b w:val="0"/>
          <w:bCs w:val="0"/>
          <w:color w:val="000000" w:themeColor="text1"/>
        </w:rPr>
      </w:pPr>
    </w:p>
    <w:p w14:paraId="444BB8F6" w14:textId="405E23EA" w:rsidR="00182A52" w:rsidRDefault="00182A52"/>
    <w:sectPr w:rsidR="00182A52" w:rsidSect="00604A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775"/>
    <w:rsid w:val="0002606C"/>
    <w:rsid w:val="00062BD7"/>
    <w:rsid w:val="0006373D"/>
    <w:rsid w:val="00084F67"/>
    <w:rsid w:val="00090775"/>
    <w:rsid w:val="000D6CC7"/>
    <w:rsid w:val="000E4508"/>
    <w:rsid w:val="00154C5D"/>
    <w:rsid w:val="00182A52"/>
    <w:rsid w:val="001D5358"/>
    <w:rsid w:val="001D59FF"/>
    <w:rsid w:val="002635EE"/>
    <w:rsid w:val="002E7927"/>
    <w:rsid w:val="00326E20"/>
    <w:rsid w:val="003C12D9"/>
    <w:rsid w:val="003E7C71"/>
    <w:rsid w:val="004067B2"/>
    <w:rsid w:val="005C545F"/>
    <w:rsid w:val="00604A98"/>
    <w:rsid w:val="00631850"/>
    <w:rsid w:val="00680F91"/>
    <w:rsid w:val="006860D9"/>
    <w:rsid w:val="006A143C"/>
    <w:rsid w:val="007A3780"/>
    <w:rsid w:val="007F461C"/>
    <w:rsid w:val="00817558"/>
    <w:rsid w:val="00861B32"/>
    <w:rsid w:val="00884758"/>
    <w:rsid w:val="00896FD8"/>
    <w:rsid w:val="008F7AC9"/>
    <w:rsid w:val="00920BAB"/>
    <w:rsid w:val="009A6535"/>
    <w:rsid w:val="00A37AD6"/>
    <w:rsid w:val="00A47E18"/>
    <w:rsid w:val="00A54A23"/>
    <w:rsid w:val="00AE4E6E"/>
    <w:rsid w:val="00AF2EA6"/>
    <w:rsid w:val="00B27BD8"/>
    <w:rsid w:val="00B40C97"/>
    <w:rsid w:val="00B448F9"/>
    <w:rsid w:val="00B94EEF"/>
    <w:rsid w:val="00B96277"/>
    <w:rsid w:val="00BC1280"/>
    <w:rsid w:val="00BD6101"/>
    <w:rsid w:val="00BE3EA2"/>
    <w:rsid w:val="00BF3B04"/>
    <w:rsid w:val="00C46C34"/>
    <w:rsid w:val="00C73F58"/>
    <w:rsid w:val="00CF0549"/>
    <w:rsid w:val="00DA41C2"/>
    <w:rsid w:val="00DB59E1"/>
    <w:rsid w:val="00E62ED3"/>
    <w:rsid w:val="00EE14A8"/>
    <w:rsid w:val="00F65943"/>
    <w:rsid w:val="00F71070"/>
    <w:rsid w:val="00FA2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1D96BC"/>
  <w15:chartTrackingRefBased/>
  <w15:docId w15:val="{42FCC9C1-8BF4-9B42-AAFE-D81311D0D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0775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077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077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077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077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077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077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077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077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077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07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07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07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07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07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07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07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07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07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077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907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077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907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077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907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077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907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07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07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0775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182A52"/>
    <w:rPr>
      <w:b/>
      <w:bCs/>
    </w:rPr>
  </w:style>
  <w:style w:type="paragraph" w:styleId="Revision">
    <w:name w:val="Revision"/>
    <w:hidden/>
    <w:uiPriority w:val="99"/>
    <w:semiHidden/>
    <w:rsid w:val="00AF2EA6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Towers, Blair (et3h)</dc:creator>
  <cp:keywords/>
  <dc:description/>
  <cp:lastModifiedBy>Eleanor Towers</cp:lastModifiedBy>
  <cp:revision>4</cp:revision>
  <dcterms:created xsi:type="dcterms:W3CDTF">2026-08-02T23:11:00Z</dcterms:created>
  <dcterms:modified xsi:type="dcterms:W3CDTF">2026-08-03T11:16:00Z</dcterms:modified>
</cp:coreProperties>
</file>