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7176" w14:textId="3B895BFA" w:rsidR="00DA23D1" w:rsidRDefault="00DA23D1" w:rsidP="00DA23D1">
      <w:pPr>
        <w:spacing w:line="259" w:lineRule="auto"/>
        <w:rPr>
          <w:rFonts w:ascii="Arial" w:eastAsia="Arial" w:hAnsi="Arial" w:cs="Arial"/>
          <w:b/>
          <w:bCs/>
          <w:kern w:val="0"/>
          <w14:ligatures w14:val="none"/>
        </w:rPr>
      </w:pPr>
      <w:r w:rsidRPr="00DA23D1">
        <w:rPr>
          <w:rFonts w:ascii="Arial" w:eastAsia="Arial" w:hAnsi="Arial" w:cs="Arial"/>
          <w:b/>
          <w:bCs/>
          <w:kern w:val="0"/>
          <w14:ligatures w14:val="none"/>
        </w:rPr>
        <w:softHyphen/>
      </w:r>
      <w:r>
        <w:rPr>
          <w:rFonts w:ascii="Arial" w:eastAsia="Arial" w:hAnsi="Arial" w:cs="Arial"/>
          <w:b/>
          <w:bCs/>
          <w:kern w:val="0"/>
          <w14:ligatures w14:val="none"/>
        </w:rPr>
        <w:t>Supplemental Material for:</w:t>
      </w:r>
    </w:p>
    <w:p w14:paraId="54624DE5" w14:textId="77777777" w:rsidR="00DA23D1" w:rsidRDefault="00DA23D1" w:rsidP="00DA23D1">
      <w:pPr>
        <w:spacing w:line="259" w:lineRule="auto"/>
        <w:rPr>
          <w:rFonts w:ascii="Arial" w:eastAsia="Arial" w:hAnsi="Arial" w:cs="Arial"/>
          <w:b/>
          <w:bCs/>
          <w:kern w:val="0"/>
          <w14:ligatures w14:val="none"/>
        </w:rPr>
      </w:pPr>
    </w:p>
    <w:p w14:paraId="484720E7" w14:textId="77777777" w:rsidR="00DA23D1" w:rsidRDefault="00DA23D1" w:rsidP="00DA23D1">
      <w:pPr>
        <w:spacing w:line="259" w:lineRule="auto"/>
        <w:rPr>
          <w:rFonts w:ascii="Arial" w:eastAsia="Arial" w:hAnsi="Arial" w:cs="Arial"/>
          <w:b/>
          <w:bCs/>
          <w:kern w:val="0"/>
          <w14:ligatures w14:val="none"/>
        </w:rPr>
      </w:pPr>
    </w:p>
    <w:p w14:paraId="3FB1A1E1" w14:textId="1FB424FB" w:rsidR="00DA23D1" w:rsidRPr="00DA23D1" w:rsidRDefault="00DA23D1" w:rsidP="00DA23D1">
      <w:pPr>
        <w:spacing w:line="259" w:lineRule="auto"/>
        <w:rPr>
          <w:rFonts w:ascii="Arial" w:eastAsia="Arial" w:hAnsi="Arial" w:cs="Arial"/>
          <w:b/>
          <w:bCs/>
          <w:kern w:val="0"/>
          <w14:ligatures w14:val="none"/>
        </w:rPr>
      </w:pPr>
      <w:r w:rsidRPr="00DA23D1">
        <w:rPr>
          <w:rFonts w:ascii="Arial" w:eastAsia="Arial" w:hAnsi="Arial" w:cs="Arial"/>
          <w:b/>
          <w:bCs/>
          <w:kern w:val="0"/>
          <w14:ligatures w14:val="none"/>
        </w:rPr>
        <w:t>Persistent effects of repeated adolescent and adult heroin vapor inhalation in female Wistar rats</w:t>
      </w:r>
    </w:p>
    <w:p w14:paraId="1C9C0570" w14:textId="77777777" w:rsidR="00DA23D1" w:rsidRPr="00DA23D1" w:rsidRDefault="00DA23D1" w:rsidP="00DA23D1">
      <w:pPr>
        <w:spacing w:line="259" w:lineRule="auto"/>
        <w:rPr>
          <w:rFonts w:ascii="Arial" w:eastAsia="Arial" w:hAnsi="Arial" w:cs="Arial"/>
          <w:kern w:val="0"/>
          <w14:ligatures w14:val="none"/>
        </w:rPr>
      </w:pPr>
    </w:p>
    <w:p w14:paraId="28896538" w14:textId="77777777" w:rsidR="00DA23D1" w:rsidRPr="00BA2060" w:rsidRDefault="00DA23D1" w:rsidP="00DA23D1">
      <w:pPr>
        <w:spacing w:line="259" w:lineRule="auto"/>
        <w:rPr>
          <w:rFonts w:ascii="Arial" w:eastAsia="Arial" w:hAnsi="Arial" w:cs="Arial"/>
          <w:kern w:val="0"/>
          <w14:ligatures w14:val="none"/>
        </w:rPr>
      </w:pPr>
    </w:p>
    <w:p w14:paraId="39FCCC6B" w14:textId="491A2688" w:rsidR="00DA23D1" w:rsidRPr="00BA2060" w:rsidRDefault="00DA23D1" w:rsidP="00DA23D1">
      <w:pPr>
        <w:spacing w:line="480" w:lineRule="auto"/>
        <w:rPr>
          <w:rFonts w:ascii="Arial" w:eastAsia="Arial" w:hAnsi="Arial" w:cs="Arial"/>
          <w:kern w:val="0"/>
          <w14:ligatures w14:val="none"/>
        </w:rPr>
      </w:pPr>
      <w:r w:rsidRPr="00BA2060">
        <w:rPr>
          <w:rFonts w:ascii="Arial" w:eastAsia="Arial" w:hAnsi="Arial" w:cs="Arial"/>
          <w:kern w:val="0"/>
          <w14:ligatures w14:val="none"/>
        </w:rPr>
        <w:t>Arnold Gutierrez, Ph.D.</w:t>
      </w:r>
      <w:r w:rsidR="008D29D3" w:rsidRPr="00BA2060">
        <w:rPr>
          <w:rFonts w:ascii="Arial" w:hAnsi="Arial" w:cs="Arial"/>
          <w:vertAlign w:val="superscript"/>
        </w:rPr>
        <w:t xml:space="preserve"> 1,2</w:t>
      </w:r>
      <w:r w:rsidR="008D29D3" w:rsidRPr="00BA2060">
        <w:rPr>
          <w:rFonts w:ascii="Arial" w:hAnsi="Arial" w:cs="Arial"/>
        </w:rPr>
        <w:t xml:space="preserve"> </w:t>
      </w:r>
      <w:r w:rsidRPr="00BA2060">
        <w:rPr>
          <w:rFonts w:ascii="Arial" w:eastAsia="Arial" w:hAnsi="Arial" w:cs="Arial"/>
          <w:kern w:val="0"/>
          <w14:ligatures w14:val="none"/>
        </w:rPr>
        <w:t>and Michael A. Taffe, Ph.D.</w:t>
      </w:r>
      <w:r w:rsidR="00BA2060" w:rsidRPr="00BA2060">
        <w:rPr>
          <w:rFonts w:ascii="Arial" w:hAnsi="Arial" w:cs="Arial"/>
          <w:vertAlign w:val="superscript"/>
        </w:rPr>
        <w:t>1</w:t>
      </w:r>
    </w:p>
    <w:p w14:paraId="323AEBC1" w14:textId="77777777" w:rsidR="00DA23D1" w:rsidRPr="00DA23D1" w:rsidRDefault="00DA23D1" w:rsidP="00DA23D1">
      <w:pPr>
        <w:spacing w:line="480" w:lineRule="auto"/>
        <w:rPr>
          <w:rFonts w:ascii="Arial" w:eastAsia="Arial" w:hAnsi="Arial" w:cs="Arial"/>
          <w:kern w:val="0"/>
          <w14:ligatures w14:val="none"/>
        </w:rPr>
      </w:pPr>
    </w:p>
    <w:p w14:paraId="5915D99C" w14:textId="77777777" w:rsidR="003136DE" w:rsidRPr="003136DE" w:rsidRDefault="003136DE" w:rsidP="003136DE">
      <w:pPr>
        <w:spacing w:line="480" w:lineRule="auto"/>
        <w:rPr>
          <w:rFonts w:ascii="Arial" w:hAnsi="Arial" w:cs="Arial"/>
        </w:rPr>
      </w:pPr>
      <w:r w:rsidRPr="003136DE">
        <w:rPr>
          <w:rFonts w:ascii="Arial" w:hAnsi="Arial" w:cs="Arial"/>
          <w:vertAlign w:val="superscript"/>
        </w:rPr>
        <w:t>1</w:t>
      </w:r>
      <w:r w:rsidRPr="003136DE">
        <w:rPr>
          <w:rFonts w:ascii="Arial" w:hAnsi="Arial" w:cs="Arial"/>
        </w:rPr>
        <w:t>Department of Psychiatry, University of California, San Diego; La Jolla, CA, USA</w:t>
      </w:r>
    </w:p>
    <w:p w14:paraId="364A22EB" w14:textId="77777777" w:rsidR="003136DE" w:rsidRPr="003136DE" w:rsidRDefault="003136DE" w:rsidP="003136DE">
      <w:pPr>
        <w:spacing w:line="480" w:lineRule="auto"/>
        <w:rPr>
          <w:rFonts w:ascii="Arial" w:hAnsi="Arial" w:cs="Arial"/>
        </w:rPr>
      </w:pPr>
      <w:r w:rsidRPr="003136DE">
        <w:rPr>
          <w:rFonts w:ascii="Arial" w:hAnsi="Arial" w:cs="Arial"/>
          <w:vertAlign w:val="superscript"/>
        </w:rPr>
        <w:t>2</w:t>
      </w:r>
      <w:r w:rsidRPr="003136DE">
        <w:rPr>
          <w:rFonts w:ascii="Arial" w:hAnsi="Arial" w:cs="Arial"/>
        </w:rPr>
        <w:t>Department of Psychology, The University of Texas at El Paso; El Paso, TX, USA</w:t>
      </w:r>
    </w:p>
    <w:p w14:paraId="7066416F" w14:textId="77777777" w:rsidR="00DA23D1" w:rsidRPr="00DA23D1" w:rsidRDefault="00DA23D1" w:rsidP="00DA23D1">
      <w:pPr>
        <w:spacing w:line="480" w:lineRule="auto"/>
        <w:rPr>
          <w:rFonts w:ascii="Arial" w:eastAsia="Arial" w:hAnsi="Arial" w:cs="Arial"/>
          <w:kern w:val="0"/>
          <w14:ligatures w14:val="none"/>
        </w:rPr>
      </w:pPr>
    </w:p>
    <w:p w14:paraId="1DE921DB" w14:textId="77777777" w:rsidR="00DA23D1" w:rsidRPr="00DA23D1" w:rsidRDefault="00DA23D1" w:rsidP="00DA23D1">
      <w:pPr>
        <w:spacing w:line="480" w:lineRule="auto"/>
        <w:rPr>
          <w:rFonts w:ascii="Arial" w:eastAsia="Arial" w:hAnsi="Arial" w:cs="Arial"/>
          <w:kern w:val="0"/>
          <w14:ligatures w14:val="none"/>
        </w:rPr>
      </w:pPr>
    </w:p>
    <w:p w14:paraId="13C4A301" w14:textId="77777777" w:rsidR="00DA23D1" w:rsidRPr="00DA23D1" w:rsidRDefault="00DA23D1" w:rsidP="00DA23D1">
      <w:pPr>
        <w:spacing w:line="480" w:lineRule="auto"/>
        <w:rPr>
          <w:rFonts w:ascii="Arial" w:eastAsia="Arial" w:hAnsi="Arial" w:cs="Arial"/>
          <w:kern w:val="0"/>
          <w14:ligatures w14:val="none"/>
        </w:rPr>
      </w:pPr>
    </w:p>
    <w:p w14:paraId="29DC4AD5" w14:textId="77777777" w:rsidR="00DA23D1" w:rsidRPr="00DA23D1" w:rsidRDefault="00DA23D1" w:rsidP="00DA23D1">
      <w:pPr>
        <w:spacing w:line="480" w:lineRule="auto"/>
        <w:rPr>
          <w:rFonts w:ascii="Arial" w:eastAsia="Arial" w:hAnsi="Arial" w:cs="Arial"/>
          <w:kern w:val="0"/>
          <w14:ligatures w14:val="none"/>
        </w:rPr>
      </w:pPr>
    </w:p>
    <w:p w14:paraId="032FA712" w14:textId="77777777" w:rsidR="00DA23D1" w:rsidRPr="00DA23D1" w:rsidRDefault="00DA23D1" w:rsidP="00DA23D1">
      <w:pPr>
        <w:spacing w:line="480" w:lineRule="auto"/>
        <w:rPr>
          <w:rFonts w:ascii="Arial" w:eastAsia="Arial" w:hAnsi="Arial" w:cs="Arial"/>
          <w:kern w:val="0"/>
          <w14:ligatures w14:val="none"/>
        </w:rPr>
      </w:pPr>
    </w:p>
    <w:p w14:paraId="56292146" w14:textId="77777777" w:rsidR="00DA23D1" w:rsidRPr="00DA23D1" w:rsidRDefault="00DA23D1" w:rsidP="00DA23D1">
      <w:pPr>
        <w:spacing w:line="480" w:lineRule="auto"/>
        <w:rPr>
          <w:rFonts w:ascii="Arial" w:eastAsia="Arial" w:hAnsi="Arial" w:cs="Arial"/>
          <w:kern w:val="0"/>
          <w14:ligatures w14:val="none"/>
        </w:rPr>
      </w:pPr>
      <w:r w:rsidRPr="00DA23D1">
        <w:rPr>
          <w:rFonts w:ascii="Arial" w:eastAsia="Arial" w:hAnsi="Arial" w:cs="Arial"/>
          <w:kern w:val="0"/>
          <w14:ligatures w14:val="none"/>
        </w:rPr>
        <w:t xml:space="preserve">Address Correspondence to: Dr. Michael A. Taffe, Department of Psychiatry, Mail Code 0714; 9500 Gilman Drive; University of California, San Diego; La Jolla, CA 92093; USA; Email: </w:t>
      </w:r>
      <w:hyperlink r:id="rId10" w:history="1">
        <w:r w:rsidRPr="00DA23D1">
          <w:rPr>
            <w:rFonts w:ascii="Arial" w:eastAsia="Arial" w:hAnsi="Arial" w:cs="Arial"/>
            <w:color w:val="0563C1"/>
            <w:kern w:val="0"/>
            <w:u w:val="single"/>
            <w14:ligatures w14:val="none"/>
          </w:rPr>
          <w:t>mtaffe@ucsd.edu</w:t>
        </w:r>
      </w:hyperlink>
    </w:p>
    <w:p w14:paraId="02EE5C11" w14:textId="77777777" w:rsidR="00DA23D1" w:rsidRPr="00DA23D1" w:rsidRDefault="00DA23D1" w:rsidP="00DA23D1">
      <w:pPr>
        <w:spacing w:line="480" w:lineRule="auto"/>
        <w:rPr>
          <w:rFonts w:ascii="Arial" w:eastAsia="Arial" w:hAnsi="Arial" w:cs="Arial"/>
          <w:kern w:val="0"/>
          <w14:ligatures w14:val="none"/>
        </w:rPr>
      </w:pPr>
      <w:r w:rsidRPr="00DA23D1">
        <w:rPr>
          <w:rFonts w:ascii="Arial" w:eastAsia="Arial" w:hAnsi="Arial" w:cs="Arial"/>
          <w:kern w:val="0"/>
          <w14:ligatures w14:val="none"/>
        </w:rPr>
        <w:t>Or</w:t>
      </w:r>
    </w:p>
    <w:p w14:paraId="516A66C3" w14:textId="2E73BDF2" w:rsidR="00DA23D1" w:rsidRPr="005D2EF4" w:rsidRDefault="00DA23D1" w:rsidP="005D2EF4">
      <w:pPr>
        <w:spacing w:line="480" w:lineRule="auto"/>
        <w:rPr>
          <w:rFonts w:ascii="Arial" w:eastAsia="Arial" w:hAnsi="Arial" w:cs="Arial"/>
          <w:kern w:val="0"/>
          <w14:ligatures w14:val="none"/>
        </w:rPr>
      </w:pPr>
      <w:r w:rsidRPr="00DA23D1">
        <w:rPr>
          <w:rFonts w:ascii="Arial" w:eastAsia="Arial" w:hAnsi="Arial" w:cs="Arial"/>
          <w:kern w:val="0"/>
          <w14:ligatures w14:val="none"/>
        </w:rPr>
        <w:t xml:space="preserve">Dr. Arnold Gutierrez, Department of </w:t>
      </w:r>
      <w:r w:rsidR="00F82802">
        <w:rPr>
          <w:rFonts w:ascii="Arial" w:eastAsia="Arial" w:hAnsi="Arial" w:cs="Arial"/>
          <w:kern w:val="0"/>
          <w14:ligatures w14:val="none"/>
        </w:rPr>
        <w:t>Psychology</w:t>
      </w:r>
      <w:r w:rsidRPr="00DA23D1">
        <w:rPr>
          <w:rFonts w:ascii="Arial" w:eastAsia="Arial" w:hAnsi="Arial" w:cs="Arial"/>
          <w:kern w:val="0"/>
          <w14:ligatures w14:val="none"/>
        </w:rPr>
        <w:t xml:space="preserve">; </w:t>
      </w:r>
      <w:r w:rsidR="00D15528">
        <w:rPr>
          <w:rFonts w:ascii="Arial" w:eastAsia="Arial" w:hAnsi="Arial" w:cs="Arial"/>
          <w:kern w:val="0"/>
          <w14:ligatures w14:val="none"/>
        </w:rPr>
        <w:t>500 W</w:t>
      </w:r>
      <w:r w:rsidR="00F50D85">
        <w:rPr>
          <w:rFonts w:ascii="Arial" w:eastAsia="Arial" w:hAnsi="Arial" w:cs="Arial"/>
          <w:kern w:val="0"/>
          <w14:ligatures w14:val="none"/>
        </w:rPr>
        <w:t>est</w:t>
      </w:r>
      <w:r w:rsidR="00D15528">
        <w:rPr>
          <w:rFonts w:ascii="Arial" w:eastAsia="Arial" w:hAnsi="Arial" w:cs="Arial"/>
          <w:kern w:val="0"/>
          <w14:ligatures w14:val="none"/>
        </w:rPr>
        <w:t xml:space="preserve"> University Avenue</w:t>
      </w:r>
      <w:r w:rsidRPr="00DA23D1">
        <w:rPr>
          <w:rFonts w:ascii="Arial" w:eastAsia="Arial" w:hAnsi="Arial" w:cs="Arial"/>
          <w:kern w:val="0"/>
          <w14:ligatures w14:val="none"/>
        </w:rPr>
        <w:t xml:space="preserve">; </w:t>
      </w:r>
      <w:r w:rsidR="00D15528">
        <w:rPr>
          <w:rFonts w:ascii="Arial" w:eastAsia="Arial" w:hAnsi="Arial" w:cs="Arial"/>
          <w:kern w:val="0"/>
          <w14:ligatures w14:val="none"/>
        </w:rPr>
        <w:t xml:space="preserve">The </w:t>
      </w:r>
      <w:r w:rsidRPr="00DA23D1">
        <w:rPr>
          <w:rFonts w:ascii="Arial" w:eastAsia="Arial" w:hAnsi="Arial" w:cs="Arial"/>
          <w:kern w:val="0"/>
          <w14:ligatures w14:val="none"/>
        </w:rPr>
        <w:t xml:space="preserve">University of </w:t>
      </w:r>
      <w:r w:rsidR="00D15528">
        <w:rPr>
          <w:rFonts w:ascii="Arial" w:eastAsia="Arial" w:hAnsi="Arial" w:cs="Arial"/>
          <w:kern w:val="0"/>
          <w14:ligatures w14:val="none"/>
        </w:rPr>
        <w:t>Texas at El Paso</w:t>
      </w:r>
      <w:r w:rsidRPr="00DA23D1">
        <w:rPr>
          <w:rFonts w:ascii="Arial" w:eastAsia="Arial" w:hAnsi="Arial" w:cs="Arial"/>
          <w:kern w:val="0"/>
          <w14:ligatures w14:val="none"/>
        </w:rPr>
        <w:t xml:space="preserve">; </w:t>
      </w:r>
      <w:r w:rsidR="00D15528">
        <w:rPr>
          <w:rFonts w:ascii="Arial" w:eastAsia="Arial" w:hAnsi="Arial" w:cs="Arial"/>
          <w:kern w:val="0"/>
          <w14:ligatures w14:val="none"/>
        </w:rPr>
        <w:t>El Paso</w:t>
      </w:r>
      <w:r w:rsidRPr="00DA23D1">
        <w:rPr>
          <w:rFonts w:ascii="Arial" w:eastAsia="Arial" w:hAnsi="Arial" w:cs="Arial"/>
          <w:kern w:val="0"/>
          <w14:ligatures w14:val="none"/>
        </w:rPr>
        <w:t xml:space="preserve">, </w:t>
      </w:r>
      <w:r w:rsidR="00D15528">
        <w:rPr>
          <w:rFonts w:ascii="Arial" w:eastAsia="Arial" w:hAnsi="Arial" w:cs="Arial"/>
          <w:kern w:val="0"/>
          <w14:ligatures w14:val="none"/>
        </w:rPr>
        <w:t>TX</w:t>
      </w:r>
      <w:r w:rsidRPr="00DA23D1">
        <w:rPr>
          <w:rFonts w:ascii="Arial" w:eastAsia="Arial" w:hAnsi="Arial" w:cs="Arial"/>
          <w:kern w:val="0"/>
          <w14:ligatures w14:val="none"/>
        </w:rPr>
        <w:t xml:space="preserve"> </w:t>
      </w:r>
      <w:r w:rsidR="00D15528">
        <w:rPr>
          <w:rFonts w:ascii="Arial" w:eastAsia="Arial" w:hAnsi="Arial" w:cs="Arial"/>
          <w:kern w:val="0"/>
          <w14:ligatures w14:val="none"/>
        </w:rPr>
        <w:t>79968</w:t>
      </w:r>
      <w:r w:rsidRPr="00DA23D1">
        <w:rPr>
          <w:rFonts w:ascii="Arial" w:eastAsia="Arial" w:hAnsi="Arial" w:cs="Arial"/>
          <w:kern w:val="0"/>
          <w14:ligatures w14:val="none"/>
        </w:rPr>
        <w:t xml:space="preserve">; USA; Email: </w:t>
      </w:r>
      <w:hyperlink r:id="rId11" w:history="1">
        <w:r w:rsidR="00D15528" w:rsidRPr="00430577">
          <w:rPr>
            <w:rStyle w:val="Hyperlink"/>
            <w:rFonts w:ascii="Arial" w:eastAsia="Arial" w:hAnsi="Arial" w:cs="Arial"/>
            <w:kern w:val="0"/>
            <w14:ligatures w14:val="none"/>
          </w:rPr>
          <w:t>agutierrez98@utep.edu</w:t>
        </w:r>
      </w:hyperlink>
    </w:p>
    <w:p w14:paraId="2CA67B54" w14:textId="4EA5F200" w:rsidR="00DA23D1" w:rsidRDefault="00DA23D1">
      <w:pPr>
        <w:rPr>
          <w:rFonts w:ascii="Arial" w:hAnsi="Arial" w:cs="Arial"/>
          <w:b/>
          <w:bCs/>
        </w:rPr>
      </w:pPr>
      <w:r w:rsidRPr="00DA23D1">
        <w:rPr>
          <w:rFonts w:ascii="Arial" w:hAnsi="Arial" w:cs="Arial"/>
          <w:b/>
          <w:bCs/>
        </w:rPr>
        <w:lastRenderedPageBreak/>
        <w:t>SUPPLEMENTAL METHODS</w:t>
      </w:r>
    </w:p>
    <w:p w14:paraId="3D7ADB13" w14:textId="77777777" w:rsidR="00DA23D1" w:rsidRDefault="00DA23D1" w:rsidP="00DA23D1">
      <w:pPr>
        <w:spacing w:line="480" w:lineRule="auto"/>
        <w:rPr>
          <w:rFonts w:ascii="Arial" w:hAnsi="Arial" w:cs="Arial"/>
          <w:b/>
          <w:bCs/>
        </w:rPr>
      </w:pPr>
    </w:p>
    <w:p w14:paraId="202941D2" w14:textId="1B552C13" w:rsidR="00DA23D1" w:rsidRPr="009E5BDF" w:rsidRDefault="00DA23D1" w:rsidP="00DA23D1">
      <w:pPr>
        <w:spacing w:line="480" w:lineRule="auto"/>
        <w:rPr>
          <w:rFonts w:ascii="Arial" w:hAnsi="Arial" w:cs="Arial"/>
          <w:b/>
          <w:bCs/>
          <w:i/>
          <w:iCs/>
        </w:rPr>
      </w:pPr>
      <w:r w:rsidRPr="009E5BDF">
        <w:rPr>
          <w:rFonts w:ascii="Arial" w:hAnsi="Arial" w:cs="Arial"/>
          <w:b/>
          <w:bCs/>
          <w:i/>
          <w:iCs/>
        </w:rPr>
        <w:t>Vapor drug treatment</w:t>
      </w:r>
    </w:p>
    <w:p w14:paraId="343CBAFD" w14:textId="77777777" w:rsidR="00DA23D1" w:rsidRPr="00DA23D1" w:rsidRDefault="00DA23D1" w:rsidP="00DA23D1">
      <w:pPr>
        <w:spacing w:line="480" w:lineRule="auto"/>
        <w:ind w:firstLine="720"/>
        <w:rPr>
          <w:rFonts w:ascii="Arial" w:eastAsia="Arial" w:hAnsi="Arial" w:cs="Arial"/>
          <w:kern w:val="0"/>
          <w14:ligatures w14:val="none"/>
        </w:rPr>
      </w:pPr>
      <w:r w:rsidRPr="00DA23D1">
        <w:rPr>
          <w:rFonts w:ascii="Arial" w:eastAsia="Arial" w:hAnsi="Arial" w:cs="Arial"/>
          <w:kern w:val="0"/>
          <w14:ligatures w14:val="none"/>
        </w:rPr>
        <w:t xml:space="preserve">Rats were exposed to vapor in sealed vapor exposure chambers (152 mm W X 178 mm H X 330 mm L; La Jolla Alcohol Research, Inc, La Jolla, CA, USA). E-vape controllers (Model SSV-3 or SVS-200; 58 watts; La Jolla Alcohol Research, Inc, La Jolla, CA, USA) were used to trigger </w:t>
      </w:r>
      <w:proofErr w:type="spellStart"/>
      <w:r w:rsidRPr="00DA23D1">
        <w:rPr>
          <w:rFonts w:ascii="Arial" w:eastAsia="Arial" w:hAnsi="Arial" w:cs="Arial"/>
          <w:kern w:val="0"/>
          <w14:ligatures w14:val="none"/>
        </w:rPr>
        <w:t>Smok</w:t>
      </w:r>
      <w:proofErr w:type="spellEnd"/>
      <w:r w:rsidRPr="00DA23D1">
        <w:rPr>
          <w:rFonts w:ascii="Arial" w:eastAsia="Arial" w:hAnsi="Arial" w:cs="Arial"/>
          <w:kern w:val="0"/>
          <w14:ligatures w14:val="none"/>
        </w:rPr>
        <w:t xml:space="preserve"> Baby Beast Brother TFV8 sub-ohm tanks equipped with V8 X-Baby M2 0.25 ohm coils.  The exposure chambers were attached to vacuum exhaust lines that pulled ambient air through intake valves at ~2 L per minute. </w:t>
      </w:r>
    </w:p>
    <w:p w14:paraId="2AEB8ACB" w14:textId="73DDFDEA" w:rsidR="00DA23D1" w:rsidRDefault="00DA23D1" w:rsidP="00DA23D1">
      <w:pPr>
        <w:spacing w:line="480" w:lineRule="auto"/>
        <w:ind w:firstLine="720"/>
      </w:pPr>
      <w:r w:rsidRPr="00DA23D1">
        <w:rPr>
          <w:rFonts w:ascii="Arial" w:eastAsia="Arial" w:hAnsi="Arial" w:cs="Arial"/>
          <w:kern w:val="0"/>
          <w14:ligatures w14:val="none"/>
        </w:rPr>
        <w:t xml:space="preserve">Rats underwent twice daily heroin (50 mg/mL in PG) or PG (control) vapor exposure sessions (30-minute duration) separated by a 6-hour inter-session interval beginning on PND 36 for the adolescents, or PND 85 for the adults. Vapor exposure sessions continued for total of 10 days (20 sessions; PND 36-45 or PND 85-94). Sessions consisted of six-second vapor deliveries triggered at five-minute intervals. Rats were exposed to vapor treatment in groups of four per chamber. The house vacuum line was turned on 30 seconds prior to vapor deliveries and closed immediately after. The total vapor clearance time was ~5 minutes. Vapor began being cleared from the chamber 4.5 minutes after the last vapor delivery. This procedure was described previously described </w:t>
      </w:r>
      <w:r w:rsidRPr="00DA23D1">
        <w:rPr>
          <w:rFonts w:ascii="Arial" w:eastAsia="Arial" w:hAnsi="Arial" w:cs="Arial"/>
          <w:kern w:val="0"/>
          <w14:ligatures w14:val="none"/>
        </w:rPr>
        <w:fldChar w:fldCharType="begin">
          <w:fldData xml:space="preserve">PEVuZE5vdGU+PENpdGU+PEF1dGhvcj5HdXRpZXJyZXo8L0F1dGhvcj48WWVhcj4yMDIyPC9ZZWFy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</w:fldData>
        </w:fldChar>
      </w:r>
      <w:r w:rsidR="00562145">
        <w:rPr>
          <w:rFonts w:ascii="Arial" w:eastAsia="Arial" w:hAnsi="Arial" w:cs="Arial"/>
          <w:kern w:val="0"/>
          <w14:ligatures w14:val="none"/>
        </w:rPr>
        <w:instrText xml:space="preserve"> ADDIN EN.CITE </w:instrText>
      </w:r>
      <w:r w:rsidR="00562145">
        <w:rPr>
          <w:rFonts w:ascii="Arial" w:eastAsia="Arial" w:hAnsi="Arial" w:cs="Arial"/>
          <w:kern w:val="0"/>
          <w14:ligatures w14:val="none"/>
        </w:rPr>
        <w:fldChar w:fldCharType="begin">
          <w:fldData xml:space="preserve">PEVuZE5vdGU+PENpdGU+PEF1dGhvcj5HdXRpZXJyZXo8L0F1dGhvcj48WWVhcj4yMDIyPC9ZZWFy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</w:fldData>
        </w:fldChar>
      </w:r>
      <w:r w:rsidR="00562145">
        <w:rPr>
          <w:rFonts w:ascii="Arial" w:eastAsia="Arial" w:hAnsi="Arial" w:cs="Arial"/>
          <w:kern w:val="0"/>
          <w14:ligatures w14:val="none"/>
        </w:rPr>
        <w:instrText xml:space="preserve"> ADDIN EN.CITE.DATA </w:instrText>
      </w:r>
      <w:r w:rsidR="00562145">
        <w:rPr>
          <w:rFonts w:ascii="Arial" w:eastAsia="Arial" w:hAnsi="Arial" w:cs="Arial"/>
          <w:kern w:val="0"/>
          <w14:ligatures w14:val="none"/>
        </w:rPr>
      </w:r>
      <w:r w:rsidR="00562145">
        <w:rPr>
          <w:rFonts w:ascii="Arial" w:eastAsia="Arial" w:hAnsi="Arial" w:cs="Arial"/>
          <w:kern w:val="0"/>
          <w14:ligatures w14:val="none"/>
        </w:rPr>
        <w:fldChar w:fldCharType="end"/>
      </w:r>
      <w:r w:rsidRPr="00DA23D1">
        <w:rPr>
          <w:rFonts w:ascii="Arial" w:eastAsia="Arial" w:hAnsi="Arial" w:cs="Arial"/>
          <w:kern w:val="0"/>
          <w14:ligatures w14:val="none"/>
        </w:rPr>
      </w:r>
      <w:r w:rsidRPr="00DA23D1">
        <w:rPr>
          <w:rFonts w:ascii="Arial" w:eastAsia="Arial" w:hAnsi="Arial" w:cs="Arial"/>
          <w:kern w:val="0"/>
          <w14:ligatures w14:val="none"/>
        </w:rPr>
        <w:fldChar w:fldCharType="separate"/>
      </w:r>
      <w:r w:rsidR="00562145">
        <w:rPr>
          <w:rFonts w:ascii="Arial" w:eastAsia="Arial" w:hAnsi="Arial" w:cs="Arial"/>
          <w:noProof/>
          <w:kern w:val="0"/>
          <w14:ligatures w14:val="none"/>
        </w:rPr>
        <w:t>[1]</w:t>
      </w:r>
      <w:r w:rsidRPr="00DA23D1">
        <w:rPr>
          <w:rFonts w:ascii="Arial" w:eastAsia="Arial" w:hAnsi="Arial" w:cs="Arial"/>
          <w:kern w:val="0"/>
          <w14:ligatures w14:val="none"/>
        </w:rPr>
        <w:fldChar w:fldCharType="end"/>
      </w:r>
      <w:r w:rsidRPr="00DA23D1">
        <w:rPr>
          <w:rFonts w:ascii="Arial" w:eastAsia="Arial" w:hAnsi="Arial" w:cs="Arial"/>
          <w:kern w:val="0"/>
          <w14:ligatures w14:val="none"/>
        </w:rPr>
        <w:t>.</w:t>
      </w:r>
    </w:p>
    <w:p w14:paraId="0669D03E" w14:textId="349282CD" w:rsidR="00557FC3" w:rsidRPr="00557FC3" w:rsidRDefault="00557FC3" w:rsidP="005F7615">
      <w:pPr>
        <w:spacing w:line="480" w:lineRule="auto"/>
        <w:rPr>
          <w:rFonts w:ascii="Arial" w:eastAsia="Arial" w:hAnsi="Arial" w:cs="Arial"/>
          <w:b/>
          <w:bCs/>
          <w:i/>
          <w:iCs/>
          <w:kern w:val="0"/>
          <w14:ligatures w14:val="none"/>
        </w:rPr>
      </w:pPr>
      <w:r w:rsidRPr="00557FC3">
        <w:rPr>
          <w:rFonts w:ascii="Arial" w:eastAsia="Arial" w:hAnsi="Arial" w:cs="Arial"/>
          <w:b/>
          <w:bCs/>
          <w:i/>
          <w:iCs/>
          <w:kern w:val="0"/>
          <w14:ligatures w14:val="none"/>
        </w:rPr>
        <w:t>Thermal nociception</w:t>
      </w:r>
    </w:p>
    <w:p w14:paraId="4D57D031" w14:textId="2D8946B1" w:rsidR="005F7615" w:rsidRPr="005F7615" w:rsidRDefault="005F7615" w:rsidP="005F7615">
      <w:pPr>
        <w:spacing w:line="480" w:lineRule="auto"/>
        <w:rPr>
          <w:rFonts w:ascii="Arial" w:eastAsia="Arial" w:hAnsi="Arial" w:cs="Arial"/>
          <w:i/>
          <w:iCs/>
          <w:kern w:val="0"/>
          <w:u w:val="single"/>
          <w14:ligatures w14:val="none"/>
        </w:rPr>
      </w:pPr>
      <w:r w:rsidRPr="005F7615">
        <w:rPr>
          <w:rFonts w:ascii="Arial" w:eastAsia="Arial" w:hAnsi="Arial" w:cs="Arial"/>
          <w:i/>
          <w:iCs/>
          <w:kern w:val="0"/>
          <w:u w:val="single"/>
          <w14:ligatures w14:val="none"/>
        </w:rPr>
        <w:t>Nociception assays</w:t>
      </w:r>
    </w:p>
    <w:p w14:paraId="3CDAD220" w14:textId="77777777" w:rsidR="005F7615" w:rsidRDefault="005F7615" w:rsidP="005F7615">
      <w:pPr>
        <w:spacing w:line="480" w:lineRule="auto"/>
        <w:ind w:firstLine="720"/>
        <w:rPr>
          <w:rFonts w:ascii="Arial" w:eastAsia="Arial" w:hAnsi="Arial" w:cs="Arial"/>
          <w:kern w:val="0"/>
          <w14:ligatures w14:val="none"/>
        </w:rPr>
      </w:pPr>
      <w:r w:rsidRPr="005F7615">
        <w:rPr>
          <w:rFonts w:ascii="Arial" w:eastAsia="Arial" w:hAnsi="Arial" w:cs="Arial"/>
          <w:kern w:val="0"/>
          <w14:ligatures w14:val="none"/>
        </w:rPr>
        <w:t xml:space="preserve">Tail-withdrawal tests were performed using a Branson </w:t>
      </w:r>
      <w:proofErr w:type="spellStart"/>
      <w:r w:rsidRPr="005F7615">
        <w:rPr>
          <w:rFonts w:ascii="Arial" w:eastAsia="Arial" w:hAnsi="Arial" w:cs="Arial"/>
          <w:kern w:val="0"/>
          <w14:ligatures w14:val="none"/>
        </w:rPr>
        <w:t>Brainsonic</w:t>
      </w:r>
      <w:proofErr w:type="spellEnd"/>
      <w:r w:rsidRPr="005F7615">
        <w:rPr>
          <w:rFonts w:ascii="Arial" w:eastAsia="Arial" w:hAnsi="Arial" w:cs="Arial"/>
          <w:kern w:val="0"/>
          <w14:ligatures w14:val="none"/>
        </w:rPr>
        <w:t xml:space="preserve"> CPXH Ultrasonic Bath (Danbury, CT). Water temperatures were set and maintained at </w:t>
      </w:r>
      <w:r w:rsidRPr="005F7615">
        <w:rPr>
          <w:rFonts w:ascii="Arial" w:eastAsia="Arial" w:hAnsi="Arial" w:cs="Arial"/>
          <w:color w:val="000000"/>
          <w:kern w:val="0"/>
          <w14:ligatures w14:val="none"/>
        </w:rPr>
        <w:t>46</w:t>
      </w:r>
      <w:r w:rsidRPr="005F7615">
        <w:rPr>
          <w:rFonts w:ascii="Arial" w:eastAsia="Arial" w:hAnsi="Arial" w:cs="Arial"/>
          <w:color w:val="000000"/>
          <w:kern w:val="0"/>
          <w:vertAlign w:val="superscript"/>
          <w14:ligatures w14:val="none"/>
        </w:rPr>
        <w:t>o</w:t>
      </w:r>
      <w:r w:rsidRPr="005F7615">
        <w:rPr>
          <w:rFonts w:ascii="Arial" w:eastAsia="Arial" w:hAnsi="Arial" w:cs="Arial"/>
          <w:color w:val="000000"/>
          <w:kern w:val="0"/>
          <w14:ligatures w14:val="none"/>
        </w:rPr>
        <w:t>C, 48</w:t>
      </w:r>
      <w:r w:rsidRPr="005F7615">
        <w:rPr>
          <w:rFonts w:ascii="Arial" w:eastAsia="Arial" w:hAnsi="Arial" w:cs="Arial"/>
          <w:color w:val="000000"/>
          <w:kern w:val="0"/>
          <w:vertAlign w:val="superscript"/>
          <w14:ligatures w14:val="none"/>
        </w:rPr>
        <w:t>o</w:t>
      </w:r>
      <w:r w:rsidRPr="005F7615">
        <w:rPr>
          <w:rFonts w:ascii="Arial" w:eastAsia="Arial" w:hAnsi="Arial" w:cs="Arial"/>
          <w:color w:val="000000"/>
          <w:kern w:val="0"/>
          <w14:ligatures w14:val="none"/>
        </w:rPr>
        <w:t>C, 50</w:t>
      </w:r>
      <w:r w:rsidRPr="005F7615">
        <w:rPr>
          <w:rFonts w:ascii="Arial" w:eastAsia="Arial" w:hAnsi="Arial" w:cs="Arial"/>
          <w:color w:val="000000"/>
          <w:kern w:val="0"/>
          <w:vertAlign w:val="superscript"/>
          <w14:ligatures w14:val="none"/>
        </w:rPr>
        <w:t>o</w:t>
      </w:r>
      <w:r w:rsidRPr="005F7615">
        <w:rPr>
          <w:rFonts w:ascii="Arial" w:eastAsia="Arial" w:hAnsi="Arial" w:cs="Arial"/>
          <w:color w:val="000000"/>
          <w:kern w:val="0"/>
          <w14:ligatures w14:val="none"/>
        </w:rPr>
        <w:t>C, or 52</w:t>
      </w:r>
      <w:r w:rsidRPr="005F7615">
        <w:rPr>
          <w:rFonts w:ascii="Arial" w:eastAsia="Arial" w:hAnsi="Arial" w:cs="Arial"/>
          <w:color w:val="000000"/>
          <w:kern w:val="0"/>
          <w:vertAlign w:val="superscript"/>
          <w14:ligatures w14:val="none"/>
        </w:rPr>
        <w:t>o</w:t>
      </w:r>
      <w:r w:rsidRPr="005F7615">
        <w:rPr>
          <w:rFonts w:ascii="Arial" w:eastAsia="Arial" w:hAnsi="Arial" w:cs="Arial"/>
          <w:color w:val="000000"/>
          <w:kern w:val="0"/>
          <w14:ligatures w14:val="none"/>
        </w:rPr>
        <w:t>C (</w:t>
      </w:r>
      <w:r w:rsidRPr="005F7615">
        <w:rPr>
          <w:rFonts w:ascii="Arial" w:eastAsia="Arial" w:hAnsi="Arial" w:cs="Arial"/>
          <w:kern w:val="0"/>
          <w14:ligatures w14:val="none"/>
        </w:rPr>
        <w:t>+/-0.10</w:t>
      </w:r>
      <w:r w:rsidRPr="005F7615">
        <w:rPr>
          <w:rFonts w:ascii="Arial" w:eastAsia="Arial" w:hAnsi="Arial" w:cs="Arial"/>
          <w:color w:val="000000"/>
          <w:kern w:val="0"/>
          <w:vertAlign w:val="superscript"/>
          <w14:ligatures w14:val="none"/>
        </w:rPr>
        <w:t>o</w:t>
      </w:r>
      <w:r w:rsidRPr="005F7615">
        <w:rPr>
          <w:rFonts w:ascii="Arial" w:eastAsia="Arial" w:hAnsi="Arial" w:cs="Arial"/>
          <w:color w:val="000000"/>
          <w:kern w:val="0"/>
          <w14:ligatures w14:val="none"/>
        </w:rPr>
        <w:t>C) depending on the experiment</w:t>
      </w:r>
      <w:r w:rsidRPr="005F7615">
        <w:rPr>
          <w:rFonts w:ascii="Arial" w:eastAsia="Arial" w:hAnsi="Arial" w:cs="Arial"/>
          <w:kern w:val="0"/>
          <w14:ligatures w14:val="none"/>
        </w:rPr>
        <w:t xml:space="preserve">. Prior to each measurement, the water bath was stirred, </w:t>
      </w:r>
      <w:r w:rsidRPr="005F7615">
        <w:rPr>
          <w:rFonts w:ascii="Arial" w:eastAsia="Arial" w:hAnsi="Arial" w:cs="Arial"/>
          <w:kern w:val="0"/>
          <w14:ligatures w14:val="none"/>
        </w:rPr>
        <w:lastRenderedPageBreak/>
        <w:t xml:space="preserve">and the water temperature was verified by using a second thermometer. Withdrawal latencies were measured with a stopwatch, and a cutoff of 15 sec was used to avoid any potential for tissue damage. </w:t>
      </w:r>
    </w:p>
    <w:p w14:paraId="783E959A" w14:textId="77777777" w:rsidR="00F84DB3" w:rsidRPr="00F84DB3" w:rsidRDefault="00F84DB3" w:rsidP="00F84DB3">
      <w:pPr>
        <w:spacing w:line="480" w:lineRule="auto"/>
        <w:rPr>
          <w:rFonts w:ascii="Arial" w:eastAsia="Arial" w:hAnsi="Arial" w:cs="Arial"/>
          <w:i/>
          <w:iCs/>
          <w:kern w:val="0"/>
          <w:u w:val="single"/>
          <w14:ligatures w14:val="none"/>
        </w:rPr>
      </w:pPr>
      <w:r w:rsidRPr="00F84DB3">
        <w:rPr>
          <w:rFonts w:ascii="Arial" w:eastAsia="Arial" w:hAnsi="Arial" w:cs="Arial"/>
          <w:i/>
          <w:iCs/>
          <w:kern w:val="0"/>
          <w:u w:val="single"/>
          <w14:ligatures w14:val="none"/>
        </w:rPr>
        <w:t>Baseline Nociception</w:t>
      </w:r>
    </w:p>
    <w:p w14:paraId="1E5496D7" w14:textId="1C9F40FB" w:rsidR="007E528A" w:rsidRDefault="000E252A" w:rsidP="007B05D0">
      <w:pPr>
        <w:spacing w:line="480" w:lineRule="auto"/>
        <w:ind w:firstLine="720"/>
        <w:rPr>
          <w:rFonts w:ascii="Arial" w:eastAsia="Arial" w:hAnsi="Arial" w:cs="Arial"/>
          <w:kern w:val="0"/>
          <w14:ligatures w14:val="none"/>
        </w:rPr>
      </w:pPr>
      <w:r w:rsidRPr="000E252A">
        <w:rPr>
          <w:rFonts w:ascii="Arial" w:eastAsia="Arial" w:hAnsi="Arial" w:cs="Arial"/>
          <w:kern w:val="0"/>
          <w14:ligatures w14:val="none"/>
        </w:rPr>
        <w:t xml:space="preserve">Tail-withdrawal measurements were </w:t>
      </w:r>
      <w:r w:rsidR="007E528A">
        <w:rPr>
          <w:rFonts w:ascii="Arial" w:eastAsia="Arial" w:hAnsi="Arial" w:cs="Arial"/>
          <w:kern w:val="0"/>
          <w14:ligatures w14:val="none"/>
        </w:rPr>
        <w:t>obtained</w:t>
      </w:r>
      <w:r w:rsidRPr="000E252A">
        <w:rPr>
          <w:rFonts w:ascii="Arial" w:eastAsia="Arial" w:hAnsi="Arial" w:cs="Arial"/>
          <w:kern w:val="0"/>
          <w14:ligatures w14:val="none"/>
        </w:rPr>
        <w:t xml:space="preserve"> at 12 weeks of age (PND 85-87) in </w:t>
      </w:r>
      <w:r>
        <w:rPr>
          <w:rFonts w:ascii="Arial" w:eastAsia="Arial" w:hAnsi="Arial" w:cs="Arial"/>
          <w:kern w:val="0"/>
          <w14:ligatures w14:val="none"/>
        </w:rPr>
        <w:t>the Adolescent-Exposed</w:t>
      </w:r>
      <w:r w:rsidRPr="000E252A">
        <w:rPr>
          <w:rFonts w:ascii="Arial" w:eastAsia="Arial" w:hAnsi="Arial" w:cs="Arial"/>
          <w:kern w:val="0"/>
          <w14:ligatures w14:val="none"/>
        </w:rPr>
        <w:t xml:space="preserve"> </w:t>
      </w:r>
      <w:r>
        <w:rPr>
          <w:rFonts w:ascii="Arial" w:eastAsia="Arial" w:hAnsi="Arial" w:cs="Arial"/>
          <w:kern w:val="0"/>
          <w14:ligatures w14:val="none"/>
        </w:rPr>
        <w:t>group</w:t>
      </w:r>
      <w:r w:rsidR="003239E3">
        <w:rPr>
          <w:rFonts w:ascii="Arial" w:eastAsia="Arial" w:hAnsi="Arial" w:cs="Arial"/>
          <w:kern w:val="0"/>
          <w14:ligatures w14:val="none"/>
        </w:rPr>
        <w:t xml:space="preserve">s </w:t>
      </w:r>
      <w:r w:rsidRPr="000E252A">
        <w:rPr>
          <w:rFonts w:ascii="Arial" w:eastAsia="Arial" w:hAnsi="Arial" w:cs="Arial"/>
          <w:kern w:val="0"/>
          <w14:ligatures w14:val="none"/>
        </w:rPr>
        <w:t xml:space="preserve">or at 19 weeks of age (PND 134-136) </w:t>
      </w:r>
      <w:r w:rsidR="003239E3">
        <w:rPr>
          <w:rFonts w:ascii="Arial" w:eastAsia="Arial" w:hAnsi="Arial" w:cs="Arial"/>
          <w:kern w:val="0"/>
          <w14:ligatures w14:val="none"/>
        </w:rPr>
        <w:t>in the Adult-Exposed groups</w:t>
      </w:r>
      <w:r w:rsidRPr="000E252A">
        <w:rPr>
          <w:rFonts w:ascii="Arial" w:eastAsia="Arial" w:hAnsi="Arial" w:cs="Arial"/>
          <w:kern w:val="0"/>
          <w14:ligatures w14:val="none"/>
        </w:rPr>
        <w:t xml:space="preserve">. </w:t>
      </w:r>
      <w:r w:rsidR="00073084">
        <w:rPr>
          <w:rFonts w:ascii="Arial" w:eastAsia="Arial" w:hAnsi="Arial" w:cs="Arial"/>
          <w:kern w:val="0"/>
          <w14:ligatures w14:val="none"/>
        </w:rPr>
        <w:t xml:space="preserve">Baseline nociception </w:t>
      </w:r>
      <w:r w:rsidR="009046D7">
        <w:rPr>
          <w:rFonts w:ascii="Arial" w:eastAsia="Arial" w:hAnsi="Arial" w:cs="Arial"/>
          <w:kern w:val="0"/>
          <w14:ligatures w14:val="none"/>
        </w:rPr>
        <w:t xml:space="preserve">was assessed </w:t>
      </w:r>
      <w:r w:rsidR="00706FED">
        <w:rPr>
          <w:rFonts w:ascii="Arial" w:eastAsia="Arial" w:hAnsi="Arial" w:cs="Arial"/>
          <w:kern w:val="0"/>
          <w14:ligatures w14:val="none"/>
        </w:rPr>
        <w:t xml:space="preserve">by measuring tail-withdrawal latencies across a </w:t>
      </w:r>
      <w:r w:rsidR="00155149" w:rsidRPr="00155149">
        <w:rPr>
          <w:rFonts w:ascii="Arial" w:eastAsia="Arial" w:hAnsi="Arial" w:cs="Arial"/>
          <w:kern w:val="0"/>
          <w14:ligatures w14:val="none"/>
        </w:rPr>
        <w:t>range of water temperatures (46</w:t>
      </w:r>
      <w:r w:rsidR="00155149" w:rsidRPr="00155149">
        <w:rPr>
          <w:rFonts w:ascii="Arial" w:eastAsia="Arial" w:hAnsi="Arial" w:cs="Arial"/>
          <w:kern w:val="0"/>
          <w:vertAlign w:val="superscript"/>
          <w14:ligatures w14:val="none"/>
        </w:rPr>
        <w:t>o</w:t>
      </w:r>
      <w:r w:rsidR="00155149" w:rsidRPr="00155149">
        <w:rPr>
          <w:rFonts w:ascii="Arial" w:eastAsia="Arial" w:hAnsi="Arial" w:cs="Arial"/>
          <w:kern w:val="0"/>
          <w14:ligatures w14:val="none"/>
        </w:rPr>
        <w:t>C-52</w:t>
      </w:r>
      <w:r w:rsidR="00155149" w:rsidRPr="00155149">
        <w:rPr>
          <w:rFonts w:ascii="Arial" w:eastAsia="Arial" w:hAnsi="Arial" w:cs="Arial"/>
          <w:kern w:val="0"/>
          <w:vertAlign w:val="superscript"/>
          <w14:ligatures w14:val="none"/>
        </w:rPr>
        <w:t>o</w:t>
      </w:r>
      <w:r w:rsidR="00155149" w:rsidRPr="00155149">
        <w:rPr>
          <w:rFonts w:ascii="Arial" w:eastAsia="Arial" w:hAnsi="Arial" w:cs="Arial"/>
          <w:kern w:val="0"/>
          <w14:ligatures w14:val="none"/>
        </w:rPr>
        <w:t xml:space="preserve">C), as previously described </w:t>
      </w:r>
      <w:r w:rsidR="00155149" w:rsidRPr="00155149">
        <w:rPr>
          <w:rFonts w:ascii="Arial" w:eastAsia="Arial" w:hAnsi="Arial" w:cs="Arial"/>
          <w:kern w:val="0"/>
          <w14:ligatures w14:val="none"/>
        </w:rPr>
        <w:fldChar w:fldCharType="begin">
          <w:fldData xml:space="preserve">PEVuZE5vdGU+PENpdGU+PEF1dGhvcj5HdXRpZXJyZXo8L0F1dGhvcj48WWVhcj4yMDIyPC9ZZWFy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</w:fldData>
        </w:fldChar>
      </w:r>
      <w:r w:rsidR="00562145">
        <w:rPr>
          <w:rFonts w:ascii="Arial" w:eastAsia="Arial" w:hAnsi="Arial" w:cs="Arial"/>
          <w:kern w:val="0"/>
          <w14:ligatures w14:val="none"/>
        </w:rPr>
        <w:instrText xml:space="preserve"> ADDIN EN.CITE </w:instrText>
      </w:r>
      <w:r w:rsidR="00562145">
        <w:rPr>
          <w:rFonts w:ascii="Arial" w:eastAsia="Arial" w:hAnsi="Arial" w:cs="Arial"/>
          <w:kern w:val="0"/>
          <w14:ligatures w14:val="none"/>
        </w:rPr>
        <w:fldChar w:fldCharType="begin">
          <w:fldData xml:space="preserve">PEVuZE5vdGU+PENpdGU+PEF1dGhvcj5HdXRpZXJyZXo8L0F1dGhvcj48WWVhcj4yMDIyPC9ZZWFy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</w:fldData>
        </w:fldChar>
      </w:r>
      <w:r w:rsidR="00562145">
        <w:rPr>
          <w:rFonts w:ascii="Arial" w:eastAsia="Arial" w:hAnsi="Arial" w:cs="Arial"/>
          <w:kern w:val="0"/>
          <w14:ligatures w14:val="none"/>
        </w:rPr>
        <w:instrText xml:space="preserve"> ADDIN EN.CITE.DATA </w:instrText>
      </w:r>
      <w:r w:rsidR="00562145">
        <w:rPr>
          <w:rFonts w:ascii="Arial" w:eastAsia="Arial" w:hAnsi="Arial" w:cs="Arial"/>
          <w:kern w:val="0"/>
          <w14:ligatures w14:val="none"/>
        </w:rPr>
      </w:r>
      <w:r w:rsidR="00562145">
        <w:rPr>
          <w:rFonts w:ascii="Arial" w:eastAsia="Arial" w:hAnsi="Arial" w:cs="Arial"/>
          <w:kern w:val="0"/>
          <w14:ligatures w14:val="none"/>
        </w:rPr>
        <w:fldChar w:fldCharType="end"/>
      </w:r>
      <w:r w:rsidR="00155149" w:rsidRPr="00155149">
        <w:rPr>
          <w:rFonts w:ascii="Arial" w:eastAsia="Arial" w:hAnsi="Arial" w:cs="Arial"/>
          <w:kern w:val="0"/>
          <w14:ligatures w14:val="none"/>
        </w:rPr>
      </w:r>
      <w:r w:rsidR="00155149" w:rsidRPr="00155149">
        <w:rPr>
          <w:rFonts w:ascii="Arial" w:eastAsia="Arial" w:hAnsi="Arial" w:cs="Arial"/>
          <w:kern w:val="0"/>
          <w14:ligatures w14:val="none"/>
        </w:rPr>
        <w:fldChar w:fldCharType="separate"/>
      </w:r>
      <w:r w:rsidR="00562145">
        <w:rPr>
          <w:rFonts w:ascii="Arial" w:eastAsia="Arial" w:hAnsi="Arial" w:cs="Arial"/>
          <w:noProof/>
          <w:kern w:val="0"/>
          <w14:ligatures w14:val="none"/>
        </w:rPr>
        <w:t>[1]</w:t>
      </w:r>
      <w:r w:rsidR="00155149" w:rsidRPr="00155149">
        <w:rPr>
          <w:rFonts w:ascii="Arial" w:eastAsia="Arial" w:hAnsi="Arial" w:cs="Arial"/>
          <w:kern w:val="0"/>
          <w14:ligatures w14:val="none"/>
        </w:rPr>
        <w:fldChar w:fldCharType="end"/>
      </w:r>
      <w:r w:rsidR="00155149" w:rsidRPr="00155149">
        <w:rPr>
          <w:rFonts w:ascii="Arial" w:eastAsia="Arial" w:hAnsi="Arial" w:cs="Arial"/>
          <w:kern w:val="0"/>
          <w14:ligatures w14:val="none"/>
        </w:rPr>
        <w:t>.</w:t>
      </w:r>
      <w:r w:rsidR="00073084">
        <w:rPr>
          <w:rFonts w:ascii="Arial" w:eastAsia="Arial" w:hAnsi="Arial" w:cs="Arial"/>
          <w:kern w:val="0"/>
          <w14:ligatures w14:val="none"/>
        </w:rPr>
        <w:t xml:space="preserve"> </w:t>
      </w:r>
      <w:r w:rsidR="00155149" w:rsidRPr="00155149">
        <w:rPr>
          <w:rFonts w:ascii="Arial" w:eastAsia="Arial" w:hAnsi="Arial" w:cs="Arial"/>
          <w:kern w:val="0"/>
          <w14:ligatures w14:val="none"/>
        </w:rPr>
        <w:t>Tail-withdrawal tests were performed over two days, with one day in between test days. Two temperatures were assessed per day. Measurements for each temperature were separated by 120 minutes. A counterbalanced order was used for the two temperature conditions for each test day.</w:t>
      </w:r>
    </w:p>
    <w:p w14:paraId="7D53F239" w14:textId="4C5208DD" w:rsidR="007B05D0" w:rsidRPr="007B05D0" w:rsidRDefault="007B05D0" w:rsidP="007B05D0">
      <w:pPr>
        <w:spacing w:line="480" w:lineRule="auto"/>
        <w:ind w:firstLine="720"/>
        <w:rPr>
          <w:rFonts w:ascii="Arial" w:eastAsia="Arial" w:hAnsi="Arial" w:cs="Arial"/>
          <w:color w:val="000000"/>
          <w:kern w:val="0"/>
          <w14:ligatures w14:val="none"/>
        </w:rPr>
      </w:pPr>
      <w:r w:rsidRPr="007B05D0">
        <w:rPr>
          <w:rFonts w:ascii="Arial" w:eastAsia="Arial" w:hAnsi="Arial" w:cs="Arial"/>
          <w:kern w:val="0"/>
          <w14:ligatures w14:val="none"/>
        </w:rPr>
        <w:t xml:space="preserve">Baseline nociception was </w:t>
      </w:r>
      <w:r w:rsidR="00DD40C6">
        <w:rPr>
          <w:rFonts w:ascii="Arial" w:eastAsia="Arial" w:hAnsi="Arial" w:cs="Arial"/>
          <w:kern w:val="0"/>
          <w14:ligatures w14:val="none"/>
        </w:rPr>
        <w:t>assessed a second time</w:t>
      </w:r>
      <w:r w:rsidRPr="007B05D0">
        <w:rPr>
          <w:rFonts w:ascii="Arial" w:eastAsia="Arial" w:hAnsi="Arial" w:cs="Arial"/>
          <w:kern w:val="0"/>
          <w14:ligatures w14:val="none"/>
        </w:rPr>
        <w:t xml:space="preserve"> in </w:t>
      </w:r>
      <w:bookmarkStart w:id="0" w:name="OLE_LINK2"/>
      <w:r w:rsidRPr="007B05D0">
        <w:rPr>
          <w:rFonts w:ascii="Arial" w:eastAsia="Arial" w:hAnsi="Arial" w:cs="Arial"/>
          <w:kern w:val="0"/>
          <w14:ligatures w14:val="none"/>
        </w:rPr>
        <w:t>Adolescent and Adult groups at 17 weeks (PND 121) and 24 weeks (PND 170) of age, respectively</w:t>
      </w:r>
      <w:bookmarkEnd w:id="0"/>
      <w:r w:rsidRPr="007B05D0">
        <w:rPr>
          <w:rFonts w:ascii="Arial" w:eastAsia="Arial" w:hAnsi="Arial" w:cs="Arial"/>
          <w:kern w:val="0"/>
          <w14:ligatures w14:val="none"/>
        </w:rPr>
        <w:t xml:space="preserve">. For this set of measurements, the target water temperature was </w:t>
      </w:r>
      <w:r w:rsidRPr="007B05D0">
        <w:rPr>
          <w:rFonts w:ascii="Arial" w:eastAsia="Arial" w:hAnsi="Arial" w:cs="Arial"/>
          <w:color w:val="000000"/>
          <w:kern w:val="0"/>
          <w14:ligatures w14:val="none"/>
        </w:rPr>
        <w:t>46</w:t>
      </w:r>
      <w:r w:rsidRPr="007B05D0">
        <w:rPr>
          <w:rFonts w:ascii="Arial" w:eastAsia="Arial" w:hAnsi="Arial" w:cs="Arial"/>
          <w:color w:val="000000"/>
          <w:kern w:val="0"/>
          <w:vertAlign w:val="superscript"/>
          <w14:ligatures w14:val="none"/>
        </w:rPr>
        <w:t>o</w:t>
      </w:r>
      <w:r w:rsidRPr="007B05D0">
        <w:rPr>
          <w:rFonts w:ascii="Arial" w:eastAsia="Arial" w:hAnsi="Arial" w:cs="Arial"/>
          <w:color w:val="000000"/>
          <w:kern w:val="0"/>
          <w14:ligatures w14:val="none"/>
        </w:rPr>
        <w:t xml:space="preserve">C. This temperature was selected based on the findings from our initial baseline nociception experiment and our previous work </w:t>
      </w:r>
      <w:r w:rsidRPr="007B05D0">
        <w:rPr>
          <w:rFonts w:ascii="Arial" w:eastAsia="Arial" w:hAnsi="Arial" w:cs="Arial"/>
          <w:color w:val="000000"/>
          <w:kern w:val="0"/>
          <w14:ligatures w14:val="none"/>
        </w:rPr>
        <w:fldChar w:fldCharType="begin">
          <w:fldData xml:space="preserve">PEVuZE5vdGU+PENpdGU+PEF1dGhvcj5HdXRpZXJyZXo8L0F1dGhvcj48WWVhcj4yMDIyPC9ZZWFy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</w:fldData>
        </w:fldChar>
      </w:r>
      <w:r w:rsidR="00562145">
        <w:rPr>
          <w:rFonts w:ascii="Arial" w:eastAsia="Arial" w:hAnsi="Arial" w:cs="Arial"/>
          <w:color w:val="000000"/>
          <w:kern w:val="0"/>
          <w14:ligatures w14:val="none"/>
        </w:rPr>
        <w:instrText xml:space="preserve"> ADDIN EN.CITE </w:instrText>
      </w:r>
      <w:r w:rsidR="00562145">
        <w:rPr>
          <w:rFonts w:ascii="Arial" w:eastAsia="Arial" w:hAnsi="Arial" w:cs="Arial"/>
          <w:color w:val="000000"/>
          <w:kern w:val="0"/>
          <w14:ligatures w14:val="none"/>
        </w:rPr>
        <w:fldChar w:fldCharType="begin">
          <w:fldData xml:space="preserve">PEVuZE5vdGU+PENpdGU+PEF1dGhvcj5HdXRpZXJyZXo8L0F1dGhvcj48WWVhcj4yMDIyPC9ZZWFy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</w:fldData>
        </w:fldChar>
      </w:r>
      <w:r w:rsidR="00562145">
        <w:rPr>
          <w:rFonts w:ascii="Arial" w:eastAsia="Arial" w:hAnsi="Arial" w:cs="Arial"/>
          <w:color w:val="000000"/>
          <w:kern w:val="0"/>
          <w14:ligatures w14:val="none"/>
        </w:rPr>
        <w:instrText xml:space="preserve"> ADDIN EN.CITE.DATA </w:instrText>
      </w:r>
      <w:r w:rsidR="00562145">
        <w:rPr>
          <w:rFonts w:ascii="Arial" w:eastAsia="Arial" w:hAnsi="Arial" w:cs="Arial"/>
          <w:color w:val="000000"/>
          <w:kern w:val="0"/>
          <w14:ligatures w14:val="none"/>
        </w:rPr>
      </w:r>
      <w:r w:rsidR="00562145">
        <w:rPr>
          <w:rFonts w:ascii="Arial" w:eastAsia="Arial" w:hAnsi="Arial" w:cs="Arial"/>
          <w:color w:val="000000"/>
          <w:kern w:val="0"/>
          <w14:ligatures w14:val="none"/>
        </w:rPr>
        <w:fldChar w:fldCharType="end"/>
      </w:r>
      <w:r w:rsidRPr="007B05D0">
        <w:rPr>
          <w:rFonts w:ascii="Arial" w:eastAsia="Arial" w:hAnsi="Arial" w:cs="Arial"/>
          <w:color w:val="000000"/>
          <w:kern w:val="0"/>
          <w14:ligatures w14:val="none"/>
        </w:rPr>
      </w:r>
      <w:r w:rsidRPr="007B05D0">
        <w:rPr>
          <w:rFonts w:ascii="Arial" w:eastAsia="Arial" w:hAnsi="Arial" w:cs="Arial"/>
          <w:color w:val="000000"/>
          <w:kern w:val="0"/>
          <w14:ligatures w14:val="none"/>
        </w:rPr>
        <w:fldChar w:fldCharType="separate"/>
      </w:r>
      <w:r w:rsidR="00562145">
        <w:rPr>
          <w:rFonts w:ascii="Arial" w:eastAsia="Arial" w:hAnsi="Arial" w:cs="Arial"/>
          <w:noProof/>
          <w:color w:val="000000"/>
          <w:kern w:val="0"/>
          <w14:ligatures w14:val="none"/>
        </w:rPr>
        <w:t>[1]</w:t>
      </w:r>
      <w:r w:rsidRPr="007B05D0">
        <w:rPr>
          <w:rFonts w:ascii="Arial" w:eastAsia="Arial" w:hAnsi="Arial" w:cs="Arial"/>
          <w:color w:val="000000"/>
          <w:kern w:val="0"/>
          <w14:ligatures w14:val="none"/>
        </w:rPr>
        <w:fldChar w:fldCharType="end"/>
      </w:r>
      <w:r w:rsidRPr="007B05D0">
        <w:rPr>
          <w:rFonts w:ascii="Arial" w:eastAsia="Arial" w:hAnsi="Arial" w:cs="Arial"/>
          <w:color w:val="000000"/>
          <w:kern w:val="0"/>
          <w14:ligatures w14:val="none"/>
        </w:rPr>
        <w:t xml:space="preserve"> showing that differences associated with repeated heroin vapor exposure are optimally detected at the lower range of temperatures. </w:t>
      </w:r>
    </w:p>
    <w:p w14:paraId="40446D39" w14:textId="77777777" w:rsidR="004C5ED1" w:rsidRDefault="004C5ED1" w:rsidP="004C5ED1">
      <w:pPr>
        <w:spacing w:line="480" w:lineRule="auto"/>
        <w:rPr>
          <w:rFonts w:ascii="Arial" w:eastAsia="Arial" w:hAnsi="Arial" w:cs="Arial"/>
          <w:b/>
          <w:bCs/>
          <w:i/>
          <w:iCs/>
          <w:kern w:val="0"/>
          <w14:ligatures w14:val="none"/>
        </w:rPr>
      </w:pPr>
      <w:r w:rsidRPr="004C5ED1">
        <w:rPr>
          <w:rFonts w:ascii="Arial" w:eastAsia="Arial" w:hAnsi="Arial" w:cs="Arial"/>
          <w:b/>
          <w:bCs/>
          <w:i/>
          <w:iCs/>
          <w:kern w:val="0"/>
          <w14:ligatures w14:val="none"/>
        </w:rPr>
        <w:t>Anxiety-like behavior</w:t>
      </w:r>
    </w:p>
    <w:p w14:paraId="6203FB77" w14:textId="77777777" w:rsidR="00A1250F" w:rsidRDefault="00A1250F" w:rsidP="00A1250F">
      <w:pPr>
        <w:spacing w:line="480" w:lineRule="auto"/>
        <w:rPr>
          <w:rFonts w:ascii="Arial" w:eastAsia="Arial" w:hAnsi="Arial" w:cs="Arial"/>
          <w:i/>
          <w:iCs/>
          <w:kern w:val="0"/>
          <w:u w:val="single"/>
          <w14:ligatures w14:val="none"/>
        </w:rPr>
      </w:pPr>
      <w:r w:rsidRPr="00A1250F">
        <w:rPr>
          <w:rFonts w:ascii="Arial" w:eastAsia="Arial" w:hAnsi="Arial" w:cs="Arial"/>
          <w:i/>
          <w:iCs/>
          <w:kern w:val="0"/>
          <w:u w:val="single"/>
          <w14:ligatures w14:val="none"/>
        </w:rPr>
        <w:t>Apparatus</w:t>
      </w:r>
    </w:p>
    <w:p w14:paraId="5D6B89D5" w14:textId="4AD8E762" w:rsidR="00A1250F" w:rsidRPr="004C5ED1" w:rsidRDefault="00A1250F" w:rsidP="00A1250F">
      <w:pPr>
        <w:spacing w:line="480" w:lineRule="auto"/>
        <w:ind w:firstLine="720"/>
        <w:rPr>
          <w:rFonts w:ascii="Arial" w:eastAsia="Arial" w:hAnsi="Arial" w:cs="Arial"/>
          <w:i/>
          <w:iCs/>
          <w:kern w:val="0"/>
          <w:u w:val="single"/>
          <w14:ligatures w14:val="none"/>
        </w:rPr>
      </w:pPr>
      <w:r w:rsidRPr="00A1250F">
        <w:rPr>
          <w:rFonts w:ascii="Arial" w:eastAsia="Arial" w:hAnsi="Arial" w:cs="Arial"/>
          <w:kern w:val="0"/>
          <w14:ligatures w14:val="none"/>
        </w:rPr>
        <w:t xml:space="preserve">The </w:t>
      </w:r>
      <w:r w:rsidR="00EF55CC">
        <w:rPr>
          <w:rFonts w:ascii="Arial" w:eastAsia="Arial" w:hAnsi="Arial" w:cs="Arial"/>
          <w:kern w:val="0"/>
          <w14:ligatures w14:val="none"/>
        </w:rPr>
        <w:t xml:space="preserve">elevated plus-maze (EPM) </w:t>
      </w:r>
      <w:r w:rsidRPr="00A1250F">
        <w:rPr>
          <w:rFonts w:ascii="Arial" w:eastAsia="Arial" w:hAnsi="Arial" w:cs="Arial"/>
          <w:kern w:val="0"/>
          <w14:ligatures w14:val="none"/>
        </w:rPr>
        <w:t xml:space="preserve">apparatus consisted of two opposing closed arms and two opposing open arms perpendicular to the closed arms. The walls of the closed arms measured 40 cm in height. The </w:t>
      </w:r>
      <w:r w:rsidR="00EF55CC">
        <w:rPr>
          <w:rFonts w:ascii="Arial" w:eastAsia="Arial" w:hAnsi="Arial" w:cs="Arial"/>
          <w:kern w:val="0"/>
          <w14:ligatures w14:val="none"/>
        </w:rPr>
        <w:t xml:space="preserve">EPM </w:t>
      </w:r>
      <w:r w:rsidRPr="00A1250F">
        <w:rPr>
          <w:rFonts w:ascii="Arial" w:eastAsia="Arial" w:hAnsi="Arial" w:cs="Arial"/>
          <w:kern w:val="0"/>
          <w14:ligatures w14:val="none"/>
        </w:rPr>
        <w:t>was suspended 50 cm above the floor</w:t>
      </w:r>
      <w:r w:rsidR="00EB6375">
        <w:rPr>
          <w:rFonts w:ascii="Arial" w:eastAsia="Arial" w:hAnsi="Arial" w:cs="Arial"/>
          <w:kern w:val="0"/>
          <w14:ligatures w14:val="none"/>
        </w:rPr>
        <w:t xml:space="preserve">. </w:t>
      </w:r>
      <w:r w:rsidR="00A15F1E">
        <w:rPr>
          <w:rFonts w:ascii="Arial" w:eastAsia="Arial" w:hAnsi="Arial" w:cs="Arial"/>
          <w:kern w:val="0"/>
          <w14:ligatures w14:val="none"/>
        </w:rPr>
        <w:t>An ethanol solution was used to clean the EPM after each subject completed testing</w:t>
      </w:r>
      <w:r w:rsidR="001E04C8">
        <w:rPr>
          <w:rFonts w:ascii="Arial" w:eastAsia="Arial" w:hAnsi="Arial" w:cs="Arial"/>
          <w:kern w:val="0"/>
          <w14:ligatures w14:val="none"/>
        </w:rPr>
        <w:t xml:space="preserve"> in the</w:t>
      </w:r>
      <w:r w:rsidR="001E04C8" w:rsidRPr="001E04C8">
        <w:rPr>
          <w:rFonts w:ascii="Arial" w:eastAsia="Arial" w:hAnsi="Arial" w:cs="Arial"/>
          <w:kern w:val="0"/>
          <w14:ligatures w14:val="none"/>
        </w:rPr>
        <w:t xml:space="preserve"> </w:t>
      </w:r>
      <w:r w:rsidR="001E04C8">
        <w:rPr>
          <w:rFonts w:ascii="Arial" w:eastAsia="Arial" w:hAnsi="Arial" w:cs="Arial"/>
          <w:kern w:val="0"/>
          <w14:ligatures w14:val="none"/>
        </w:rPr>
        <w:t>apparatus.</w:t>
      </w:r>
    </w:p>
    <w:p w14:paraId="3CC63C24" w14:textId="77777777" w:rsidR="008A208A" w:rsidRDefault="008A208A" w:rsidP="005F7615">
      <w:pPr>
        <w:spacing w:line="480" w:lineRule="auto"/>
        <w:ind w:firstLine="720"/>
        <w:rPr>
          <w:rFonts w:ascii="Arial" w:eastAsia="Arial" w:hAnsi="Arial" w:cs="Arial"/>
          <w:kern w:val="0"/>
          <w14:ligatures w14:val="none"/>
        </w:rPr>
      </w:pPr>
    </w:p>
    <w:p w14:paraId="42C48953" w14:textId="1CB395D9" w:rsidR="005E0BE2" w:rsidRPr="00557FC3" w:rsidRDefault="005E0BE2" w:rsidP="005E0BE2">
      <w:pPr>
        <w:spacing w:line="480" w:lineRule="auto"/>
        <w:rPr>
          <w:rFonts w:ascii="Arial" w:eastAsia="Arial" w:hAnsi="Arial" w:cs="Arial"/>
          <w:b/>
          <w:bCs/>
          <w:i/>
          <w:iCs/>
          <w:kern w:val="0"/>
          <w14:ligatures w14:val="none"/>
        </w:rPr>
      </w:pPr>
      <w:r w:rsidRPr="00557FC3">
        <w:rPr>
          <w:rFonts w:ascii="Arial" w:eastAsia="Arial" w:hAnsi="Arial" w:cs="Arial"/>
          <w:b/>
          <w:bCs/>
          <w:i/>
          <w:iCs/>
          <w:kern w:val="0"/>
          <w14:ligatures w14:val="none"/>
        </w:rPr>
        <w:t>Spatial learning</w:t>
      </w:r>
    </w:p>
    <w:p w14:paraId="7D446077" w14:textId="6D0A64A9" w:rsidR="005E0BE2" w:rsidRPr="005E0BE2" w:rsidRDefault="005E0BE2" w:rsidP="005E0BE2">
      <w:pPr>
        <w:spacing w:line="480" w:lineRule="auto"/>
        <w:rPr>
          <w:rFonts w:ascii="Arial" w:eastAsia="Arial" w:hAnsi="Arial" w:cs="Arial"/>
          <w:i/>
          <w:iCs/>
          <w:kern w:val="0"/>
          <w:u w:val="single"/>
          <w14:ligatures w14:val="none"/>
        </w:rPr>
      </w:pPr>
      <w:r w:rsidRPr="005E0BE2">
        <w:rPr>
          <w:rFonts w:ascii="Arial" w:eastAsia="Arial" w:hAnsi="Arial" w:cs="Arial"/>
          <w:i/>
          <w:iCs/>
          <w:kern w:val="0"/>
          <w:u w:val="single"/>
          <w14:ligatures w14:val="none"/>
        </w:rPr>
        <w:t>Barnes maze apparatus</w:t>
      </w:r>
    </w:p>
    <w:p w14:paraId="4335BCB3" w14:textId="77777777" w:rsidR="005E0BE2" w:rsidRDefault="005E0BE2" w:rsidP="005E0BE2">
      <w:pPr>
        <w:spacing w:line="480" w:lineRule="auto"/>
        <w:rPr>
          <w:rFonts w:ascii="Arial" w:eastAsia="Arial" w:hAnsi="Arial" w:cs="Arial"/>
          <w:kern w:val="0"/>
          <w14:ligatures w14:val="none"/>
        </w:rPr>
      </w:pPr>
      <w:r w:rsidRPr="005E0BE2">
        <w:rPr>
          <w:rFonts w:ascii="Arial" w:eastAsia="Arial" w:hAnsi="Arial" w:cs="Arial"/>
          <w:b/>
          <w:bCs/>
          <w:kern w:val="0"/>
          <w14:ligatures w14:val="none"/>
        </w:rPr>
        <w:tab/>
      </w:r>
      <w:r w:rsidRPr="005E0BE2">
        <w:rPr>
          <w:rFonts w:ascii="Arial" w:eastAsia="Arial" w:hAnsi="Arial" w:cs="Arial"/>
          <w:kern w:val="0"/>
          <w14:ligatures w14:val="none"/>
        </w:rPr>
        <w:t>A Barnes maze apparatus consisting of a black circular platform (122 cm in diameter) was used to test spatial learning in rats. The apparatus had 20 holes, each measuring 10 cm in diameter, evenly spaced around the periphery. The top of the maze was 68.5 cm from the ground. Each hole, with the exception of the designated escape hole, was open, while the designated escape hole led to a removable black goal box.</w:t>
      </w:r>
    </w:p>
    <w:p w14:paraId="3D3C6D73" w14:textId="77777777" w:rsidR="005A0E6F" w:rsidRPr="005A0E6F" w:rsidRDefault="005A0E6F" w:rsidP="005A0E6F">
      <w:pPr>
        <w:spacing w:line="480" w:lineRule="auto"/>
        <w:rPr>
          <w:rFonts w:ascii="Arial" w:eastAsia="Arial" w:hAnsi="Arial" w:cs="Arial"/>
          <w:i/>
          <w:iCs/>
          <w:kern w:val="0"/>
          <w:u w:val="single"/>
          <w14:ligatures w14:val="none"/>
        </w:rPr>
      </w:pPr>
      <w:r w:rsidRPr="005A0E6F">
        <w:rPr>
          <w:rFonts w:ascii="Arial" w:eastAsia="Arial" w:hAnsi="Arial" w:cs="Arial"/>
          <w:i/>
          <w:iCs/>
          <w:kern w:val="0"/>
          <w:u w:val="single"/>
          <w14:ligatures w14:val="none"/>
        </w:rPr>
        <w:t>Barnes maze procedure</w:t>
      </w:r>
    </w:p>
    <w:p w14:paraId="00BBD650" w14:textId="610FAB55" w:rsidR="005A0E6F" w:rsidRDefault="001167FF" w:rsidP="008272B1">
      <w:pPr>
        <w:spacing w:line="480" w:lineRule="auto"/>
        <w:ind w:firstLine="720"/>
        <w:rPr>
          <w:rFonts w:ascii="Arial" w:eastAsia="Arial" w:hAnsi="Arial" w:cs="Arial"/>
          <w:kern w:val="0"/>
          <w14:ligatures w14:val="none"/>
        </w:rPr>
      </w:pPr>
      <w:r w:rsidRPr="001167FF">
        <w:rPr>
          <w:rFonts w:ascii="Arial" w:eastAsia="Arial" w:hAnsi="Arial" w:cs="Arial"/>
          <w:kern w:val="0"/>
          <w14:ligatures w14:val="none"/>
        </w:rPr>
        <w:t>Three days before commencing testing (PND 102 and 151 for the Adolescent- and Adult-Exposed groups, respectively), each rat was placed in an opaque container and transferred into the goal box through the escape hole</w:t>
      </w:r>
      <w:r w:rsidR="003D2712">
        <w:rPr>
          <w:rFonts w:ascii="Arial" w:eastAsia="Arial" w:hAnsi="Arial" w:cs="Arial"/>
          <w:kern w:val="0"/>
          <w14:ligatures w14:val="none"/>
        </w:rPr>
        <w:t xml:space="preserve">. </w:t>
      </w:r>
      <w:r w:rsidRPr="001167FF">
        <w:rPr>
          <w:rFonts w:ascii="Arial" w:eastAsia="Arial" w:hAnsi="Arial" w:cs="Arial"/>
          <w:kern w:val="0"/>
          <w14:ligatures w14:val="none"/>
        </w:rPr>
        <w:t>The container was used to minimize the animal’s exposure to the test room environment. The goal box was then covered, and each rat was allowed to habituate for a total of three minutes. The goal box was then removed with the rat inside, and the animal was transferred back to their home cage. The acquisition phase began three days after habituation and continued for five days (Adolescent-Exposed PND</w:t>
      </w:r>
      <w:r w:rsidR="00687F4E">
        <w:rPr>
          <w:rFonts w:ascii="Arial" w:eastAsia="Arial" w:hAnsi="Arial" w:cs="Arial"/>
          <w:kern w:val="0"/>
          <w14:ligatures w14:val="none"/>
        </w:rPr>
        <w:t xml:space="preserve"> </w:t>
      </w:r>
      <w:r w:rsidRPr="001167FF">
        <w:rPr>
          <w:rFonts w:ascii="Arial" w:eastAsia="Arial" w:hAnsi="Arial" w:cs="Arial"/>
          <w:kern w:val="0"/>
          <w14:ligatures w14:val="none"/>
        </w:rPr>
        <w:t>105-109; Adult-Exposed PND</w:t>
      </w:r>
      <w:r w:rsidR="00687F4E">
        <w:rPr>
          <w:rFonts w:ascii="Arial" w:eastAsia="Arial" w:hAnsi="Arial" w:cs="Arial"/>
          <w:kern w:val="0"/>
          <w14:ligatures w14:val="none"/>
        </w:rPr>
        <w:t xml:space="preserve"> </w:t>
      </w:r>
      <w:r w:rsidRPr="001167FF">
        <w:rPr>
          <w:rFonts w:ascii="Arial" w:eastAsia="Arial" w:hAnsi="Arial" w:cs="Arial"/>
          <w:kern w:val="0"/>
          <w14:ligatures w14:val="none"/>
        </w:rPr>
        <w:t xml:space="preserve">154-158). Each testing day consisted of two trials, with each trial totaling two minutes in duration. </w:t>
      </w:r>
      <w:r w:rsidR="001461C1">
        <w:rPr>
          <w:rFonts w:ascii="Arial" w:eastAsia="Arial" w:hAnsi="Arial" w:cs="Arial"/>
          <w:kern w:val="0"/>
          <w14:ligatures w14:val="none"/>
        </w:rPr>
        <w:t>The</w:t>
      </w:r>
      <w:r w:rsidR="00B75902">
        <w:rPr>
          <w:rFonts w:ascii="Arial" w:eastAsia="Arial" w:hAnsi="Arial" w:cs="Arial"/>
          <w:kern w:val="0"/>
          <w14:ligatures w14:val="none"/>
        </w:rPr>
        <w:t xml:space="preserve"> two trials </w:t>
      </w:r>
      <w:r w:rsidR="001461C1">
        <w:rPr>
          <w:rFonts w:ascii="Arial" w:eastAsia="Arial" w:hAnsi="Arial" w:cs="Arial"/>
          <w:kern w:val="0"/>
          <w14:ligatures w14:val="none"/>
        </w:rPr>
        <w:t>were averaged</w:t>
      </w:r>
      <w:r w:rsidR="003A6973">
        <w:rPr>
          <w:rFonts w:ascii="Arial" w:eastAsia="Arial" w:hAnsi="Arial" w:cs="Arial"/>
          <w:kern w:val="0"/>
          <w14:ligatures w14:val="none"/>
        </w:rPr>
        <w:t xml:space="preserve"> for any given day, and the mean</w:t>
      </w:r>
      <w:r w:rsidR="00B75902">
        <w:rPr>
          <w:rFonts w:ascii="Arial" w:eastAsia="Arial" w:hAnsi="Arial" w:cs="Arial"/>
          <w:kern w:val="0"/>
          <w14:ligatures w14:val="none"/>
        </w:rPr>
        <w:t xml:space="preserve"> </w:t>
      </w:r>
      <w:r w:rsidR="003A6973">
        <w:rPr>
          <w:rFonts w:ascii="Arial" w:eastAsia="Arial" w:hAnsi="Arial" w:cs="Arial"/>
          <w:kern w:val="0"/>
          <w14:ligatures w14:val="none"/>
        </w:rPr>
        <w:t>used</w:t>
      </w:r>
      <w:r w:rsidR="00B75902">
        <w:rPr>
          <w:rFonts w:ascii="Arial" w:eastAsia="Arial" w:hAnsi="Arial" w:cs="Arial"/>
          <w:kern w:val="0"/>
          <w14:ligatures w14:val="none"/>
        </w:rPr>
        <w:t xml:space="preserve"> for </w:t>
      </w:r>
      <w:r w:rsidR="00D46266">
        <w:rPr>
          <w:rFonts w:ascii="Arial" w:eastAsia="Arial" w:hAnsi="Arial" w:cs="Arial"/>
          <w:kern w:val="0"/>
          <w14:ligatures w14:val="none"/>
        </w:rPr>
        <w:t xml:space="preserve">the statistical analysis. </w:t>
      </w:r>
      <w:r w:rsidRPr="001167FF">
        <w:rPr>
          <w:rFonts w:ascii="Arial" w:eastAsia="Arial" w:hAnsi="Arial" w:cs="Arial"/>
          <w:kern w:val="0"/>
          <w14:ligatures w14:val="none"/>
        </w:rPr>
        <w:t>Testing was performed in cohorts of 5-6 rats at a time, and all rats in a group were required to complete the first trial prior to any rat beginning the second.  The reversal phase (Adolescent-Exposed PND</w:t>
      </w:r>
      <w:r w:rsidR="00687F4E">
        <w:rPr>
          <w:rFonts w:ascii="Arial" w:eastAsia="Arial" w:hAnsi="Arial" w:cs="Arial"/>
          <w:kern w:val="0"/>
          <w14:ligatures w14:val="none"/>
        </w:rPr>
        <w:t xml:space="preserve"> </w:t>
      </w:r>
      <w:r w:rsidRPr="001167FF">
        <w:rPr>
          <w:rFonts w:ascii="Arial" w:eastAsia="Arial" w:hAnsi="Arial" w:cs="Arial"/>
          <w:kern w:val="0"/>
          <w14:ligatures w14:val="none"/>
        </w:rPr>
        <w:t>112-116; Adult-Exposed PND</w:t>
      </w:r>
      <w:r w:rsidR="00687F4E">
        <w:rPr>
          <w:rFonts w:ascii="Arial" w:eastAsia="Arial" w:hAnsi="Arial" w:cs="Arial"/>
          <w:kern w:val="0"/>
          <w14:ligatures w14:val="none"/>
        </w:rPr>
        <w:t xml:space="preserve"> </w:t>
      </w:r>
      <w:r w:rsidRPr="001167FF">
        <w:rPr>
          <w:rFonts w:ascii="Arial" w:eastAsia="Arial" w:hAnsi="Arial" w:cs="Arial"/>
          <w:kern w:val="0"/>
          <w14:ligatures w14:val="none"/>
        </w:rPr>
        <w:t xml:space="preserve">161-165) began two days after the completion of the last acquisition day. For the reversal phase, the location of the escape hole was rotated 180˚. As with acquisition, reversal consisted of two trials per day, </w:t>
      </w:r>
      <w:r w:rsidRPr="001167FF">
        <w:rPr>
          <w:rFonts w:ascii="Arial" w:eastAsia="Arial" w:hAnsi="Arial" w:cs="Arial"/>
          <w:kern w:val="0"/>
          <w14:ligatures w14:val="none"/>
        </w:rPr>
        <w:lastRenderedPageBreak/>
        <w:t xml:space="preserve">each trial totaling two minutes in duration. On each test day, trials commenced by transferring rats in a container to the center of the maze apparatus. Rats were confined to the container for 10 seconds before it was lifted, at which point the test began and behavior was measured and recorded using </w:t>
      </w:r>
      <w:proofErr w:type="spellStart"/>
      <w:r w:rsidRPr="001167FF">
        <w:rPr>
          <w:rFonts w:ascii="Arial" w:eastAsia="Arial" w:hAnsi="Arial" w:cs="Arial"/>
          <w:kern w:val="0"/>
          <w14:ligatures w14:val="none"/>
        </w:rPr>
        <w:t>AnyMaze</w:t>
      </w:r>
      <w:proofErr w:type="spellEnd"/>
      <w:r w:rsidRPr="001167FF">
        <w:rPr>
          <w:rFonts w:ascii="Arial" w:eastAsia="Arial" w:hAnsi="Arial" w:cs="Arial"/>
          <w:kern w:val="0"/>
          <w14:ligatures w14:val="none"/>
        </w:rPr>
        <w:t xml:space="preserve"> software (</w:t>
      </w:r>
      <w:r w:rsidRPr="001167FF">
        <w:rPr>
          <w:rFonts w:ascii="Arial" w:eastAsia="Arial" w:hAnsi="Arial" w:cs="Arial"/>
          <w:color w:val="000000"/>
          <w:kern w:val="0"/>
          <w14:ligatures w14:val="none"/>
        </w:rPr>
        <w:t>Stoelting, Wood Dale, IL</w:t>
      </w:r>
      <w:r w:rsidRPr="001167FF">
        <w:rPr>
          <w:rFonts w:ascii="Arial" w:eastAsia="Arial" w:hAnsi="Arial" w:cs="Arial"/>
          <w:kern w:val="0"/>
          <w14:ligatures w14:val="none"/>
        </w:rPr>
        <w:t xml:space="preserve">). Upon completion of each trial, rats were returned to their cages to await the next trial or be returned to the vivarium, and the apparatus was thoroughly cleaned using an alcohol solution. For any rat that did not reach the escape location within the allotted time, a score equivalent to the maximum possible duration (i.e., 2 minutes) was given.     </w:t>
      </w:r>
    </w:p>
    <w:p w14:paraId="1D2CCF88" w14:textId="77777777" w:rsidR="008272B1" w:rsidRDefault="008272B1" w:rsidP="008272B1">
      <w:pPr>
        <w:spacing w:line="480" w:lineRule="auto"/>
        <w:ind w:firstLine="720"/>
        <w:rPr>
          <w:rFonts w:ascii="Arial" w:eastAsia="Arial" w:hAnsi="Arial" w:cs="Arial"/>
          <w:kern w:val="0"/>
          <w14:ligatures w14:val="none"/>
        </w:rPr>
      </w:pPr>
    </w:p>
    <w:p w14:paraId="3E643777" w14:textId="77777777" w:rsidR="005766F3" w:rsidRDefault="005766F3" w:rsidP="005766F3">
      <w:pPr>
        <w:rPr>
          <w:rFonts w:ascii="Arial" w:hAnsi="Arial" w:cs="Arial"/>
          <w:b/>
          <w:bCs/>
        </w:rPr>
      </w:pPr>
    </w:p>
    <w:p w14:paraId="3D25C968" w14:textId="53D36CD8" w:rsidR="005766F3" w:rsidRDefault="005766F3" w:rsidP="005766F3">
      <w:pPr>
        <w:rPr>
          <w:rFonts w:ascii="Arial" w:hAnsi="Arial" w:cs="Arial"/>
          <w:b/>
          <w:bCs/>
        </w:rPr>
      </w:pPr>
      <w:r w:rsidRPr="00DA23D1">
        <w:rPr>
          <w:rFonts w:ascii="Arial" w:hAnsi="Arial" w:cs="Arial"/>
          <w:b/>
          <w:bCs/>
        </w:rPr>
        <w:t xml:space="preserve">SUPPLEMENTAL </w:t>
      </w:r>
      <w:r w:rsidR="00F724C9">
        <w:rPr>
          <w:rFonts w:ascii="Arial" w:hAnsi="Arial" w:cs="Arial"/>
          <w:b/>
          <w:bCs/>
        </w:rPr>
        <w:t>RESULTS</w:t>
      </w:r>
    </w:p>
    <w:p w14:paraId="3BDD058B" w14:textId="77777777" w:rsidR="00434A3B" w:rsidRPr="005E0BE2" w:rsidRDefault="00434A3B" w:rsidP="005E0BE2">
      <w:pPr>
        <w:spacing w:line="480" w:lineRule="auto"/>
        <w:rPr>
          <w:rFonts w:ascii="Arial" w:eastAsia="Arial" w:hAnsi="Arial" w:cs="Arial"/>
          <w:kern w:val="0"/>
          <w14:ligatures w14:val="none"/>
        </w:rPr>
      </w:pPr>
    </w:p>
    <w:p w14:paraId="1442CF86" w14:textId="77777777" w:rsidR="005929EB" w:rsidRPr="00F84DB3" w:rsidRDefault="005929EB" w:rsidP="005929EB">
      <w:pPr>
        <w:spacing w:line="480" w:lineRule="auto"/>
        <w:rPr>
          <w:rFonts w:ascii="Arial" w:eastAsia="Arial" w:hAnsi="Arial" w:cs="Arial"/>
          <w:i/>
          <w:iCs/>
          <w:kern w:val="0"/>
          <w:u w:val="single"/>
          <w14:ligatures w14:val="none"/>
        </w:rPr>
      </w:pPr>
      <w:r w:rsidRPr="00F84DB3">
        <w:rPr>
          <w:rFonts w:ascii="Arial" w:eastAsia="Arial" w:hAnsi="Arial" w:cs="Arial"/>
          <w:i/>
          <w:iCs/>
          <w:kern w:val="0"/>
          <w:u w:val="single"/>
          <w14:ligatures w14:val="none"/>
        </w:rPr>
        <w:t>Baseline Nociception</w:t>
      </w:r>
    </w:p>
    <w:p w14:paraId="59E4AC8F" w14:textId="6AE50946" w:rsidR="0036715B" w:rsidRPr="0036715B" w:rsidRDefault="0036715B" w:rsidP="0036715B">
      <w:pPr>
        <w:spacing w:line="480" w:lineRule="auto"/>
        <w:ind w:firstLine="720"/>
        <w:rPr>
          <w:rFonts w:ascii="Arial" w:eastAsia="Arial" w:hAnsi="Arial" w:cs="Arial"/>
          <w:kern w:val="0"/>
          <w14:ligatures w14:val="none"/>
        </w:rPr>
      </w:pPr>
      <w:r w:rsidRPr="0036715B">
        <w:rPr>
          <w:rFonts w:ascii="Arial" w:eastAsia="Arial" w:hAnsi="Arial" w:cs="Arial"/>
          <w:kern w:val="0"/>
          <w14:ligatures w14:val="none"/>
        </w:rPr>
        <w:t>A two-factor analysis was performed on baseline nociception data recorded at a second timepoint from the Adolescent-Exposed and Adult-Exposed groups at 17 weeks (PND 121) and 24 weeks (PND 170) of age, respectively. The analysis confirmed only a main effect of Age (F (1, 28) = 4.40, p &lt; 0.05); the Adult-Exposed groups exhibited significantly longer tail-withdrawal latencies compared with the Adolescent-Exposed groups (</w:t>
      </w:r>
      <w:r w:rsidR="00687F4E">
        <w:rPr>
          <w:rFonts w:ascii="Arial" w:eastAsia="Arial" w:hAnsi="Arial" w:cs="Arial"/>
          <w:b/>
          <w:bCs/>
          <w:kern w:val="0"/>
          <w14:ligatures w14:val="none"/>
        </w:rPr>
        <w:t>Fig.</w:t>
      </w:r>
      <w:r w:rsidRPr="0036715B">
        <w:rPr>
          <w:rFonts w:ascii="Arial" w:eastAsia="Arial" w:hAnsi="Arial" w:cs="Arial"/>
          <w:b/>
          <w:bCs/>
          <w:kern w:val="0"/>
          <w14:ligatures w14:val="none"/>
        </w:rPr>
        <w:t xml:space="preserve"> 3A</w:t>
      </w:r>
      <w:r w:rsidRPr="0036715B">
        <w:rPr>
          <w:rFonts w:ascii="Arial" w:eastAsia="Arial" w:hAnsi="Arial" w:cs="Arial"/>
          <w:kern w:val="0"/>
          <w14:ligatures w14:val="none"/>
        </w:rPr>
        <w:t xml:space="preserve">). </w:t>
      </w:r>
    </w:p>
    <w:p w14:paraId="34BCDE8A" w14:textId="327427A2" w:rsidR="0036715B" w:rsidRPr="0036715B" w:rsidRDefault="0036715B" w:rsidP="0036715B">
      <w:pPr>
        <w:spacing w:line="480" w:lineRule="auto"/>
        <w:ind w:firstLine="720"/>
        <w:rPr>
          <w:rFonts w:ascii="Arial" w:eastAsia="Arial" w:hAnsi="Arial" w:cs="Arial"/>
          <w:kern w:val="0"/>
          <w14:ligatures w14:val="none"/>
        </w:rPr>
      </w:pPr>
      <w:r w:rsidRPr="0036715B">
        <w:rPr>
          <w:rFonts w:ascii="Arial" w:eastAsia="Arial" w:hAnsi="Arial" w:cs="Arial"/>
          <w:kern w:val="0"/>
          <w14:ligatures w14:val="none"/>
        </w:rPr>
        <w:t>To determine the effects of Time of assessment, a separate three-way analysis that included both the PND 85 / PND 134 (46 °C only) and PND 121 / PND 170 nociception assessment timepoints was performed. Only a main effect of Age (F (1, 28) = 4.56, p &lt; 0.05) was confirmed, and the withdrawal latencies for the Adult-Exposed groups were significantly longer compared with those from the Adolescent-Exposed groups (</w:t>
      </w:r>
      <w:r w:rsidR="00687F4E">
        <w:rPr>
          <w:rFonts w:ascii="Arial" w:eastAsia="Arial" w:hAnsi="Arial" w:cs="Arial"/>
          <w:b/>
          <w:bCs/>
          <w:kern w:val="0"/>
          <w14:ligatures w14:val="none"/>
        </w:rPr>
        <w:t>Fig.</w:t>
      </w:r>
      <w:r w:rsidR="00687F4E" w:rsidRPr="0036715B">
        <w:rPr>
          <w:rFonts w:ascii="Arial" w:eastAsia="Arial" w:hAnsi="Arial" w:cs="Arial"/>
          <w:b/>
          <w:bCs/>
          <w:kern w:val="0"/>
          <w14:ligatures w14:val="none"/>
        </w:rPr>
        <w:t xml:space="preserve"> </w:t>
      </w:r>
      <w:r w:rsidRPr="0036715B">
        <w:rPr>
          <w:rFonts w:ascii="Arial" w:eastAsia="Arial" w:hAnsi="Arial" w:cs="Arial"/>
          <w:b/>
          <w:bCs/>
          <w:kern w:val="0"/>
          <w14:ligatures w14:val="none"/>
        </w:rPr>
        <w:t>3B</w:t>
      </w:r>
      <w:r w:rsidRPr="0036715B">
        <w:rPr>
          <w:rFonts w:ascii="Arial" w:eastAsia="Arial" w:hAnsi="Arial" w:cs="Arial"/>
          <w:kern w:val="0"/>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D62229" w14:paraId="0BBB6443" w14:textId="77777777" w:rsidTr="008272B1">
        <w:tc>
          <w:tcPr>
            <w:tcW w:w="9630" w:type="dxa"/>
          </w:tcPr>
          <w:p w14:paraId="5D93D767" w14:textId="46F8BFF0" w:rsidR="00D62229" w:rsidRDefault="00687F4E" w:rsidP="005F7615">
            <w:pPr>
              <w:spacing w:line="480" w:lineRule="auto"/>
              <w:rPr>
                <w:rFonts w:ascii="Arial" w:eastAsia="Arial" w:hAnsi="Arial" w:cs="Arial"/>
                <w:kern w:val="0"/>
                <w14:ligatures w14:val="none"/>
              </w:rPr>
            </w:pPr>
            <w:r>
              <w:rPr>
                <w:rFonts w:ascii="Arial" w:eastAsia="Arial" w:hAnsi="Arial" w:cs="Arial"/>
                <w:noProof/>
                <w:kern w:val="0"/>
              </w:rPr>
              <w:lastRenderedPageBreak/>
              <w:drawing>
                <wp:inline distT="0" distB="0" distL="0" distR="0" wp14:anchorId="4FE83BF8" wp14:editId="75507D8A">
                  <wp:extent cx="5826972" cy="6217920"/>
                  <wp:effectExtent l="0" t="0" r="2540" b="0"/>
                  <wp:docPr id="586158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58533" name="Picture 58615853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26972" cy="6217920"/>
                          </a:xfrm>
                          <a:prstGeom prst="rect">
                            <a:avLst/>
                          </a:prstGeom>
                        </pic:spPr>
                      </pic:pic>
                    </a:graphicData>
                  </a:graphic>
                </wp:inline>
              </w:drawing>
            </w:r>
          </w:p>
        </w:tc>
      </w:tr>
      <w:tr w:rsidR="00D62229" w14:paraId="7C38FEB1" w14:textId="77777777" w:rsidTr="008272B1">
        <w:tc>
          <w:tcPr>
            <w:tcW w:w="9630" w:type="dxa"/>
          </w:tcPr>
          <w:p w14:paraId="2F0209A6" w14:textId="42BA55E2" w:rsidR="00D62229" w:rsidRDefault="00687F4E" w:rsidP="005F7615">
            <w:pPr>
              <w:spacing w:line="480" w:lineRule="auto"/>
              <w:rPr>
                <w:rFonts w:ascii="Arial" w:eastAsia="Arial" w:hAnsi="Arial" w:cs="Arial"/>
                <w:kern w:val="0"/>
                <w14:ligatures w14:val="none"/>
              </w:rPr>
            </w:pPr>
            <w:r>
              <w:rPr>
                <w:rFonts w:ascii="Arial" w:eastAsia="Arial" w:hAnsi="Arial" w:cs="Arial"/>
                <w:b/>
                <w:bCs/>
                <w:kern w:val="0"/>
                <w:sz w:val="22"/>
                <w:szCs w:val="22"/>
                <w14:ligatures w14:val="none"/>
              </w:rPr>
              <w:t>Fig.</w:t>
            </w:r>
            <w:r w:rsidR="00803111" w:rsidRPr="00803111">
              <w:rPr>
                <w:rFonts w:ascii="Arial" w:eastAsia="Arial" w:hAnsi="Arial" w:cs="Arial"/>
                <w:b/>
                <w:bCs/>
                <w:kern w:val="0"/>
                <w:sz w:val="22"/>
                <w:szCs w:val="22"/>
                <w14:ligatures w14:val="none"/>
              </w:rPr>
              <w:t xml:space="preserve"> </w:t>
            </w:r>
            <w:r w:rsidR="00F90AE4">
              <w:rPr>
                <w:rFonts w:ascii="Arial" w:eastAsia="Arial" w:hAnsi="Arial" w:cs="Arial"/>
                <w:b/>
                <w:bCs/>
                <w:kern w:val="0"/>
                <w:sz w:val="22"/>
                <w:szCs w:val="22"/>
                <w14:ligatures w14:val="none"/>
              </w:rPr>
              <w:t>S1</w:t>
            </w:r>
            <w:r w:rsidR="00803111" w:rsidRPr="00803111">
              <w:rPr>
                <w:rFonts w:ascii="Arial" w:eastAsia="Arial" w:hAnsi="Arial" w:cs="Arial"/>
                <w:b/>
                <w:bCs/>
                <w:i/>
                <w:iCs/>
                <w:kern w:val="0"/>
                <w:sz w:val="22"/>
                <w:szCs w:val="22"/>
                <w14:ligatures w14:val="none"/>
              </w:rPr>
              <w:t>.</w:t>
            </w:r>
            <w:r w:rsidR="00803111" w:rsidRPr="00803111">
              <w:rPr>
                <w:rFonts w:ascii="Arial" w:eastAsia="Arial" w:hAnsi="Arial" w:cs="Arial"/>
                <w:kern w:val="0"/>
                <w:sz w:val="22"/>
                <w:szCs w:val="22"/>
                <w14:ligatures w14:val="none"/>
              </w:rPr>
              <w:t xml:space="preserve"> Mean (±SEM) tail-withdrawal latencies during the baseline recording at 17 and 24 weeks of age for the Adolescent-Exposed (</w:t>
            </w:r>
            <w:r w:rsidR="00803111" w:rsidRPr="00803111">
              <w:rPr>
                <w:rFonts w:ascii="Arial" w:eastAsia="Arial" w:hAnsi="Arial" w:cs="Arial"/>
                <w:i/>
                <w:iCs/>
                <w:kern w:val="0"/>
                <w:sz w:val="22"/>
                <w:szCs w:val="22"/>
                <w14:ligatures w14:val="none"/>
              </w:rPr>
              <w:t>N</w:t>
            </w:r>
            <w:r w:rsidR="00803111" w:rsidRPr="00803111">
              <w:rPr>
                <w:rFonts w:ascii="Arial" w:eastAsia="Arial" w:hAnsi="Arial" w:cs="Arial"/>
                <w:kern w:val="0"/>
                <w:sz w:val="22"/>
                <w:szCs w:val="22"/>
                <w14:ligatures w14:val="none"/>
              </w:rPr>
              <w:t>=16; 8 PG, 8 Heroin) and Adult-Exposed (</w:t>
            </w:r>
            <w:r w:rsidR="00803111" w:rsidRPr="00803111">
              <w:rPr>
                <w:rFonts w:ascii="Arial" w:eastAsia="Arial" w:hAnsi="Arial" w:cs="Arial"/>
                <w:i/>
                <w:iCs/>
                <w:kern w:val="0"/>
                <w:sz w:val="22"/>
                <w:szCs w:val="22"/>
                <w14:ligatures w14:val="none"/>
              </w:rPr>
              <w:t>N</w:t>
            </w:r>
            <w:r w:rsidR="00803111" w:rsidRPr="00803111">
              <w:rPr>
                <w:rFonts w:ascii="Arial" w:eastAsia="Arial" w:hAnsi="Arial" w:cs="Arial"/>
                <w:kern w:val="0"/>
                <w:sz w:val="22"/>
                <w:szCs w:val="22"/>
                <w14:ligatures w14:val="none"/>
              </w:rPr>
              <w:t>=16; 8 PG, 8 Heroin) groups (</w:t>
            </w:r>
            <w:r w:rsidR="00803111" w:rsidRPr="00803111">
              <w:rPr>
                <w:rFonts w:ascii="Arial" w:eastAsia="Arial" w:hAnsi="Arial" w:cs="Arial"/>
                <w:b/>
                <w:bCs/>
                <w:kern w:val="0"/>
                <w:sz w:val="22"/>
                <w:szCs w:val="22"/>
                <w14:ligatures w14:val="none"/>
              </w:rPr>
              <w:t>A</w:t>
            </w:r>
            <w:r w:rsidR="00803111" w:rsidRPr="00803111">
              <w:rPr>
                <w:rFonts w:ascii="Arial" w:eastAsia="Arial" w:hAnsi="Arial" w:cs="Arial"/>
                <w:kern w:val="0"/>
                <w:sz w:val="22"/>
                <w:szCs w:val="22"/>
                <w14:ligatures w14:val="none"/>
              </w:rPr>
              <w:t>), respectively. First and second baseline tail-withdrawal measurements taken at 46°C by Treatment Group (</w:t>
            </w:r>
            <w:r w:rsidR="00803111" w:rsidRPr="00803111">
              <w:rPr>
                <w:rFonts w:ascii="Arial" w:eastAsia="Arial" w:hAnsi="Arial" w:cs="Arial"/>
                <w:b/>
                <w:bCs/>
                <w:kern w:val="0"/>
                <w:sz w:val="22"/>
                <w:szCs w:val="22"/>
                <w14:ligatures w14:val="none"/>
              </w:rPr>
              <w:t>B</w:t>
            </w:r>
            <w:r w:rsidR="00803111" w:rsidRPr="00803111">
              <w:rPr>
                <w:rFonts w:ascii="Arial" w:eastAsia="Arial" w:hAnsi="Arial" w:cs="Arial"/>
                <w:kern w:val="0"/>
                <w:sz w:val="22"/>
                <w:szCs w:val="22"/>
                <w14:ligatures w14:val="none"/>
              </w:rPr>
              <w:t xml:space="preserve">). </w:t>
            </w:r>
            <w:bookmarkStart w:id="1" w:name="OLE_LINK4"/>
            <w:r w:rsidR="00803111" w:rsidRPr="00803111">
              <w:rPr>
                <w:rFonts w:ascii="Arial" w:eastAsia="Arial" w:hAnsi="Arial" w:cs="Arial"/>
                <w:kern w:val="0"/>
                <w:sz w:val="22"/>
                <w:szCs w:val="22"/>
                <w14:ligatures w14:val="none"/>
              </w:rPr>
              <w:t>A significant difference between the Adolescent-Exposed and Adult-Exposed groups is indicated with a *.</w:t>
            </w:r>
            <w:bookmarkEnd w:id="1"/>
          </w:p>
        </w:tc>
      </w:tr>
    </w:tbl>
    <w:p w14:paraId="5C3B19D2" w14:textId="77777777" w:rsidR="005E0BE2" w:rsidRDefault="005E0BE2" w:rsidP="005F7615">
      <w:pPr>
        <w:spacing w:line="480" w:lineRule="auto"/>
        <w:ind w:firstLine="720"/>
        <w:rPr>
          <w:rFonts w:ascii="Arial" w:eastAsia="Arial" w:hAnsi="Arial" w:cs="Arial"/>
          <w:kern w:val="0"/>
          <w14:ligatures w14:val="none"/>
        </w:rPr>
      </w:pPr>
    </w:p>
    <w:p w14:paraId="5159CAAA" w14:textId="77777777" w:rsidR="008272B1" w:rsidRPr="005F7615" w:rsidRDefault="008272B1" w:rsidP="005F7615">
      <w:pPr>
        <w:spacing w:line="480" w:lineRule="auto"/>
        <w:ind w:firstLine="720"/>
        <w:rPr>
          <w:rFonts w:ascii="Arial" w:eastAsia="Arial" w:hAnsi="Arial" w:cs="Arial"/>
          <w:kern w:val="0"/>
          <w14:ligatures w14:val="none"/>
        </w:rPr>
      </w:pPr>
    </w:p>
    <w:p w14:paraId="786074DD" w14:textId="2DF7A8CD" w:rsidR="000E037C" w:rsidRPr="002C4AE9" w:rsidRDefault="0051295E" w:rsidP="0051295E">
      <w:pPr>
        <w:spacing w:line="480" w:lineRule="auto"/>
        <w:jc w:val="center"/>
        <w:rPr>
          <w:rFonts w:ascii="Arial" w:hAnsi="Arial" w:cs="Arial"/>
          <w:b/>
          <w:bCs/>
        </w:rPr>
      </w:pPr>
      <w:r w:rsidRPr="002C4AE9">
        <w:rPr>
          <w:rFonts w:ascii="Arial" w:hAnsi="Arial" w:cs="Arial"/>
          <w:b/>
          <w:bCs/>
        </w:rPr>
        <w:t>References</w:t>
      </w:r>
    </w:p>
    <w:p w14:paraId="2D8CF612" w14:textId="77777777" w:rsidR="00562145" w:rsidRPr="000536EE" w:rsidRDefault="000E037C" w:rsidP="00562145">
      <w:pPr>
        <w:pStyle w:val="EndNoteBibliography"/>
        <w:ind w:left="720" w:hanging="720"/>
        <w:rPr>
          <w:rFonts w:ascii="Arial" w:hAnsi="Arial" w:cs="Arial"/>
          <w:sz w:val="22"/>
          <w:szCs w:val="22"/>
        </w:rPr>
      </w:pPr>
      <w:r w:rsidRPr="00F727F8">
        <w:rPr>
          <w:rFonts w:ascii="Arial" w:hAnsi="Arial" w:cs="Arial"/>
        </w:rPr>
        <w:fldChar w:fldCharType="begin"/>
      </w:r>
      <w:r w:rsidRPr="00F727F8">
        <w:rPr>
          <w:rFonts w:ascii="Arial" w:hAnsi="Arial" w:cs="Arial"/>
        </w:rPr>
        <w:instrText xml:space="preserve"> ADDIN EN.REFLIST </w:instrText>
      </w:r>
      <w:r w:rsidRPr="00F727F8">
        <w:rPr>
          <w:rFonts w:ascii="Arial" w:hAnsi="Arial" w:cs="Arial"/>
        </w:rPr>
        <w:fldChar w:fldCharType="separate"/>
      </w:r>
      <w:r w:rsidR="00562145" w:rsidRPr="000536EE">
        <w:rPr>
          <w:rFonts w:ascii="Arial" w:hAnsi="Arial" w:cs="Arial"/>
          <w:sz w:val="22"/>
          <w:szCs w:val="22"/>
        </w:rPr>
        <w:t>1</w:t>
      </w:r>
      <w:r w:rsidR="00562145" w:rsidRPr="000536EE">
        <w:rPr>
          <w:rFonts w:ascii="Arial" w:hAnsi="Arial" w:cs="Arial"/>
          <w:sz w:val="22"/>
          <w:szCs w:val="22"/>
        </w:rPr>
        <w:tab/>
        <w:t>Gutierrez A, Harvey EL, Creehan KM, Taffe MA. The long-term effects of repeated heroin vapor inhalation during adolescence on measures of nociception and anxiety-like behavior in adult Wistar rats. Psychopharmacology (Berl). 2022;239(12):3939-52.</w:t>
      </w:r>
    </w:p>
    <w:p w14:paraId="72584944" w14:textId="7D1BC622" w:rsidR="00DA23D1" w:rsidRDefault="000E037C" w:rsidP="00DA23D1">
      <w:pPr>
        <w:spacing w:line="480" w:lineRule="auto"/>
      </w:pPr>
      <w:r w:rsidRPr="00F727F8">
        <w:rPr>
          <w:rFonts w:ascii="Arial" w:hAnsi="Arial" w:cs="Arial"/>
        </w:rPr>
        <w:fldChar w:fldCharType="end"/>
      </w:r>
    </w:p>
    <w:sectPr w:rsidR="00DA23D1" w:rsidSect="001C680E">
      <w:footerReference w:type="default" r:id="rId1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53F55" w14:textId="77777777" w:rsidR="004B6205" w:rsidRDefault="004B6205" w:rsidP="00DA23D1">
      <w:pPr>
        <w:spacing w:after="0" w:line="240" w:lineRule="auto"/>
      </w:pPr>
      <w:r>
        <w:separator/>
      </w:r>
    </w:p>
  </w:endnote>
  <w:endnote w:type="continuationSeparator" w:id="0">
    <w:p w14:paraId="3A6A11F5" w14:textId="77777777" w:rsidR="004B6205" w:rsidRDefault="004B6205" w:rsidP="00DA2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747361"/>
      <w:docPartObj>
        <w:docPartGallery w:val="Page Numbers (Bottom of Page)"/>
        <w:docPartUnique/>
      </w:docPartObj>
    </w:sdtPr>
    <w:sdtEndPr>
      <w:rPr>
        <w:noProof/>
      </w:rPr>
    </w:sdtEndPr>
    <w:sdtContent>
      <w:p w14:paraId="2DD293FE" w14:textId="248E0C3C" w:rsidR="008272B1" w:rsidRDefault="008272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198B70" w14:textId="77777777" w:rsidR="008272B1" w:rsidRDefault="00827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54A60" w14:textId="77777777" w:rsidR="004B6205" w:rsidRDefault="004B6205" w:rsidP="00DA23D1">
      <w:pPr>
        <w:spacing w:after="0" w:line="240" w:lineRule="auto"/>
      </w:pPr>
      <w:r>
        <w:separator/>
      </w:r>
    </w:p>
  </w:footnote>
  <w:footnote w:type="continuationSeparator" w:id="0">
    <w:p w14:paraId="7C616B98" w14:textId="77777777" w:rsidR="004B6205" w:rsidRDefault="004B6205" w:rsidP="00DA23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europsychopharmacolog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0rae5w2fwvvheafv5xp59xd29fwfxfxt2x&quot;&gt;Opioid19-Converted&lt;record-ids&gt;&lt;item&gt;8326&lt;/item&gt;&lt;/record-ids&gt;&lt;/item&gt;&lt;/Libraries&gt;"/>
  </w:docVars>
  <w:rsids>
    <w:rsidRoot w:val="00DA23D1"/>
    <w:rsid w:val="000378E1"/>
    <w:rsid w:val="000536EE"/>
    <w:rsid w:val="00073084"/>
    <w:rsid w:val="000773F6"/>
    <w:rsid w:val="000E037C"/>
    <w:rsid w:val="000E252A"/>
    <w:rsid w:val="001167FF"/>
    <w:rsid w:val="001461C1"/>
    <w:rsid w:val="00155149"/>
    <w:rsid w:val="001817AD"/>
    <w:rsid w:val="001C680E"/>
    <w:rsid w:val="001E04C8"/>
    <w:rsid w:val="002974E5"/>
    <w:rsid w:val="002C4AE9"/>
    <w:rsid w:val="003136DE"/>
    <w:rsid w:val="003239E3"/>
    <w:rsid w:val="0036715B"/>
    <w:rsid w:val="003A6973"/>
    <w:rsid w:val="003D2712"/>
    <w:rsid w:val="00434A3B"/>
    <w:rsid w:val="004A678A"/>
    <w:rsid w:val="004B6205"/>
    <w:rsid w:val="004C5ED1"/>
    <w:rsid w:val="0051295E"/>
    <w:rsid w:val="00557FC3"/>
    <w:rsid w:val="00562145"/>
    <w:rsid w:val="005766F3"/>
    <w:rsid w:val="005929EB"/>
    <w:rsid w:val="005A0E6F"/>
    <w:rsid w:val="005A6DB2"/>
    <w:rsid w:val="005D2EF4"/>
    <w:rsid w:val="005E0BE2"/>
    <w:rsid w:val="005F7615"/>
    <w:rsid w:val="00624B5C"/>
    <w:rsid w:val="00687F4E"/>
    <w:rsid w:val="00691852"/>
    <w:rsid w:val="006C5642"/>
    <w:rsid w:val="00706FED"/>
    <w:rsid w:val="0075447E"/>
    <w:rsid w:val="007B05D0"/>
    <w:rsid w:val="007E528A"/>
    <w:rsid w:val="007F31FA"/>
    <w:rsid w:val="00803111"/>
    <w:rsid w:val="008272B1"/>
    <w:rsid w:val="008A208A"/>
    <w:rsid w:val="008D29D3"/>
    <w:rsid w:val="009046D7"/>
    <w:rsid w:val="009E5BDF"/>
    <w:rsid w:val="00A1250F"/>
    <w:rsid w:val="00A15F1E"/>
    <w:rsid w:val="00A533D5"/>
    <w:rsid w:val="00B20E52"/>
    <w:rsid w:val="00B75902"/>
    <w:rsid w:val="00BA2060"/>
    <w:rsid w:val="00C348E2"/>
    <w:rsid w:val="00C62C4F"/>
    <w:rsid w:val="00C843DB"/>
    <w:rsid w:val="00C85C74"/>
    <w:rsid w:val="00D15528"/>
    <w:rsid w:val="00D46266"/>
    <w:rsid w:val="00D62229"/>
    <w:rsid w:val="00DA23D1"/>
    <w:rsid w:val="00DD40C6"/>
    <w:rsid w:val="00E02FE5"/>
    <w:rsid w:val="00EB6375"/>
    <w:rsid w:val="00EF55CC"/>
    <w:rsid w:val="00F505EF"/>
    <w:rsid w:val="00F50D85"/>
    <w:rsid w:val="00F724C9"/>
    <w:rsid w:val="00F727F8"/>
    <w:rsid w:val="00F82802"/>
    <w:rsid w:val="00F84DB3"/>
    <w:rsid w:val="00F90AE4"/>
    <w:rsid w:val="00FA0F05"/>
    <w:rsid w:val="00FC09C2"/>
    <w:rsid w:val="00FE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C3FD"/>
  <w15:chartTrackingRefBased/>
  <w15:docId w15:val="{A54D342D-C3A7-48EE-9BA7-A27ECC5B5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3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3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3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3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3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3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3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3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3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3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3D1"/>
    <w:rPr>
      <w:rFonts w:eastAsiaTheme="majorEastAsia" w:cstheme="majorBidi"/>
      <w:color w:val="272727" w:themeColor="text1" w:themeTint="D8"/>
    </w:rPr>
  </w:style>
  <w:style w:type="paragraph" w:styleId="Title">
    <w:name w:val="Title"/>
    <w:basedOn w:val="Normal"/>
    <w:next w:val="Normal"/>
    <w:link w:val="TitleChar"/>
    <w:uiPriority w:val="10"/>
    <w:qFormat/>
    <w:rsid w:val="00DA2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3D1"/>
    <w:pPr>
      <w:spacing w:before="160"/>
      <w:jc w:val="center"/>
    </w:pPr>
    <w:rPr>
      <w:i/>
      <w:iCs/>
      <w:color w:val="404040" w:themeColor="text1" w:themeTint="BF"/>
    </w:rPr>
  </w:style>
  <w:style w:type="character" w:customStyle="1" w:styleId="QuoteChar">
    <w:name w:val="Quote Char"/>
    <w:basedOn w:val="DefaultParagraphFont"/>
    <w:link w:val="Quote"/>
    <w:uiPriority w:val="29"/>
    <w:rsid w:val="00DA23D1"/>
    <w:rPr>
      <w:i/>
      <w:iCs/>
      <w:color w:val="404040" w:themeColor="text1" w:themeTint="BF"/>
    </w:rPr>
  </w:style>
  <w:style w:type="paragraph" w:styleId="ListParagraph">
    <w:name w:val="List Paragraph"/>
    <w:basedOn w:val="Normal"/>
    <w:uiPriority w:val="34"/>
    <w:qFormat/>
    <w:rsid w:val="00DA23D1"/>
    <w:pPr>
      <w:ind w:left="720"/>
      <w:contextualSpacing/>
    </w:pPr>
  </w:style>
  <w:style w:type="character" w:styleId="IntenseEmphasis">
    <w:name w:val="Intense Emphasis"/>
    <w:basedOn w:val="DefaultParagraphFont"/>
    <w:uiPriority w:val="21"/>
    <w:qFormat/>
    <w:rsid w:val="00DA23D1"/>
    <w:rPr>
      <w:i/>
      <w:iCs/>
      <w:color w:val="0F4761" w:themeColor="accent1" w:themeShade="BF"/>
    </w:rPr>
  </w:style>
  <w:style w:type="paragraph" w:styleId="IntenseQuote">
    <w:name w:val="Intense Quote"/>
    <w:basedOn w:val="Normal"/>
    <w:next w:val="Normal"/>
    <w:link w:val="IntenseQuoteChar"/>
    <w:uiPriority w:val="30"/>
    <w:qFormat/>
    <w:rsid w:val="00DA2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3D1"/>
    <w:rPr>
      <w:i/>
      <w:iCs/>
      <w:color w:val="0F4761" w:themeColor="accent1" w:themeShade="BF"/>
    </w:rPr>
  </w:style>
  <w:style w:type="character" w:styleId="IntenseReference">
    <w:name w:val="Intense Reference"/>
    <w:basedOn w:val="DefaultParagraphFont"/>
    <w:uiPriority w:val="32"/>
    <w:qFormat/>
    <w:rsid w:val="00DA23D1"/>
    <w:rPr>
      <w:b/>
      <w:bCs/>
      <w:smallCaps/>
      <w:color w:val="0F4761" w:themeColor="accent1" w:themeShade="BF"/>
      <w:spacing w:val="5"/>
    </w:rPr>
  </w:style>
  <w:style w:type="paragraph" w:styleId="Header">
    <w:name w:val="header"/>
    <w:basedOn w:val="Normal"/>
    <w:link w:val="HeaderChar"/>
    <w:uiPriority w:val="99"/>
    <w:unhideWhenUsed/>
    <w:rsid w:val="00DA2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3D1"/>
  </w:style>
  <w:style w:type="paragraph" w:styleId="Footer">
    <w:name w:val="footer"/>
    <w:basedOn w:val="Normal"/>
    <w:link w:val="FooterChar"/>
    <w:uiPriority w:val="99"/>
    <w:unhideWhenUsed/>
    <w:rsid w:val="00DA2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3D1"/>
  </w:style>
  <w:style w:type="table" w:styleId="TableGrid">
    <w:name w:val="Table Grid"/>
    <w:basedOn w:val="TableNormal"/>
    <w:uiPriority w:val="39"/>
    <w:rsid w:val="00D62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55149"/>
    <w:rPr>
      <w:sz w:val="16"/>
      <w:szCs w:val="16"/>
    </w:rPr>
  </w:style>
  <w:style w:type="paragraph" w:styleId="CommentText">
    <w:name w:val="annotation text"/>
    <w:basedOn w:val="Normal"/>
    <w:link w:val="CommentTextChar"/>
    <w:uiPriority w:val="99"/>
    <w:unhideWhenUsed/>
    <w:rsid w:val="0015514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155149"/>
    <w:rPr>
      <w:kern w:val="0"/>
      <w:sz w:val="20"/>
      <w:szCs w:val="20"/>
      <w14:ligatures w14:val="none"/>
    </w:rPr>
  </w:style>
  <w:style w:type="paragraph" w:customStyle="1" w:styleId="EndNoteBibliographyTitle">
    <w:name w:val="EndNote Bibliography Title"/>
    <w:basedOn w:val="Normal"/>
    <w:link w:val="EndNoteBibliographyTitleChar"/>
    <w:rsid w:val="000E037C"/>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0E037C"/>
    <w:rPr>
      <w:rFonts w:ascii="Aptos" w:hAnsi="Aptos"/>
      <w:noProof/>
    </w:rPr>
  </w:style>
  <w:style w:type="paragraph" w:customStyle="1" w:styleId="EndNoteBibliography">
    <w:name w:val="EndNote Bibliography"/>
    <w:basedOn w:val="Normal"/>
    <w:link w:val="EndNoteBibliographyChar"/>
    <w:rsid w:val="000E037C"/>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0E037C"/>
    <w:rPr>
      <w:rFonts w:ascii="Aptos" w:hAnsi="Aptos"/>
      <w:noProof/>
    </w:rPr>
  </w:style>
  <w:style w:type="character" w:styleId="Hyperlink">
    <w:name w:val="Hyperlink"/>
    <w:basedOn w:val="DefaultParagraphFont"/>
    <w:uiPriority w:val="99"/>
    <w:unhideWhenUsed/>
    <w:rsid w:val="00D15528"/>
    <w:rPr>
      <w:color w:val="467886" w:themeColor="hyperlink"/>
      <w:u w:val="single"/>
    </w:rPr>
  </w:style>
  <w:style w:type="character" w:styleId="UnresolvedMention">
    <w:name w:val="Unresolved Mention"/>
    <w:basedOn w:val="DefaultParagraphFont"/>
    <w:uiPriority w:val="99"/>
    <w:semiHidden/>
    <w:unhideWhenUsed/>
    <w:rsid w:val="00D15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gutierrez98@utep.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mtaffe@ucsd.ed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39431741D2BE4F8DD1879FC8ACE560" ma:contentTypeVersion="13" ma:contentTypeDescription="Create a new document." ma:contentTypeScope="" ma:versionID="db8e927fc45c48b831710b6d79033fe1">
  <xsd:schema xmlns:xsd="http://www.w3.org/2001/XMLSchema" xmlns:xs="http://www.w3.org/2001/XMLSchema" xmlns:p="http://schemas.microsoft.com/office/2006/metadata/properties" xmlns:ns2="80f9302d-9333-4eac-9248-50785867fdf5" xmlns:ns3="23271196-d72e-4092-b44d-dae170b9b2fc" targetNamespace="http://schemas.microsoft.com/office/2006/metadata/properties" ma:root="true" ma:fieldsID="b7f62925e7233cf159210226cc55c4f6" ns2:_="" ns3:_="">
    <xsd:import namespace="80f9302d-9333-4eac-9248-50785867fdf5"/>
    <xsd:import namespace="23271196-d72e-4092-b44d-dae170b9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9302d-9333-4eac-9248-50785867f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cd466c-82b6-42a3-8ba5-5c7db83406b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271196-d72e-4092-b44d-dae170b9b2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22a3cf-75cc-4eb1-85c1-cb0e4b0c3b5b}" ma:internalName="TaxCatchAll" ma:showField="CatchAllData" ma:web="23271196-d72e-4092-b44d-dae170b9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f9302d-9333-4eac-9248-50785867fdf5">
      <Terms xmlns="http://schemas.microsoft.com/office/infopath/2007/PartnerControls"/>
    </lcf76f155ced4ddcb4097134ff3c332f>
    <TaxCatchAll xmlns="23271196-d72e-4092-b44d-dae170b9b2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D89B5-E917-42AE-9962-56ECDE49E638}">
  <ds:schemaRefs>
    <ds:schemaRef ds:uri="http://schemas.microsoft.com/sharepoint/v3/contenttype/forms"/>
  </ds:schemaRefs>
</ds:datastoreItem>
</file>

<file path=customXml/itemProps2.xml><?xml version="1.0" encoding="utf-8"?>
<ds:datastoreItem xmlns:ds="http://schemas.openxmlformats.org/officeDocument/2006/customXml" ds:itemID="{023C0D39-7755-4D08-8274-ED6690A9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9302d-9333-4eac-9248-50785867fdf5"/>
    <ds:schemaRef ds:uri="23271196-d72e-4092-b44d-dae170b9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4666FD-2DD2-4A47-9B6E-01950CB580CE}">
  <ds:schemaRefs>
    <ds:schemaRef ds:uri="http://schemas.microsoft.com/office/2006/metadata/properties"/>
    <ds:schemaRef ds:uri="http://schemas.microsoft.com/office/infopath/2007/PartnerControls"/>
    <ds:schemaRef ds:uri="80f9302d-9333-4eac-9248-50785867fdf5"/>
    <ds:schemaRef ds:uri="23271196-d72e-4092-b44d-dae170b9b2fc"/>
  </ds:schemaRefs>
</ds:datastoreItem>
</file>

<file path=customXml/itemProps4.xml><?xml version="1.0" encoding="utf-8"?>
<ds:datastoreItem xmlns:ds="http://schemas.openxmlformats.org/officeDocument/2006/customXml" ds:itemID="{6E24C22C-05F3-44BA-ABCD-D33D70DA00B6}">
  <ds:schemaRefs>
    <ds:schemaRef ds:uri="http://schemas.openxmlformats.org/officeDocument/2006/bibliography"/>
  </ds:schemaRefs>
</ds:datastoreItem>
</file>

<file path=docMetadata/LabelInfo.xml><?xml version="1.0" encoding="utf-8"?>
<clbl:labelList xmlns:clbl="http://schemas.microsoft.com/office/2020/mipLabelMetadata">
  <clbl:label id="{e470d736-e7f7-41a8-8eab-dad544b2b579}" enabled="0" method="" siteId="{e470d736-e7f7-41a8-8eab-dad544b2b579}" removed="1"/>
</clbl:labelList>
</file>

<file path=docProps/app.xml><?xml version="1.0" encoding="utf-8"?>
<Properties xmlns="http://schemas.openxmlformats.org/officeDocument/2006/extended-properties" xmlns:vt="http://schemas.openxmlformats.org/officeDocument/2006/docPropsVTypes">
  <Template>Normal.dotm</Template>
  <TotalTime>38</TotalTime>
  <Pages>7</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Gutierrez, Arnold</dc:creator>
  <cp:keywords/>
  <dc:description/>
  <cp:lastModifiedBy>Gutierrez, Arnold</cp:lastModifiedBy>
  <cp:revision>41</cp:revision>
  <dcterms:created xsi:type="dcterms:W3CDTF">2024-07-09T21:38:00Z</dcterms:created>
  <dcterms:modified xsi:type="dcterms:W3CDTF">2026-05-19T06:41:00Z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0x0101009239431741D2BE4F8DD1879FC8ACE560</vt:lpwstr>
  </property>
  <property fmtid="{D5CDD505-2E9C-101B-9397-08002B2CF9AE}" pid="3" name="MediaServiceImageTags">
    <vt:lpwstr/>
  </property>
  <property fmtid="{D5CDD505-2E9C-101B-9397-08002B2CF9AE}" pid="4" name="MSIP_Label_b73649dc-6fee-4eb8-a128-734c3c842ea8_Enabled">
    <vt:lpwstr>true</vt:lpwstr>
  </property>
  <property fmtid="{D5CDD505-2E9C-101B-9397-08002B2CF9AE}" pid="5" name="MSIP_Label_b73649dc-6fee-4eb8-a128-734c3c842ea8_SetDate">
    <vt:lpwstr>2026-05-19T04:12:42Z</vt:lpwstr>
  </property>
  <property fmtid="{D5CDD505-2E9C-101B-9397-08002B2CF9AE}" pid="6" name="MSIP_Label_b73649dc-6fee-4eb8-a128-734c3c842ea8_Method">
    <vt:lpwstr>Standard</vt:lpwstr>
  </property>
  <property fmtid="{D5CDD505-2E9C-101B-9397-08002B2CF9AE}" pid="7" name="MSIP_Label_b73649dc-6fee-4eb8-a128-734c3c842ea8_Name">
    <vt:lpwstr>defa4170-0d19-0005-0004-bc88714345d2</vt:lpwstr>
  </property>
  <property fmtid="{D5CDD505-2E9C-101B-9397-08002B2CF9AE}" pid="8" name="MSIP_Label_b73649dc-6fee-4eb8-a128-734c3c842ea8_SiteId">
    <vt:lpwstr>857c21d2-1a16-43a4-90cf-d57f3fab9d2f</vt:lpwstr>
  </property>
  <property fmtid="{D5CDD505-2E9C-101B-9397-08002B2CF9AE}" pid="9" name="MSIP_Label_b73649dc-6fee-4eb8-a128-734c3c842ea8_ActionId">
    <vt:lpwstr>43312db2-e7c3-4d84-8aeb-76703d425d0a</vt:lpwstr>
  </property>
  <property fmtid="{D5CDD505-2E9C-101B-9397-08002B2CF9AE}" pid="10" name="MSIP_Label_b73649dc-6fee-4eb8-a128-734c3c842ea8_ContentBits">
    <vt:lpwstr>0</vt:lpwstr>
  </property>
  <property fmtid="{D5CDD505-2E9C-101B-9397-08002B2CF9AE}" pid="11" name="MSIP_Label_b73649dc-6fee-4eb8-a128-734c3c842ea8_Tag">
    <vt:lpwstr>10, 3, 0, 1</vt:lpwstr>
  </property>
</Properties>
</file>