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44679" w14:textId="77777777" w:rsidR="00350F6C" w:rsidRDefault="00350F6C" w:rsidP="00865BBF">
      <w:pPr>
        <w:spacing w:after="240" w:line="360" w:lineRule="auto"/>
        <w:jc w:val="both"/>
        <w:rPr>
          <w:b/>
          <w:i/>
          <w:sz w:val="24"/>
          <w:lang w:val="en-GB"/>
        </w:rPr>
      </w:pPr>
      <w:bookmarkStart w:id="0" w:name="_GoBack"/>
      <w:bookmarkEnd w:id="0"/>
      <w:r w:rsidRPr="00350F6C">
        <w:rPr>
          <w:b/>
          <w:i/>
          <w:sz w:val="24"/>
          <w:lang w:val="en-GB"/>
        </w:rPr>
        <w:t>Supplementary Information (SI)</w:t>
      </w:r>
    </w:p>
    <w:p w14:paraId="44C555E6" w14:textId="77777777" w:rsidR="00CA6ED2" w:rsidRDefault="00CA6ED2" w:rsidP="00CA6ED2">
      <w:pPr>
        <w:spacing w:after="240" w:line="360" w:lineRule="auto"/>
        <w:jc w:val="both"/>
        <w:rPr>
          <w:b/>
          <w:sz w:val="28"/>
          <w:lang w:val="en-US"/>
        </w:rPr>
      </w:pPr>
      <w:r>
        <w:rPr>
          <w:b/>
          <w:sz w:val="28"/>
          <w:lang w:val="en-US"/>
        </w:rPr>
        <w:t>Neutral Red</w:t>
      </w:r>
      <w:r w:rsidRPr="00E97911">
        <w:rPr>
          <w:b/>
          <w:sz w:val="28"/>
          <w:lang w:val="en-US"/>
        </w:rPr>
        <w:t>-carbon nanodots for selective fluorescent DNA sensing.</w:t>
      </w:r>
      <w:r w:rsidRPr="00A74104">
        <w:rPr>
          <w:b/>
          <w:sz w:val="28"/>
          <w:lang w:val="en-US"/>
        </w:rPr>
        <w:t xml:space="preserve"> </w:t>
      </w:r>
    </w:p>
    <w:p w14:paraId="617D2188" w14:textId="7DCBFFA3" w:rsidR="00CA6ED2" w:rsidRDefault="00CA6ED2" w:rsidP="00CA6ED2">
      <w:pPr>
        <w:spacing w:after="240" w:line="360" w:lineRule="auto"/>
        <w:jc w:val="both"/>
      </w:pPr>
      <w:r>
        <w:t>Emiliano Martínez-</w:t>
      </w:r>
      <w:r w:rsidRPr="00A74104">
        <w:t>Periñán</w:t>
      </w:r>
      <w:r>
        <w:t xml:space="preserve">* </w:t>
      </w:r>
      <w:r w:rsidRPr="00A74104">
        <w:rPr>
          <w:vertAlign w:val="superscript"/>
        </w:rPr>
        <w:t>a</w:t>
      </w:r>
      <w:r w:rsidRPr="00A74104">
        <w:t>, Álvaro Mart</w:t>
      </w:r>
      <w:r>
        <w:t xml:space="preserve">ínez-Sobrino </w:t>
      </w:r>
      <w:r w:rsidRPr="00A74104">
        <w:rPr>
          <w:vertAlign w:val="superscript"/>
        </w:rPr>
        <w:t>a</w:t>
      </w:r>
      <w:r>
        <w:t xml:space="preserve">, Iria Bravo </w:t>
      </w:r>
      <w:r>
        <w:rPr>
          <w:vertAlign w:val="superscript"/>
        </w:rPr>
        <w:t>a</w:t>
      </w:r>
      <w:r>
        <w:t xml:space="preserve">, Tania García-Mendiola </w:t>
      </w:r>
      <w:proofErr w:type="spellStart"/>
      <w:proofErr w:type="gramStart"/>
      <w:r>
        <w:rPr>
          <w:vertAlign w:val="superscript"/>
        </w:rPr>
        <w:t>a,b</w:t>
      </w:r>
      <w:proofErr w:type="spellEnd"/>
      <w:proofErr w:type="gramEnd"/>
      <w:r>
        <w:t xml:space="preserve">, Eva Mateo-Martí </w:t>
      </w:r>
      <w:r>
        <w:rPr>
          <w:vertAlign w:val="superscript"/>
        </w:rPr>
        <w:t>c</w:t>
      </w:r>
      <w:r>
        <w:t xml:space="preserve">, Félix Pariente </w:t>
      </w:r>
      <w:proofErr w:type="spellStart"/>
      <w:r>
        <w:rPr>
          <w:vertAlign w:val="superscript"/>
        </w:rPr>
        <w:t>a,d</w:t>
      </w:r>
      <w:proofErr w:type="spellEnd"/>
      <w:r>
        <w:t xml:space="preserve">, Encarnación Lorenzo* </w:t>
      </w:r>
      <w:proofErr w:type="spellStart"/>
      <w:r w:rsidRPr="00A74104">
        <w:rPr>
          <w:vertAlign w:val="superscript"/>
        </w:rPr>
        <w:t>a,b,</w:t>
      </w:r>
      <w:r>
        <w:rPr>
          <w:vertAlign w:val="superscript"/>
        </w:rPr>
        <w:t>d</w:t>
      </w:r>
      <w:proofErr w:type="spellEnd"/>
      <w:r>
        <w:t>.</w:t>
      </w:r>
    </w:p>
    <w:p w14:paraId="187C5B77" w14:textId="77777777" w:rsidR="00CA6ED2" w:rsidRDefault="00CA6ED2" w:rsidP="00CA6ED2">
      <w:pPr>
        <w:spacing w:after="240" w:line="360" w:lineRule="auto"/>
        <w:jc w:val="both"/>
        <w:rPr>
          <w:rFonts w:cstheme="minorHAnsi"/>
          <w:sz w:val="20"/>
        </w:rPr>
      </w:pPr>
      <w:r w:rsidRPr="00C40B8F">
        <w:rPr>
          <w:rFonts w:cstheme="minorHAnsi"/>
          <w:sz w:val="20"/>
          <w:vertAlign w:val="superscript"/>
        </w:rPr>
        <w:t>a</w:t>
      </w:r>
      <w:r w:rsidRPr="00C40B8F">
        <w:rPr>
          <w:rFonts w:cstheme="minorHAnsi"/>
          <w:sz w:val="20"/>
        </w:rPr>
        <w:t xml:space="preserve"> Departamento de Química Analítica y Análisis Instrumental, Universidad Autónoma de Madrid, 28049</w:t>
      </w:r>
      <w:r>
        <w:rPr>
          <w:rFonts w:cstheme="minorHAnsi"/>
          <w:sz w:val="20"/>
        </w:rPr>
        <w:t>,</w:t>
      </w:r>
      <w:r w:rsidRPr="00C40B8F">
        <w:rPr>
          <w:rFonts w:cstheme="minorHAnsi"/>
          <w:sz w:val="20"/>
        </w:rPr>
        <w:t xml:space="preserve"> Madrid, </w:t>
      </w:r>
      <w:proofErr w:type="spellStart"/>
      <w:r w:rsidRPr="00C40B8F">
        <w:rPr>
          <w:rFonts w:cstheme="minorHAnsi"/>
          <w:sz w:val="20"/>
        </w:rPr>
        <w:t>Spain</w:t>
      </w:r>
      <w:proofErr w:type="spellEnd"/>
      <w:r>
        <w:rPr>
          <w:rFonts w:cstheme="minorHAnsi"/>
          <w:sz w:val="20"/>
        </w:rPr>
        <w:t>.</w:t>
      </w:r>
      <w:r w:rsidRPr="00C40B8F">
        <w:rPr>
          <w:rFonts w:cstheme="minorHAnsi"/>
          <w:sz w:val="20"/>
        </w:rPr>
        <w:t xml:space="preserve"> </w:t>
      </w:r>
    </w:p>
    <w:p w14:paraId="75CD9DC6" w14:textId="77777777" w:rsidR="00CA6ED2" w:rsidRPr="00FD4122" w:rsidRDefault="00CA6ED2" w:rsidP="00CA6ED2">
      <w:pPr>
        <w:spacing w:after="240" w:line="360" w:lineRule="auto"/>
        <w:jc w:val="both"/>
        <w:rPr>
          <w:rFonts w:cstheme="minorHAnsi"/>
          <w:sz w:val="20"/>
          <w:lang w:val="en-GB"/>
        </w:rPr>
      </w:pPr>
      <w:r w:rsidRPr="00FD4122">
        <w:rPr>
          <w:rFonts w:cstheme="minorHAnsi"/>
          <w:sz w:val="20"/>
          <w:vertAlign w:val="superscript"/>
          <w:lang w:val="en-GB"/>
        </w:rPr>
        <w:t>b</w:t>
      </w:r>
      <w:r w:rsidRPr="00FD4122">
        <w:rPr>
          <w:rFonts w:cstheme="minorHAnsi"/>
          <w:sz w:val="20"/>
          <w:lang w:val="en-GB"/>
        </w:rPr>
        <w:t xml:space="preserve"> Institute for Advanced Research in Chemical Sciences (</w:t>
      </w:r>
      <w:proofErr w:type="spellStart"/>
      <w:r w:rsidRPr="00FD4122">
        <w:rPr>
          <w:rFonts w:cstheme="minorHAnsi"/>
          <w:sz w:val="20"/>
          <w:lang w:val="en-GB"/>
        </w:rPr>
        <w:t>IAdChem</w:t>
      </w:r>
      <w:proofErr w:type="spellEnd"/>
      <w:r w:rsidRPr="00FD4122">
        <w:rPr>
          <w:rFonts w:cstheme="minorHAnsi"/>
          <w:sz w:val="20"/>
          <w:lang w:val="en-GB"/>
        </w:rPr>
        <w:t>), Universidad Autónoma de Madrid, 28049, Madrid, Spain.</w:t>
      </w:r>
    </w:p>
    <w:p w14:paraId="6C2AA1F3" w14:textId="77777777" w:rsidR="00CA6ED2" w:rsidRDefault="00CA6ED2" w:rsidP="00CA6ED2">
      <w:pPr>
        <w:spacing w:after="240" w:line="360" w:lineRule="auto"/>
        <w:jc w:val="both"/>
        <w:rPr>
          <w:rFonts w:cstheme="minorHAnsi"/>
          <w:sz w:val="20"/>
        </w:rPr>
      </w:pPr>
      <w:r w:rsidRPr="00FD4122">
        <w:rPr>
          <w:rFonts w:cstheme="minorHAnsi"/>
          <w:sz w:val="20"/>
          <w:lang w:val="en-GB"/>
        </w:rPr>
        <w:t xml:space="preserve"> </w:t>
      </w:r>
      <w:r>
        <w:rPr>
          <w:rFonts w:cstheme="minorHAnsi"/>
          <w:sz w:val="20"/>
          <w:vertAlign w:val="superscript"/>
        </w:rPr>
        <w:t>c</w:t>
      </w:r>
      <w:r w:rsidRPr="00C40B8F">
        <w:rPr>
          <w:rFonts w:cstheme="minorHAnsi"/>
          <w:sz w:val="20"/>
        </w:rPr>
        <w:t xml:space="preserve"> Centro de Astrobiología (CSIC-INTA), Ctra. Ajalvir, Km. 4, 28850</w:t>
      </w:r>
      <w:r>
        <w:rPr>
          <w:rFonts w:cstheme="minorHAnsi"/>
          <w:sz w:val="20"/>
        </w:rPr>
        <w:t>,</w:t>
      </w:r>
      <w:r w:rsidRPr="00C40B8F">
        <w:rPr>
          <w:rFonts w:cstheme="minorHAnsi"/>
          <w:sz w:val="20"/>
        </w:rPr>
        <w:t xml:space="preserve"> Torrejón de </w:t>
      </w:r>
      <w:proofErr w:type="spellStart"/>
      <w:r w:rsidRPr="00C40B8F">
        <w:rPr>
          <w:rFonts w:cstheme="minorHAnsi"/>
          <w:sz w:val="20"/>
        </w:rPr>
        <w:t>Ardoz</w:t>
      </w:r>
      <w:proofErr w:type="spellEnd"/>
      <w:r w:rsidRPr="00C40B8F">
        <w:rPr>
          <w:rFonts w:cstheme="minorHAnsi"/>
          <w:sz w:val="20"/>
        </w:rPr>
        <w:t xml:space="preserve">, Madrid, </w:t>
      </w:r>
      <w:proofErr w:type="spellStart"/>
      <w:r w:rsidRPr="00C40B8F">
        <w:rPr>
          <w:rFonts w:cstheme="minorHAnsi"/>
          <w:sz w:val="20"/>
        </w:rPr>
        <w:t>Spain</w:t>
      </w:r>
      <w:proofErr w:type="spellEnd"/>
      <w:r>
        <w:rPr>
          <w:rFonts w:cstheme="minorHAnsi"/>
          <w:sz w:val="20"/>
        </w:rPr>
        <w:t>.</w:t>
      </w:r>
    </w:p>
    <w:p w14:paraId="3A93CC35" w14:textId="77777777" w:rsidR="00CA6ED2" w:rsidRDefault="00CA6ED2" w:rsidP="00CA6ED2">
      <w:pPr>
        <w:spacing w:after="240" w:line="360" w:lineRule="auto"/>
        <w:jc w:val="both"/>
        <w:rPr>
          <w:rFonts w:cstheme="minorHAnsi"/>
          <w:sz w:val="20"/>
        </w:rPr>
      </w:pPr>
      <w:r>
        <w:rPr>
          <w:rFonts w:cstheme="minorHAnsi"/>
          <w:sz w:val="20"/>
          <w:vertAlign w:val="superscript"/>
        </w:rPr>
        <w:t>d</w:t>
      </w:r>
      <w:r>
        <w:rPr>
          <w:rFonts w:cstheme="minorHAnsi"/>
          <w:sz w:val="20"/>
        </w:rPr>
        <w:t xml:space="preserve"> </w:t>
      </w:r>
      <w:r w:rsidRPr="00C40B8F">
        <w:rPr>
          <w:rFonts w:cstheme="minorHAnsi"/>
          <w:sz w:val="20"/>
        </w:rPr>
        <w:t xml:space="preserve">IMDEA-Nanociencia, Ciudad Universitaria de </w:t>
      </w:r>
      <w:proofErr w:type="spellStart"/>
      <w:r w:rsidRPr="00C40B8F">
        <w:rPr>
          <w:rFonts w:cstheme="minorHAnsi"/>
          <w:sz w:val="20"/>
        </w:rPr>
        <w:t>Cantoblanco</w:t>
      </w:r>
      <w:proofErr w:type="spellEnd"/>
      <w:r w:rsidRPr="00C40B8F">
        <w:rPr>
          <w:rFonts w:cstheme="minorHAnsi"/>
          <w:sz w:val="20"/>
        </w:rPr>
        <w:t>, 28049</w:t>
      </w:r>
      <w:r>
        <w:rPr>
          <w:rFonts w:cstheme="minorHAnsi"/>
          <w:sz w:val="20"/>
        </w:rPr>
        <w:t>,</w:t>
      </w:r>
      <w:r w:rsidRPr="00C40B8F">
        <w:rPr>
          <w:rFonts w:cstheme="minorHAnsi"/>
          <w:sz w:val="20"/>
        </w:rPr>
        <w:t xml:space="preserve"> Madrid, </w:t>
      </w:r>
      <w:proofErr w:type="spellStart"/>
      <w:r w:rsidRPr="00C40B8F">
        <w:rPr>
          <w:rFonts w:cstheme="minorHAnsi"/>
          <w:sz w:val="20"/>
        </w:rPr>
        <w:t>Spain</w:t>
      </w:r>
      <w:proofErr w:type="spellEnd"/>
      <w:r>
        <w:rPr>
          <w:rFonts w:cstheme="minorHAnsi"/>
          <w:sz w:val="20"/>
        </w:rPr>
        <w:t>.</w:t>
      </w:r>
      <w:r w:rsidRPr="00C40B8F">
        <w:rPr>
          <w:rFonts w:cstheme="minorHAnsi"/>
          <w:sz w:val="20"/>
        </w:rPr>
        <w:t xml:space="preserve"> </w:t>
      </w:r>
    </w:p>
    <w:p w14:paraId="530DDA81" w14:textId="77777777" w:rsidR="00CA6ED2" w:rsidRPr="008D735D" w:rsidRDefault="00CA6ED2" w:rsidP="00CA6ED2">
      <w:pPr>
        <w:spacing w:after="240" w:line="360" w:lineRule="auto"/>
        <w:jc w:val="both"/>
        <w:rPr>
          <w:rFonts w:cstheme="minorHAnsi"/>
          <w:sz w:val="20"/>
          <w:lang w:val="en-GB"/>
        </w:rPr>
      </w:pPr>
      <w:r w:rsidRPr="008D735D">
        <w:rPr>
          <w:rFonts w:ascii="Cambria Math" w:hAnsi="Cambria Math" w:cs="Cambria Math"/>
          <w:sz w:val="20"/>
          <w:lang w:val="en-GB"/>
        </w:rPr>
        <w:t>∗</w:t>
      </w:r>
      <w:r w:rsidRPr="008D735D">
        <w:rPr>
          <w:rFonts w:cstheme="minorHAnsi"/>
          <w:sz w:val="20"/>
          <w:lang w:val="en-GB"/>
        </w:rPr>
        <w:t xml:space="preserve">Corresponding author at: </w:t>
      </w:r>
      <w:hyperlink r:id="rId7" w:history="1">
        <w:r w:rsidRPr="004E421C">
          <w:rPr>
            <w:rStyle w:val="Hipervnculo"/>
            <w:rFonts w:cstheme="minorHAnsi"/>
            <w:sz w:val="20"/>
            <w:lang w:val="en-GB"/>
          </w:rPr>
          <w:t>emiliano.martinez@uam.es</w:t>
        </w:r>
      </w:hyperlink>
      <w:r>
        <w:rPr>
          <w:rFonts w:cstheme="minorHAnsi"/>
          <w:sz w:val="20"/>
          <w:lang w:val="en-GB"/>
        </w:rPr>
        <w:t xml:space="preserve"> and </w:t>
      </w:r>
      <w:hyperlink r:id="rId8" w:history="1">
        <w:r w:rsidRPr="004E421C">
          <w:rPr>
            <w:rStyle w:val="Hipervnculo"/>
            <w:rFonts w:cstheme="minorHAnsi"/>
            <w:sz w:val="20"/>
            <w:lang w:val="en-GB"/>
          </w:rPr>
          <w:t>encarnacion.lorenzo@uam.es</w:t>
        </w:r>
      </w:hyperlink>
      <w:r>
        <w:rPr>
          <w:rFonts w:cstheme="minorHAnsi"/>
          <w:sz w:val="20"/>
          <w:lang w:val="en-GB"/>
        </w:rPr>
        <w:t xml:space="preserve"> </w:t>
      </w:r>
    </w:p>
    <w:p w14:paraId="6C895BE9" w14:textId="1402FDED" w:rsidR="00865BBF" w:rsidRPr="00F712C3" w:rsidRDefault="00865BBF">
      <w:pPr>
        <w:rPr>
          <w:lang w:val="en-GB"/>
        </w:rPr>
      </w:pPr>
    </w:p>
    <w:p w14:paraId="51D43122" w14:textId="5DDBD36B" w:rsidR="00865BBF" w:rsidRPr="00F712C3" w:rsidRDefault="00865BBF">
      <w:pPr>
        <w:rPr>
          <w:lang w:val="en-GB"/>
        </w:rPr>
      </w:pPr>
    </w:p>
    <w:p w14:paraId="554A88BC" w14:textId="3301B4B7" w:rsidR="00865BBF" w:rsidRPr="00F712C3" w:rsidRDefault="00865BBF">
      <w:pPr>
        <w:rPr>
          <w:lang w:val="en-GB"/>
        </w:rPr>
      </w:pPr>
    </w:p>
    <w:p w14:paraId="637E9902" w14:textId="40297B88" w:rsidR="00865BBF" w:rsidRPr="00F712C3" w:rsidRDefault="00865BBF">
      <w:pPr>
        <w:rPr>
          <w:lang w:val="en-GB"/>
        </w:rPr>
      </w:pPr>
    </w:p>
    <w:p w14:paraId="1274E6A7" w14:textId="724489E4" w:rsidR="00865BBF" w:rsidRPr="00F712C3" w:rsidRDefault="00865BBF">
      <w:pPr>
        <w:rPr>
          <w:lang w:val="en-GB"/>
        </w:rPr>
      </w:pPr>
    </w:p>
    <w:p w14:paraId="4A6AF0DB" w14:textId="21B89B1F" w:rsidR="00865BBF" w:rsidRPr="00F712C3" w:rsidRDefault="00865BBF">
      <w:pPr>
        <w:rPr>
          <w:lang w:val="en-GB"/>
        </w:rPr>
      </w:pPr>
    </w:p>
    <w:p w14:paraId="4223C09D" w14:textId="19EB19AE" w:rsidR="00865BBF" w:rsidRPr="00F712C3" w:rsidRDefault="00865BBF">
      <w:pPr>
        <w:rPr>
          <w:lang w:val="en-GB"/>
        </w:rPr>
      </w:pPr>
    </w:p>
    <w:p w14:paraId="6B44E713" w14:textId="4260F121" w:rsidR="00865BBF" w:rsidRPr="00F712C3" w:rsidRDefault="00865BBF">
      <w:pPr>
        <w:rPr>
          <w:lang w:val="en-GB"/>
        </w:rPr>
      </w:pPr>
    </w:p>
    <w:p w14:paraId="1C0F4E26" w14:textId="1466C882" w:rsidR="00865BBF" w:rsidRPr="00F712C3" w:rsidRDefault="00865BBF">
      <w:pPr>
        <w:rPr>
          <w:lang w:val="en-GB"/>
        </w:rPr>
      </w:pPr>
    </w:p>
    <w:p w14:paraId="4626E41D" w14:textId="16D5B1E7" w:rsidR="00865BBF" w:rsidRPr="00F712C3" w:rsidRDefault="00865BBF">
      <w:pPr>
        <w:rPr>
          <w:lang w:val="en-GB"/>
        </w:rPr>
      </w:pPr>
    </w:p>
    <w:p w14:paraId="1F169B79" w14:textId="07B09329" w:rsidR="00865BBF" w:rsidRPr="00F712C3" w:rsidRDefault="00865BBF">
      <w:pPr>
        <w:rPr>
          <w:lang w:val="en-GB"/>
        </w:rPr>
      </w:pPr>
    </w:p>
    <w:p w14:paraId="1C0A4A16" w14:textId="7C13C3B9" w:rsidR="00865BBF" w:rsidRPr="00F712C3" w:rsidRDefault="00865BBF">
      <w:pPr>
        <w:rPr>
          <w:lang w:val="en-GB"/>
        </w:rPr>
      </w:pPr>
    </w:p>
    <w:p w14:paraId="1D487E5B" w14:textId="7AA940B5" w:rsidR="00865BBF" w:rsidRPr="00F712C3" w:rsidRDefault="00865BBF">
      <w:pPr>
        <w:rPr>
          <w:lang w:val="en-GB"/>
        </w:rPr>
      </w:pPr>
    </w:p>
    <w:p w14:paraId="4A245C5C" w14:textId="7507D676" w:rsidR="00865BBF" w:rsidRPr="00F712C3" w:rsidRDefault="00865BBF">
      <w:pPr>
        <w:rPr>
          <w:lang w:val="en-GB"/>
        </w:rPr>
      </w:pPr>
    </w:p>
    <w:p w14:paraId="48BB5312" w14:textId="655A04F5" w:rsidR="00865BBF" w:rsidRPr="00F712C3" w:rsidRDefault="00865BBF">
      <w:pPr>
        <w:rPr>
          <w:lang w:val="en-GB"/>
        </w:rPr>
      </w:pPr>
    </w:p>
    <w:p w14:paraId="497D1900" w14:textId="6BEC5ECE" w:rsidR="00865BBF" w:rsidRPr="00F712C3" w:rsidRDefault="00865BBF">
      <w:pPr>
        <w:rPr>
          <w:lang w:val="en-GB"/>
        </w:rPr>
      </w:pPr>
    </w:p>
    <w:p w14:paraId="65FDEAE3" w14:textId="25DE6FA8" w:rsidR="00865BBF" w:rsidRPr="00F712C3" w:rsidRDefault="00865BBF">
      <w:pPr>
        <w:rPr>
          <w:lang w:val="en-GB"/>
        </w:rPr>
      </w:pPr>
    </w:p>
    <w:p w14:paraId="616E3621" w14:textId="39168A03" w:rsidR="00865BBF" w:rsidRDefault="00865BBF" w:rsidP="00865BBF">
      <w:pPr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30042961" wp14:editId="52A59D10">
            <wp:extent cx="3600000" cy="5239927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bongrap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523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F9CA4" w14:textId="25623561" w:rsidR="00865BBF" w:rsidRDefault="00865BBF" w:rsidP="00865BBF">
      <w:pPr>
        <w:jc w:val="center"/>
        <w:rPr>
          <w:color w:val="000000" w:themeColor="text1"/>
          <w:lang w:val="en-GB"/>
        </w:rPr>
      </w:pPr>
      <w:r w:rsidRPr="005B1B37">
        <w:rPr>
          <w:color w:val="000000" w:themeColor="text1"/>
          <w:lang w:val="en-GB"/>
        </w:rPr>
        <w:t>Figure S</w:t>
      </w:r>
      <w:r w:rsidR="00ED5708">
        <w:rPr>
          <w:color w:val="000000" w:themeColor="text1"/>
          <w:lang w:val="en-GB"/>
        </w:rPr>
        <w:t xml:space="preserve">I </w:t>
      </w:r>
      <w:r w:rsidRPr="005B1B37">
        <w:rPr>
          <w:color w:val="000000" w:themeColor="text1"/>
          <w:lang w:val="en-GB"/>
        </w:rPr>
        <w:t>1. XPS spectra of C 1s core level for the gold surf</w:t>
      </w:r>
      <w:r w:rsidR="00DC1756" w:rsidRPr="005B1B37">
        <w:rPr>
          <w:color w:val="000000" w:themeColor="text1"/>
          <w:lang w:val="en-GB"/>
        </w:rPr>
        <w:t xml:space="preserve">aces of: NR-CDs, CDs + </w:t>
      </w:r>
      <w:r w:rsidR="007A4A34" w:rsidRPr="005B1B37">
        <w:rPr>
          <w:color w:val="000000" w:themeColor="text1"/>
          <w:lang w:val="en-GB"/>
        </w:rPr>
        <w:t>NR</w:t>
      </w:r>
      <w:r w:rsidRPr="005B1B37">
        <w:rPr>
          <w:color w:val="000000" w:themeColor="text1"/>
          <w:lang w:val="en-GB"/>
        </w:rPr>
        <w:t xml:space="preserve"> and CDs.</w:t>
      </w:r>
    </w:p>
    <w:p w14:paraId="43A69B29" w14:textId="3F20321E" w:rsidR="00ED5708" w:rsidRDefault="00ED5708" w:rsidP="00865BBF">
      <w:pPr>
        <w:jc w:val="center"/>
        <w:rPr>
          <w:color w:val="000000" w:themeColor="text1"/>
          <w:lang w:val="en-GB"/>
        </w:rPr>
      </w:pPr>
    </w:p>
    <w:p w14:paraId="512F71A7" w14:textId="3733CB62" w:rsidR="00ED5708" w:rsidRDefault="00ED5708" w:rsidP="00865BBF">
      <w:pPr>
        <w:jc w:val="center"/>
        <w:rPr>
          <w:color w:val="000000" w:themeColor="text1"/>
          <w:lang w:val="en-GB"/>
        </w:rPr>
      </w:pPr>
      <w:r w:rsidRPr="003311EC">
        <w:rPr>
          <w:noProof/>
          <w:lang w:val="en-GB" w:eastAsia="en-GB"/>
        </w:rPr>
        <w:lastRenderedPageBreak/>
        <w:drawing>
          <wp:inline distT="0" distB="0" distL="0" distR="0" wp14:anchorId="1D66397D" wp14:editId="75B83770">
            <wp:extent cx="5399882" cy="4633594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a 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882" cy="463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B548B" w14:textId="5C6F4EA0" w:rsidR="00ED5708" w:rsidRPr="004013DB" w:rsidRDefault="00ED5708" w:rsidP="00ED5708">
      <w:pPr>
        <w:spacing w:after="240" w:line="360" w:lineRule="auto"/>
        <w:jc w:val="center"/>
        <w:rPr>
          <w:lang w:val="en-US"/>
        </w:rPr>
      </w:pPr>
      <w:r w:rsidRPr="004013DB">
        <w:rPr>
          <w:lang w:val="en-US"/>
        </w:rPr>
        <w:t xml:space="preserve">Figure SI 2. UV-Vis absorption spectra (A, B) or fluorescence spectra (C, D) of NR-CDs at 0.1 M PB pH 7 in the absence and in the presence of increasing concentrations (0- 150 </w:t>
      </w:r>
      <w:r w:rsidRPr="004013DB">
        <w:rPr>
          <w:rFonts w:cstheme="minorHAnsi"/>
          <w:lang w:val="en-US"/>
        </w:rPr>
        <w:t>µ</w:t>
      </w:r>
      <w:r w:rsidRPr="004013DB">
        <w:rPr>
          <w:lang w:val="en-US"/>
        </w:rPr>
        <w:t>M) of ssDNA (A, C) and dsDNA (B,D).</w:t>
      </w:r>
    </w:p>
    <w:p w14:paraId="590E46A4" w14:textId="77777777" w:rsidR="00ED5708" w:rsidRPr="005B1B37" w:rsidRDefault="00ED5708" w:rsidP="00865BBF">
      <w:pPr>
        <w:jc w:val="center"/>
        <w:rPr>
          <w:color w:val="000000" w:themeColor="text1"/>
          <w:lang w:val="en-GB"/>
        </w:rPr>
      </w:pPr>
    </w:p>
    <w:p w14:paraId="3DB42C7E" w14:textId="72C9E5F4" w:rsidR="00220F75" w:rsidRDefault="00220F75" w:rsidP="00865BBF">
      <w:pPr>
        <w:jc w:val="center"/>
        <w:rPr>
          <w:lang w:val="en-GB"/>
        </w:rPr>
      </w:pPr>
    </w:p>
    <w:p w14:paraId="4687BDCC" w14:textId="58865A51" w:rsidR="00220F75" w:rsidRDefault="00220F75" w:rsidP="00865BBF">
      <w:pPr>
        <w:jc w:val="center"/>
        <w:rPr>
          <w:lang w:val="en-GB"/>
        </w:rPr>
      </w:pPr>
    </w:p>
    <w:p w14:paraId="3543C465" w14:textId="1861B369" w:rsidR="00220F75" w:rsidRDefault="00220F75" w:rsidP="00865BBF">
      <w:pPr>
        <w:jc w:val="center"/>
        <w:rPr>
          <w:lang w:val="en-GB"/>
        </w:rPr>
      </w:pPr>
    </w:p>
    <w:p w14:paraId="772C8501" w14:textId="532080AC" w:rsidR="005B1B37" w:rsidRDefault="005B1B37" w:rsidP="00865BBF">
      <w:pPr>
        <w:jc w:val="center"/>
        <w:rPr>
          <w:lang w:val="en-GB"/>
        </w:rPr>
      </w:pPr>
    </w:p>
    <w:p w14:paraId="20F52A97" w14:textId="306E18D4" w:rsidR="005B1B37" w:rsidRDefault="005B1B37" w:rsidP="00865BBF">
      <w:pPr>
        <w:jc w:val="center"/>
        <w:rPr>
          <w:lang w:val="en-GB"/>
        </w:rPr>
      </w:pPr>
    </w:p>
    <w:p w14:paraId="0ABB57AF" w14:textId="20D311B9" w:rsidR="005B1B37" w:rsidRDefault="005B1B37" w:rsidP="00865BBF">
      <w:pPr>
        <w:jc w:val="center"/>
        <w:rPr>
          <w:lang w:val="en-GB"/>
        </w:rPr>
      </w:pPr>
    </w:p>
    <w:p w14:paraId="5C5BB554" w14:textId="625E477F" w:rsidR="005B1B37" w:rsidRDefault="005B1B37" w:rsidP="00865BBF">
      <w:pPr>
        <w:jc w:val="center"/>
        <w:rPr>
          <w:lang w:val="en-GB"/>
        </w:rPr>
      </w:pPr>
    </w:p>
    <w:p w14:paraId="55E9ABA0" w14:textId="789BE34D" w:rsidR="005B1B37" w:rsidRDefault="005B1B37" w:rsidP="00865BBF">
      <w:pPr>
        <w:jc w:val="center"/>
        <w:rPr>
          <w:lang w:val="en-GB"/>
        </w:rPr>
      </w:pPr>
    </w:p>
    <w:p w14:paraId="0F6BF4E4" w14:textId="53EA1260" w:rsidR="005B1B37" w:rsidRDefault="005B1B37" w:rsidP="00865BBF">
      <w:pPr>
        <w:jc w:val="center"/>
        <w:rPr>
          <w:lang w:val="en-GB"/>
        </w:rPr>
      </w:pPr>
    </w:p>
    <w:p w14:paraId="55CFDF37" w14:textId="66A6C6D4" w:rsidR="005B1B37" w:rsidRDefault="005B1B37" w:rsidP="00865BBF">
      <w:pPr>
        <w:jc w:val="center"/>
        <w:rPr>
          <w:lang w:val="en-GB"/>
        </w:rPr>
      </w:pPr>
    </w:p>
    <w:p w14:paraId="272692A0" w14:textId="0A194F8D" w:rsidR="005B1B37" w:rsidRDefault="005B1B37" w:rsidP="00865BBF">
      <w:pPr>
        <w:jc w:val="center"/>
        <w:rPr>
          <w:lang w:val="en-GB"/>
        </w:rPr>
      </w:pPr>
    </w:p>
    <w:p w14:paraId="1135B734" w14:textId="77777777" w:rsidR="00220F75" w:rsidRDefault="00220F75" w:rsidP="00220F75">
      <w:pPr>
        <w:spacing w:after="240" w:line="360" w:lineRule="auto"/>
        <w:jc w:val="center"/>
        <w:rPr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2EF02F30" wp14:editId="41821E87">
            <wp:extent cx="5237923" cy="1952233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 s1 02092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923" cy="195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1EEBA" w14:textId="1AA84414" w:rsidR="00220F75" w:rsidRDefault="00220F75" w:rsidP="00220F75">
      <w:pPr>
        <w:spacing w:after="240" w:line="360" w:lineRule="auto"/>
        <w:jc w:val="center"/>
        <w:rPr>
          <w:color w:val="000000" w:themeColor="text1"/>
          <w:lang w:val="en-US"/>
        </w:rPr>
      </w:pPr>
      <w:r w:rsidRPr="005B1B37">
        <w:rPr>
          <w:color w:val="000000" w:themeColor="text1"/>
          <w:lang w:val="en-US"/>
        </w:rPr>
        <w:t>Figure S</w:t>
      </w:r>
      <w:r w:rsidR="00ED5708">
        <w:rPr>
          <w:color w:val="000000" w:themeColor="text1"/>
          <w:lang w:val="en-US"/>
        </w:rPr>
        <w:t>I 3</w:t>
      </w:r>
      <w:r w:rsidRPr="005B1B37">
        <w:rPr>
          <w:color w:val="000000" w:themeColor="text1"/>
          <w:lang w:val="en-US"/>
        </w:rPr>
        <w:t xml:space="preserve">. (A) Fluorescence emission of </w:t>
      </w:r>
      <w:r w:rsidR="00936199" w:rsidRPr="005B1B37">
        <w:rPr>
          <w:color w:val="000000" w:themeColor="text1"/>
          <w:lang w:val="en-US"/>
        </w:rPr>
        <w:t xml:space="preserve">NR-CDs </w:t>
      </w:r>
      <w:r w:rsidR="007335B3" w:rsidRPr="005B1B37">
        <w:rPr>
          <w:color w:val="000000" w:themeColor="text1"/>
          <w:lang w:val="en-US"/>
        </w:rPr>
        <w:t>(2.8 µg/mL) with</w:t>
      </w:r>
      <w:r w:rsidRPr="005B1B37">
        <w:rPr>
          <w:color w:val="000000" w:themeColor="text1"/>
          <w:lang w:val="en-US"/>
        </w:rPr>
        <w:t xml:space="preserve"> </w:t>
      </w:r>
      <w:r w:rsidRPr="005B1B37">
        <w:rPr>
          <w:i/>
          <w:color w:val="000000" w:themeColor="text1"/>
          <w:lang w:val="en-US"/>
        </w:rPr>
        <w:t>E.</w:t>
      </w:r>
      <w:r w:rsidR="007335B3" w:rsidRPr="005B1B37">
        <w:rPr>
          <w:i/>
          <w:color w:val="000000" w:themeColor="text1"/>
          <w:lang w:val="en-US"/>
        </w:rPr>
        <w:t xml:space="preserve"> </w:t>
      </w:r>
      <w:r w:rsidRPr="005B1B37">
        <w:rPr>
          <w:i/>
          <w:color w:val="000000" w:themeColor="text1"/>
          <w:lang w:val="en-US"/>
        </w:rPr>
        <w:t>Coli</w:t>
      </w:r>
      <w:r w:rsidRPr="005B1B37">
        <w:rPr>
          <w:color w:val="000000" w:themeColor="text1"/>
          <w:lang w:val="en-US"/>
        </w:rPr>
        <w:t xml:space="preserve"> Probe (200 </w:t>
      </w:r>
      <w:proofErr w:type="spellStart"/>
      <w:r w:rsidRPr="005B1B37">
        <w:rPr>
          <w:color w:val="000000" w:themeColor="text1"/>
          <w:lang w:val="en-US"/>
        </w:rPr>
        <w:t>nM</w:t>
      </w:r>
      <w:proofErr w:type="spellEnd"/>
      <w:r w:rsidRPr="005B1B37">
        <w:rPr>
          <w:color w:val="000000" w:themeColor="text1"/>
          <w:lang w:val="en-US"/>
        </w:rPr>
        <w:t>) before (I</w:t>
      </w:r>
      <w:r w:rsidRPr="005B1B37">
        <w:rPr>
          <w:color w:val="000000" w:themeColor="text1"/>
          <w:vertAlign w:val="subscript"/>
          <w:lang w:val="en-US"/>
        </w:rPr>
        <w:t>0</w:t>
      </w:r>
      <w:r w:rsidRPr="005B1B37">
        <w:rPr>
          <w:color w:val="000000" w:themeColor="text1"/>
          <w:lang w:val="en-US"/>
        </w:rPr>
        <w:t xml:space="preserve">) and after (I) the incubation with </w:t>
      </w:r>
      <w:r w:rsidRPr="005B1B37">
        <w:rPr>
          <w:i/>
          <w:color w:val="000000" w:themeColor="text1"/>
          <w:lang w:val="en-US"/>
        </w:rPr>
        <w:t>E.</w:t>
      </w:r>
      <w:r w:rsidR="007335B3" w:rsidRPr="005B1B37">
        <w:rPr>
          <w:i/>
          <w:color w:val="000000" w:themeColor="text1"/>
          <w:lang w:val="en-US"/>
        </w:rPr>
        <w:t xml:space="preserve"> </w:t>
      </w:r>
      <w:r w:rsidRPr="005B1B37">
        <w:rPr>
          <w:i/>
          <w:color w:val="000000" w:themeColor="text1"/>
          <w:lang w:val="en-US"/>
        </w:rPr>
        <w:t xml:space="preserve">Coli </w:t>
      </w:r>
      <w:r w:rsidR="007335B3" w:rsidRPr="005B1B37">
        <w:rPr>
          <w:i/>
          <w:color w:val="000000" w:themeColor="text1"/>
          <w:lang w:val="en-US"/>
        </w:rPr>
        <w:t xml:space="preserve">complementary </w:t>
      </w:r>
      <w:r w:rsidRPr="005B1B37">
        <w:rPr>
          <w:color w:val="000000" w:themeColor="text1"/>
          <w:lang w:val="en-US"/>
        </w:rPr>
        <w:t xml:space="preserve">sequence (200 </w:t>
      </w:r>
      <w:proofErr w:type="spellStart"/>
      <w:r w:rsidRPr="005B1B37">
        <w:rPr>
          <w:color w:val="000000" w:themeColor="text1"/>
          <w:lang w:val="en-US"/>
        </w:rPr>
        <w:t>nM</w:t>
      </w:r>
      <w:proofErr w:type="spellEnd"/>
      <w:r w:rsidRPr="005B1B37">
        <w:rPr>
          <w:color w:val="000000" w:themeColor="text1"/>
          <w:lang w:val="en-US"/>
        </w:rPr>
        <w:t xml:space="preserve">) </w:t>
      </w:r>
      <w:r w:rsidR="007335B3" w:rsidRPr="005B1B37">
        <w:rPr>
          <w:color w:val="000000" w:themeColor="text1"/>
          <w:lang w:val="en-US"/>
        </w:rPr>
        <w:t xml:space="preserve">at different </w:t>
      </w:r>
      <w:proofErr w:type="spellStart"/>
      <w:r w:rsidR="007335B3" w:rsidRPr="005B1B37">
        <w:rPr>
          <w:color w:val="000000" w:themeColor="text1"/>
          <w:lang w:val="en-US"/>
        </w:rPr>
        <w:t>pHs</w:t>
      </w:r>
      <w:proofErr w:type="spellEnd"/>
      <w:r w:rsidR="007335B3" w:rsidRPr="005B1B37">
        <w:rPr>
          <w:color w:val="000000" w:themeColor="text1"/>
          <w:lang w:val="en-US"/>
        </w:rPr>
        <w:t xml:space="preserve"> 0.1 M PB buffer. </w:t>
      </w:r>
      <w:r w:rsidRPr="005B1B37">
        <w:rPr>
          <w:color w:val="000000" w:themeColor="text1"/>
          <w:lang w:val="en-US"/>
        </w:rPr>
        <w:t xml:space="preserve">(B) </w:t>
      </w:r>
      <w:r w:rsidR="007335B3" w:rsidRPr="005B1B37">
        <w:rPr>
          <w:color w:val="000000" w:themeColor="text1"/>
          <w:lang w:val="en-US"/>
        </w:rPr>
        <w:t>Fluorescence emission</w:t>
      </w:r>
      <w:r w:rsidRPr="005B1B37">
        <w:rPr>
          <w:color w:val="000000" w:themeColor="text1"/>
          <w:lang w:val="en-US"/>
        </w:rPr>
        <w:t xml:space="preserve"> of </w:t>
      </w:r>
      <w:r w:rsidR="007335B3" w:rsidRPr="005B1B37">
        <w:rPr>
          <w:color w:val="000000" w:themeColor="text1"/>
          <w:lang w:val="en-US"/>
        </w:rPr>
        <w:t>NR-CDs at different concentrations with</w:t>
      </w:r>
      <w:r w:rsidRPr="005B1B37">
        <w:rPr>
          <w:color w:val="000000" w:themeColor="text1"/>
          <w:lang w:val="en-US"/>
        </w:rPr>
        <w:t xml:space="preserve"> </w:t>
      </w:r>
      <w:r w:rsidRPr="005B1B37">
        <w:rPr>
          <w:i/>
          <w:color w:val="000000" w:themeColor="text1"/>
          <w:lang w:val="en-US"/>
        </w:rPr>
        <w:t>E.</w:t>
      </w:r>
      <w:r w:rsidR="007335B3" w:rsidRPr="005B1B37">
        <w:rPr>
          <w:i/>
          <w:color w:val="000000" w:themeColor="text1"/>
          <w:lang w:val="en-US"/>
        </w:rPr>
        <w:t xml:space="preserve"> </w:t>
      </w:r>
      <w:r w:rsidRPr="005B1B37">
        <w:rPr>
          <w:i/>
          <w:color w:val="000000" w:themeColor="text1"/>
          <w:lang w:val="en-US"/>
        </w:rPr>
        <w:t>Coli</w:t>
      </w:r>
      <w:r w:rsidRPr="005B1B37">
        <w:rPr>
          <w:color w:val="000000" w:themeColor="text1"/>
          <w:lang w:val="en-US"/>
        </w:rPr>
        <w:t xml:space="preserve"> Probe (200 </w:t>
      </w:r>
      <w:proofErr w:type="spellStart"/>
      <w:r w:rsidRPr="005B1B37">
        <w:rPr>
          <w:color w:val="000000" w:themeColor="text1"/>
          <w:lang w:val="en-US"/>
        </w:rPr>
        <w:t>nM</w:t>
      </w:r>
      <w:proofErr w:type="spellEnd"/>
      <w:r w:rsidRPr="005B1B37">
        <w:rPr>
          <w:color w:val="000000" w:themeColor="text1"/>
          <w:lang w:val="en-US"/>
        </w:rPr>
        <w:t>) before (I</w:t>
      </w:r>
      <w:r w:rsidRPr="005B1B37">
        <w:rPr>
          <w:color w:val="000000" w:themeColor="text1"/>
          <w:vertAlign w:val="subscript"/>
          <w:lang w:val="en-US"/>
        </w:rPr>
        <w:t>0</w:t>
      </w:r>
      <w:r w:rsidRPr="005B1B37">
        <w:rPr>
          <w:color w:val="000000" w:themeColor="text1"/>
          <w:lang w:val="en-US"/>
        </w:rPr>
        <w:t xml:space="preserve">) and after (I) the incubation with </w:t>
      </w:r>
      <w:r w:rsidRPr="005B1B37">
        <w:rPr>
          <w:i/>
          <w:color w:val="000000" w:themeColor="text1"/>
          <w:lang w:val="en-US"/>
        </w:rPr>
        <w:t>E.</w:t>
      </w:r>
      <w:r w:rsidR="00936199" w:rsidRPr="005B1B37">
        <w:rPr>
          <w:i/>
          <w:color w:val="000000" w:themeColor="text1"/>
          <w:lang w:val="en-US"/>
        </w:rPr>
        <w:t xml:space="preserve"> </w:t>
      </w:r>
      <w:r w:rsidRPr="005B1B37">
        <w:rPr>
          <w:i/>
          <w:color w:val="000000" w:themeColor="text1"/>
          <w:lang w:val="en-US"/>
        </w:rPr>
        <w:t xml:space="preserve">Coli </w:t>
      </w:r>
      <w:r w:rsidR="007335B3" w:rsidRPr="005B1B37">
        <w:rPr>
          <w:i/>
          <w:color w:val="000000" w:themeColor="text1"/>
          <w:lang w:val="en-US"/>
        </w:rPr>
        <w:t xml:space="preserve">complementary </w:t>
      </w:r>
      <w:r w:rsidRPr="005B1B37">
        <w:rPr>
          <w:color w:val="000000" w:themeColor="text1"/>
          <w:lang w:val="en-US"/>
        </w:rPr>
        <w:t xml:space="preserve">sequence (200 </w:t>
      </w:r>
      <w:proofErr w:type="spellStart"/>
      <w:r w:rsidRPr="005B1B37">
        <w:rPr>
          <w:color w:val="000000" w:themeColor="text1"/>
          <w:lang w:val="en-US"/>
        </w:rPr>
        <w:t>nM</w:t>
      </w:r>
      <w:proofErr w:type="spellEnd"/>
      <w:r w:rsidRPr="005B1B37">
        <w:rPr>
          <w:color w:val="000000" w:themeColor="text1"/>
          <w:lang w:val="en-US"/>
        </w:rPr>
        <w:t xml:space="preserve">) in 0.1 M PB buffer pH 6.8. </w:t>
      </w:r>
      <w:r w:rsidR="007335B3" w:rsidRPr="005B1B37">
        <w:rPr>
          <w:rFonts w:cstheme="minorHAnsi"/>
          <w:color w:val="000000" w:themeColor="text1"/>
          <w:lang w:val="en-US"/>
        </w:rPr>
        <w:t>Δ</w:t>
      </w:r>
      <w:r w:rsidR="007335B3" w:rsidRPr="005B1B37">
        <w:rPr>
          <w:color w:val="000000" w:themeColor="text1"/>
          <w:lang w:val="en-US"/>
        </w:rPr>
        <w:t>(I-I</w:t>
      </w:r>
      <w:r w:rsidR="007335B3" w:rsidRPr="005B1B37">
        <w:rPr>
          <w:color w:val="000000" w:themeColor="text1"/>
          <w:vertAlign w:val="subscript"/>
          <w:lang w:val="en-US"/>
        </w:rPr>
        <w:t>0</w:t>
      </w:r>
      <w:r w:rsidR="007335B3" w:rsidRPr="005B1B37">
        <w:rPr>
          <w:color w:val="000000" w:themeColor="text1"/>
          <w:lang w:val="en-US"/>
        </w:rPr>
        <w:t>) represent the difference in emission of I-I</w:t>
      </w:r>
      <w:r w:rsidR="007335B3" w:rsidRPr="005B1B37">
        <w:rPr>
          <w:color w:val="000000" w:themeColor="text1"/>
          <w:vertAlign w:val="subscript"/>
          <w:lang w:val="en-US"/>
        </w:rPr>
        <w:t>0</w:t>
      </w:r>
      <w:r w:rsidR="007335B3" w:rsidRPr="005B1B37">
        <w:rPr>
          <w:color w:val="000000" w:themeColor="text1"/>
          <w:lang w:val="en-US"/>
        </w:rPr>
        <w:t>.</w:t>
      </w:r>
    </w:p>
    <w:p w14:paraId="44486CBC" w14:textId="77777777" w:rsidR="00C656E8" w:rsidRDefault="00C656E8" w:rsidP="00220F75">
      <w:pPr>
        <w:spacing w:after="240" w:line="360" w:lineRule="auto"/>
        <w:jc w:val="center"/>
        <w:rPr>
          <w:color w:val="000000" w:themeColor="text1"/>
          <w:lang w:val="en-US"/>
        </w:rPr>
      </w:pPr>
    </w:p>
    <w:p w14:paraId="77BC40A9" w14:textId="7A1E5EB2" w:rsidR="00FE1A57" w:rsidRPr="00E86649" w:rsidRDefault="00FE1A57" w:rsidP="00FE1A57">
      <w:pPr>
        <w:spacing w:after="240" w:line="360" w:lineRule="auto"/>
        <w:rPr>
          <w:lang w:val="en-US"/>
        </w:rPr>
      </w:pPr>
      <w:r w:rsidRPr="00E86649">
        <w:rPr>
          <w:lang w:val="en-US"/>
        </w:rPr>
        <w:t xml:space="preserve">Table S1.Analytical parameter of different work published using carbon dots as fluorescence probe for DNA hybridization detection.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6"/>
        <w:gridCol w:w="1354"/>
        <w:gridCol w:w="1381"/>
        <w:gridCol w:w="1292"/>
        <w:gridCol w:w="1205"/>
        <w:gridCol w:w="1586"/>
      </w:tblGrid>
      <w:tr w:rsidR="00E86649" w:rsidRPr="00E86649" w14:paraId="61CC99DD" w14:textId="77777777" w:rsidTr="009649B8">
        <w:tc>
          <w:tcPr>
            <w:tcW w:w="1676" w:type="dxa"/>
            <w:vAlign w:val="center"/>
          </w:tcPr>
          <w:p w14:paraId="1D6D94BB" w14:textId="77777777" w:rsidR="00FE1A57" w:rsidRPr="00E86649" w:rsidRDefault="00FE1A57" w:rsidP="00FE1A57">
            <w:pPr>
              <w:jc w:val="center"/>
              <w:rPr>
                <w:rFonts w:ascii="Calibri" w:hAnsi="Calibri"/>
                <w:b/>
                <w:szCs w:val="21"/>
                <w:lang w:val="en-GB"/>
              </w:rPr>
            </w:pPr>
            <w:r w:rsidRPr="00E86649">
              <w:rPr>
                <w:rFonts w:ascii="Calibri" w:hAnsi="Calibri"/>
                <w:b/>
                <w:szCs w:val="21"/>
                <w:lang w:val="en-GB"/>
              </w:rPr>
              <w:t>Nanomaterial</w:t>
            </w:r>
          </w:p>
        </w:tc>
        <w:tc>
          <w:tcPr>
            <w:tcW w:w="1354" w:type="dxa"/>
            <w:vAlign w:val="center"/>
          </w:tcPr>
          <w:p w14:paraId="0FEF9B3C" w14:textId="77777777" w:rsidR="00FE1A57" w:rsidRPr="00E86649" w:rsidRDefault="00FE1A57" w:rsidP="00FE1A57">
            <w:pPr>
              <w:jc w:val="center"/>
              <w:rPr>
                <w:rFonts w:ascii="Calibri" w:hAnsi="Calibri"/>
                <w:b/>
                <w:szCs w:val="21"/>
                <w:lang w:val="en-GB"/>
              </w:rPr>
            </w:pPr>
            <w:r w:rsidRPr="00E86649">
              <w:rPr>
                <w:rFonts w:ascii="Calibri" w:hAnsi="Calibri"/>
                <w:b/>
                <w:szCs w:val="21"/>
                <w:lang w:val="en-GB"/>
              </w:rPr>
              <w:t>LOD</w:t>
            </w:r>
          </w:p>
        </w:tc>
        <w:tc>
          <w:tcPr>
            <w:tcW w:w="1381" w:type="dxa"/>
            <w:vAlign w:val="center"/>
          </w:tcPr>
          <w:p w14:paraId="76230357" w14:textId="77777777" w:rsidR="00FE1A57" w:rsidRPr="00E86649" w:rsidRDefault="00FE1A57" w:rsidP="00FE1A57">
            <w:pPr>
              <w:jc w:val="center"/>
              <w:rPr>
                <w:rFonts w:ascii="Calibri" w:hAnsi="Calibri"/>
                <w:b/>
                <w:szCs w:val="21"/>
                <w:lang w:val="en-GB"/>
              </w:rPr>
            </w:pPr>
            <w:r w:rsidRPr="00E86649">
              <w:rPr>
                <w:rFonts w:ascii="Calibri" w:hAnsi="Calibri"/>
                <w:b/>
                <w:szCs w:val="21"/>
                <w:lang w:val="en-GB"/>
              </w:rPr>
              <w:t>Linear range</w:t>
            </w:r>
          </w:p>
        </w:tc>
        <w:tc>
          <w:tcPr>
            <w:tcW w:w="1292" w:type="dxa"/>
            <w:vAlign w:val="center"/>
          </w:tcPr>
          <w:p w14:paraId="384429CD" w14:textId="77777777" w:rsidR="00FE1A57" w:rsidRPr="00E86649" w:rsidRDefault="00FE1A57" w:rsidP="00FE1A57">
            <w:pPr>
              <w:jc w:val="center"/>
              <w:rPr>
                <w:rFonts w:ascii="Calibri" w:hAnsi="Calibri"/>
                <w:b/>
                <w:szCs w:val="21"/>
                <w:lang w:val="en-GB"/>
              </w:rPr>
            </w:pPr>
            <w:proofErr w:type="spellStart"/>
            <w:r w:rsidRPr="00E86649">
              <w:rPr>
                <w:rFonts w:ascii="Calibri" w:hAnsi="Calibri" w:cs="Calibri"/>
                <w:b/>
                <w:szCs w:val="21"/>
                <w:lang w:val="en-GB"/>
              </w:rPr>
              <w:t>λ</w:t>
            </w:r>
            <w:r w:rsidRPr="00E86649">
              <w:rPr>
                <w:rFonts w:ascii="Calibri" w:hAnsi="Calibri"/>
                <w:b/>
                <w:szCs w:val="21"/>
                <w:vertAlign w:val="subscript"/>
                <w:lang w:val="en-GB"/>
              </w:rPr>
              <w:t>ex</w:t>
            </w:r>
            <w:proofErr w:type="spellEnd"/>
            <w:r w:rsidRPr="00E86649">
              <w:rPr>
                <w:rFonts w:ascii="Calibri" w:hAnsi="Calibri"/>
                <w:b/>
                <w:szCs w:val="21"/>
                <w:lang w:val="en-GB"/>
              </w:rPr>
              <w:t xml:space="preserve"> / nm</w:t>
            </w:r>
          </w:p>
        </w:tc>
        <w:tc>
          <w:tcPr>
            <w:tcW w:w="1205" w:type="dxa"/>
            <w:vAlign w:val="center"/>
          </w:tcPr>
          <w:p w14:paraId="2A04676E" w14:textId="77777777" w:rsidR="00FE1A57" w:rsidRPr="00E86649" w:rsidRDefault="00FE1A57" w:rsidP="00FE1A57">
            <w:pPr>
              <w:jc w:val="center"/>
              <w:rPr>
                <w:rFonts w:ascii="Calibri" w:hAnsi="Calibri"/>
                <w:b/>
                <w:szCs w:val="21"/>
                <w:lang w:val="en-GB"/>
              </w:rPr>
            </w:pPr>
            <w:proofErr w:type="spellStart"/>
            <w:r w:rsidRPr="00E86649">
              <w:rPr>
                <w:rFonts w:ascii="Calibri" w:hAnsi="Calibri" w:cs="Calibri"/>
                <w:b/>
                <w:szCs w:val="21"/>
                <w:lang w:val="en-GB"/>
              </w:rPr>
              <w:t>λ</w:t>
            </w:r>
            <w:r w:rsidRPr="00E86649">
              <w:rPr>
                <w:rFonts w:ascii="Calibri" w:hAnsi="Calibri"/>
                <w:b/>
                <w:szCs w:val="21"/>
                <w:vertAlign w:val="subscript"/>
                <w:lang w:val="en-GB"/>
              </w:rPr>
              <w:t>em</w:t>
            </w:r>
            <w:proofErr w:type="spellEnd"/>
            <w:r w:rsidRPr="00E86649">
              <w:rPr>
                <w:rFonts w:ascii="Calibri" w:hAnsi="Calibri"/>
                <w:b/>
                <w:szCs w:val="21"/>
                <w:lang w:val="en-GB"/>
              </w:rPr>
              <w:t xml:space="preserve"> / nm</w:t>
            </w:r>
          </w:p>
        </w:tc>
        <w:tc>
          <w:tcPr>
            <w:tcW w:w="1586" w:type="dxa"/>
            <w:vAlign w:val="center"/>
          </w:tcPr>
          <w:p w14:paraId="0600A528" w14:textId="77777777" w:rsidR="00FE1A57" w:rsidRPr="00E86649" w:rsidRDefault="00FE1A57" w:rsidP="00FE1A57">
            <w:pPr>
              <w:jc w:val="center"/>
              <w:rPr>
                <w:rFonts w:ascii="Calibri" w:hAnsi="Calibri"/>
                <w:b/>
                <w:szCs w:val="21"/>
                <w:lang w:val="en-GB"/>
              </w:rPr>
            </w:pPr>
            <w:r w:rsidRPr="00E86649">
              <w:rPr>
                <w:rFonts w:ascii="Calibri" w:hAnsi="Calibri"/>
                <w:b/>
                <w:szCs w:val="21"/>
                <w:lang w:val="en-GB"/>
              </w:rPr>
              <w:t>Reference</w:t>
            </w:r>
          </w:p>
        </w:tc>
      </w:tr>
      <w:tr w:rsidR="00E86649" w:rsidRPr="00E86649" w14:paraId="68B784E7" w14:textId="77777777" w:rsidTr="009649B8">
        <w:tc>
          <w:tcPr>
            <w:tcW w:w="1676" w:type="dxa"/>
            <w:vAlign w:val="center"/>
          </w:tcPr>
          <w:p w14:paraId="0137A52E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 xml:space="preserve">Carbon dots covalently attached to the 5′ phosphate groups of various </w:t>
            </w:r>
            <w:proofErr w:type="spellStart"/>
            <w:r w:rsidRPr="00E86649">
              <w:rPr>
                <w:rFonts w:ascii="Calibri" w:hAnsi="Calibri"/>
                <w:szCs w:val="21"/>
                <w:lang w:val="en-GB"/>
              </w:rPr>
              <w:t>monobase</w:t>
            </w:r>
            <w:proofErr w:type="spellEnd"/>
          </w:p>
        </w:tc>
        <w:tc>
          <w:tcPr>
            <w:tcW w:w="1354" w:type="dxa"/>
            <w:vAlign w:val="center"/>
          </w:tcPr>
          <w:p w14:paraId="4EC88CC8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 xml:space="preserve">9.9 </w:t>
            </w:r>
            <w:proofErr w:type="spellStart"/>
            <w:r w:rsidRPr="00E86649">
              <w:rPr>
                <w:rFonts w:ascii="Calibri" w:hAnsi="Calibri"/>
                <w:szCs w:val="21"/>
                <w:lang w:val="en-GB"/>
              </w:rPr>
              <w:t>pM</w:t>
            </w:r>
            <w:proofErr w:type="spellEnd"/>
          </w:p>
        </w:tc>
        <w:tc>
          <w:tcPr>
            <w:tcW w:w="1381" w:type="dxa"/>
            <w:vAlign w:val="center"/>
          </w:tcPr>
          <w:p w14:paraId="7ECDC1E6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 xml:space="preserve">10 </w:t>
            </w:r>
            <w:proofErr w:type="spellStart"/>
            <w:r w:rsidRPr="00E86649">
              <w:rPr>
                <w:rFonts w:ascii="Calibri" w:hAnsi="Calibri"/>
                <w:szCs w:val="21"/>
                <w:lang w:val="en-GB"/>
              </w:rPr>
              <w:t>pM</w:t>
            </w:r>
            <w:proofErr w:type="spellEnd"/>
            <w:r w:rsidRPr="00E86649">
              <w:rPr>
                <w:rFonts w:ascii="Calibri" w:hAnsi="Calibri"/>
                <w:szCs w:val="21"/>
                <w:lang w:val="en-GB"/>
              </w:rPr>
              <w:t xml:space="preserve">–0.5 </w:t>
            </w:r>
            <w:proofErr w:type="spellStart"/>
            <w:r w:rsidRPr="00E86649">
              <w:rPr>
                <w:rFonts w:ascii="Calibri" w:hAnsi="Calibri"/>
                <w:szCs w:val="21"/>
                <w:lang w:val="en-GB"/>
              </w:rPr>
              <w:t>μΜ</w:t>
            </w:r>
            <w:proofErr w:type="spellEnd"/>
          </w:p>
        </w:tc>
        <w:tc>
          <w:tcPr>
            <w:tcW w:w="1292" w:type="dxa"/>
            <w:vAlign w:val="center"/>
          </w:tcPr>
          <w:p w14:paraId="369499C7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400</w:t>
            </w:r>
          </w:p>
        </w:tc>
        <w:tc>
          <w:tcPr>
            <w:tcW w:w="1205" w:type="dxa"/>
            <w:vAlign w:val="center"/>
          </w:tcPr>
          <w:p w14:paraId="7DDC3FA1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470</w:t>
            </w:r>
          </w:p>
        </w:tc>
        <w:tc>
          <w:tcPr>
            <w:tcW w:w="1586" w:type="dxa"/>
            <w:vAlign w:val="center"/>
          </w:tcPr>
          <w:p w14:paraId="0582099D" w14:textId="042DBA23" w:rsidR="00FE1A57" w:rsidRPr="00E86649" w:rsidRDefault="00D4149F" w:rsidP="00D4149F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fldChar w:fldCharType="begin"/>
            </w:r>
            <w:r w:rsidRPr="00E86649">
              <w:rPr>
                <w:rFonts w:ascii="Calibri" w:hAnsi="Calibri"/>
                <w:szCs w:val="21"/>
                <w:lang w:val="en-GB"/>
              </w:rPr>
              <w:instrText xml:space="preserve"> ADDIN EN.CITE &lt;EndNote&gt;&lt;Cite&gt;&lt;Author&gt;Motaghi&lt;/Author&gt;&lt;Year&gt;2019&lt;/Year&gt;&lt;IDText&gt;Spectrofluorometric genotyping of single nucleotide polymorphisms using carbon dots as fluorophores&lt;/IDText&gt;&lt;DisplayText&gt;(1)&lt;/DisplayText&gt;&lt;record&gt;&lt;dates&gt;&lt;pub-dates&gt;&lt;date&gt;2019/01/05/&lt;/date&gt;&lt;/pub-dates&gt;&lt;year&gt;2019&lt;/year&gt;&lt;/dates&gt;&lt;keywords&gt;&lt;keyword&gt;Single nucleotide polymorphism&lt;/keyword&gt;&lt;keyword&gt;Genotyping&lt;/keyword&gt;&lt;keyword&gt;Carbon dots&lt;/keyword&gt;&lt;keyword&gt;Spectrofluorometry&lt;/keyword&gt;&lt;/keywords&gt;&lt;urls&gt;&lt;related-urls&gt;&lt;url&gt;https://www.sciencedirect.com/science/article/pii/S1386142518307716&lt;/url&gt;&lt;/related-urls&gt;&lt;/urls&gt;&lt;isbn&gt;1386-1425&lt;/isbn&gt;&lt;titles&gt;&lt;title&gt;Spectrofluorometric genotyping of single nucleotide polymorphisms using carbon dots as fluorophores&lt;/title&gt;&lt;secondary-title&gt;Spectrochimica Acta Part A: Molecular and Biomolecular Spectroscopy&lt;/secondary-title&gt;&lt;/titles&gt;&lt;pages&gt;154-159&lt;/pages&gt;&lt;contributors&gt;&lt;authors&gt;&lt;author&gt;Motaghi, Hasan&lt;/author&gt;&lt;author&gt;Mehrgardi, Masoud Ayatollahi&lt;/author&gt;&lt;/authors&gt;&lt;/contributors&gt;&lt;added-date format="utc"&gt;1637485313&lt;/added-date&gt;&lt;ref-type name="Journal Article"&gt;17&lt;/ref-type&gt;&lt;rec-number&gt;535&lt;/rec-number&gt;&lt;last-updated-date format="utc"&gt;1637485313&lt;/last-updated-date&gt;&lt;electronic-resource-num&gt;https://doi.org/10.1016/j.saa.2018.08.001&lt;/electronic-resource-num&gt;&lt;volume&gt;206&lt;/volume&gt;&lt;/record&gt;&lt;/Cite&gt;&lt;/EndNote&gt;</w:instrText>
            </w:r>
            <w:r w:rsidRPr="00E86649">
              <w:rPr>
                <w:rFonts w:ascii="Calibri" w:hAnsi="Calibri"/>
                <w:szCs w:val="21"/>
                <w:lang w:val="en-GB"/>
              </w:rPr>
              <w:fldChar w:fldCharType="separate"/>
            </w:r>
            <w:r w:rsidRPr="00E86649">
              <w:rPr>
                <w:rFonts w:ascii="Calibri" w:hAnsi="Calibri"/>
                <w:noProof/>
                <w:szCs w:val="21"/>
                <w:lang w:val="en-GB"/>
              </w:rPr>
              <w:t>(1)</w:t>
            </w:r>
            <w:r w:rsidRPr="00E86649">
              <w:rPr>
                <w:rFonts w:ascii="Calibri" w:hAnsi="Calibri"/>
                <w:szCs w:val="21"/>
                <w:lang w:val="en-GB"/>
              </w:rPr>
              <w:fldChar w:fldCharType="end"/>
            </w:r>
          </w:p>
        </w:tc>
      </w:tr>
      <w:tr w:rsidR="00E86649" w:rsidRPr="00E86649" w14:paraId="6A3FB29D" w14:textId="77777777" w:rsidTr="009649B8">
        <w:tc>
          <w:tcPr>
            <w:tcW w:w="1676" w:type="dxa"/>
            <w:vAlign w:val="center"/>
          </w:tcPr>
          <w:p w14:paraId="63728CF3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Carbon dots</w:t>
            </w:r>
          </w:p>
        </w:tc>
        <w:tc>
          <w:tcPr>
            <w:tcW w:w="1354" w:type="dxa"/>
            <w:vAlign w:val="center"/>
          </w:tcPr>
          <w:p w14:paraId="3C9629DC" w14:textId="77777777" w:rsidR="00FE1A57" w:rsidRPr="00E86649" w:rsidRDefault="00FE1A57" w:rsidP="00FE1A57">
            <w:pPr>
              <w:ind w:left="708" w:hanging="708"/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No data</w:t>
            </w:r>
          </w:p>
        </w:tc>
        <w:tc>
          <w:tcPr>
            <w:tcW w:w="1381" w:type="dxa"/>
            <w:vAlign w:val="center"/>
          </w:tcPr>
          <w:p w14:paraId="67D09FC1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No data</w:t>
            </w:r>
          </w:p>
        </w:tc>
        <w:tc>
          <w:tcPr>
            <w:tcW w:w="1292" w:type="dxa"/>
            <w:vAlign w:val="center"/>
          </w:tcPr>
          <w:p w14:paraId="498DB037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375</w:t>
            </w:r>
          </w:p>
        </w:tc>
        <w:tc>
          <w:tcPr>
            <w:tcW w:w="1205" w:type="dxa"/>
            <w:vAlign w:val="center"/>
          </w:tcPr>
          <w:p w14:paraId="5BAE068B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445</w:t>
            </w:r>
          </w:p>
        </w:tc>
        <w:tc>
          <w:tcPr>
            <w:tcW w:w="1586" w:type="dxa"/>
            <w:vAlign w:val="center"/>
          </w:tcPr>
          <w:p w14:paraId="3E3DF729" w14:textId="420127C1" w:rsidR="00FE1A57" w:rsidRPr="00E86649" w:rsidRDefault="00D4149F" w:rsidP="00D4149F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fldChar w:fldCharType="begin"/>
            </w:r>
            <w:r w:rsidRPr="00E86649">
              <w:rPr>
                <w:rFonts w:ascii="Calibri" w:hAnsi="Calibri"/>
                <w:szCs w:val="21"/>
                <w:lang w:val="en-GB"/>
              </w:rPr>
              <w:instrText xml:space="preserve"> ADDIN EN.CITE &lt;EndNote&gt;&lt;Cite&gt;&lt;Author&gt;Liang&lt;/Author&gt;&lt;Year&gt;2018&lt;/Year&gt;&lt;IDText&gt;Exploring the binding of carbon dots to calf thymus DNA: From green synthesis to fluorescent molecular probe&lt;/IDText&gt;&lt;DisplayText&gt;(2)&lt;/DisplayText&gt;&lt;record&gt;&lt;dates&gt;&lt;pub-dates&gt;&lt;date&gt;2018/04/01/&lt;/date&gt;&lt;/pub-dates&gt;&lt;year&gt;2018&lt;/year&gt;&lt;/dates&gt;&lt;keywords&gt;&lt;keyword&gt;Carbon dots&lt;/keyword&gt;&lt;keyword&gt;Calf thymus DNA&lt;/keyword&gt;&lt;keyword&gt;Fluorescence probe&lt;/keyword&gt;&lt;keyword&gt;Spectroscopy&lt;/keyword&gt;&lt;keyword&gt;Electrochemistry&lt;/keyword&gt;&lt;/keywords&gt;&lt;urls&gt;&lt;related-urls&gt;&lt;url&gt;https://www.sciencedirect.com/science/article/pii/S0008622318300095&lt;/url&gt;&lt;/related-urls&gt;&lt;/urls&gt;&lt;isbn&gt;0008-6223&lt;/isbn&gt;&lt;titles&gt;&lt;title&gt;Exploring the binding of carbon dots to calf thymus DNA: From green synthesis to fluorescent molecular probe&lt;/title&gt;&lt;secondary-title&gt;Carbon&lt;/secondary-title&gt;&lt;/titles&gt;&lt;pages&gt;257-266&lt;/pages&gt;&lt;contributors&gt;&lt;authors&gt;&lt;author&gt;Liang, Chun-Yan&lt;/author&gt;&lt;author&gt;Xia, Wei&lt;/author&gt;&lt;author&gt;Yang, Cheng-Zhang&lt;/author&gt;&lt;author&gt;Liu, Yong-Chang&lt;/author&gt;&lt;author&gt;Bai, Ai-Min&lt;/author&gt;&lt;author&gt;Hu, Yan-Jun&lt;/author&gt;&lt;/authors&gt;&lt;/contributors&gt;&lt;added-date format="utc"&gt;1637485393&lt;/added-date&gt;&lt;ref-type name="Journal Article"&gt;17&lt;/ref-type&gt;&lt;rec-number&gt;536&lt;/rec-number&gt;&lt;last-updated-date format="utc"&gt;1637485393&lt;/last-updated-date&gt;&lt;electronic-resource-num&gt;https://doi.org/10.1016/j.carbon.2018.01.009&lt;/electronic-resource-num&gt;&lt;volume&gt;130&lt;/volume&gt;&lt;/record&gt;&lt;/Cite&gt;&lt;/EndNote&gt;</w:instrText>
            </w:r>
            <w:r w:rsidRPr="00E86649">
              <w:rPr>
                <w:rFonts w:ascii="Calibri" w:hAnsi="Calibri"/>
                <w:szCs w:val="21"/>
                <w:lang w:val="en-GB"/>
              </w:rPr>
              <w:fldChar w:fldCharType="separate"/>
            </w:r>
            <w:r w:rsidRPr="00E86649">
              <w:rPr>
                <w:rFonts w:ascii="Calibri" w:hAnsi="Calibri"/>
                <w:noProof/>
                <w:szCs w:val="21"/>
                <w:lang w:val="en-GB"/>
              </w:rPr>
              <w:t>(2)</w:t>
            </w:r>
            <w:r w:rsidRPr="00E86649">
              <w:rPr>
                <w:rFonts w:ascii="Calibri" w:hAnsi="Calibri"/>
                <w:szCs w:val="21"/>
                <w:lang w:val="en-GB"/>
              </w:rPr>
              <w:fldChar w:fldCharType="end"/>
            </w:r>
          </w:p>
        </w:tc>
      </w:tr>
      <w:tr w:rsidR="00E86649" w:rsidRPr="00E86649" w14:paraId="5AAA4222" w14:textId="77777777" w:rsidTr="009649B8">
        <w:tc>
          <w:tcPr>
            <w:tcW w:w="1676" w:type="dxa"/>
            <w:vAlign w:val="center"/>
          </w:tcPr>
          <w:p w14:paraId="28B41F42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Carbon Dots</w:t>
            </w:r>
          </w:p>
        </w:tc>
        <w:tc>
          <w:tcPr>
            <w:tcW w:w="1354" w:type="dxa"/>
            <w:vAlign w:val="center"/>
          </w:tcPr>
          <w:p w14:paraId="211FE1DF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 xml:space="preserve">270 </w:t>
            </w:r>
            <w:proofErr w:type="spellStart"/>
            <w:r w:rsidRPr="00E86649">
              <w:rPr>
                <w:rFonts w:ascii="Calibri" w:hAnsi="Calibri"/>
                <w:szCs w:val="21"/>
                <w:lang w:val="en-GB"/>
              </w:rPr>
              <w:t>pM</w:t>
            </w:r>
            <w:proofErr w:type="spellEnd"/>
          </w:p>
        </w:tc>
        <w:tc>
          <w:tcPr>
            <w:tcW w:w="1381" w:type="dxa"/>
            <w:vAlign w:val="center"/>
          </w:tcPr>
          <w:p w14:paraId="5F28F902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 xml:space="preserve">Up to 200 </w:t>
            </w:r>
            <w:proofErr w:type="spellStart"/>
            <w:r w:rsidRPr="00E86649">
              <w:rPr>
                <w:rFonts w:ascii="Calibri" w:hAnsi="Calibri"/>
                <w:szCs w:val="21"/>
                <w:lang w:val="en-GB"/>
              </w:rPr>
              <w:t>nM</w:t>
            </w:r>
            <w:proofErr w:type="spellEnd"/>
          </w:p>
        </w:tc>
        <w:tc>
          <w:tcPr>
            <w:tcW w:w="1292" w:type="dxa"/>
            <w:vAlign w:val="center"/>
          </w:tcPr>
          <w:p w14:paraId="41E5A921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340</w:t>
            </w:r>
          </w:p>
        </w:tc>
        <w:tc>
          <w:tcPr>
            <w:tcW w:w="1205" w:type="dxa"/>
            <w:vAlign w:val="center"/>
          </w:tcPr>
          <w:p w14:paraId="229623F1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440</w:t>
            </w:r>
          </w:p>
        </w:tc>
        <w:tc>
          <w:tcPr>
            <w:tcW w:w="1586" w:type="dxa"/>
            <w:vAlign w:val="center"/>
          </w:tcPr>
          <w:p w14:paraId="74ED9CEE" w14:textId="583D8D0B" w:rsidR="00FE1A57" w:rsidRPr="00E86649" w:rsidRDefault="00D4149F" w:rsidP="00D4149F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fldChar w:fldCharType="begin"/>
            </w:r>
            <w:r w:rsidRPr="00E86649">
              <w:rPr>
                <w:rFonts w:ascii="Calibri" w:hAnsi="Calibri"/>
                <w:szCs w:val="21"/>
                <w:lang w:val="en-GB"/>
              </w:rPr>
              <w:instrText xml:space="preserve"> ADDIN EN.CITE &lt;EndNote&gt;&lt;Cite&gt;&lt;Author&gt;García-Mendiola&lt;/Author&gt;&lt;Year&gt;2019&lt;/Year&gt;&lt;IDText&gt;Fluorescent C-NanoDots for rapid detection of BRCA1, CFTR and MRP3 gene mutations&lt;/IDText&gt;&lt;DisplayText&gt;(3)&lt;/DisplayText&gt;&lt;record&gt;&lt;dates&gt;&lt;pub-dates&gt;&lt;date&gt;2019/04/23&lt;/date&gt;&lt;/pub-dates&gt;&lt;year&gt;2019&lt;/year&gt;&lt;/dates&gt;&lt;urls&gt;&lt;related-urls&gt;&lt;url&gt;https://doi.org/10.1007/s00604-019-3386-9&lt;/url&gt;&lt;/related-urls&gt;&lt;/urls&gt;&lt;isbn&gt;1436-5073&lt;/isbn&gt;&lt;titles&gt;&lt;title&gt;Fluorescent C-NanoDots for rapid detection of BRCA1, CFTR and MRP3 gene mutations&lt;/title&gt;&lt;secondary-title&gt;Microchimica Acta&lt;/secondary-title&gt;&lt;/titles&gt;&lt;pages&gt;293&lt;/pages&gt;&lt;number&gt;5&lt;/number&gt;&lt;contributors&gt;&lt;authors&gt;&lt;author&gt;García-Mendiola, Tania&lt;/author&gt;&lt;author&gt;Elosegui, Cristina Garcia&lt;/author&gt;&lt;author&gt;Bravo, Iria&lt;/author&gt;&lt;author&gt;Pariente, Félix&lt;/author&gt;&lt;author&gt;Jacobo-Martin, Alejandra&lt;/author&gt;&lt;author&gt;Navio, Cristina&lt;/author&gt;&lt;author&gt;Rodriguez, Isabel&lt;/author&gt;&lt;author&gt;Wannemacher, Reinhold&lt;/author&gt;&lt;author&gt;Lorenzo, Encarnación&lt;/author&gt;&lt;/authors&gt;&lt;/contributors&gt;&lt;added-date format="utc"&gt;1637485496&lt;/added-date&gt;&lt;ref-type name="Journal Article"&gt;17&lt;/ref-type&gt;&lt;rec-number&gt;537&lt;/rec-number&gt;&lt;last-updated-date format="utc"&gt;1637485496&lt;/last-updated-date&gt;&lt;electronic-resource-num&gt;10.1007/s00604-019-3386-9&lt;/electronic-resource-num&gt;&lt;volume&gt;186&lt;/volume&gt;&lt;/record&gt;&lt;/Cite&gt;&lt;/EndNote&gt;</w:instrText>
            </w:r>
            <w:r w:rsidRPr="00E86649">
              <w:rPr>
                <w:rFonts w:ascii="Calibri" w:hAnsi="Calibri"/>
                <w:szCs w:val="21"/>
                <w:lang w:val="en-GB"/>
              </w:rPr>
              <w:fldChar w:fldCharType="separate"/>
            </w:r>
            <w:r w:rsidRPr="00E86649">
              <w:rPr>
                <w:rFonts w:ascii="Calibri" w:hAnsi="Calibri"/>
                <w:noProof/>
                <w:szCs w:val="21"/>
                <w:lang w:val="en-GB"/>
              </w:rPr>
              <w:t>(3)</w:t>
            </w:r>
            <w:r w:rsidRPr="00E86649">
              <w:rPr>
                <w:rFonts w:ascii="Calibri" w:hAnsi="Calibri"/>
                <w:szCs w:val="21"/>
                <w:lang w:val="en-GB"/>
              </w:rPr>
              <w:fldChar w:fldCharType="end"/>
            </w:r>
          </w:p>
        </w:tc>
      </w:tr>
      <w:tr w:rsidR="00E86649" w:rsidRPr="00E86649" w14:paraId="6A823E81" w14:textId="77777777" w:rsidTr="009649B8">
        <w:tc>
          <w:tcPr>
            <w:tcW w:w="1676" w:type="dxa"/>
            <w:vAlign w:val="center"/>
          </w:tcPr>
          <w:p w14:paraId="50B7ECF0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Thiazole Orange-Modified Carbon Dots (supramolecular structures)</w:t>
            </w:r>
          </w:p>
        </w:tc>
        <w:tc>
          <w:tcPr>
            <w:tcW w:w="1354" w:type="dxa"/>
            <w:vAlign w:val="center"/>
          </w:tcPr>
          <w:p w14:paraId="3B09A42E" w14:textId="77777777" w:rsidR="00FE1A57" w:rsidRPr="00E86649" w:rsidRDefault="00FE1A57" w:rsidP="00FE1A57">
            <w:pPr>
              <w:ind w:left="708" w:hanging="708"/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 xml:space="preserve">0.9 </w:t>
            </w:r>
            <w:proofErr w:type="spellStart"/>
            <w:r w:rsidRPr="00E86649">
              <w:rPr>
                <w:rFonts w:ascii="Calibri" w:hAnsi="Calibri"/>
                <w:szCs w:val="21"/>
                <w:lang w:val="en-GB"/>
              </w:rPr>
              <w:t>nM</w:t>
            </w:r>
            <w:proofErr w:type="spellEnd"/>
          </w:p>
        </w:tc>
        <w:tc>
          <w:tcPr>
            <w:tcW w:w="1381" w:type="dxa"/>
            <w:vAlign w:val="center"/>
          </w:tcPr>
          <w:p w14:paraId="7BEC4F40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No data</w:t>
            </w:r>
          </w:p>
        </w:tc>
        <w:tc>
          <w:tcPr>
            <w:tcW w:w="1292" w:type="dxa"/>
            <w:vAlign w:val="center"/>
          </w:tcPr>
          <w:p w14:paraId="33A94296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370</w:t>
            </w:r>
          </w:p>
        </w:tc>
        <w:tc>
          <w:tcPr>
            <w:tcW w:w="1205" w:type="dxa"/>
            <w:vAlign w:val="center"/>
          </w:tcPr>
          <w:p w14:paraId="7F6C438A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450</w:t>
            </w:r>
          </w:p>
        </w:tc>
        <w:tc>
          <w:tcPr>
            <w:tcW w:w="1586" w:type="dxa"/>
            <w:vAlign w:val="center"/>
          </w:tcPr>
          <w:p w14:paraId="7767F72C" w14:textId="15A119CB" w:rsidR="00FE1A57" w:rsidRPr="00E86649" w:rsidRDefault="00D4149F" w:rsidP="00D4149F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fldChar w:fldCharType="begin"/>
            </w:r>
            <w:r w:rsidRPr="00E86649">
              <w:rPr>
                <w:rFonts w:ascii="Calibri" w:hAnsi="Calibri"/>
                <w:szCs w:val="21"/>
                <w:lang w:val="en-GB"/>
              </w:rPr>
              <w:instrText xml:space="preserve"> ADDIN EN.CITE &lt;EndNote&gt;&lt;Cite&gt;&lt;Author&gt;Jin&lt;/Author&gt;&lt;Year&gt;2018&lt;/Year&gt;&lt;IDText&gt;Thiazole Orange-Modified Carbon Dots for Ratiometric Fluorescence Detection of G-Quadruplex and Double-Stranded DNA&lt;/IDText&gt;&lt;DisplayText&gt;(4)&lt;/DisplayText&gt;&lt;record&gt;&lt;dates&gt;&lt;pub-dates&gt;&lt;date&gt;2018/08/01&lt;/date&gt;&lt;/pub-dates&gt;&lt;year&gt;2018&lt;/year&gt;&lt;/dates&gt;&lt;urls&gt;&lt;related-urls&gt;&lt;url&gt;https://doi.org/10.1021/acsami.8b07869&lt;/url&gt;&lt;/related-urls&gt;&lt;/urls&gt;&lt;isbn&gt;1944-8244&lt;/isbn&gt;&lt;titles&gt;&lt;title&gt;Thiazole Orange-Modified Carbon Dots for Ratiometric Fluorescence Detection of G-Quadruplex and Double-Stranded DNA&lt;/title&gt;&lt;secondary-title&gt;ACS Applied Materials &amp;amp; Interfaces&lt;/secondary-title&gt;&lt;/titles&gt;&lt;pages&gt;25166-25173&lt;/pages&gt;&lt;number&gt;30&lt;/number&gt;&lt;contributors&gt;&lt;authors&gt;&lt;author&gt;Jin, Ming&lt;/author&gt;&lt;author&gt;Liu, Xiangjun&lt;/author&gt;&lt;author&gt;Zhang, Xin&lt;/author&gt;&lt;author&gt;Wang, Linlin&lt;/author&gt;&lt;author&gt;Bing, Tao&lt;/author&gt;&lt;author&gt;Zhang, Nan&lt;/author&gt;&lt;author&gt;Zhang, Yun&lt;/author&gt;&lt;author&gt;Shangguan, Dihua&lt;/author&gt;&lt;/authors&gt;&lt;/contributors&gt;&lt;added-date format="utc"&gt;1637485585&lt;/added-date&gt;&lt;ref-type name="Journal Article"&gt;17&lt;/ref-type&gt;&lt;rec-number&gt;538&lt;/rec-number&gt;&lt;publisher&gt;American Chemical Society&lt;/publisher&gt;&lt;last-updated-date format="utc"&gt;1637485585&lt;/last-updated-date&gt;&lt;electronic-resource-num&gt;10.1021/acsami.8b07869&lt;/electronic-resource-num&gt;&lt;volume&gt;10&lt;/volume&gt;&lt;/record&gt;&lt;/Cite&gt;&lt;/EndNote&gt;</w:instrText>
            </w:r>
            <w:r w:rsidRPr="00E86649">
              <w:rPr>
                <w:rFonts w:ascii="Calibri" w:hAnsi="Calibri"/>
                <w:szCs w:val="21"/>
                <w:lang w:val="en-GB"/>
              </w:rPr>
              <w:fldChar w:fldCharType="separate"/>
            </w:r>
            <w:r w:rsidRPr="00E86649">
              <w:rPr>
                <w:rFonts w:ascii="Calibri" w:hAnsi="Calibri"/>
                <w:noProof/>
                <w:szCs w:val="21"/>
                <w:lang w:val="en-GB"/>
              </w:rPr>
              <w:t>(4)</w:t>
            </w:r>
            <w:r w:rsidRPr="00E86649">
              <w:rPr>
                <w:rFonts w:ascii="Calibri" w:hAnsi="Calibri"/>
                <w:szCs w:val="21"/>
                <w:lang w:val="en-GB"/>
              </w:rPr>
              <w:fldChar w:fldCharType="end"/>
            </w:r>
          </w:p>
        </w:tc>
      </w:tr>
      <w:tr w:rsidR="00E86649" w:rsidRPr="00E86649" w14:paraId="247B21B9" w14:textId="77777777" w:rsidTr="009649B8">
        <w:tc>
          <w:tcPr>
            <w:tcW w:w="1676" w:type="dxa"/>
            <w:vAlign w:val="center"/>
          </w:tcPr>
          <w:p w14:paraId="21A4CDE1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NR-CDs</w:t>
            </w:r>
          </w:p>
        </w:tc>
        <w:tc>
          <w:tcPr>
            <w:tcW w:w="1354" w:type="dxa"/>
            <w:vAlign w:val="center"/>
          </w:tcPr>
          <w:p w14:paraId="4A7B039C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 xml:space="preserve">12 </w:t>
            </w:r>
            <w:proofErr w:type="spellStart"/>
            <w:r w:rsidRPr="00E86649">
              <w:rPr>
                <w:rFonts w:ascii="Calibri" w:hAnsi="Calibri"/>
                <w:szCs w:val="21"/>
                <w:lang w:val="en-GB"/>
              </w:rPr>
              <w:t>nM</w:t>
            </w:r>
            <w:proofErr w:type="spellEnd"/>
          </w:p>
        </w:tc>
        <w:tc>
          <w:tcPr>
            <w:tcW w:w="1381" w:type="dxa"/>
            <w:vAlign w:val="center"/>
          </w:tcPr>
          <w:p w14:paraId="6C464D76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 xml:space="preserve">12- 200 </w:t>
            </w:r>
            <w:proofErr w:type="spellStart"/>
            <w:r w:rsidRPr="00E86649">
              <w:rPr>
                <w:rFonts w:ascii="Calibri" w:hAnsi="Calibri"/>
                <w:szCs w:val="21"/>
                <w:lang w:val="en-GB"/>
              </w:rPr>
              <w:t>nM</w:t>
            </w:r>
            <w:proofErr w:type="spellEnd"/>
          </w:p>
        </w:tc>
        <w:tc>
          <w:tcPr>
            <w:tcW w:w="1292" w:type="dxa"/>
            <w:vAlign w:val="center"/>
          </w:tcPr>
          <w:p w14:paraId="6016A73E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530</w:t>
            </w:r>
          </w:p>
        </w:tc>
        <w:tc>
          <w:tcPr>
            <w:tcW w:w="1205" w:type="dxa"/>
            <w:vAlign w:val="center"/>
          </w:tcPr>
          <w:p w14:paraId="601AEDA2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580</w:t>
            </w:r>
          </w:p>
        </w:tc>
        <w:tc>
          <w:tcPr>
            <w:tcW w:w="1586" w:type="dxa"/>
            <w:vAlign w:val="center"/>
          </w:tcPr>
          <w:p w14:paraId="041B4037" w14:textId="77777777" w:rsidR="00FE1A57" w:rsidRPr="00E86649" w:rsidRDefault="00FE1A57" w:rsidP="00FE1A57">
            <w:pPr>
              <w:jc w:val="center"/>
              <w:rPr>
                <w:rFonts w:ascii="Calibri" w:hAnsi="Calibri"/>
                <w:szCs w:val="21"/>
                <w:lang w:val="en-GB"/>
              </w:rPr>
            </w:pPr>
            <w:r w:rsidRPr="00E86649">
              <w:rPr>
                <w:rFonts w:ascii="Calibri" w:hAnsi="Calibri"/>
                <w:szCs w:val="21"/>
                <w:lang w:val="en-GB"/>
              </w:rPr>
              <w:t>This work</w:t>
            </w:r>
          </w:p>
        </w:tc>
      </w:tr>
    </w:tbl>
    <w:p w14:paraId="074AB4D4" w14:textId="19582147" w:rsidR="00C32C2C" w:rsidRDefault="00C32C2C" w:rsidP="00220F75">
      <w:pPr>
        <w:spacing w:after="240" w:line="360" w:lineRule="auto"/>
        <w:jc w:val="center"/>
        <w:rPr>
          <w:color w:val="000000" w:themeColor="text1"/>
          <w:lang w:val="en-US"/>
        </w:rPr>
      </w:pPr>
    </w:p>
    <w:p w14:paraId="75EE9679" w14:textId="77777777" w:rsidR="00D4149F" w:rsidRDefault="00D4149F" w:rsidP="00C32C2C">
      <w:pPr>
        <w:spacing w:after="240" w:line="360" w:lineRule="auto"/>
        <w:jc w:val="both"/>
        <w:rPr>
          <w:color w:val="000000" w:themeColor="text1"/>
          <w:lang w:val="en-US"/>
        </w:rPr>
      </w:pPr>
    </w:p>
    <w:p w14:paraId="6EB24159" w14:textId="77777777" w:rsidR="00D4149F" w:rsidRDefault="00D4149F" w:rsidP="00C32C2C">
      <w:pPr>
        <w:spacing w:after="240" w:line="360" w:lineRule="auto"/>
        <w:jc w:val="both"/>
        <w:rPr>
          <w:color w:val="000000" w:themeColor="text1"/>
          <w:lang w:val="en-US"/>
        </w:rPr>
      </w:pPr>
    </w:p>
    <w:p w14:paraId="2C28CA55" w14:textId="6F6E753E" w:rsidR="00D4149F" w:rsidRPr="00C656E8" w:rsidRDefault="00C32C2C" w:rsidP="00D4149F">
      <w:pPr>
        <w:spacing w:after="240" w:line="360" w:lineRule="auto"/>
        <w:jc w:val="both"/>
        <w:rPr>
          <w:b/>
          <w:bCs/>
          <w:color w:val="000000" w:themeColor="text1"/>
          <w:lang w:val="en-US"/>
        </w:rPr>
      </w:pPr>
      <w:r w:rsidRPr="00C656E8">
        <w:rPr>
          <w:b/>
          <w:bCs/>
          <w:color w:val="000000" w:themeColor="text1"/>
          <w:lang w:val="en-US"/>
        </w:rPr>
        <w:t>Bibliography:</w:t>
      </w:r>
    </w:p>
    <w:p w14:paraId="46967D35" w14:textId="77777777" w:rsidR="00D4149F" w:rsidRPr="00ED5708" w:rsidRDefault="00D4149F" w:rsidP="00D4149F">
      <w:pPr>
        <w:pStyle w:val="EndNoteBibliography"/>
        <w:spacing w:after="0"/>
        <w:jc w:val="both"/>
        <w:rPr>
          <w:lang w:val="es-ES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D4149F">
        <w:t>1.</w:t>
      </w:r>
      <w:r w:rsidRPr="00D4149F">
        <w:tab/>
        <w:t xml:space="preserve">Motaghi H, Mehrgardi MA. Spectrofluorometric genotyping of single nucleotide polymorphisms using carbon dots as fluorophores. </w:t>
      </w:r>
      <w:r w:rsidRPr="00ED5708">
        <w:rPr>
          <w:lang w:val="es-ES"/>
        </w:rPr>
        <w:t>Spectrochimica Acta Part A: Molecular and Biomolecular Spectroscopy. 2019;206:154-9.</w:t>
      </w:r>
    </w:p>
    <w:p w14:paraId="4825FF80" w14:textId="77777777" w:rsidR="00D4149F" w:rsidRPr="00ED5708" w:rsidRDefault="00D4149F" w:rsidP="00D4149F">
      <w:pPr>
        <w:pStyle w:val="EndNoteBibliography"/>
        <w:spacing w:after="0"/>
        <w:jc w:val="both"/>
        <w:rPr>
          <w:lang w:val="es-ES"/>
        </w:rPr>
      </w:pPr>
      <w:r w:rsidRPr="00ED5708">
        <w:rPr>
          <w:lang w:val="es-ES"/>
        </w:rPr>
        <w:t>2.</w:t>
      </w:r>
      <w:r w:rsidRPr="00ED5708">
        <w:rPr>
          <w:lang w:val="es-ES"/>
        </w:rPr>
        <w:tab/>
        <w:t xml:space="preserve">Liang C-Y, Xia W, Yang C-Z, Liu Y-C, Bai A-M, Hu Y-J. </w:t>
      </w:r>
      <w:r w:rsidRPr="00D4149F">
        <w:t xml:space="preserve">Exploring the binding of carbon dots to calf thymus DNA: From green synthesis to fluorescent molecular probe. </w:t>
      </w:r>
      <w:r w:rsidRPr="00ED5708">
        <w:rPr>
          <w:lang w:val="es-ES"/>
        </w:rPr>
        <w:t>Carbon. 2018;130:257-66.</w:t>
      </w:r>
    </w:p>
    <w:p w14:paraId="0320551D" w14:textId="77777777" w:rsidR="00D4149F" w:rsidRPr="00D4149F" w:rsidRDefault="00D4149F" w:rsidP="00D4149F">
      <w:pPr>
        <w:pStyle w:val="EndNoteBibliography"/>
        <w:spacing w:after="0"/>
        <w:jc w:val="both"/>
      </w:pPr>
      <w:r w:rsidRPr="00ED5708">
        <w:rPr>
          <w:lang w:val="es-ES"/>
        </w:rPr>
        <w:t>3.</w:t>
      </w:r>
      <w:r w:rsidRPr="00ED5708">
        <w:rPr>
          <w:lang w:val="es-ES"/>
        </w:rPr>
        <w:tab/>
        <w:t xml:space="preserve">García-Mendiola T, Elosegui CG, Bravo I, Pariente F, Jacobo-Martin A, Navio C, et al. </w:t>
      </w:r>
      <w:r w:rsidRPr="00D4149F">
        <w:t>Fluorescent C-NanoDots for rapid detection of BRCA1, CFTR and MRP3 gene mutations. Microchimica Acta. 2019;186(5):293.</w:t>
      </w:r>
    </w:p>
    <w:p w14:paraId="298BFA50" w14:textId="77777777" w:rsidR="00D4149F" w:rsidRPr="00D4149F" w:rsidRDefault="00D4149F" w:rsidP="00D4149F">
      <w:pPr>
        <w:pStyle w:val="EndNoteBibliography"/>
        <w:jc w:val="both"/>
      </w:pPr>
      <w:r w:rsidRPr="00D4149F">
        <w:t>4.</w:t>
      </w:r>
      <w:r w:rsidRPr="00D4149F">
        <w:tab/>
        <w:t>Jin M, Liu X, Zhang X, Wang L, Bing T, Zhang N, et al. Thiazole Orange-Modified Carbon Dots for Ratiometric Fluorescence Detection of G-Quadruplex and Double-Stranded DNA. ACS Applied Materials &amp; Interfaces. 2018;10(30):25166-73.</w:t>
      </w:r>
    </w:p>
    <w:p w14:paraId="30B97620" w14:textId="38D39F1D" w:rsidR="00865BBF" w:rsidRPr="00220F75" w:rsidRDefault="00D4149F" w:rsidP="00D4149F">
      <w:pPr>
        <w:jc w:val="both"/>
        <w:rPr>
          <w:lang w:val="en-GB"/>
        </w:rPr>
      </w:pPr>
      <w:r>
        <w:rPr>
          <w:lang w:val="en-GB"/>
        </w:rPr>
        <w:fldChar w:fldCharType="end"/>
      </w:r>
    </w:p>
    <w:sectPr w:rsidR="00865BBF" w:rsidRPr="00220F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137904"/>
    <w:rsid w:val="0000783E"/>
    <w:rsid w:val="00033FA2"/>
    <w:rsid w:val="0003507A"/>
    <w:rsid w:val="00037EE3"/>
    <w:rsid w:val="00041BB7"/>
    <w:rsid w:val="00041DCE"/>
    <w:rsid w:val="00042138"/>
    <w:rsid w:val="00042C12"/>
    <w:rsid w:val="00042DFA"/>
    <w:rsid w:val="00042EF9"/>
    <w:rsid w:val="00043A73"/>
    <w:rsid w:val="0004678B"/>
    <w:rsid w:val="00046FA0"/>
    <w:rsid w:val="00057740"/>
    <w:rsid w:val="00060555"/>
    <w:rsid w:val="00065563"/>
    <w:rsid w:val="000736C5"/>
    <w:rsid w:val="00075597"/>
    <w:rsid w:val="000778F9"/>
    <w:rsid w:val="000816AA"/>
    <w:rsid w:val="00082B13"/>
    <w:rsid w:val="00083E5D"/>
    <w:rsid w:val="00085ECA"/>
    <w:rsid w:val="00091977"/>
    <w:rsid w:val="0009280B"/>
    <w:rsid w:val="000A3063"/>
    <w:rsid w:val="000A59C3"/>
    <w:rsid w:val="000B47B3"/>
    <w:rsid w:val="000C5802"/>
    <w:rsid w:val="000C59E4"/>
    <w:rsid w:val="000C7BAF"/>
    <w:rsid w:val="000D1A63"/>
    <w:rsid w:val="000D3E37"/>
    <w:rsid w:val="000F0500"/>
    <w:rsid w:val="000F6877"/>
    <w:rsid w:val="000F6FD2"/>
    <w:rsid w:val="000F7736"/>
    <w:rsid w:val="00101577"/>
    <w:rsid w:val="00101B42"/>
    <w:rsid w:val="00106954"/>
    <w:rsid w:val="00107634"/>
    <w:rsid w:val="00120E2F"/>
    <w:rsid w:val="001223E1"/>
    <w:rsid w:val="0013173F"/>
    <w:rsid w:val="00133A96"/>
    <w:rsid w:val="0013567D"/>
    <w:rsid w:val="00136FDD"/>
    <w:rsid w:val="00137904"/>
    <w:rsid w:val="00141EC3"/>
    <w:rsid w:val="00145062"/>
    <w:rsid w:val="00145FD3"/>
    <w:rsid w:val="00147D24"/>
    <w:rsid w:val="0015280E"/>
    <w:rsid w:val="00154F0F"/>
    <w:rsid w:val="001554B3"/>
    <w:rsid w:val="00156FFC"/>
    <w:rsid w:val="00157B4D"/>
    <w:rsid w:val="00164593"/>
    <w:rsid w:val="001650A7"/>
    <w:rsid w:val="00176310"/>
    <w:rsid w:val="00176B04"/>
    <w:rsid w:val="00176F64"/>
    <w:rsid w:val="001811D0"/>
    <w:rsid w:val="00181677"/>
    <w:rsid w:val="00184C1A"/>
    <w:rsid w:val="00185F09"/>
    <w:rsid w:val="00186088"/>
    <w:rsid w:val="001860E2"/>
    <w:rsid w:val="00187D02"/>
    <w:rsid w:val="0019279B"/>
    <w:rsid w:val="001928BF"/>
    <w:rsid w:val="00197190"/>
    <w:rsid w:val="0019741E"/>
    <w:rsid w:val="001A5F2D"/>
    <w:rsid w:val="001A647A"/>
    <w:rsid w:val="001B1B75"/>
    <w:rsid w:val="001B21D3"/>
    <w:rsid w:val="001B4508"/>
    <w:rsid w:val="001B46F2"/>
    <w:rsid w:val="001B526E"/>
    <w:rsid w:val="001B6302"/>
    <w:rsid w:val="001C1DCD"/>
    <w:rsid w:val="001D14EB"/>
    <w:rsid w:val="001D7072"/>
    <w:rsid w:val="001D7CD9"/>
    <w:rsid w:val="001E0FAE"/>
    <w:rsid w:val="001E4C30"/>
    <w:rsid w:val="001F282C"/>
    <w:rsid w:val="001F6947"/>
    <w:rsid w:val="00201996"/>
    <w:rsid w:val="0020629A"/>
    <w:rsid w:val="00216704"/>
    <w:rsid w:val="00220F75"/>
    <w:rsid w:val="00223C35"/>
    <w:rsid w:val="00223C84"/>
    <w:rsid w:val="0022416D"/>
    <w:rsid w:val="002305C6"/>
    <w:rsid w:val="00236A47"/>
    <w:rsid w:val="00247648"/>
    <w:rsid w:val="00264B3E"/>
    <w:rsid w:val="002653BC"/>
    <w:rsid w:val="00266BF2"/>
    <w:rsid w:val="0027010C"/>
    <w:rsid w:val="00274DB8"/>
    <w:rsid w:val="00280C7D"/>
    <w:rsid w:val="0028439E"/>
    <w:rsid w:val="00284E3E"/>
    <w:rsid w:val="00285918"/>
    <w:rsid w:val="002968A4"/>
    <w:rsid w:val="00297161"/>
    <w:rsid w:val="00297E22"/>
    <w:rsid w:val="002A144B"/>
    <w:rsid w:val="002B0084"/>
    <w:rsid w:val="002B43E5"/>
    <w:rsid w:val="002C2DB5"/>
    <w:rsid w:val="002C4353"/>
    <w:rsid w:val="002C48A8"/>
    <w:rsid w:val="002E13D2"/>
    <w:rsid w:val="002F4072"/>
    <w:rsid w:val="002F5965"/>
    <w:rsid w:val="0030048E"/>
    <w:rsid w:val="00302972"/>
    <w:rsid w:val="003042E5"/>
    <w:rsid w:val="003209DA"/>
    <w:rsid w:val="003244C5"/>
    <w:rsid w:val="00331AC5"/>
    <w:rsid w:val="00341F60"/>
    <w:rsid w:val="00346CF0"/>
    <w:rsid w:val="00346F84"/>
    <w:rsid w:val="00350F6C"/>
    <w:rsid w:val="00357E29"/>
    <w:rsid w:val="00360984"/>
    <w:rsid w:val="00362715"/>
    <w:rsid w:val="0037331C"/>
    <w:rsid w:val="00377810"/>
    <w:rsid w:val="00377D6C"/>
    <w:rsid w:val="00383AA1"/>
    <w:rsid w:val="00396F47"/>
    <w:rsid w:val="003B6833"/>
    <w:rsid w:val="003C6626"/>
    <w:rsid w:val="003C6E10"/>
    <w:rsid w:val="003D15C3"/>
    <w:rsid w:val="003D1DC1"/>
    <w:rsid w:val="003D1EF6"/>
    <w:rsid w:val="003D7B7D"/>
    <w:rsid w:val="003E6307"/>
    <w:rsid w:val="003F3B46"/>
    <w:rsid w:val="004013DB"/>
    <w:rsid w:val="00401A62"/>
    <w:rsid w:val="004032A4"/>
    <w:rsid w:val="00410246"/>
    <w:rsid w:val="00415A13"/>
    <w:rsid w:val="00421E21"/>
    <w:rsid w:val="00430835"/>
    <w:rsid w:val="00431AA7"/>
    <w:rsid w:val="00433806"/>
    <w:rsid w:val="00437216"/>
    <w:rsid w:val="00441684"/>
    <w:rsid w:val="00446FC6"/>
    <w:rsid w:val="004504B6"/>
    <w:rsid w:val="00452E4A"/>
    <w:rsid w:val="004546DB"/>
    <w:rsid w:val="0045599D"/>
    <w:rsid w:val="00461395"/>
    <w:rsid w:val="0047202F"/>
    <w:rsid w:val="00473EC3"/>
    <w:rsid w:val="00477527"/>
    <w:rsid w:val="0047796B"/>
    <w:rsid w:val="00477E5E"/>
    <w:rsid w:val="00486C46"/>
    <w:rsid w:val="004A0A7D"/>
    <w:rsid w:val="004A61FB"/>
    <w:rsid w:val="004A7E22"/>
    <w:rsid w:val="004B29ED"/>
    <w:rsid w:val="004B5035"/>
    <w:rsid w:val="004B7BF9"/>
    <w:rsid w:val="004C0442"/>
    <w:rsid w:val="004C5586"/>
    <w:rsid w:val="004C7585"/>
    <w:rsid w:val="004E5049"/>
    <w:rsid w:val="004F20E5"/>
    <w:rsid w:val="00511258"/>
    <w:rsid w:val="0051268A"/>
    <w:rsid w:val="00512AD7"/>
    <w:rsid w:val="00513277"/>
    <w:rsid w:val="00523D79"/>
    <w:rsid w:val="00523F2D"/>
    <w:rsid w:val="005253E3"/>
    <w:rsid w:val="005342D4"/>
    <w:rsid w:val="00535811"/>
    <w:rsid w:val="005374AF"/>
    <w:rsid w:val="00544C65"/>
    <w:rsid w:val="00545F86"/>
    <w:rsid w:val="00550D6D"/>
    <w:rsid w:val="005530F5"/>
    <w:rsid w:val="005559E7"/>
    <w:rsid w:val="0055766B"/>
    <w:rsid w:val="00557C44"/>
    <w:rsid w:val="00560691"/>
    <w:rsid w:val="0056632B"/>
    <w:rsid w:val="0057477B"/>
    <w:rsid w:val="00575020"/>
    <w:rsid w:val="00581FD3"/>
    <w:rsid w:val="00583674"/>
    <w:rsid w:val="00586E7C"/>
    <w:rsid w:val="00591555"/>
    <w:rsid w:val="005943B3"/>
    <w:rsid w:val="00595017"/>
    <w:rsid w:val="00597715"/>
    <w:rsid w:val="005A770E"/>
    <w:rsid w:val="005B1B37"/>
    <w:rsid w:val="005B5996"/>
    <w:rsid w:val="005B5D96"/>
    <w:rsid w:val="005B6F7A"/>
    <w:rsid w:val="005C0E6F"/>
    <w:rsid w:val="005C6081"/>
    <w:rsid w:val="005C6368"/>
    <w:rsid w:val="005C6F12"/>
    <w:rsid w:val="005D115F"/>
    <w:rsid w:val="00600E60"/>
    <w:rsid w:val="00601FBD"/>
    <w:rsid w:val="00604CEF"/>
    <w:rsid w:val="00611F85"/>
    <w:rsid w:val="0061248C"/>
    <w:rsid w:val="00612FE8"/>
    <w:rsid w:val="006150D3"/>
    <w:rsid w:val="00621508"/>
    <w:rsid w:val="00621E83"/>
    <w:rsid w:val="006234E5"/>
    <w:rsid w:val="006262AD"/>
    <w:rsid w:val="0062633F"/>
    <w:rsid w:val="00630672"/>
    <w:rsid w:val="006326E8"/>
    <w:rsid w:val="00633064"/>
    <w:rsid w:val="00636D0D"/>
    <w:rsid w:val="00637153"/>
    <w:rsid w:val="00640090"/>
    <w:rsid w:val="0064274E"/>
    <w:rsid w:val="006471C0"/>
    <w:rsid w:val="006529EA"/>
    <w:rsid w:val="006547A2"/>
    <w:rsid w:val="00654AC7"/>
    <w:rsid w:val="0065562F"/>
    <w:rsid w:val="00655EB1"/>
    <w:rsid w:val="00657783"/>
    <w:rsid w:val="006774CA"/>
    <w:rsid w:val="00681D7F"/>
    <w:rsid w:val="00687EB5"/>
    <w:rsid w:val="0069047D"/>
    <w:rsid w:val="006942D5"/>
    <w:rsid w:val="00694A3D"/>
    <w:rsid w:val="006B0098"/>
    <w:rsid w:val="006B1733"/>
    <w:rsid w:val="006B3BCE"/>
    <w:rsid w:val="006C19B7"/>
    <w:rsid w:val="006D24A6"/>
    <w:rsid w:val="006D2F1D"/>
    <w:rsid w:val="006D3B38"/>
    <w:rsid w:val="006D73CC"/>
    <w:rsid w:val="006E53D9"/>
    <w:rsid w:val="006E6986"/>
    <w:rsid w:val="006F5F6A"/>
    <w:rsid w:val="0070017F"/>
    <w:rsid w:val="00705269"/>
    <w:rsid w:val="00714EE2"/>
    <w:rsid w:val="00720330"/>
    <w:rsid w:val="007234DA"/>
    <w:rsid w:val="007236BE"/>
    <w:rsid w:val="00724A7D"/>
    <w:rsid w:val="007335B3"/>
    <w:rsid w:val="00733ADD"/>
    <w:rsid w:val="007419A6"/>
    <w:rsid w:val="00742A39"/>
    <w:rsid w:val="007430C8"/>
    <w:rsid w:val="00762DEE"/>
    <w:rsid w:val="0076314D"/>
    <w:rsid w:val="00763796"/>
    <w:rsid w:val="00763C83"/>
    <w:rsid w:val="00763EB0"/>
    <w:rsid w:val="0077024A"/>
    <w:rsid w:val="007705B2"/>
    <w:rsid w:val="00773908"/>
    <w:rsid w:val="00792E0F"/>
    <w:rsid w:val="00794957"/>
    <w:rsid w:val="007A4A34"/>
    <w:rsid w:val="007B06D7"/>
    <w:rsid w:val="007B533C"/>
    <w:rsid w:val="007B595F"/>
    <w:rsid w:val="007B7720"/>
    <w:rsid w:val="007C21BB"/>
    <w:rsid w:val="007C4D71"/>
    <w:rsid w:val="007C6289"/>
    <w:rsid w:val="007D23D0"/>
    <w:rsid w:val="007D3035"/>
    <w:rsid w:val="007E72A4"/>
    <w:rsid w:val="007F0259"/>
    <w:rsid w:val="007F3A47"/>
    <w:rsid w:val="007F6CC3"/>
    <w:rsid w:val="0080391A"/>
    <w:rsid w:val="00804436"/>
    <w:rsid w:val="00804AC5"/>
    <w:rsid w:val="00807BC3"/>
    <w:rsid w:val="00810834"/>
    <w:rsid w:val="00811236"/>
    <w:rsid w:val="00822DC5"/>
    <w:rsid w:val="008248DC"/>
    <w:rsid w:val="008270E9"/>
    <w:rsid w:val="00833640"/>
    <w:rsid w:val="008363DF"/>
    <w:rsid w:val="00836D92"/>
    <w:rsid w:val="00842198"/>
    <w:rsid w:val="00846D66"/>
    <w:rsid w:val="00856FB7"/>
    <w:rsid w:val="00861F28"/>
    <w:rsid w:val="00865BBF"/>
    <w:rsid w:val="00871D64"/>
    <w:rsid w:val="00881568"/>
    <w:rsid w:val="00883554"/>
    <w:rsid w:val="00891733"/>
    <w:rsid w:val="008976EB"/>
    <w:rsid w:val="008A5A02"/>
    <w:rsid w:val="008B7D9D"/>
    <w:rsid w:val="008C2156"/>
    <w:rsid w:val="008C36CC"/>
    <w:rsid w:val="008C7629"/>
    <w:rsid w:val="008D0D4E"/>
    <w:rsid w:val="008D16E9"/>
    <w:rsid w:val="008D4889"/>
    <w:rsid w:val="008E05F7"/>
    <w:rsid w:val="008E1F99"/>
    <w:rsid w:val="008E4CB1"/>
    <w:rsid w:val="008E6CF1"/>
    <w:rsid w:val="008F306E"/>
    <w:rsid w:val="008F50D6"/>
    <w:rsid w:val="009067CB"/>
    <w:rsid w:val="00914EE0"/>
    <w:rsid w:val="0091502A"/>
    <w:rsid w:val="00926A50"/>
    <w:rsid w:val="00927643"/>
    <w:rsid w:val="0093550D"/>
    <w:rsid w:val="00936199"/>
    <w:rsid w:val="0094036A"/>
    <w:rsid w:val="00941AAE"/>
    <w:rsid w:val="009424B6"/>
    <w:rsid w:val="009454C4"/>
    <w:rsid w:val="009505FE"/>
    <w:rsid w:val="00951B40"/>
    <w:rsid w:val="009536A7"/>
    <w:rsid w:val="009544EB"/>
    <w:rsid w:val="00955DDC"/>
    <w:rsid w:val="00961CCA"/>
    <w:rsid w:val="0097049B"/>
    <w:rsid w:val="00984CDD"/>
    <w:rsid w:val="00984FA1"/>
    <w:rsid w:val="0098637D"/>
    <w:rsid w:val="009874E2"/>
    <w:rsid w:val="00987B2B"/>
    <w:rsid w:val="00997F1E"/>
    <w:rsid w:val="009B1FA2"/>
    <w:rsid w:val="009B5051"/>
    <w:rsid w:val="009B7B1E"/>
    <w:rsid w:val="009C12B4"/>
    <w:rsid w:val="009C52E5"/>
    <w:rsid w:val="009C6A3D"/>
    <w:rsid w:val="009D285C"/>
    <w:rsid w:val="009D372D"/>
    <w:rsid w:val="009D44D9"/>
    <w:rsid w:val="009D6621"/>
    <w:rsid w:val="009D6A75"/>
    <w:rsid w:val="009E0051"/>
    <w:rsid w:val="009E13BF"/>
    <w:rsid w:val="009E3DF8"/>
    <w:rsid w:val="009E68E2"/>
    <w:rsid w:val="009F2EA5"/>
    <w:rsid w:val="009F5790"/>
    <w:rsid w:val="009F5FCD"/>
    <w:rsid w:val="00A10D40"/>
    <w:rsid w:val="00A23AD3"/>
    <w:rsid w:val="00A35264"/>
    <w:rsid w:val="00A43552"/>
    <w:rsid w:val="00A43D76"/>
    <w:rsid w:val="00A45EB4"/>
    <w:rsid w:val="00A5003B"/>
    <w:rsid w:val="00A55A69"/>
    <w:rsid w:val="00A60923"/>
    <w:rsid w:val="00A62D0A"/>
    <w:rsid w:val="00A65FBB"/>
    <w:rsid w:val="00A71094"/>
    <w:rsid w:val="00A83EDC"/>
    <w:rsid w:val="00A9295E"/>
    <w:rsid w:val="00A92ADB"/>
    <w:rsid w:val="00A956B6"/>
    <w:rsid w:val="00AA547A"/>
    <w:rsid w:val="00AA59C7"/>
    <w:rsid w:val="00AB1456"/>
    <w:rsid w:val="00AB495A"/>
    <w:rsid w:val="00AB4D97"/>
    <w:rsid w:val="00AB4FAF"/>
    <w:rsid w:val="00AC015A"/>
    <w:rsid w:val="00AC4F7A"/>
    <w:rsid w:val="00AC6CC5"/>
    <w:rsid w:val="00AD14D8"/>
    <w:rsid w:val="00AD3C38"/>
    <w:rsid w:val="00AD45C6"/>
    <w:rsid w:val="00AD65FF"/>
    <w:rsid w:val="00AE136A"/>
    <w:rsid w:val="00AE2E6D"/>
    <w:rsid w:val="00AF1224"/>
    <w:rsid w:val="00AF190D"/>
    <w:rsid w:val="00AF76D9"/>
    <w:rsid w:val="00B033B3"/>
    <w:rsid w:val="00B03B32"/>
    <w:rsid w:val="00B070BC"/>
    <w:rsid w:val="00B155EE"/>
    <w:rsid w:val="00B23BB2"/>
    <w:rsid w:val="00B23E72"/>
    <w:rsid w:val="00B278E1"/>
    <w:rsid w:val="00B311A9"/>
    <w:rsid w:val="00B338E0"/>
    <w:rsid w:val="00B36B70"/>
    <w:rsid w:val="00B570A9"/>
    <w:rsid w:val="00B607C2"/>
    <w:rsid w:val="00B6345A"/>
    <w:rsid w:val="00B64D15"/>
    <w:rsid w:val="00B677E3"/>
    <w:rsid w:val="00B721C2"/>
    <w:rsid w:val="00B73313"/>
    <w:rsid w:val="00B7606B"/>
    <w:rsid w:val="00B77218"/>
    <w:rsid w:val="00B83AF4"/>
    <w:rsid w:val="00B85595"/>
    <w:rsid w:val="00B85EA5"/>
    <w:rsid w:val="00B921A8"/>
    <w:rsid w:val="00BA40CB"/>
    <w:rsid w:val="00BA4BD4"/>
    <w:rsid w:val="00BA5D16"/>
    <w:rsid w:val="00BB14A5"/>
    <w:rsid w:val="00BB3840"/>
    <w:rsid w:val="00BB49A4"/>
    <w:rsid w:val="00BC46D3"/>
    <w:rsid w:val="00BC5F1B"/>
    <w:rsid w:val="00BD73B4"/>
    <w:rsid w:val="00BE425E"/>
    <w:rsid w:val="00BF0FA9"/>
    <w:rsid w:val="00BF436D"/>
    <w:rsid w:val="00C019FD"/>
    <w:rsid w:val="00C01A86"/>
    <w:rsid w:val="00C05D57"/>
    <w:rsid w:val="00C0710A"/>
    <w:rsid w:val="00C113C8"/>
    <w:rsid w:val="00C20A52"/>
    <w:rsid w:val="00C211B6"/>
    <w:rsid w:val="00C22389"/>
    <w:rsid w:val="00C2369A"/>
    <w:rsid w:val="00C2657C"/>
    <w:rsid w:val="00C26B8F"/>
    <w:rsid w:val="00C32C2C"/>
    <w:rsid w:val="00C3300F"/>
    <w:rsid w:val="00C425A5"/>
    <w:rsid w:val="00C46D44"/>
    <w:rsid w:val="00C46E76"/>
    <w:rsid w:val="00C51C4D"/>
    <w:rsid w:val="00C543B0"/>
    <w:rsid w:val="00C564AE"/>
    <w:rsid w:val="00C63C9C"/>
    <w:rsid w:val="00C656E8"/>
    <w:rsid w:val="00C76F75"/>
    <w:rsid w:val="00C86381"/>
    <w:rsid w:val="00C940BD"/>
    <w:rsid w:val="00C950AE"/>
    <w:rsid w:val="00C95B1D"/>
    <w:rsid w:val="00CA006B"/>
    <w:rsid w:val="00CA2277"/>
    <w:rsid w:val="00CA4053"/>
    <w:rsid w:val="00CA5B25"/>
    <w:rsid w:val="00CA6ED2"/>
    <w:rsid w:val="00CC03E0"/>
    <w:rsid w:val="00CC09B1"/>
    <w:rsid w:val="00CC7833"/>
    <w:rsid w:val="00CD74F5"/>
    <w:rsid w:val="00CD7CC0"/>
    <w:rsid w:val="00CE37A0"/>
    <w:rsid w:val="00CE62E8"/>
    <w:rsid w:val="00CE7918"/>
    <w:rsid w:val="00CF0BC5"/>
    <w:rsid w:val="00CF1D23"/>
    <w:rsid w:val="00CF4476"/>
    <w:rsid w:val="00D07DCD"/>
    <w:rsid w:val="00D3025C"/>
    <w:rsid w:val="00D32C14"/>
    <w:rsid w:val="00D377E8"/>
    <w:rsid w:val="00D37D6A"/>
    <w:rsid w:val="00D40AC6"/>
    <w:rsid w:val="00D4149F"/>
    <w:rsid w:val="00D52317"/>
    <w:rsid w:val="00D61F6F"/>
    <w:rsid w:val="00D6734D"/>
    <w:rsid w:val="00D76230"/>
    <w:rsid w:val="00D77B20"/>
    <w:rsid w:val="00D82A75"/>
    <w:rsid w:val="00D8398E"/>
    <w:rsid w:val="00D9006D"/>
    <w:rsid w:val="00D970B0"/>
    <w:rsid w:val="00DB0B5A"/>
    <w:rsid w:val="00DB7F6F"/>
    <w:rsid w:val="00DC1756"/>
    <w:rsid w:val="00DC3318"/>
    <w:rsid w:val="00DC7254"/>
    <w:rsid w:val="00DD4E68"/>
    <w:rsid w:val="00DE7CD4"/>
    <w:rsid w:val="00DF10CC"/>
    <w:rsid w:val="00DF1771"/>
    <w:rsid w:val="00DF42F3"/>
    <w:rsid w:val="00DF5F3C"/>
    <w:rsid w:val="00E04233"/>
    <w:rsid w:val="00E1769D"/>
    <w:rsid w:val="00E22130"/>
    <w:rsid w:val="00E31F9B"/>
    <w:rsid w:val="00E37DD1"/>
    <w:rsid w:val="00E4102A"/>
    <w:rsid w:val="00E421FC"/>
    <w:rsid w:val="00E50060"/>
    <w:rsid w:val="00E50E65"/>
    <w:rsid w:val="00E50F95"/>
    <w:rsid w:val="00E52B29"/>
    <w:rsid w:val="00E556E3"/>
    <w:rsid w:val="00E567F0"/>
    <w:rsid w:val="00E61F19"/>
    <w:rsid w:val="00E63740"/>
    <w:rsid w:val="00E65D21"/>
    <w:rsid w:val="00E72AB8"/>
    <w:rsid w:val="00E76528"/>
    <w:rsid w:val="00E8083C"/>
    <w:rsid w:val="00E80AD4"/>
    <w:rsid w:val="00E847AB"/>
    <w:rsid w:val="00E85CE3"/>
    <w:rsid w:val="00E86649"/>
    <w:rsid w:val="00E87001"/>
    <w:rsid w:val="00E87AAE"/>
    <w:rsid w:val="00E935F7"/>
    <w:rsid w:val="00E93AB0"/>
    <w:rsid w:val="00EA33D1"/>
    <w:rsid w:val="00EA431B"/>
    <w:rsid w:val="00EB5EB1"/>
    <w:rsid w:val="00EC2B3F"/>
    <w:rsid w:val="00EC4C8F"/>
    <w:rsid w:val="00EC5DD1"/>
    <w:rsid w:val="00ED047E"/>
    <w:rsid w:val="00ED1E50"/>
    <w:rsid w:val="00ED2B82"/>
    <w:rsid w:val="00ED5708"/>
    <w:rsid w:val="00EE2387"/>
    <w:rsid w:val="00EE773D"/>
    <w:rsid w:val="00EE7988"/>
    <w:rsid w:val="00F170DF"/>
    <w:rsid w:val="00F17BCA"/>
    <w:rsid w:val="00F2676C"/>
    <w:rsid w:val="00F27C01"/>
    <w:rsid w:val="00F30519"/>
    <w:rsid w:val="00F31B57"/>
    <w:rsid w:val="00F32632"/>
    <w:rsid w:val="00F40480"/>
    <w:rsid w:val="00F4208A"/>
    <w:rsid w:val="00F44EBA"/>
    <w:rsid w:val="00F529EE"/>
    <w:rsid w:val="00F54867"/>
    <w:rsid w:val="00F61252"/>
    <w:rsid w:val="00F62A0B"/>
    <w:rsid w:val="00F712C3"/>
    <w:rsid w:val="00F74799"/>
    <w:rsid w:val="00F81FA9"/>
    <w:rsid w:val="00F82D9C"/>
    <w:rsid w:val="00F96935"/>
    <w:rsid w:val="00F97623"/>
    <w:rsid w:val="00FA1CD4"/>
    <w:rsid w:val="00FB1C9D"/>
    <w:rsid w:val="00FB1D7D"/>
    <w:rsid w:val="00FB3D8B"/>
    <w:rsid w:val="00FC59F3"/>
    <w:rsid w:val="00FD4184"/>
    <w:rsid w:val="00FD555D"/>
    <w:rsid w:val="00FE1A57"/>
    <w:rsid w:val="00FE4335"/>
    <w:rsid w:val="00FE68D6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5F8088"/>
  <w15:chartTrackingRefBased/>
  <w15:docId w15:val="{4E1DBFB8-A9E3-41A4-BA21-AFB88898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B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65BB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E1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D4149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D4149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D4149F"/>
    <w:pPr>
      <w:spacing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D4149F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carnacion.lorenzo@uam.e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mailto:emiliano.martinez@uam.es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B6BCF1B79B6846BFADBAEE2F14B775" ma:contentTypeVersion="14" ma:contentTypeDescription="Crear nuevo documento." ma:contentTypeScope="" ma:versionID="b0aea0f8dfadf1f371a7a5fc3f036649">
  <xsd:schema xmlns:xsd="http://www.w3.org/2001/XMLSchema" xmlns:xs="http://www.w3.org/2001/XMLSchema" xmlns:p="http://schemas.microsoft.com/office/2006/metadata/properties" xmlns:ns3="c2e9d25b-8e67-42cf-9758-1a9926677158" xmlns:ns4="44d5d9f3-a20e-412e-93eb-8f61b80452fc" targetNamespace="http://schemas.microsoft.com/office/2006/metadata/properties" ma:root="true" ma:fieldsID="d8119c5a6659c9138dd5c1e7631a8c1b" ns3:_="" ns4:_="">
    <xsd:import namespace="c2e9d25b-8e67-42cf-9758-1a9926677158"/>
    <xsd:import namespace="44d5d9f3-a20e-412e-93eb-8f61b80452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9d25b-8e67-42cf-9758-1a9926677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5d9f3-a20e-412e-93eb-8f61b8045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05A8F-E2D7-493B-907F-66EFE7193095}">
  <ds:schemaRefs>
    <ds:schemaRef ds:uri="http://purl.org/dc/terms/"/>
    <ds:schemaRef ds:uri="http://schemas.microsoft.com/office/2006/documentManagement/types"/>
    <ds:schemaRef ds:uri="http://purl.org/dc/dcmitype/"/>
    <ds:schemaRef ds:uri="44d5d9f3-a20e-412e-93eb-8f61b80452f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2e9d25b-8e67-42cf-9758-1a992667715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CC67206-15D0-44B1-BCA2-5818AC95C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DF442-2F8B-45FC-803D-A282399E0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9d25b-8e67-42cf-9758-1a9926677158"/>
    <ds:schemaRef ds:uri="44d5d9f3-a20e-412e-93eb-8f61b8045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Madrid</Company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Emiliano Martinez Periñan</dc:creator>
  <cp:keywords/>
  <dc:description/>
  <cp:lastModifiedBy>Emiliano Martinez Periñan</cp:lastModifiedBy>
  <cp:revision>2</cp:revision>
  <dcterms:created xsi:type="dcterms:W3CDTF">2022-02-10T13:15:00Z</dcterms:created>
  <dcterms:modified xsi:type="dcterms:W3CDTF">2022-02-10T13:15:00Z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0x010100BCB6BCF1B79B6846BFADBAEE2F14B775</vt:lpwstr>
  </property>
</Properties>
</file>