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hartEx2.xml" ContentType="application/vnd.ms-office.chartex+xml"/>
  <Override PartName="/word/charts/chartEx3.xml" ContentType="application/vnd.ms-office.chartex+xml"/>
  <Override PartName="/word/charts/chartEx4.xml" ContentType="application/vnd.ms-office.chartex+xml"/>
  <Override PartName="/word/charts/colors5.xml" ContentType="application/vnd.ms-office.chartcolorstyle+xml"/>
  <Override PartName="/word/charts/style5.xml" ContentType="application/vnd.ms-office.chartstyle+xml"/>
  <Override PartName="/word/charts/colors6.xml" ContentType="application/vnd.ms-office.chartcolorstyle+xml"/>
  <Override PartName="/word/charts/style6.xml" ContentType="application/vnd.ms-office.chartstyle+xml"/>
  <Override PartName="/word/charts/colors7.xml" ContentType="application/vnd.ms-office.chartcolorstyle+xml"/>
  <Override PartName="/word/charts/style7.xml" ContentType="application/vnd.ms-office.chartstyle+xml"/>
  <Override PartName="/word/charts/colors8.xml" ContentType="application/vnd.ms-office.chartcolorstyle+xml"/>
  <Override PartName="/word/charts/style8.xml" ContentType="application/vnd.ms-office.chartstyle+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9E1F7" w14:textId="77777777" w:rsidR="00F85F44" w:rsidRPr="003B4E54" w:rsidRDefault="00F85F44">
      <w:pPr>
        <w:rPr>
          <w:rFonts w:ascii="Times New Roman" w:hAnsi="Times New Roman" w:cs="Times New Roman"/>
        </w:rPr>
      </w:pPr>
    </w:p>
    <w:p w14:paraId="02835F40" w14:textId="594E6B0E" w:rsidR="00F85F44" w:rsidRPr="003B4E54" w:rsidRDefault="00171A06" w:rsidP="00F155E8">
      <w:pPr>
        <w:pStyle w:val="Title"/>
        <w:spacing w:line="276" w:lineRule="auto"/>
        <w:rPr>
          <w:rFonts w:ascii="Times New Roman" w:hAnsi="Times New Roman" w:cs="Times New Roman"/>
          <w:i w:val="0"/>
          <w:sz w:val="28"/>
          <w:szCs w:val="28"/>
        </w:rPr>
      </w:pPr>
      <w:r w:rsidRPr="003B4E54">
        <w:rPr>
          <w:rFonts w:ascii="Times New Roman" w:hAnsi="Times New Roman" w:cs="Times New Roman"/>
          <w:i w:val="0"/>
          <w:sz w:val="28"/>
          <w:szCs w:val="28"/>
        </w:rPr>
        <w:t xml:space="preserve">Electronic Supplementary </w:t>
      </w:r>
      <w:r w:rsidR="00E643C1" w:rsidRPr="003B4E54">
        <w:rPr>
          <w:rFonts w:ascii="Times New Roman" w:hAnsi="Times New Roman" w:cs="Times New Roman"/>
          <w:i w:val="0"/>
          <w:sz w:val="28"/>
          <w:szCs w:val="28"/>
        </w:rPr>
        <w:t>Material</w:t>
      </w:r>
    </w:p>
    <w:p w14:paraId="4A0AD0E0" w14:textId="77777777" w:rsidR="00F85F44" w:rsidRPr="003B4E54" w:rsidRDefault="00F85F44" w:rsidP="00F155E8">
      <w:pPr>
        <w:spacing w:line="276" w:lineRule="auto"/>
        <w:rPr>
          <w:rFonts w:ascii="Times New Roman" w:hAnsi="Times New Roman" w:cs="Times New Roman"/>
        </w:rPr>
      </w:pPr>
    </w:p>
    <w:p w14:paraId="1C8FF4DF" w14:textId="77777777" w:rsidR="00F85F44" w:rsidRPr="003B4E54" w:rsidRDefault="00F85F44" w:rsidP="00F155E8">
      <w:pPr>
        <w:spacing w:line="276" w:lineRule="auto"/>
        <w:rPr>
          <w:rFonts w:ascii="Times New Roman" w:hAnsi="Times New Roman" w:cs="Times New Roman"/>
        </w:rPr>
      </w:pPr>
    </w:p>
    <w:p w14:paraId="2F1D44EB" w14:textId="10E9B64D" w:rsidR="00F85F44" w:rsidRPr="003B4E54" w:rsidRDefault="00F85F44" w:rsidP="00F155E8">
      <w:pPr>
        <w:spacing w:line="276" w:lineRule="auto"/>
        <w:rPr>
          <w:rFonts w:ascii="Times New Roman" w:hAnsi="Times New Roman" w:cs="Times New Roman"/>
          <w:sz w:val="22"/>
        </w:rPr>
      </w:pPr>
      <w:r w:rsidRPr="003B4E54">
        <w:rPr>
          <w:rFonts w:ascii="Times New Roman" w:hAnsi="Times New Roman" w:cs="Times New Roman"/>
          <w:sz w:val="22"/>
        </w:rPr>
        <w:t>to the paper</w:t>
      </w:r>
    </w:p>
    <w:p w14:paraId="28455F19" w14:textId="77777777" w:rsidR="00F85F44" w:rsidRPr="003B4E54" w:rsidRDefault="00F85F44" w:rsidP="00F155E8">
      <w:pPr>
        <w:spacing w:line="276" w:lineRule="auto"/>
        <w:rPr>
          <w:rFonts w:ascii="Times New Roman" w:hAnsi="Times New Roman" w:cs="Times New Roman"/>
        </w:rPr>
      </w:pPr>
    </w:p>
    <w:p w14:paraId="6420B0CC" w14:textId="77777777" w:rsidR="00F155E8" w:rsidRPr="003B4E54" w:rsidRDefault="00F155E8" w:rsidP="00F155E8">
      <w:pPr>
        <w:spacing w:line="276" w:lineRule="auto"/>
        <w:rPr>
          <w:rFonts w:ascii="Times New Roman" w:hAnsi="Times New Roman" w:cs="Times New Roman"/>
        </w:rPr>
      </w:pPr>
    </w:p>
    <w:p w14:paraId="1EB89D9F" w14:textId="77777777" w:rsidR="00A46219" w:rsidRPr="00EB5EED" w:rsidRDefault="00A46219" w:rsidP="00A46219">
      <w:pPr>
        <w:jc w:val="both"/>
        <w:rPr>
          <w:rFonts w:ascii="Times New Roman" w:hAnsi="Times New Roman" w:cs="Times New Roman"/>
          <w:b/>
        </w:rPr>
      </w:pPr>
      <w:r w:rsidRPr="00EB5EED">
        <w:rPr>
          <w:rFonts w:ascii="Times New Roman" w:hAnsi="Times New Roman" w:cs="Times New Roman"/>
          <w:b/>
        </w:rPr>
        <w:t>An effective validation of analytical method for determination of a polar complexing agent: the illustrative case of cytotoxic bleomycin</w:t>
      </w:r>
    </w:p>
    <w:p w14:paraId="7FE8CED5" w14:textId="77777777" w:rsidR="00E643C1" w:rsidRPr="003B4E54" w:rsidRDefault="00E643C1" w:rsidP="00E643C1">
      <w:pPr>
        <w:rPr>
          <w:rFonts w:ascii="Times New Roman" w:hAnsi="Times New Roman" w:cs="Times New Roman"/>
        </w:rPr>
      </w:pPr>
    </w:p>
    <w:p w14:paraId="2153AFCA" w14:textId="77777777" w:rsidR="00E643C1" w:rsidRPr="003B4E54" w:rsidRDefault="00E643C1" w:rsidP="00E643C1">
      <w:pPr>
        <w:rPr>
          <w:rFonts w:ascii="Times New Roman" w:hAnsi="Times New Roman" w:cs="Times New Roman"/>
        </w:rPr>
      </w:pPr>
    </w:p>
    <w:p w14:paraId="39C468AE" w14:textId="40AFF91D" w:rsidR="00A46219" w:rsidRDefault="00A46219" w:rsidP="00A46219">
      <w:pPr>
        <w:jc w:val="both"/>
        <w:rPr>
          <w:rFonts w:ascii="Times New Roman" w:eastAsiaTheme="majorEastAsia" w:hAnsi="Times New Roman" w:cs="Times New Roman"/>
          <w:szCs w:val="20"/>
        </w:rPr>
      </w:pPr>
      <w:r w:rsidRPr="00A46219">
        <w:rPr>
          <w:rFonts w:ascii="Times New Roman" w:eastAsiaTheme="majorEastAsia" w:hAnsi="Times New Roman" w:cs="Times New Roman"/>
          <w:szCs w:val="20"/>
        </w:rPr>
        <w:t>Helena Plesnik</w:t>
      </w:r>
      <w:r w:rsidRPr="00A46219">
        <w:rPr>
          <w:rFonts w:ascii="Times New Roman" w:eastAsiaTheme="majorEastAsia" w:hAnsi="Times New Roman" w:cs="Times New Roman"/>
          <w:szCs w:val="20"/>
          <w:vertAlign w:val="superscript"/>
        </w:rPr>
        <w:t>1,2</w:t>
      </w:r>
      <w:r w:rsidRPr="00A46219">
        <w:rPr>
          <w:rFonts w:ascii="Times New Roman" w:eastAsiaTheme="majorEastAsia" w:hAnsi="Times New Roman" w:cs="Times New Roman"/>
          <w:szCs w:val="20"/>
        </w:rPr>
        <w:t>, Masa Bosnjak</w:t>
      </w:r>
      <w:r w:rsidRPr="00A46219">
        <w:rPr>
          <w:rFonts w:ascii="Times New Roman" w:eastAsiaTheme="majorEastAsia" w:hAnsi="Times New Roman" w:cs="Times New Roman"/>
          <w:szCs w:val="20"/>
          <w:vertAlign w:val="superscript"/>
        </w:rPr>
        <w:t>3,4</w:t>
      </w:r>
      <w:r w:rsidRPr="00A46219">
        <w:rPr>
          <w:rFonts w:ascii="Times New Roman" w:eastAsiaTheme="majorEastAsia" w:hAnsi="Times New Roman" w:cs="Times New Roman"/>
          <w:szCs w:val="20"/>
        </w:rPr>
        <w:t>, Maja Cemazar</w:t>
      </w:r>
      <w:r w:rsidRPr="00A46219">
        <w:rPr>
          <w:rFonts w:ascii="Times New Roman" w:eastAsiaTheme="majorEastAsia" w:hAnsi="Times New Roman" w:cs="Times New Roman"/>
          <w:szCs w:val="20"/>
          <w:vertAlign w:val="superscript"/>
        </w:rPr>
        <w:t>3,5</w:t>
      </w:r>
      <w:r w:rsidRPr="00A46219">
        <w:rPr>
          <w:rFonts w:ascii="Times New Roman" w:eastAsiaTheme="majorEastAsia" w:hAnsi="Times New Roman" w:cs="Times New Roman"/>
          <w:szCs w:val="20"/>
        </w:rPr>
        <w:t>, Gregor Sersa</w:t>
      </w:r>
      <w:r w:rsidRPr="00A46219">
        <w:rPr>
          <w:rFonts w:ascii="Times New Roman" w:eastAsiaTheme="majorEastAsia" w:hAnsi="Times New Roman" w:cs="Times New Roman"/>
          <w:szCs w:val="20"/>
          <w:vertAlign w:val="superscript"/>
        </w:rPr>
        <w:t>3,6</w:t>
      </w:r>
      <w:r w:rsidRPr="00A46219">
        <w:rPr>
          <w:rFonts w:ascii="Times New Roman" w:eastAsiaTheme="majorEastAsia" w:hAnsi="Times New Roman" w:cs="Times New Roman"/>
          <w:szCs w:val="20"/>
        </w:rPr>
        <w:t>, Tina Kosjek</w:t>
      </w:r>
      <w:r w:rsidRPr="00A46219">
        <w:rPr>
          <w:rFonts w:ascii="Times New Roman" w:eastAsiaTheme="majorEastAsia" w:hAnsi="Times New Roman" w:cs="Times New Roman"/>
          <w:szCs w:val="20"/>
          <w:vertAlign w:val="superscript"/>
        </w:rPr>
        <w:t>1,2</w:t>
      </w:r>
      <w:r w:rsidRPr="00A46219">
        <w:rPr>
          <w:rFonts w:ascii="Times New Roman" w:eastAsiaTheme="majorEastAsia" w:hAnsi="Times New Roman" w:cs="Times New Roman"/>
          <w:szCs w:val="20"/>
        </w:rPr>
        <w:t>*</w:t>
      </w:r>
    </w:p>
    <w:p w14:paraId="39F49C49" w14:textId="77777777" w:rsidR="00A46219" w:rsidRPr="00A46219" w:rsidRDefault="00A46219" w:rsidP="00A46219">
      <w:pPr>
        <w:jc w:val="both"/>
        <w:rPr>
          <w:rFonts w:ascii="Times New Roman" w:eastAsiaTheme="majorEastAsia" w:hAnsi="Times New Roman" w:cs="Times New Roman"/>
          <w:szCs w:val="20"/>
        </w:rPr>
      </w:pPr>
    </w:p>
    <w:p w14:paraId="3EF0B400" w14:textId="77777777" w:rsidR="00A46219" w:rsidRPr="00A46219" w:rsidRDefault="00A46219" w:rsidP="00A46219">
      <w:pPr>
        <w:jc w:val="both"/>
        <w:rPr>
          <w:rFonts w:ascii="Times New Roman" w:eastAsiaTheme="majorEastAsia" w:hAnsi="Times New Roman" w:cs="Times New Roman"/>
          <w:szCs w:val="20"/>
        </w:rPr>
      </w:pPr>
      <w:r w:rsidRPr="00A46219">
        <w:rPr>
          <w:rFonts w:ascii="Times New Roman" w:eastAsiaTheme="majorEastAsia" w:hAnsi="Times New Roman" w:cs="Times New Roman"/>
          <w:szCs w:val="20"/>
          <w:vertAlign w:val="superscript"/>
        </w:rPr>
        <w:t>1</w:t>
      </w:r>
      <w:r w:rsidRPr="00A46219">
        <w:rPr>
          <w:rFonts w:ascii="Times New Roman" w:eastAsiaTheme="majorEastAsia" w:hAnsi="Times New Roman" w:cs="Times New Roman"/>
          <w:szCs w:val="20"/>
        </w:rPr>
        <w:t xml:space="preserve">Department of Environmental Sciences, </w:t>
      </w:r>
      <w:proofErr w:type="spellStart"/>
      <w:r w:rsidRPr="00A46219">
        <w:rPr>
          <w:rFonts w:ascii="Times New Roman" w:eastAsiaTheme="majorEastAsia" w:hAnsi="Times New Roman" w:cs="Times New Roman"/>
          <w:szCs w:val="20"/>
        </w:rPr>
        <w:t>Jozef</w:t>
      </w:r>
      <w:proofErr w:type="spellEnd"/>
      <w:r w:rsidRPr="00A46219">
        <w:rPr>
          <w:rFonts w:ascii="Times New Roman" w:eastAsiaTheme="majorEastAsia" w:hAnsi="Times New Roman" w:cs="Times New Roman"/>
          <w:szCs w:val="20"/>
        </w:rPr>
        <w:t xml:space="preserve"> Stefan Institute, </w:t>
      </w:r>
      <w:proofErr w:type="spellStart"/>
      <w:r w:rsidRPr="00A46219">
        <w:rPr>
          <w:rFonts w:ascii="Times New Roman" w:eastAsiaTheme="majorEastAsia" w:hAnsi="Times New Roman" w:cs="Times New Roman"/>
          <w:szCs w:val="20"/>
        </w:rPr>
        <w:t>Jamova</w:t>
      </w:r>
      <w:proofErr w:type="spellEnd"/>
      <w:r w:rsidRPr="00A46219">
        <w:rPr>
          <w:rFonts w:ascii="Times New Roman" w:eastAsiaTheme="majorEastAsia" w:hAnsi="Times New Roman" w:cs="Times New Roman"/>
          <w:szCs w:val="20"/>
        </w:rPr>
        <w:t xml:space="preserve"> 39, 1000 Ljubljana, Slovenia</w:t>
      </w:r>
    </w:p>
    <w:p w14:paraId="33364735" w14:textId="77777777" w:rsidR="00A46219" w:rsidRPr="00A46219" w:rsidRDefault="00A46219" w:rsidP="00A46219">
      <w:pPr>
        <w:rPr>
          <w:rFonts w:ascii="Garamond" w:hAnsi="Garamond"/>
          <w:i/>
          <w:sz w:val="32"/>
        </w:rPr>
      </w:pPr>
      <w:r w:rsidRPr="00A46219">
        <w:rPr>
          <w:rFonts w:ascii="Times New Roman" w:eastAsiaTheme="majorEastAsia" w:hAnsi="Times New Roman" w:cs="Times New Roman"/>
          <w:szCs w:val="20"/>
          <w:vertAlign w:val="superscript"/>
        </w:rPr>
        <w:t>2</w:t>
      </w:r>
      <w:r w:rsidRPr="00A46219">
        <w:rPr>
          <w:rFonts w:ascii="Times New Roman" w:eastAsiaTheme="majorEastAsia" w:hAnsi="Times New Roman" w:cs="Times New Roman"/>
          <w:szCs w:val="20"/>
        </w:rPr>
        <w:t xml:space="preserve">International Postgraduate School </w:t>
      </w:r>
      <w:proofErr w:type="spellStart"/>
      <w:r w:rsidRPr="00A46219">
        <w:rPr>
          <w:rFonts w:ascii="Times New Roman" w:eastAsiaTheme="majorEastAsia" w:hAnsi="Times New Roman" w:cs="Times New Roman"/>
          <w:szCs w:val="20"/>
        </w:rPr>
        <w:t>Jozef</w:t>
      </w:r>
      <w:proofErr w:type="spellEnd"/>
      <w:r w:rsidRPr="00A46219">
        <w:rPr>
          <w:rFonts w:ascii="Times New Roman" w:eastAsiaTheme="majorEastAsia" w:hAnsi="Times New Roman" w:cs="Times New Roman"/>
          <w:szCs w:val="20"/>
        </w:rPr>
        <w:t xml:space="preserve"> Stefan, </w:t>
      </w:r>
      <w:proofErr w:type="spellStart"/>
      <w:r w:rsidRPr="00A46219">
        <w:rPr>
          <w:rFonts w:ascii="Times New Roman" w:eastAsiaTheme="majorEastAsia" w:hAnsi="Times New Roman" w:cs="Times New Roman"/>
          <w:szCs w:val="20"/>
        </w:rPr>
        <w:t>Jamova</w:t>
      </w:r>
      <w:proofErr w:type="spellEnd"/>
      <w:r w:rsidRPr="00A46219">
        <w:rPr>
          <w:rFonts w:ascii="Times New Roman" w:eastAsiaTheme="majorEastAsia" w:hAnsi="Times New Roman" w:cs="Times New Roman"/>
          <w:szCs w:val="20"/>
        </w:rPr>
        <w:t xml:space="preserve"> </w:t>
      </w:r>
      <w:proofErr w:type="spellStart"/>
      <w:r w:rsidRPr="00A46219">
        <w:rPr>
          <w:rFonts w:ascii="Times New Roman" w:eastAsiaTheme="majorEastAsia" w:hAnsi="Times New Roman" w:cs="Times New Roman"/>
          <w:szCs w:val="20"/>
        </w:rPr>
        <w:t>cesta</w:t>
      </w:r>
      <w:proofErr w:type="spellEnd"/>
      <w:r w:rsidRPr="00A46219">
        <w:rPr>
          <w:rFonts w:ascii="Times New Roman" w:eastAsiaTheme="majorEastAsia" w:hAnsi="Times New Roman" w:cs="Times New Roman"/>
          <w:szCs w:val="20"/>
        </w:rPr>
        <w:t xml:space="preserve"> 39, 1000 Ljubljana, Slovenia</w:t>
      </w:r>
    </w:p>
    <w:p w14:paraId="4456829D" w14:textId="77777777" w:rsidR="00A46219" w:rsidRPr="00A46219" w:rsidRDefault="00A46219" w:rsidP="00A46219">
      <w:pPr>
        <w:rPr>
          <w:rFonts w:ascii="Times New Roman" w:eastAsiaTheme="majorEastAsia" w:hAnsi="Times New Roman" w:cs="Times New Roman"/>
          <w:szCs w:val="20"/>
        </w:rPr>
      </w:pPr>
      <w:r w:rsidRPr="00A46219">
        <w:rPr>
          <w:rFonts w:ascii="Times New Roman" w:eastAsiaTheme="majorEastAsia" w:hAnsi="Times New Roman" w:cs="Times New Roman"/>
          <w:szCs w:val="20"/>
          <w:vertAlign w:val="superscript"/>
        </w:rPr>
        <w:t>3</w:t>
      </w:r>
      <w:r w:rsidRPr="00A46219">
        <w:rPr>
          <w:rFonts w:ascii="Times New Roman" w:eastAsiaTheme="majorEastAsia" w:hAnsi="Times New Roman" w:cs="Times New Roman"/>
          <w:szCs w:val="20"/>
        </w:rPr>
        <w:t xml:space="preserve">Department of Experimental Oncology, Institute of Oncology Ljubljana, </w:t>
      </w:r>
      <w:proofErr w:type="spellStart"/>
      <w:r w:rsidRPr="00A46219">
        <w:rPr>
          <w:rFonts w:ascii="Times New Roman" w:eastAsiaTheme="majorEastAsia" w:hAnsi="Times New Roman" w:cs="Times New Roman"/>
          <w:szCs w:val="20"/>
        </w:rPr>
        <w:t>Zaloska</w:t>
      </w:r>
      <w:proofErr w:type="spellEnd"/>
      <w:r w:rsidRPr="00A46219">
        <w:rPr>
          <w:rFonts w:ascii="Times New Roman" w:eastAsiaTheme="majorEastAsia" w:hAnsi="Times New Roman" w:cs="Times New Roman"/>
          <w:szCs w:val="20"/>
        </w:rPr>
        <w:t xml:space="preserve"> 2, 1000 Ljubljana, Slovenia</w:t>
      </w:r>
    </w:p>
    <w:p w14:paraId="45DD8A04" w14:textId="77777777" w:rsidR="00A46219" w:rsidRPr="00A46219" w:rsidRDefault="00A46219" w:rsidP="00A46219">
      <w:pPr>
        <w:rPr>
          <w:rFonts w:ascii="Times New Roman" w:eastAsiaTheme="majorEastAsia" w:hAnsi="Times New Roman" w:cs="Times New Roman"/>
          <w:szCs w:val="20"/>
        </w:rPr>
      </w:pPr>
      <w:r w:rsidRPr="00A46219">
        <w:rPr>
          <w:rFonts w:ascii="Times New Roman" w:eastAsiaTheme="majorEastAsia" w:hAnsi="Times New Roman" w:cs="Times New Roman"/>
          <w:szCs w:val="20"/>
          <w:vertAlign w:val="superscript"/>
        </w:rPr>
        <w:t>4</w:t>
      </w:r>
      <w:r w:rsidRPr="00A46219">
        <w:rPr>
          <w:rFonts w:ascii="Times New Roman" w:eastAsiaTheme="majorEastAsia" w:hAnsi="Times New Roman" w:cs="Times New Roman"/>
          <w:szCs w:val="20"/>
        </w:rPr>
        <w:t xml:space="preserve">Faculty of Pharmacy, University of Ljubljana, </w:t>
      </w:r>
      <w:proofErr w:type="spellStart"/>
      <w:r w:rsidRPr="00A46219">
        <w:rPr>
          <w:rFonts w:ascii="Times New Roman" w:eastAsiaTheme="majorEastAsia" w:hAnsi="Times New Roman" w:cs="Times New Roman"/>
          <w:szCs w:val="20"/>
        </w:rPr>
        <w:t>Askerceva</w:t>
      </w:r>
      <w:proofErr w:type="spellEnd"/>
      <w:r w:rsidRPr="00A46219">
        <w:rPr>
          <w:rFonts w:ascii="Times New Roman" w:eastAsiaTheme="majorEastAsia" w:hAnsi="Times New Roman" w:cs="Times New Roman"/>
          <w:szCs w:val="20"/>
        </w:rPr>
        <w:t xml:space="preserve"> 7, 1000 Ljubljana, Slovenia</w:t>
      </w:r>
    </w:p>
    <w:p w14:paraId="5F049225" w14:textId="77777777" w:rsidR="00A46219" w:rsidRPr="00A46219" w:rsidRDefault="00A46219" w:rsidP="00A46219">
      <w:pPr>
        <w:rPr>
          <w:rFonts w:ascii="Times New Roman" w:eastAsiaTheme="majorEastAsia" w:hAnsi="Times New Roman" w:cs="Times New Roman"/>
          <w:szCs w:val="20"/>
        </w:rPr>
      </w:pPr>
      <w:r w:rsidRPr="00A46219">
        <w:rPr>
          <w:rFonts w:ascii="Times New Roman" w:eastAsiaTheme="majorEastAsia" w:hAnsi="Times New Roman" w:cs="Times New Roman"/>
          <w:szCs w:val="20"/>
          <w:vertAlign w:val="superscript"/>
        </w:rPr>
        <w:t>5</w:t>
      </w:r>
      <w:r w:rsidRPr="00A46219">
        <w:rPr>
          <w:rFonts w:ascii="Times New Roman" w:eastAsiaTheme="majorEastAsia" w:hAnsi="Times New Roman" w:cs="Times New Roman"/>
          <w:szCs w:val="20"/>
        </w:rPr>
        <w:t xml:space="preserve">Faculty of Health Sciences, University of </w:t>
      </w:r>
      <w:proofErr w:type="spellStart"/>
      <w:r w:rsidRPr="00A46219">
        <w:rPr>
          <w:rFonts w:ascii="Times New Roman" w:eastAsiaTheme="majorEastAsia" w:hAnsi="Times New Roman" w:cs="Times New Roman"/>
          <w:szCs w:val="20"/>
        </w:rPr>
        <w:t>Primorska</w:t>
      </w:r>
      <w:proofErr w:type="spellEnd"/>
      <w:r w:rsidRPr="00A46219">
        <w:rPr>
          <w:rFonts w:ascii="Times New Roman" w:eastAsiaTheme="majorEastAsia" w:hAnsi="Times New Roman" w:cs="Times New Roman"/>
          <w:szCs w:val="20"/>
        </w:rPr>
        <w:t xml:space="preserve">, </w:t>
      </w:r>
      <w:proofErr w:type="spellStart"/>
      <w:r w:rsidRPr="00A46219">
        <w:rPr>
          <w:rFonts w:ascii="Times New Roman" w:eastAsiaTheme="majorEastAsia" w:hAnsi="Times New Roman" w:cs="Times New Roman"/>
          <w:szCs w:val="20"/>
        </w:rPr>
        <w:t>Polje</w:t>
      </w:r>
      <w:proofErr w:type="spellEnd"/>
      <w:r w:rsidRPr="00A46219">
        <w:rPr>
          <w:rFonts w:ascii="Times New Roman" w:eastAsiaTheme="majorEastAsia" w:hAnsi="Times New Roman" w:cs="Times New Roman"/>
          <w:szCs w:val="20"/>
        </w:rPr>
        <w:t xml:space="preserve"> 42, 6310 Izola, Slovenia </w:t>
      </w:r>
    </w:p>
    <w:p w14:paraId="4D677559" w14:textId="77777777" w:rsidR="00A46219" w:rsidRPr="00A46219" w:rsidRDefault="00A46219" w:rsidP="00A46219">
      <w:pPr>
        <w:rPr>
          <w:rFonts w:ascii="Times New Roman" w:eastAsiaTheme="majorEastAsia" w:hAnsi="Times New Roman" w:cs="Times New Roman"/>
          <w:szCs w:val="20"/>
        </w:rPr>
      </w:pPr>
      <w:r w:rsidRPr="00A46219">
        <w:rPr>
          <w:rFonts w:ascii="Times New Roman" w:eastAsiaTheme="majorEastAsia" w:hAnsi="Times New Roman" w:cs="Times New Roman"/>
          <w:szCs w:val="20"/>
          <w:vertAlign w:val="superscript"/>
        </w:rPr>
        <w:t>6</w:t>
      </w:r>
      <w:r w:rsidRPr="00A46219">
        <w:rPr>
          <w:rFonts w:ascii="Times New Roman" w:eastAsiaTheme="majorEastAsia" w:hAnsi="Times New Roman" w:cs="Times New Roman"/>
          <w:szCs w:val="20"/>
        </w:rPr>
        <w:t xml:space="preserve">Faculty of Health Sciences, University of Ljubljana, </w:t>
      </w:r>
      <w:proofErr w:type="spellStart"/>
      <w:r w:rsidRPr="00A46219">
        <w:rPr>
          <w:rFonts w:ascii="Times New Roman" w:eastAsiaTheme="majorEastAsia" w:hAnsi="Times New Roman" w:cs="Times New Roman"/>
          <w:szCs w:val="20"/>
        </w:rPr>
        <w:t>Zdravstvena</w:t>
      </w:r>
      <w:proofErr w:type="spellEnd"/>
      <w:r w:rsidRPr="00A46219">
        <w:rPr>
          <w:rFonts w:ascii="Times New Roman" w:eastAsiaTheme="majorEastAsia" w:hAnsi="Times New Roman" w:cs="Times New Roman"/>
          <w:szCs w:val="20"/>
        </w:rPr>
        <w:t xml:space="preserve"> pot 5, 1000 Ljubljana, Slovenia</w:t>
      </w:r>
    </w:p>
    <w:p w14:paraId="1FCC4603" w14:textId="77777777" w:rsidR="00A46219" w:rsidRDefault="00A46219" w:rsidP="00AB204F">
      <w:pPr>
        <w:jc w:val="both"/>
        <w:rPr>
          <w:rFonts w:ascii="Times New Roman" w:eastAsiaTheme="majorEastAsia" w:hAnsi="Times New Roman" w:cs="Times New Roman"/>
        </w:rPr>
      </w:pPr>
    </w:p>
    <w:p w14:paraId="47B231EB" w14:textId="77777777" w:rsidR="00AB204F" w:rsidRPr="003B4E54" w:rsidRDefault="00AB204F" w:rsidP="00AB204F">
      <w:pPr>
        <w:jc w:val="both"/>
        <w:rPr>
          <w:rFonts w:ascii="Times New Roman" w:eastAsiaTheme="majorEastAsia" w:hAnsi="Times New Roman" w:cs="Times New Roman"/>
        </w:rPr>
      </w:pPr>
    </w:p>
    <w:p w14:paraId="1A31DC0A" w14:textId="616B7D39" w:rsidR="00AB204F" w:rsidRPr="003B4E54" w:rsidRDefault="00AB204F" w:rsidP="00AB204F">
      <w:pPr>
        <w:jc w:val="both"/>
        <w:rPr>
          <w:rStyle w:val="Hyperlink"/>
          <w:rFonts w:ascii="Times New Roman" w:hAnsi="Times New Roman" w:cs="Times New Roman"/>
          <w:color w:val="auto"/>
        </w:rPr>
      </w:pPr>
      <w:r w:rsidRPr="003B4E54">
        <w:rPr>
          <w:rFonts w:ascii="Times New Roman" w:eastAsiaTheme="majorEastAsia" w:hAnsi="Times New Roman" w:cs="Times New Roman"/>
        </w:rPr>
        <w:t xml:space="preserve">*Correspondence to: </w:t>
      </w:r>
      <w:r w:rsidRPr="003B4E54">
        <w:rPr>
          <w:rFonts w:ascii="Times New Roman" w:hAnsi="Times New Roman" w:cs="Times New Roman"/>
        </w:rPr>
        <w:t xml:space="preserve">Tina Kosjek, E-mail: </w:t>
      </w:r>
      <w:hyperlink r:id="rId9" w:history="1">
        <w:r w:rsidRPr="003B4E54">
          <w:rPr>
            <w:rStyle w:val="Hyperlink"/>
            <w:rFonts w:ascii="Times New Roman" w:hAnsi="Times New Roman" w:cs="Times New Roman"/>
            <w:color w:val="auto"/>
          </w:rPr>
          <w:t>tina.kosjek@ijs.si</w:t>
        </w:r>
      </w:hyperlink>
      <w:r w:rsidRPr="006F363E">
        <w:rPr>
          <w:rStyle w:val="Hyperlink"/>
          <w:rFonts w:ascii="Times New Roman" w:hAnsi="Times New Roman" w:cs="Times New Roman"/>
          <w:color w:val="auto"/>
          <w:u w:val="none"/>
        </w:rPr>
        <w:t xml:space="preserve">, </w:t>
      </w:r>
      <w:r w:rsidRPr="003B4E54">
        <w:rPr>
          <w:rFonts w:ascii="Times New Roman" w:hAnsi="Times New Roman" w:cs="Times New Roman"/>
        </w:rPr>
        <w:t>Tel.: +38614773288</w:t>
      </w:r>
    </w:p>
    <w:p w14:paraId="5749FDF8" w14:textId="77777777" w:rsidR="00741791" w:rsidRPr="003B4E54" w:rsidRDefault="00741791" w:rsidP="00741791">
      <w:pPr>
        <w:pStyle w:val="BCAuthorAddress"/>
        <w:spacing w:line="276" w:lineRule="auto"/>
        <w:rPr>
          <w:rFonts w:ascii="Times New Roman" w:hAnsi="Times New Roman"/>
          <w:sz w:val="24"/>
          <w:szCs w:val="24"/>
        </w:rPr>
      </w:pPr>
    </w:p>
    <w:p w14:paraId="52C721E4" w14:textId="77777777" w:rsidR="00CE2D5E" w:rsidRPr="003B4E54" w:rsidRDefault="00CE2D5E" w:rsidP="00F155E8">
      <w:pPr>
        <w:spacing w:line="276" w:lineRule="auto"/>
        <w:rPr>
          <w:rFonts w:ascii="Times New Roman" w:hAnsi="Times New Roman" w:cs="Times New Roman"/>
          <w:i/>
          <w:sz w:val="22"/>
          <w:szCs w:val="22"/>
          <w:vertAlign w:val="superscript"/>
        </w:rPr>
      </w:pPr>
    </w:p>
    <w:p w14:paraId="3C6C0617" w14:textId="77777777" w:rsidR="00CE2D5E" w:rsidRPr="003B4E54" w:rsidRDefault="00CE2D5E" w:rsidP="00F155E8">
      <w:pPr>
        <w:spacing w:line="276" w:lineRule="auto"/>
        <w:rPr>
          <w:rFonts w:ascii="Times New Roman" w:hAnsi="Times New Roman" w:cs="Times New Roman"/>
          <w:i/>
          <w:color w:val="FF0000"/>
          <w:vertAlign w:val="superscript"/>
        </w:rPr>
      </w:pPr>
    </w:p>
    <w:p w14:paraId="1732672A" w14:textId="77777777" w:rsidR="00CE2D5E" w:rsidRPr="003B4E54" w:rsidRDefault="00CE2D5E" w:rsidP="00F155E8">
      <w:pPr>
        <w:spacing w:line="276" w:lineRule="auto"/>
        <w:rPr>
          <w:rFonts w:ascii="Times New Roman" w:hAnsi="Times New Roman" w:cs="Times New Roman"/>
          <w:i/>
          <w:color w:val="FF0000"/>
          <w:vertAlign w:val="superscript"/>
        </w:rPr>
      </w:pPr>
    </w:p>
    <w:p w14:paraId="03AC82B0" w14:textId="77777777" w:rsidR="00CE2D5E" w:rsidRPr="003B4E54" w:rsidRDefault="00CE2D5E" w:rsidP="00F155E8">
      <w:pPr>
        <w:spacing w:line="276" w:lineRule="auto"/>
        <w:rPr>
          <w:rFonts w:ascii="Times New Roman" w:hAnsi="Times New Roman" w:cs="Times New Roman"/>
          <w:i/>
          <w:color w:val="FF0000"/>
          <w:vertAlign w:val="superscript"/>
        </w:rPr>
      </w:pPr>
    </w:p>
    <w:p w14:paraId="0C1E57E8" w14:textId="77777777" w:rsidR="00CE2D5E" w:rsidRPr="003B4E54" w:rsidRDefault="00CE2D5E" w:rsidP="00F155E8">
      <w:pPr>
        <w:spacing w:line="276" w:lineRule="auto"/>
        <w:rPr>
          <w:rFonts w:ascii="Times New Roman" w:hAnsi="Times New Roman" w:cs="Times New Roman"/>
          <w:i/>
          <w:color w:val="FF0000"/>
          <w:vertAlign w:val="superscript"/>
        </w:rPr>
      </w:pPr>
    </w:p>
    <w:p w14:paraId="031F1B14" w14:textId="77777777" w:rsidR="00CE2D5E" w:rsidRPr="003B4E54" w:rsidRDefault="00CE2D5E" w:rsidP="00F155E8">
      <w:pPr>
        <w:spacing w:line="276" w:lineRule="auto"/>
        <w:rPr>
          <w:rFonts w:ascii="Times New Roman" w:hAnsi="Times New Roman" w:cs="Times New Roman"/>
          <w:i/>
          <w:color w:val="FF0000"/>
          <w:vertAlign w:val="superscript"/>
        </w:rPr>
      </w:pPr>
    </w:p>
    <w:p w14:paraId="5B5E7FCB" w14:textId="77777777" w:rsidR="00CE2D5E" w:rsidRPr="003B4E54" w:rsidRDefault="00CE2D5E" w:rsidP="00F155E8">
      <w:pPr>
        <w:spacing w:line="276" w:lineRule="auto"/>
        <w:rPr>
          <w:rFonts w:ascii="Times New Roman" w:hAnsi="Times New Roman" w:cs="Times New Roman"/>
          <w:i/>
          <w:color w:val="FF0000"/>
          <w:vertAlign w:val="superscript"/>
        </w:rPr>
      </w:pPr>
    </w:p>
    <w:p w14:paraId="53596B0F" w14:textId="77777777" w:rsidR="00CE2D5E" w:rsidRPr="003B4E54" w:rsidRDefault="00CE2D5E" w:rsidP="00F155E8">
      <w:pPr>
        <w:spacing w:line="276" w:lineRule="auto"/>
        <w:rPr>
          <w:rFonts w:ascii="Times New Roman" w:hAnsi="Times New Roman" w:cs="Times New Roman"/>
          <w:i/>
          <w:color w:val="FF0000"/>
          <w:vertAlign w:val="superscript"/>
        </w:rPr>
      </w:pPr>
    </w:p>
    <w:p w14:paraId="286D06E7" w14:textId="77777777" w:rsidR="00CE2D5E" w:rsidRPr="003B4E54" w:rsidRDefault="00CE2D5E" w:rsidP="00587298">
      <w:pPr>
        <w:spacing w:line="276" w:lineRule="auto"/>
        <w:rPr>
          <w:rFonts w:ascii="Times New Roman" w:hAnsi="Times New Roman" w:cs="Times New Roman"/>
          <w:i/>
          <w:color w:val="FF0000"/>
        </w:rPr>
      </w:pPr>
    </w:p>
    <w:p w14:paraId="085E0166" w14:textId="420BF5D5" w:rsidR="00F85F44" w:rsidRPr="003B4E54" w:rsidRDefault="00F85F44" w:rsidP="00587298">
      <w:pPr>
        <w:spacing w:line="276" w:lineRule="auto"/>
        <w:rPr>
          <w:rFonts w:ascii="Times New Roman" w:hAnsi="Times New Roman" w:cs="Times New Roman"/>
          <w:color w:val="FF0000"/>
        </w:rPr>
        <w:sectPr w:rsidR="00F85F44" w:rsidRPr="003B4E54" w:rsidSect="00741791">
          <w:headerReference w:type="default" r:id="rId10"/>
          <w:footerReference w:type="default" r:id="rId11"/>
          <w:headerReference w:type="first" r:id="rId12"/>
          <w:pgSz w:w="11907" w:h="16839" w:code="9"/>
          <w:pgMar w:top="1440" w:right="1797" w:bottom="1440" w:left="1797" w:header="709" w:footer="709" w:gutter="0"/>
          <w:cols w:space="708"/>
          <w:titlePg/>
          <w:docGrid w:linePitch="360"/>
        </w:sectPr>
      </w:pPr>
    </w:p>
    <w:sdt>
      <w:sdtPr>
        <w:rPr>
          <w:rFonts w:ascii="Times New Roman" w:eastAsiaTheme="minorEastAsia" w:hAnsi="Times New Roman" w:cs="Times New Roman"/>
          <w:b/>
          <w:color w:val="FF0000"/>
          <w:sz w:val="28"/>
          <w:szCs w:val="24"/>
        </w:rPr>
        <w:id w:val="655188347"/>
        <w:docPartObj>
          <w:docPartGallery w:val="Table of Contents"/>
          <w:docPartUnique/>
        </w:docPartObj>
      </w:sdtPr>
      <w:sdtEndPr>
        <w:rPr>
          <w:bCs/>
          <w:noProof/>
          <w:sz w:val="24"/>
        </w:rPr>
      </w:sdtEndPr>
      <w:sdtContent>
        <w:p w14:paraId="7F70E019" w14:textId="1DBDC04B" w:rsidR="00E10EBB" w:rsidRPr="003B4E54" w:rsidRDefault="00E10EBB">
          <w:pPr>
            <w:pStyle w:val="TOCHeading"/>
            <w:rPr>
              <w:rFonts w:ascii="Times New Roman" w:hAnsi="Times New Roman" w:cs="Times New Roman"/>
              <w:b/>
              <w:color w:val="auto"/>
              <w:sz w:val="28"/>
            </w:rPr>
          </w:pPr>
          <w:r w:rsidRPr="003B4E54">
            <w:rPr>
              <w:rFonts w:ascii="Times New Roman" w:hAnsi="Times New Roman" w:cs="Times New Roman"/>
              <w:b/>
              <w:color w:val="auto"/>
              <w:sz w:val="28"/>
            </w:rPr>
            <w:t>Contents</w:t>
          </w:r>
        </w:p>
        <w:p w14:paraId="02A7C740" w14:textId="77777777" w:rsidR="00E10EBB" w:rsidRPr="003B4E54" w:rsidRDefault="00E10EBB" w:rsidP="00467E56">
          <w:pPr>
            <w:pStyle w:val="TOC1"/>
          </w:pPr>
        </w:p>
        <w:p w14:paraId="401EE213" w14:textId="57AF0B9C" w:rsidR="003D13E9" w:rsidRDefault="00E10EBB">
          <w:pPr>
            <w:pStyle w:val="TOC1"/>
            <w:rPr>
              <w:rFonts w:asciiTheme="minorHAnsi" w:hAnsiTheme="minorHAnsi" w:cstheme="minorBidi"/>
              <w:noProof/>
              <w:sz w:val="22"/>
              <w:szCs w:val="22"/>
              <w:lang w:val="sl-SI" w:eastAsia="sl-SI"/>
            </w:rPr>
          </w:pPr>
          <w:r w:rsidRPr="003B4E54">
            <w:rPr>
              <w:color w:val="FF0000"/>
              <w:sz w:val="22"/>
              <w:szCs w:val="22"/>
            </w:rPr>
            <w:fldChar w:fldCharType="begin"/>
          </w:r>
          <w:r w:rsidRPr="003B4E54">
            <w:rPr>
              <w:color w:val="FF0000"/>
              <w:sz w:val="22"/>
              <w:szCs w:val="22"/>
            </w:rPr>
            <w:instrText xml:space="preserve"> TOC \o "1-3" \h \z \u </w:instrText>
          </w:r>
          <w:r w:rsidRPr="003B4E54">
            <w:rPr>
              <w:color w:val="FF0000"/>
              <w:sz w:val="22"/>
              <w:szCs w:val="22"/>
            </w:rPr>
            <w:fldChar w:fldCharType="separate"/>
          </w:r>
          <w:hyperlink w:anchor="_Toc130558175" w:history="1">
            <w:r w:rsidR="003D13E9" w:rsidRPr="00CB7278">
              <w:rPr>
                <w:rStyle w:val="Hyperlink"/>
                <w:noProof/>
              </w:rPr>
              <w:t>2.</w:t>
            </w:r>
            <w:r w:rsidR="003D13E9">
              <w:rPr>
                <w:rFonts w:asciiTheme="minorHAnsi" w:hAnsiTheme="minorHAnsi" w:cstheme="minorBidi"/>
                <w:noProof/>
                <w:sz w:val="22"/>
                <w:szCs w:val="22"/>
                <w:lang w:val="sl-SI" w:eastAsia="sl-SI"/>
              </w:rPr>
              <w:tab/>
            </w:r>
            <w:r w:rsidR="003D13E9" w:rsidRPr="00CB7278">
              <w:rPr>
                <w:rStyle w:val="Hyperlink"/>
                <w:noProof/>
              </w:rPr>
              <w:t>Supplementary material to Results and Discussion</w:t>
            </w:r>
            <w:r w:rsidR="003D13E9">
              <w:rPr>
                <w:noProof/>
                <w:webHidden/>
              </w:rPr>
              <w:tab/>
            </w:r>
            <w:r w:rsidR="003D13E9">
              <w:rPr>
                <w:noProof/>
                <w:webHidden/>
              </w:rPr>
              <w:fldChar w:fldCharType="begin"/>
            </w:r>
            <w:r w:rsidR="003D13E9">
              <w:rPr>
                <w:noProof/>
                <w:webHidden/>
              </w:rPr>
              <w:instrText xml:space="preserve"> PAGEREF _Toc130558175 \h </w:instrText>
            </w:r>
            <w:r w:rsidR="003D13E9">
              <w:rPr>
                <w:noProof/>
                <w:webHidden/>
              </w:rPr>
            </w:r>
            <w:r w:rsidR="003D13E9">
              <w:rPr>
                <w:noProof/>
                <w:webHidden/>
              </w:rPr>
              <w:fldChar w:fldCharType="separate"/>
            </w:r>
            <w:r w:rsidR="003D13E9">
              <w:rPr>
                <w:noProof/>
                <w:webHidden/>
              </w:rPr>
              <w:t>3</w:t>
            </w:r>
            <w:r w:rsidR="003D13E9">
              <w:rPr>
                <w:noProof/>
                <w:webHidden/>
              </w:rPr>
              <w:fldChar w:fldCharType="end"/>
            </w:r>
          </w:hyperlink>
        </w:p>
        <w:p w14:paraId="7BD3C120" w14:textId="36BAC8F2" w:rsidR="003D13E9" w:rsidRDefault="00380E46">
          <w:pPr>
            <w:pStyle w:val="TOC2"/>
            <w:tabs>
              <w:tab w:val="right" w:leader="dot" w:pos="8864"/>
            </w:tabs>
            <w:rPr>
              <w:noProof/>
              <w:sz w:val="22"/>
              <w:szCs w:val="22"/>
              <w:lang w:val="sl-SI" w:eastAsia="sl-SI"/>
            </w:rPr>
          </w:pPr>
          <w:hyperlink w:anchor="_Toc130558176" w:history="1">
            <w:r w:rsidR="003D13E9" w:rsidRPr="00CB7278">
              <w:rPr>
                <w:rStyle w:val="Hyperlink"/>
                <w:bCs/>
                <w:i/>
                <w:noProof/>
              </w:rPr>
              <w:t>2</w:t>
            </w:r>
            <w:r w:rsidR="003D13E9" w:rsidRPr="00CB7278">
              <w:rPr>
                <w:rStyle w:val="Hyperlink"/>
                <w:i/>
                <w:noProof/>
              </w:rPr>
              <w:t>.1 Optimization of LC-MS parameters</w:t>
            </w:r>
            <w:r w:rsidR="003D13E9">
              <w:rPr>
                <w:noProof/>
                <w:webHidden/>
              </w:rPr>
              <w:tab/>
            </w:r>
            <w:r w:rsidR="003D13E9">
              <w:rPr>
                <w:noProof/>
                <w:webHidden/>
              </w:rPr>
              <w:fldChar w:fldCharType="begin"/>
            </w:r>
            <w:r w:rsidR="003D13E9">
              <w:rPr>
                <w:noProof/>
                <w:webHidden/>
              </w:rPr>
              <w:instrText xml:space="preserve"> PAGEREF _Toc130558176 \h </w:instrText>
            </w:r>
            <w:r w:rsidR="003D13E9">
              <w:rPr>
                <w:noProof/>
                <w:webHidden/>
              </w:rPr>
            </w:r>
            <w:r w:rsidR="003D13E9">
              <w:rPr>
                <w:noProof/>
                <w:webHidden/>
              </w:rPr>
              <w:fldChar w:fldCharType="separate"/>
            </w:r>
            <w:r w:rsidR="003D13E9">
              <w:rPr>
                <w:noProof/>
                <w:webHidden/>
              </w:rPr>
              <w:t>3</w:t>
            </w:r>
            <w:r w:rsidR="003D13E9">
              <w:rPr>
                <w:noProof/>
                <w:webHidden/>
              </w:rPr>
              <w:fldChar w:fldCharType="end"/>
            </w:r>
          </w:hyperlink>
        </w:p>
        <w:p w14:paraId="05A4DABF" w14:textId="6F7B2A54" w:rsidR="003D13E9" w:rsidRDefault="00380E46">
          <w:pPr>
            <w:pStyle w:val="TOC2"/>
            <w:tabs>
              <w:tab w:val="right" w:leader="dot" w:pos="8864"/>
            </w:tabs>
            <w:rPr>
              <w:noProof/>
              <w:sz w:val="22"/>
              <w:szCs w:val="22"/>
              <w:lang w:val="sl-SI" w:eastAsia="sl-SI"/>
            </w:rPr>
          </w:pPr>
          <w:hyperlink w:anchor="_Toc130558177" w:history="1">
            <w:r w:rsidR="003D13E9" w:rsidRPr="00CB7278">
              <w:rPr>
                <w:rStyle w:val="Hyperlink"/>
                <w:i/>
                <w:noProof/>
              </w:rPr>
              <w:t>2.2 Sample preparation procedure</w:t>
            </w:r>
            <w:r w:rsidR="003D13E9">
              <w:rPr>
                <w:noProof/>
                <w:webHidden/>
              </w:rPr>
              <w:tab/>
            </w:r>
            <w:r w:rsidR="003D13E9">
              <w:rPr>
                <w:noProof/>
                <w:webHidden/>
              </w:rPr>
              <w:fldChar w:fldCharType="begin"/>
            </w:r>
            <w:r w:rsidR="003D13E9">
              <w:rPr>
                <w:noProof/>
                <w:webHidden/>
              </w:rPr>
              <w:instrText xml:space="preserve"> PAGEREF _Toc130558177 \h </w:instrText>
            </w:r>
            <w:r w:rsidR="003D13E9">
              <w:rPr>
                <w:noProof/>
                <w:webHidden/>
              </w:rPr>
            </w:r>
            <w:r w:rsidR="003D13E9">
              <w:rPr>
                <w:noProof/>
                <w:webHidden/>
              </w:rPr>
              <w:fldChar w:fldCharType="separate"/>
            </w:r>
            <w:r w:rsidR="003D13E9">
              <w:rPr>
                <w:noProof/>
                <w:webHidden/>
              </w:rPr>
              <w:t>3</w:t>
            </w:r>
            <w:r w:rsidR="003D13E9">
              <w:rPr>
                <w:noProof/>
                <w:webHidden/>
              </w:rPr>
              <w:fldChar w:fldCharType="end"/>
            </w:r>
          </w:hyperlink>
        </w:p>
        <w:p w14:paraId="20687714" w14:textId="38339BC6" w:rsidR="003D13E9" w:rsidRDefault="00380E46">
          <w:pPr>
            <w:pStyle w:val="TOC3"/>
            <w:rPr>
              <w:noProof/>
              <w:sz w:val="22"/>
              <w:szCs w:val="22"/>
              <w:lang w:val="sl-SI" w:eastAsia="sl-SI"/>
            </w:rPr>
          </w:pPr>
          <w:hyperlink w:anchor="_Toc130558178" w:history="1">
            <w:r w:rsidR="003D13E9" w:rsidRPr="00CB7278">
              <w:rPr>
                <w:rStyle w:val="Hyperlink"/>
                <w:rFonts w:ascii="Times New Roman" w:hAnsi="Times New Roman" w:cs="Times New Roman"/>
                <w:bCs/>
                <w:i/>
                <w:noProof/>
              </w:rPr>
              <w:t>2.2.1 Optimization and comparison of alternative sample preparation protocols</w:t>
            </w:r>
            <w:r w:rsidR="003D13E9">
              <w:rPr>
                <w:noProof/>
                <w:webHidden/>
              </w:rPr>
              <w:tab/>
            </w:r>
            <w:r w:rsidR="003D13E9">
              <w:rPr>
                <w:noProof/>
                <w:webHidden/>
              </w:rPr>
              <w:fldChar w:fldCharType="begin"/>
            </w:r>
            <w:r w:rsidR="003D13E9">
              <w:rPr>
                <w:noProof/>
                <w:webHidden/>
              </w:rPr>
              <w:instrText xml:space="preserve"> PAGEREF _Toc130558178 \h </w:instrText>
            </w:r>
            <w:r w:rsidR="003D13E9">
              <w:rPr>
                <w:noProof/>
                <w:webHidden/>
              </w:rPr>
            </w:r>
            <w:r w:rsidR="003D13E9">
              <w:rPr>
                <w:noProof/>
                <w:webHidden/>
              </w:rPr>
              <w:fldChar w:fldCharType="separate"/>
            </w:r>
            <w:r w:rsidR="003D13E9">
              <w:rPr>
                <w:noProof/>
                <w:webHidden/>
              </w:rPr>
              <w:t>3</w:t>
            </w:r>
            <w:r w:rsidR="003D13E9">
              <w:rPr>
                <w:noProof/>
                <w:webHidden/>
              </w:rPr>
              <w:fldChar w:fldCharType="end"/>
            </w:r>
          </w:hyperlink>
        </w:p>
        <w:p w14:paraId="62ACFBC0" w14:textId="3D9BE055" w:rsidR="003D13E9" w:rsidRDefault="00380E46">
          <w:pPr>
            <w:pStyle w:val="TOC3"/>
            <w:rPr>
              <w:noProof/>
              <w:sz w:val="22"/>
              <w:szCs w:val="22"/>
              <w:lang w:val="sl-SI" w:eastAsia="sl-SI"/>
            </w:rPr>
          </w:pPr>
          <w:hyperlink w:anchor="_Toc130558179" w:history="1">
            <w:r w:rsidR="003D13E9" w:rsidRPr="00CB7278">
              <w:rPr>
                <w:rStyle w:val="Hyperlink"/>
                <w:rFonts w:ascii="Times New Roman" w:hAnsi="Times New Roman" w:cs="Times New Roman"/>
                <w:bCs/>
                <w:i/>
                <w:noProof/>
              </w:rPr>
              <w:t>2.2.2 Other sample preparation modifications</w:t>
            </w:r>
            <w:r w:rsidR="003D13E9">
              <w:rPr>
                <w:noProof/>
                <w:webHidden/>
              </w:rPr>
              <w:tab/>
            </w:r>
            <w:r w:rsidR="003D13E9">
              <w:rPr>
                <w:noProof/>
                <w:webHidden/>
              </w:rPr>
              <w:fldChar w:fldCharType="begin"/>
            </w:r>
            <w:r w:rsidR="003D13E9">
              <w:rPr>
                <w:noProof/>
                <w:webHidden/>
              </w:rPr>
              <w:instrText xml:space="preserve"> PAGEREF _Toc130558179 \h </w:instrText>
            </w:r>
            <w:r w:rsidR="003D13E9">
              <w:rPr>
                <w:noProof/>
                <w:webHidden/>
              </w:rPr>
            </w:r>
            <w:r w:rsidR="003D13E9">
              <w:rPr>
                <w:noProof/>
                <w:webHidden/>
              </w:rPr>
              <w:fldChar w:fldCharType="separate"/>
            </w:r>
            <w:r w:rsidR="003D13E9">
              <w:rPr>
                <w:noProof/>
                <w:webHidden/>
              </w:rPr>
              <w:t>5</w:t>
            </w:r>
            <w:r w:rsidR="003D13E9">
              <w:rPr>
                <w:noProof/>
                <w:webHidden/>
              </w:rPr>
              <w:fldChar w:fldCharType="end"/>
            </w:r>
          </w:hyperlink>
        </w:p>
        <w:p w14:paraId="2142EB83" w14:textId="31A32133" w:rsidR="003D13E9" w:rsidRDefault="00380E46">
          <w:pPr>
            <w:pStyle w:val="TOC3"/>
            <w:rPr>
              <w:noProof/>
              <w:sz w:val="22"/>
              <w:szCs w:val="22"/>
              <w:lang w:val="sl-SI" w:eastAsia="sl-SI"/>
            </w:rPr>
          </w:pPr>
          <w:hyperlink w:anchor="_Toc130558180" w:history="1">
            <w:r w:rsidR="003D13E9" w:rsidRPr="00CB7278">
              <w:rPr>
                <w:rStyle w:val="Hyperlink"/>
                <w:rFonts w:ascii="Times New Roman" w:hAnsi="Times New Roman" w:cs="Times New Roman"/>
                <w:bCs/>
                <w:i/>
                <w:noProof/>
              </w:rPr>
              <w:t>2.2.3 Implementation of a new internal standard</w:t>
            </w:r>
            <w:r w:rsidR="003D13E9">
              <w:rPr>
                <w:noProof/>
                <w:webHidden/>
              </w:rPr>
              <w:tab/>
            </w:r>
            <w:r w:rsidR="003D13E9">
              <w:rPr>
                <w:noProof/>
                <w:webHidden/>
              </w:rPr>
              <w:fldChar w:fldCharType="begin"/>
            </w:r>
            <w:r w:rsidR="003D13E9">
              <w:rPr>
                <w:noProof/>
                <w:webHidden/>
              </w:rPr>
              <w:instrText xml:space="preserve"> PAGEREF _Toc130558180 \h </w:instrText>
            </w:r>
            <w:r w:rsidR="003D13E9">
              <w:rPr>
                <w:noProof/>
                <w:webHidden/>
              </w:rPr>
            </w:r>
            <w:r w:rsidR="003D13E9">
              <w:rPr>
                <w:noProof/>
                <w:webHidden/>
              </w:rPr>
              <w:fldChar w:fldCharType="separate"/>
            </w:r>
            <w:r w:rsidR="003D13E9">
              <w:rPr>
                <w:noProof/>
                <w:webHidden/>
              </w:rPr>
              <w:t>6</w:t>
            </w:r>
            <w:r w:rsidR="003D13E9">
              <w:rPr>
                <w:noProof/>
                <w:webHidden/>
              </w:rPr>
              <w:fldChar w:fldCharType="end"/>
            </w:r>
          </w:hyperlink>
        </w:p>
        <w:p w14:paraId="1F51D69C" w14:textId="701897E9" w:rsidR="003D13E9" w:rsidRDefault="00380E46">
          <w:pPr>
            <w:pStyle w:val="TOC2"/>
            <w:tabs>
              <w:tab w:val="left" w:pos="880"/>
              <w:tab w:val="right" w:leader="dot" w:pos="8864"/>
            </w:tabs>
            <w:rPr>
              <w:noProof/>
              <w:sz w:val="22"/>
              <w:szCs w:val="22"/>
              <w:lang w:val="sl-SI" w:eastAsia="sl-SI"/>
            </w:rPr>
          </w:pPr>
          <w:hyperlink w:anchor="_Toc130558181" w:history="1">
            <w:r w:rsidR="003D13E9" w:rsidRPr="00CB7278">
              <w:rPr>
                <w:rStyle w:val="Hyperlink"/>
                <w:i/>
                <w:noProof/>
              </w:rPr>
              <w:t>2.3</w:t>
            </w:r>
            <w:r w:rsidR="003D13E9">
              <w:rPr>
                <w:noProof/>
                <w:sz w:val="22"/>
                <w:szCs w:val="22"/>
                <w:lang w:val="sl-SI" w:eastAsia="sl-SI"/>
              </w:rPr>
              <w:tab/>
            </w:r>
            <w:r w:rsidR="003D13E9" w:rsidRPr="00CB7278">
              <w:rPr>
                <w:rStyle w:val="Hyperlink"/>
                <w:i/>
                <w:noProof/>
              </w:rPr>
              <w:t>Signal strength quality control</w:t>
            </w:r>
            <w:r w:rsidR="003D13E9">
              <w:rPr>
                <w:noProof/>
                <w:webHidden/>
              </w:rPr>
              <w:tab/>
            </w:r>
            <w:r w:rsidR="003D13E9">
              <w:rPr>
                <w:noProof/>
                <w:webHidden/>
              </w:rPr>
              <w:fldChar w:fldCharType="begin"/>
            </w:r>
            <w:r w:rsidR="003D13E9">
              <w:rPr>
                <w:noProof/>
                <w:webHidden/>
              </w:rPr>
              <w:instrText xml:space="preserve"> PAGEREF _Toc130558181 \h </w:instrText>
            </w:r>
            <w:r w:rsidR="003D13E9">
              <w:rPr>
                <w:noProof/>
                <w:webHidden/>
              </w:rPr>
            </w:r>
            <w:r w:rsidR="003D13E9">
              <w:rPr>
                <w:noProof/>
                <w:webHidden/>
              </w:rPr>
              <w:fldChar w:fldCharType="separate"/>
            </w:r>
            <w:r w:rsidR="003D13E9">
              <w:rPr>
                <w:noProof/>
                <w:webHidden/>
              </w:rPr>
              <w:t>6</w:t>
            </w:r>
            <w:r w:rsidR="003D13E9">
              <w:rPr>
                <w:noProof/>
                <w:webHidden/>
              </w:rPr>
              <w:fldChar w:fldCharType="end"/>
            </w:r>
          </w:hyperlink>
        </w:p>
        <w:p w14:paraId="21A2E63B" w14:textId="220D4F4C" w:rsidR="003D13E9" w:rsidRDefault="00380E46">
          <w:pPr>
            <w:pStyle w:val="TOC2"/>
            <w:tabs>
              <w:tab w:val="right" w:leader="dot" w:pos="8864"/>
            </w:tabs>
            <w:rPr>
              <w:noProof/>
              <w:sz w:val="22"/>
              <w:szCs w:val="22"/>
              <w:lang w:val="sl-SI" w:eastAsia="sl-SI"/>
            </w:rPr>
          </w:pPr>
          <w:hyperlink w:anchor="_Toc130558182" w:history="1">
            <w:r w:rsidR="003D13E9" w:rsidRPr="00CB7278">
              <w:rPr>
                <w:rStyle w:val="Hyperlink"/>
                <w:i/>
                <w:noProof/>
              </w:rPr>
              <w:t>2.4 HPLC-based method development</w:t>
            </w:r>
            <w:r w:rsidR="003D13E9">
              <w:rPr>
                <w:noProof/>
                <w:webHidden/>
              </w:rPr>
              <w:tab/>
            </w:r>
            <w:r w:rsidR="003D13E9">
              <w:rPr>
                <w:noProof/>
                <w:webHidden/>
              </w:rPr>
              <w:fldChar w:fldCharType="begin"/>
            </w:r>
            <w:r w:rsidR="003D13E9">
              <w:rPr>
                <w:noProof/>
                <w:webHidden/>
              </w:rPr>
              <w:instrText xml:space="preserve"> PAGEREF _Toc130558182 \h </w:instrText>
            </w:r>
            <w:r w:rsidR="003D13E9">
              <w:rPr>
                <w:noProof/>
                <w:webHidden/>
              </w:rPr>
            </w:r>
            <w:r w:rsidR="003D13E9">
              <w:rPr>
                <w:noProof/>
                <w:webHidden/>
              </w:rPr>
              <w:fldChar w:fldCharType="separate"/>
            </w:r>
            <w:r w:rsidR="003D13E9">
              <w:rPr>
                <w:noProof/>
                <w:webHidden/>
              </w:rPr>
              <w:t>7</w:t>
            </w:r>
            <w:r w:rsidR="003D13E9">
              <w:rPr>
                <w:noProof/>
                <w:webHidden/>
              </w:rPr>
              <w:fldChar w:fldCharType="end"/>
            </w:r>
          </w:hyperlink>
        </w:p>
        <w:p w14:paraId="01672AD2" w14:textId="0F8A2950" w:rsidR="003D13E9" w:rsidRDefault="00380E46">
          <w:pPr>
            <w:pStyle w:val="TOC3"/>
            <w:rPr>
              <w:noProof/>
              <w:sz w:val="22"/>
              <w:szCs w:val="22"/>
              <w:lang w:val="sl-SI" w:eastAsia="sl-SI"/>
            </w:rPr>
          </w:pPr>
          <w:hyperlink w:anchor="_Toc130558183" w:history="1">
            <w:r w:rsidR="003D13E9" w:rsidRPr="00CB7278">
              <w:rPr>
                <w:rStyle w:val="Hyperlink"/>
                <w:rFonts w:ascii="Times New Roman" w:hAnsi="Times New Roman" w:cs="Times New Roman"/>
                <w:i/>
                <w:noProof/>
              </w:rPr>
              <w:t>2.4.1 HPLC method validation</w:t>
            </w:r>
            <w:r w:rsidR="003D13E9">
              <w:rPr>
                <w:noProof/>
                <w:webHidden/>
              </w:rPr>
              <w:tab/>
            </w:r>
            <w:r w:rsidR="003D13E9">
              <w:rPr>
                <w:noProof/>
                <w:webHidden/>
              </w:rPr>
              <w:fldChar w:fldCharType="begin"/>
            </w:r>
            <w:r w:rsidR="003D13E9">
              <w:rPr>
                <w:noProof/>
                <w:webHidden/>
              </w:rPr>
              <w:instrText xml:space="preserve"> PAGEREF _Toc130558183 \h </w:instrText>
            </w:r>
            <w:r w:rsidR="003D13E9">
              <w:rPr>
                <w:noProof/>
                <w:webHidden/>
              </w:rPr>
            </w:r>
            <w:r w:rsidR="003D13E9">
              <w:rPr>
                <w:noProof/>
                <w:webHidden/>
              </w:rPr>
              <w:fldChar w:fldCharType="separate"/>
            </w:r>
            <w:r w:rsidR="003D13E9">
              <w:rPr>
                <w:noProof/>
                <w:webHidden/>
              </w:rPr>
              <w:t>8</w:t>
            </w:r>
            <w:r w:rsidR="003D13E9">
              <w:rPr>
                <w:noProof/>
                <w:webHidden/>
              </w:rPr>
              <w:fldChar w:fldCharType="end"/>
            </w:r>
          </w:hyperlink>
        </w:p>
        <w:p w14:paraId="6DE27568" w14:textId="269272F7" w:rsidR="003D13E9" w:rsidRDefault="00380E46">
          <w:pPr>
            <w:pStyle w:val="TOC2"/>
            <w:tabs>
              <w:tab w:val="right" w:leader="dot" w:pos="8864"/>
            </w:tabs>
            <w:rPr>
              <w:noProof/>
              <w:sz w:val="22"/>
              <w:szCs w:val="22"/>
              <w:lang w:val="sl-SI" w:eastAsia="sl-SI"/>
            </w:rPr>
          </w:pPr>
          <w:hyperlink w:anchor="_Toc130558184" w:history="1">
            <w:r w:rsidR="003D13E9" w:rsidRPr="00CB7278">
              <w:rPr>
                <w:rStyle w:val="Hyperlink"/>
                <w:i/>
                <w:noProof/>
              </w:rPr>
              <w:t>2.5 Validation results</w:t>
            </w:r>
            <w:r w:rsidR="003D13E9">
              <w:rPr>
                <w:noProof/>
                <w:webHidden/>
              </w:rPr>
              <w:tab/>
            </w:r>
            <w:r w:rsidR="003D13E9">
              <w:rPr>
                <w:noProof/>
                <w:webHidden/>
              </w:rPr>
              <w:fldChar w:fldCharType="begin"/>
            </w:r>
            <w:r w:rsidR="003D13E9">
              <w:rPr>
                <w:noProof/>
                <w:webHidden/>
              </w:rPr>
              <w:instrText xml:space="preserve"> PAGEREF _Toc130558184 \h </w:instrText>
            </w:r>
            <w:r w:rsidR="003D13E9">
              <w:rPr>
                <w:noProof/>
                <w:webHidden/>
              </w:rPr>
            </w:r>
            <w:r w:rsidR="003D13E9">
              <w:rPr>
                <w:noProof/>
                <w:webHidden/>
              </w:rPr>
              <w:fldChar w:fldCharType="separate"/>
            </w:r>
            <w:r w:rsidR="003D13E9">
              <w:rPr>
                <w:noProof/>
                <w:webHidden/>
              </w:rPr>
              <w:t>8</w:t>
            </w:r>
            <w:r w:rsidR="003D13E9">
              <w:rPr>
                <w:noProof/>
                <w:webHidden/>
              </w:rPr>
              <w:fldChar w:fldCharType="end"/>
            </w:r>
          </w:hyperlink>
        </w:p>
        <w:p w14:paraId="23BEFCB0" w14:textId="509BA920" w:rsidR="003D13E9" w:rsidRDefault="00380E46">
          <w:pPr>
            <w:pStyle w:val="TOC3"/>
            <w:rPr>
              <w:noProof/>
              <w:sz w:val="22"/>
              <w:szCs w:val="22"/>
              <w:lang w:val="sl-SI" w:eastAsia="sl-SI"/>
            </w:rPr>
          </w:pPr>
          <w:hyperlink w:anchor="_Toc130558185" w:history="1">
            <w:r w:rsidR="003D13E9" w:rsidRPr="00CB7278">
              <w:rPr>
                <w:rStyle w:val="Hyperlink"/>
                <w:rFonts w:ascii="Times New Roman" w:hAnsi="Times New Roman" w:cs="Times New Roman"/>
                <w:i/>
                <w:noProof/>
              </w:rPr>
              <w:t>2.5.1 Traceability</w:t>
            </w:r>
            <w:r w:rsidR="003D13E9">
              <w:rPr>
                <w:noProof/>
                <w:webHidden/>
              </w:rPr>
              <w:tab/>
            </w:r>
            <w:r w:rsidR="003D13E9">
              <w:rPr>
                <w:noProof/>
                <w:webHidden/>
              </w:rPr>
              <w:fldChar w:fldCharType="begin"/>
            </w:r>
            <w:r w:rsidR="003D13E9">
              <w:rPr>
                <w:noProof/>
                <w:webHidden/>
              </w:rPr>
              <w:instrText xml:space="preserve"> PAGEREF _Toc130558185 \h </w:instrText>
            </w:r>
            <w:r w:rsidR="003D13E9">
              <w:rPr>
                <w:noProof/>
                <w:webHidden/>
              </w:rPr>
            </w:r>
            <w:r w:rsidR="003D13E9">
              <w:rPr>
                <w:noProof/>
                <w:webHidden/>
              </w:rPr>
              <w:fldChar w:fldCharType="separate"/>
            </w:r>
            <w:r w:rsidR="003D13E9">
              <w:rPr>
                <w:noProof/>
                <w:webHidden/>
              </w:rPr>
              <w:t>8</w:t>
            </w:r>
            <w:r w:rsidR="003D13E9">
              <w:rPr>
                <w:noProof/>
                <w:webHidden/>
              </w:rPr>
              <w:fldChar w:fldCharType="end"/>
            </w:r>
          </w:hyperlink>
        </w:p>
        <w:p w14:paraId="70F0AC26" w14:textId="52AEB577" w:rsidR="003D13E9" w:rsidRDefault="00380E46">
          <w:pPr>
            <w:pStyle w:val="TOC3"/>
            <w:rPr>
              <w:noProof/>
              <w:sz w:val="22"/>
              <w:szCs w:val="22"/>
              <w:lang w:val="sl-SI" w:eastAsia="sl-SI"/>
            </w:rPr>
          </w:pPr>
          <w:hyperlink w:anchor="_Toc130558186" w:history="1">
            <w:r w:rsidR="003D13E9" w:rsidRPr="00CB7278">
              <w:rPr>
                <w:rStyle w:val="Hyperlink"/>
                <w:rFonts w:ascii="Times New Roman" w:hAnsi="Times New Roman" w:cs="Times New Roman"/>
                <w:i/>
                <w:noProof/>
              </w:rPr>
              <w:t>2.5.2 Estimation of measurement uncertainty</w:t>
            </w:r>
            <w:r w:rsidR="003D13E9">
              <w:rPr>
                <w:noProof/>
                <w:webHidden/>
              </w:rPr>
              <w:tab/>
            </w:r>
            <w:r w:rsidR="003D13E9">
              <w:rPr>
                <w:noProof/>
                <w:webHidden/>
              </w:rPr>
              <w:fldChar w:fldCharType="begin"/>
            </w:r>
            <w:r w:rsidR="003D13E9">
              <w:rPr>
                <w:noProof/>
                <w:webHidden/>
              </w:rPr>
              <w:instrText xml:space="preserve"> PAGEREF _Toc130558186 \h </w:instrText>
            </w:r>
            <w:r w:rsidR="003D13E9">
              <w:rPr>
                <w:noProof/>
                <w:webHidden/>
              </w:rPr>
            </w:r>
            <w:r w:rsidR="003D13E9">
              <w:rPr>
                <w:noProof/>
                <w:webHidden/>
              </w:rPr>
              <w:fldChar w:fldCharType="separate"/>
            </w:r>
            <w:r w:rsidR="003D13E9">
              <w:rPr>
                <w:noProof/>
                <w:webHidden/>
              </w:rPr>
              <w:t>8</w:t>
            </w:r>
            <w:r w:rsidR="003D13E9">
              <w:rPr>
                <w:noProof/>
                <w:webHidden/>
              </w:rPr>
              <w:fldChar w:fldCharType="end"/>
            </w:r>
          </w:hyperlink>
        </w:p>
        <w:p w14:paraId="5C092131" w14:textId="0C71D62E" w:rsidR="003D13E9" w:rsidRDefault="00380E46">
          <w:pPr>
            <w:pStyle w:val="TOC2"/>
            <w:tabs>
              <w:tab w:val="right" w:leader="dot" w:pos="8864"/>
            </w:tabs>
            <w:rPr>
              <w:noProof/>
              <w:sz w:val="22"/>
              <w:szCs w:val="22"/>
              <w:lang w:val="sl-SI" w:eastAsia="sl-SI"/>
            </w:rPr>
          </w:pPr>
          <w:hyperlink w:anchor="_Toc130558187" w:history="1">
            <w:r w:rsidR="003D13E9" w:rsidRPr="00CB7278">
              <w:rPr>
                <w:rStyle w:val="Hyperlink"/>
                <w:i/>
                <w:noProof/>
              </w:rPr>
              <w:t>2.6 Stability study</w:t>
            </w:r>
            <w:r w:rsidR="003D13E9">
              <w:rPr>
                <w:noProof/>
                <w:webHidden/>
              </w:rPr>
              <w:tab/>
            </w:r>
            <w:r w:rsidR="003D13E9">
              <w:rPr>
                <w:noProof/>
                <w:webHidden/>
              </w:rPr>
              <w:fldChar w:fldCharType="begin"/>
            </w:r>
            <w:r w:rsidR="003D13E9">
              <w:rPr>
                <w:noProof/>
                <w:webHidden/>
              </w:rPr>
              <w:instrText xml:space="preserve"> PAGEREF _Toc130558187 \h </w:instrText>
            </w:r>
            <w:r w:rsidR="003D13E9">
              <w:rPr>
                <w:noProof/>
                <w:webHidden/>
              </w:rPr>
            </w:r>
            <w:r w:rsidR="003D13E9">
              <w:rPr>
                <w:noProof/>
                <w:webHidden/>
              </w:rPr>
              <w:fldChar w:fldCharType="separate"/>
            </w:r>
            <w:r w:rsidR="003D13E9">
              <w:rPr>
                <w:noProof/>
                <w:webHidden/>
              </w:rPr>
              <w:t>10</w:t>
            </w:r>
            <w:r w:rsidR="003D13E9">
              <w:rPr>
                <w:noProof/>
                <w:webHidden/>
              </w:rPr>
              <w:fldChar w:fldCharType="end"/>
            </w:r>
          </w:hyperlink>
        </w:p>
        <w:p w14:paraId="28522C40" w14:textId="73AE51BE" w:rsidR="00E10EBB" w:rsidRPr="003B4E54" w:rsidRDefault="00E10EBB">
          <w:pPr>
            <w:rPr>
              <w:rFonts w:ascii="Times New Roman" w:hAnsi="Times New Roman" w:cs="Times New Roman"/>
              <w:color w:val="FF0000"/>
            </w:rPr>
          </w:pPr>
          <w:r w:rsidRPr="003B4E54">
            <w:rPr>
              <w:rFonts w:ascii="Times New Roman" w:hAnsi="Times New Roman" w:cs="Times New Roman"/>
              <w:b/>
              <w:bCs/>
              <w:noProof/>
              <w:color w:val="FF0000"/>
              <w:sz w:val="22"/>
              <w:szCs w:val="22"/>
            </w:rPr>
            <w:fldChar w:fldCharType="end"/>
          </w:r>
        </w:p>
      </w:sdtContent>
    </w:sdt>
    <w:p w14:paraId="3C1A9735" w14:textId="77777777" w:rsidR="00F85F44" w:rsidRPr="003B4E54" w:rsidRDefault="00203DFB" w:rsidP="00203DFB">
      <w:pPr>
        <w:tabs>
          <w:tab w:val="left" w:pos="1423"/>
        </w:tabs>
        <w:rPr>
          <w:rFonts w:ascii="Times New Roman" w:hAnsi="Times New Roman" w:cs="Times New Roman"/>
          <w:color w:val="FF0000"/>
        </w:rPr>
      </w:pPr>
      <w:r w:rsidRPr="003B4E54">
        <w:rPr>
          <w:rFonts w:ascii="Times New Roman" w:hAnsi="Times New Roman" w:cs="Times New Roman"/>
          <w:color w:val="FF0000"/>
        </w:rPr>
        <w:tab/>
      </w:r>
    </w:p>
    <w:p w14:paraId="1793FD88" w14:textId="77777777" w:rsidR="00DE1E96" w:rsidRPr="003B4E54" w:rsidRDefault="00DE1E96">
      <w:pPr>
        <w:rPr>
          <w:rFonts w:ascii="Times New Roman" w:hAnsi="Times New Roman" w:cs="Times New Roman"/>
          <w:color w:val="FF0000"/>
        </w:rPr>
      </w:pPr>
    </w:p>
    <w:p w14:paraId="3A4A624B" w14:textId="77777777" w:rsidR="00DE1E96" w:rsidRPr="003B4E54" w:rsidRDefault="00DE1E96">
      <w:pPr>
        <w:rPr>
          <w:rFonts w:ascii="Times New Roman" w:hAnsi="Times New Roman" w:cs="Times New Roman"/>
          <w:color w:val="FF0000"/>
        </w:rPr>
        <w:sectPr w:rsidR="00DE1E96" w:rsidRPr="003B4E54" w:rsidSect="00CE2D5E">
          <w:footerReference w:type="first" r:id="rId13"/>
          <w:pgSz w:w="12474" w:h="15876"/>
          <w:pgMar w:top="1440" w:right="1800" w:bottom="1440" w:left="1800" w:header="708" w:footer="708" w:gutter="0"/>
          <w:cols w:space="708"/>
          <w:titlePg/>
          <w:docGrid w:linePitch="360"/>
        </w:sectPr>
      </w:pPr>
    </w:p>
    <w:p w14:paraId="3BFCA836" w14:textId="0F52F8BA" w:rsidR="00180414" w:rsidRPr="003B4E54" w:rsidRDefault="00804912" w:rsidP="008B6B93">
      <w:pPr>
        <w:pStyle w:val="Heading1"/>
        <w:numPr>
          <w:ilvl w:val="0"/>
          <w:numId w:val="6"/>
        </w:numPr>
        <w:spacing w:line="276" w:lineRule="auto"/>
        <w:rPr>
          <w:rFonts w:ascii="Times New Roman" w:hAnsi="Times New Roman" w:cs="Times New Roman"/>
          <w:color w:val="auto"/>
          <w:sz w:val="24"/>
        </w:rPr>
      </w:pPr>
      <w:bookmarkStart w:id="0" w:name="_Toc130552190"/>
      <w:bookmarkStart w:id="1" w:name="_Toc130558158"/>
      <w:bookmarkStart w:id="2" w:name="_Toc446141208"/>
      <w:bookmarkStart w:id="3" w:name="_Toc446589225"/>
      <w:bookmarkStart w:id="4" w:name="_Toc446589507"/>
      <w:bookmarkStart w:id="5" w:name="_Toc446673263"/>
      <w:bookmarkStart w:id="6" w:name="_Toc446685448"/>
      <w:bookmarkStart w:id="7" w:name="_Toc446750816"/>
      <w:bookmarkStart w:id="8" w:name="_Toc447051960"/>
      <w:bookmarkStart w:id="9" w:name="_Toc449388091"/>
      <w:bookmarkStart w:id="10" w:name="_Toc453681236"/>
      <w:bookmarkStart w:id="11" w:name="_Toc454525220"/>
      <w:bookmarkStart w:id="12" w:name="_Toc446141209"/>
      <w:bookmarkStart w:id="13" w:name="_Toc446589226"/>
      <w:bookmarkStart w:id="14" w:name="_Toc446589508"/>
      <w:bookmarkStart w:id="15" w:name="_Toc446673264"/>
      <w:bookmarkStart w:id="16" w:name="_Toc446685449"/>
      <w:bookmarkStart w:id="17" w:name="_Toc446750817"/>
      <w:bookmarkStart w:id="18" w:name="_Toc447051961"/>
      <w:bookmarkStart w:id="19" w:name="_Toc449388092"/>
      <w:bookmarkStart w:id="20" w:name="_Toc453681237"/>
      <w:bookmarkStart w:id="21" w:name="_Toc454525221"/>
      <w:bookmarkStart w:id="22" w:name="_Toc130552191"/>
      <w:bookmarkStart w:id="23" w:name="_Toc130558159"/>
      <w:bookmarkStart w:id="24" w:name="_Toc130552192"/>
      <w:bookmarkStart w:id="25" w:name="_Toc130558160"/>
      <w:bookmarkStart w:id="26" w:name="_Toc130552193"/>
      <w:bookmarkStart w:id="27" w:name="_Toc130558161"/>
      <w:bookmarkStart w:id="28" w:name="_Toc130552194"/>
      <w:bookmarkStart w:id="29" w:name="_Toc130558162"/>
      <w:bookmarkStart w:id="30" w:name="_Toc130552195"/>
      <w:bookmarkStart w:id="31" w:name="_Toc130558163"/>
      <w:bookmarkStart w:id="32" w:name="_Toc130552196"/>
      <w:bookmarkStart w:id="33" w:name="_Toc130558164"/>
      <w:bookmarkStart w:id="34" w:name="_Toc130552197"/>
      <w:bookmarkStart w:id="35" w:name="_Toc130558165"/>
      <w:bookmarkStart w:id="36" w:name="_Toc130552198"/>
      <w:bookmarkStart w:id="37" w:name="_Toc130558166"/>
      <w:bookmarkStart w:id="38" w:name="_Toc130552199"/>
      <w:bookmarkStart w:id="39" w:name="_Toc130558167"/>
      <w:bookmarkStart w:id="40" w:name="_Toc130552200"/>
      <w:bookmarkStart w:id="41" w:name="_Toc130558168"/>
      <w:bookmarkStart w:id="42" w:name="_Toc130552201"/>
      <w:bookmarkStart w:id="43" w:name="_Toc130558169"/>
      <w:bookmarkStart w:id="44" w:name="_Toc130552202"/>
      <w:bookmarkStart w:id="45" w:name="_Toc130558170"/>
      <w:bookmarkStart w:id="46" w:name="_Toc130552203"/>
      <w:bookmarkStart w:id="47" w:name="_Toc130558171"/>
      <w:bookmarkStart w:id="48" w:name="_Toc130552204"/>
      <w:bookmarkStart w:id="49" w:name="_Toc130558172"/>
      <w:bookmarkStart w:id="50" w:name="_Toc130552205"/>
      <w:bookmarkStart w:id="51" w:name="_Toc130558173"/>
      <w:bookmarkStart w:id="52" w:name="_Toc130552206"/>
      <w:bookmarkStart w:id="53" w:name="_Toc130558174"/>
      <w:bookmarkStart w:id="54" w:name="_Toc320358129"/>
      <w:bookmarkStart w:id="55" w:name="_Toc13055817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3B4E54">
        <w:rPr>
          <w:rFonts w:ascii="Times New Roman" w:hAnsi="Times New Roman" w:cs="Times New Roman"/>
          <w:color w:val="auto"/>
          <w:sz w:val="24"/>
        </w:rPr>
        <w:lastRenderedPageBreak/>
        <w:t>Supp</w:t>
      </w:r>
      <w:r w:rsidR="00171A06" w:rsidRPr="003B4E54">
        <w:rPr>
          <w:rFonts w:ascii="Times New Roman" w:hAnsi="Times New Roman" w:cs="Times New Roman"/>
          <w:color w:val="auto"/>
          <w:sz w:val="24"/>
        </w:rPr>
        <w:t>lementary</w:t>
      </w:r>
      <w:r w:rsidRPr="003B4E54">
        <w:rPr>
          <w:rFonts w:ascii="Times New Roman" w:hAnsi="Times New Roman" w:cs="Times New Roman"/>
          <w:color w:val="auto"/>
          <w:sz w:val="24"/>
        </w:rPr>
        <w:t xml:space="preserve"> </w:t>
      </w:r>
      <w:r w:rsidR="00ED1AB0" w:rsidRPr="003B4E54">
        <w:rPr>
          <w:rFonts w:ascii="Times New Roman" w:hAnsi="Times New Roman" w:cs="Times New Roman"/>
          <w:color w:val="auto"/>
          <w:sz w:val="24"/>
        </w:rPr>
        <w:t>material</w:t>
      </w:r>
      <w:r w:rsidRPr="003B4E54">
        <w:rPr>
          <w:rFonts w:ascii="Times New Roman" w:hAnsi="Times New Roman" w:cs="Times New Roman"/>
          <w:color w:val="auto"/>
          <w:sz w:val="24"/>
        </w:rPr>
        <w:t xml:space="preserve"> to Results and Discussion</w:t>
      </w:r>
      <w:bookmarkEnd w:id="54"/>
      <w:bookmarkEnd w:id="55"/>
    </w:p>
    <w:p w14:paraId="5240F3F9" w14:textId="3CFC38EC" w:rsidR="00713037" w:rsidRPr="003B4E54" w:rsidRDefault="000F1B01" w:rsidP="00200063">
      <w:pPr>
        <w:pStyle w:val="Heading2"/>
        <w:rPr>
          <w:i/>
          <w:color w:val="auto"/>
        </w:rPr>
      </w:pPr>
      <w:bookmarkStart w:id="56" w:name="_Toc130558176"/>
      <w:r w:rsidRPr="00200063">
        <w:rPr>
          <w:b w:val="0"/>
          <w:bCs/>
          <w:i/>
          <w:color w:val="auto"/>
        </w:rPr>
        <w:t>2</w:t>
      </w:r>
      <w:r w:rsidR="00924B4B" w:rsidRPr="00200063">
        <w:rPr>
          <w:b w:val="0"/>
          <w:bCs/>
          <w:i/>
          <w:color w:val="auto"/>
        </w:rPr>
        <w:t>.</w:t>
      </w:r>
      <w:r w:rsidR="0086668F" w:rsidRPr="00200063">
        <w:rPr>
          <w:b w:val="0"/>
          <w:bCs/>
          <w:i/>
          <w:color w:val="auto"/>
        </w:rPr>
        <w:t>1</w:t>
      </w:r>
      <w:r w:rsidR="00924B4B" w:rsidRPr="00200063">
        <w:rPr>
          <w:b w:val="0"/>
          <w:bCs/>
          <w:i/>
          <w:color w:val="auto"/>
        </w:rPr>
        <w:t xml:space="preserve"> Optimization of LC-MS parameters</w:t>
      </w:r>
      <w:bookmarkEnd w:id="56"/>
      <w:r w:rsidR="00924B4B" w:rsidRPr="003B4E54">
        <w:rPr>
          <w:i/>
          <w:color w:val="auto"/>
        </w:rPr>
        <w:t xml:space="preserve"> </w:t>
      </w:r>
    </w:p>
    <w:p w14:paraId="4AB9CF66" w14:textId="1BCE4560" w:rsidR="00713037" w:rsidRPr="003B4E54" w:rsidRDefault="00713037" w:rsidP="00713037">
      <w:pPr>
        <w:pStyle w:val="Caption"/>
        <w:rPr>
          <w:rFonts w:ascii="Times New Roman" w:hAnsi="Times New Roman" w:cs="Times New Roman"/>
          <w:b w:val="0"/>
          <w:bCs w:val="0"/>
          <w:color w:val="auto"/>
          <w:sz w:val="22"/>
          <w:szCs w:val="24"/>
        </w:rPr>
      </w:pPr>
      <w:r w:rsidRPr="003B4E54">
        <w:rPr>
          <w:rFonts w:ascii="Times New Roman" w:hAnsi="Times New Roman" w:cs="Times New Roman"/>
          <w:b w:val="0"/>
          <w:bCs w:val="0"/>
          <w:color w:val="auto"/>
          <w:sz w:val="22"/>
          <w:szCs w:val="24"/>
        </w:rPr>
        <w:t xml:space="preserve">Table S - </w:t>
      </w:r>
      <w:r w:rsidR="0042771C" w:rsidRPr="003B4E54">
        <w:rPr>
          <w:rFonts w:ascii="Times New Roman" w:hAnsi="Times New Roman" w:cs="Times New Roman"/>
          <w:b w:val="0"/>
          <w:bCs w:val="0"/>
          <w:color w:val="auto"/>
          <w:sz w:val="22"/>
          <w:szCs w:val="24"/>
        </w:rPr>
        <w:fldChar w:fldCharType="begin"/>
      </w:r>
      <w:r w:rsidR="0042771C" w:rsidRPr="003B4E54">
        <w:rPr>
          <w:rFonts w:ascii="Times New Roman" w:hAnsi="Times New Roman" w:cs="Times New Roman"/>
          <w:b w:val="0"/>
          <w:bCs w:val="0"/>
          <w:color w:val="auto"/>
          <w:sz w:val="22"/>
          <w:szCs w:val="24"/>
        </w:rPr>
        <w:instrText xml:space="preserve"> SEQ Table_S_- \* ARABIC </w:instrText>
      </w:r>
      <w:r w:rsidR="0042771C" w:rsidRPr="003B4E54">
        <w:rPr>
          <w:rFonts w:ascii="Times New Roman" w:hAnsi="Times New Roman" w:cs="Times New Roman"/>
          <w:b w:val="0"/>
          <w:bCs w:val="0"/>
          <w:color w:val="auto"/>
          <w:sz w:val="22"/>
          <w:szCs w:val="24"/>
        </w:rPr>
        <w:fldChar w:fldCharType="separate"/>
      </w:r>
      <w:r w:rsidR="00D872FE" w:rsidRPr="003B4E54">
        <w:rPr>
          <w:rFonts w:ascii="Times New Roman" w:hAnsi="Times New Roman" w:cs="Times New Roman"/>
          <w:b w:val="0"/>
          <w:bCs w:val="0"/>
          <w:color w:val="auto"/>
          <w:sz w:val="22"/>
          <w:szCs w:val="24"/>
        </w:rPr>
        <w:t>1</w:t>
      </w:r>
      <w:r w:rsidR="0042771C" w:rsidRPr="003B4E54">
        <w:rPr>
          <w:rFonts w:ascii="Times New Roman" w:hAnsi="Times New Roman" w:cs="Times New Roman"/>
          <w:b w:val="0"/>
          <w:bCs w:val="0"/>
          <w:color w:val="auto"/>
          <w:sz w:val="22"/>
          <w:szCs w:val="24"/>
        </w:rPr>
        <w:fldChar w:fldCharType="end"/>
      </w:r>
      <w:r w:rsidRPr="003B4E54">
        <w:rPr>
          <w:rFonts w:ascii="Times New Roman" w:hAnsi="Times New Roman" w:cs="Times New Roman"/>
          <w:b w:val="0"/>
          <w:bCs w:val="0"/>
          <w:color w:val="auto"/>
          <w:sz w:val="22"/>
          <w:szCs w:val="24"/>
        </w:rPr>
        <w:t>: Tested and selected instrumental operational parameters</w:t>
      </w:r>
    </w:p>
    <w:tbl>
      <w:tblPr>
        <w:tblStyle w:val="TableGrid"/>
        <w:tblW w:w="0" w:type="auto"/>
        <w:tblLook w:val="04A0" w:firstRow="1" w:lastRow="0" w:firstColumn="1" w:lastColumn="0" w:noHBand="0" w:noVBand="1"/>
      </w:tblPr>
      <w:tblGrid>
        <w:gridCol w:w="3505"/>
        <w:gridCol w:w="2601"/>
        <w:gridCol w:w="2758"/>
      </w:tblGrid>
      <w:tr w:rsidR="00CC6A27" w:rsidRPr="003B4E54" w14:paraId="1C9CD320" w14:textId="77777777" w:rsidTr="00800F56">
        <w:tc>
          <w:tcPr>
            <w:tcW w:w="3505" w:type="dxa"/>
            <w:vAlign w:val="center"/>
          </w:tcPr>
          <w:p w14:paraId="22726EF5" w14:textId="237A094F" w:rsidR="00713037" w:rsidRPr="003B4E54" w:rsidRDefault="00713037" w:rsidP="00CC6A27">
            <w:pPr>
              <w:pStyle w:val="NoSpacing"/>
              <w:spacing w:line="240" w:lineRule="auto"/>
              <w:ind w:firstLine="0"/>
              <w:rPr>
                <w:rFonts w:ascii="Times New Roman" w:hAnsi="Times New Roman" w:cs="Times New Roman"/>
                <w:b/>
                <w:sz w:val="20"/>
              </w:rPr>
            </w:pPr>
            <w:r w:rsidRPr="003B4E54">
              <w:rPr>
                <w:rFonts w:ascii="Times New Roman" w:hAnsi="Times New Roman" w:cs="Times New Roman"/>
                <w:b/>
                <w:sz w:val="20"/>
              </w:rPr>
              <w:t>Tested parameter</w:t>
            </w:r>
          </w:p>
        </w:tc>
        <w:tc>
          <w:tcPr>
            <w:tcW w:w="2601" w:type="dxa"/>
            <w:vAlign w:val="center"/>
          </w:tcPr>
          <w:p w14:paraId="1B176581" w14:textId="77892903" w:rsidR="00713037" w:rsidRPr="003B4E54" w:rsidRDefault="00713037" w:rsidP="00CC6A27">
            <w:pPr>
              <w:pStyle w:val="NoSpacing"/>
              <w:spacing w:line="240" w:lineRule="auto"/>
              <w:ind w:firstLine="0"/>
              <w:rPr>
                <w:rFonts w:ascii="Times New Roman" w:hAnsi="Times New Roman" w:cs="Times New Roman"/>
                <w:b/>
                <w:sz w:val="20"/>
              </w:rPr>
            </w:pPr>
            <w:r w:rsidRPr="003B4E54">
              <w:rPr>
                <w:rFonts w:ascii="Times New Roman" w:hAnsi="Times New Roman" w:cs="Times New Roman"/>
                <w:b/>
                <w:sz w:val="20"/>
              </w:rPr>
              <w:t xml:space="preserve">Tested </w:t>
            </w:r>
            <w:r w:rsidR="00CC6A27" w:rsidRPr="003B4E54">
              <w:rPr>
                <w:rFonts w:ascii="Times New Roman" w:hAnsi="Times New Roman" w:cs="Times New Roman"/>
                <w:b/>
                <w:sz w:val="20"/>
              </w:rPr>
              <w:t>variables</w:t>
            </w:r>
          </w:p>
        </w:tc>
        <w:tc>
          <w:tcPr>
            <w:tcW w:w="2758" w:type="dxa"/>
            <w:vAlign w:val="center"/>
          </w:tcPr>
          <w:p w14:paraId="6B9DB7B0" w14:textId="4ABB99C9" w:rsidR="00713037" w:rsidRPr="003B4E54" w:rsidRDefault="00CC6A27" w:rsidP="00713037">
            <w:pPr>
              <w:pStyle w:val="NoSpacing"/>
              <w:spacing w:line="240" w:lineRule="auto"/>
              <w:ind w:firstLine="0"/>
              <w:rPr>
                <w:rFonts w:ascii="Times New Roman" w:hAnsi="Times New Roman" w:cs="Times New Roman"/>
                <w:b/>
                <w:sz w:val="20"/>
              </w:rPr>
            </w:pPr>
            <w:r w:rsidRPr="003B4E54">
              <w:rPr>
                <w:rFonts w:ascii="Times New Roman" w:hAnsi="Times New Roman" w:cs="Times New Roman"/>
                <w:b/>
                <w:sz w:val="20"/>
              </w:rPr>
              <w:t>Selected/optimal</w:t>
            </w:r>
          </w:p>
        </w:tc>
      </w:tr>
      <w:tr w:rsidR="00F6281E" w:rsidRPr="003B4E54" w14:paraId="29D4AE9C" w14:textId="77777777" w:rsidTr="00800F56">
        <w:tc>
          <w:tcPr>
            <w:tcW w:w="3505" w:type="dxa"/>
            <w:vAlign w:val="center"/>
          </w:tcPr>
          <w:p w14:paraId="475C3396" w14:textId="0440B9FB" w:rsidR="00713037" w:rsidRPr="003B4E54" w:rsidRDefault="00827FDE" w:rsidP="00827FDE">
            <w:pPr>
              <w:pStyle w:val="NoSpacing"/>
              <w:spacing w:line="240" w:lineRule="auto"/>
              <w:ind w:firstLine="0"/>
              <w:rPr>
                <w:rFonts w:ascii="Times New Roman" w:hAnsi="Times New Roman" w:cs="Times New Roman"/>
                <w:b/>
                <w:sz w:val="20"/>
              </w:rPr>
            </w:pPr>
            <w:r w:rsidRPr="003B4E54">
              <w:rPr>
                <w:rFonts w:ascii="Times New Roman" w:hAnsi="Times New Roman" w:cs="Times New Roman"/>
                <w:b/>
                <w:sz w:val="20"/>
              </w:rPr>
              <w:t>Organic m</w:t>
            </w:r>
            <w:r w:rsidR="004621C9" w:rsidRPr="003B4E54">
              <w:rPr>
                <w:rFonts w:ascii="Times New Roman" w:hAnsi="Times New Roman" w:cs="Times New Roman"/>
                <w:b/>
                <w:sz w:val="20"/>
              </w:rPr>
              <w:t>obile phase</w:t>
            </w:r>
            <w:r w:rsidR="00713037" w:rsidRPr="003B4E54">
              <w:rPr>
                <w:rFonts w:ascii="Times New Roman" w:hAnsi="Times New Roman" w:cs="Times New Roman"/>
                <w:b/>
                <w:sz w:val="20"/>
              </w:rPr>
              <w:t xml:space="preserve"> </w:t>
            </w:r>
            <w:r w:rsidRPr="003B4E54">
              <w:rPr>
                <w:rFonts w:ascii="Times New Roman" w:hAnsi="Times New Roman" w:cs="Times New Roman"/>
                <w:b/>
                <w:sz w:val="20"/>
              </w:rPr>
              <w:t>(A)</w:t>
            </w:r>
          </w:p>
        </w:tc>
        <w:tc>
          <w:tcPr>
            <w:tcW w:w="2601" w:type="dxa"/>
            <w:vAlign w:val="center"/>
          </w:tcPr>
          <w:p w14:paraId="58913BC6" w14:textId="5C131D40" w:rsidR="00827FDE" w:rsidRPr="003B4E54" w:rsidRDefault="00827FDE" w:rsidP="00827FDE">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 xml:space="preserve">Acetonitrile </w:t>
            </w:r>
          </w:p>
          <w:p w14:paraId="3733EDD7" w14:textId="1140C7C7" w:rsidR="00827FDE" w:rsidRPr="003B4E54" w:rsidRDefault="00827FDE" w:rsidP="00827FDE">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Acetonitrile + 0.1% formic acid</w:t>
            </w:r>
          </w:p>
        </w:tc>
        <w:tc>
          <w:tcPr>
            <w:tcW w:w="2758" w:type="dxa"/>
            <w:vAlign w:val="center"/>
          </w:tcPr>
          <w:p w14:paraId="652F084A" w14:textId="0CC09D78" w:rsidR="00827FDE" w:rsidRPr="003B4E54" w:rsidRDefault="00827FDE" w:rsidP="00827FDE">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Acetonitrile</w:t>
            </w:r>
          </w:p>
          <w:p w14:paraId="5E381D9B" w14:textId="25535A61" w:rsidR="00713037" w:rsidRPr="003B4E54" w:rsidRDefault="00713037" w:rsidP="00713037">
            <w:pPr>
              <w:pStyle w:val="NoSpacing"/>
              <w:spacing w:line="240" w:lineRule="auto"/>
              <w:ind w:firstLine="0"/>
              <w:rPr>
                <w:rFonts w:ascii="Times New Roman" w:hAnsi="Times New Roman" w:cs="Times New Roman"/>
                <w:sz w:val="20"/>
              </w:rPr>
            </w:pPr>
          </w:p>
        </w:tc>
      </w:tr>
      <w:tr w:rsidR="00F6281E" w:rsidRPr="003B4E54" w14:paraId="2246E9B3" w14:textId="77777777" w:rsidTr="00800F56">
        <w:tc>
          <w:tcPr>
            <w:tcW w:w="3505" w:type="dxa"/>
            <w:vAlign w:val="center"/>
          </w:tcPr>
          <w:p w14:paraId="5F3B4E58" w14:textId="6921F197" w:rsidR="00713037" w:rsidRPr="003B4E54" w:rsidRDefault="009B42C7" w:rsidP="00713037">
            <w:pPr>
              <w:pStyle w:val="NoSpacing"/>
              <w:spacing w:line="240" w:lineRule="auto"/>
              <w:ind w:firstLine="0"/>
              <w:rPr>
                <w:rFonts w:ascii="Times New Roman" w:hAnsi="Times New Roman" w:cs="Times New Roman"/>
                <w:b/>
                <w:sz w:val="20"/>
              </w:rPr>
            </w:pPr>
            <w:r w:rsidRPr="003B4E54">
              <w:rPr>
                <w:rFonts w:ascii="Times New Roman" w:hAnsi="Times New Roman" w:cs="Times New Roman"/>
                <w:b/>
                <w:sz w:val="20"/>
              </w:rPr>
              <w:t>Injection volume</w:t>
            </w:r>
          </w:p>
        </w:tc>
        <w:tc>
          <w:tcPr>
            <w:tcW w:w="2601" w:type="dxa"/>
            <w:vAlign w:val="center"/>
          </w:tcPr>
          <w:p w14:paraId="01395E3D" w14:textId="62EE588E" w:rsidR="00713037" w:rsidRPr="003B4E54" w:rsidRDefault="009B42C7" w:rsidP="007C11DC">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1</w:t>
            </w:r>
            <w:r w:rsidR="007C11DC" w:rsidRPr="003B4E54">
              <w:rPr>
                <w:rFonts w:ascii="Times New Roman" w:hAnsi="Times New Roman" w:cs="Times New Roman"/>
                <w:sz w:val="20"/>
              </w:rPr>
              <w:t>-</w:t>
            </w:r>
            <w:r w:rsidRPr="003B4E54">
              <w:rPr>
                <w:rFonts w:ascii="Times New Roman" w:hAnsi="Times New Roman" w:cs="Times New Roman"/>
                <w:sz w:val="20"/>
              </w:rPr>
              <w:t xml:space="preserve">5 </w:t>
            </w:r>
            <w:r w:rsidR="00827FDE" w:rsidRPr="003B4E54">
              <w:rPr>
                <w:rFonts w:ascii="Times New Roman" w:hAnsi="Times New Roman" w:cs="Times New Roman"/>
                <w:sz w:val="20"/>
              </w:rPr>
              <w:t>µL</w:t>
            </w:r>
          </w:p>
        </w:tc>
        <w:tc>
          <w:tcPr>
            <w:tcW w:w="2758" w:type="dxa"/>
            <w:vAlign w:val="center"/>
          </w:tcPr>
          <w:p w14:paraId="10E0FC97" w14:textId="47D7523F" w:rsidR="00713037" w:rsidRPr="003B4E54" w:rsidRDefault="00827FDE" w:rsidP="00827FDE">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1 µL</w:t>
            </w:r>
          </w:p>
        </w:tc>
      </w:tr>
      <w:tr w:rsidR="00F6281E" w:rsidRPr="003B4E54" w14:paraId="445EE774" w14:textId="77777777" w:rsidTr="00800F56">
        <w:tc>
          <w:tcPr>
            <w:tcW w:w="3505" w:type="dxa"/>
            <w:vAlign w:val="center"/>
          </w:tcPr>
          <w:p w14:paraId="158049E4" w14:textId="16E7B8A2" w:rsidR="00713037" w:rsidRPr="003B4E54" w:rsidRDefault="00800F56" w:rsidP="00713037">
            <w:pPr>
              <w:pStyle w:val="NoSpacing"/>
              <w:spacing w:line="240" w:lineRule="auto"/>
              <w:ind w:firstLine="0"/>
              <w:rPr>
                <w:rFonts w:ascii="Times New Roman" w:hAnsi="Times New Roman" w:cs="Times New Roman"/>
                <w:b/>
                <w:sz w:val="20"/>
              </w:rPr>
            </w:pPr>
            <w:r w:rsidRPr="003B4E54">
              <w:rPr>
                <w:rFonts w:ascii="Times New Roman" w:hAnsi="Times New Roman" w:cs="Times New Roman"/>
                <w:b/>
                <w:sz w:val="20"/>
              </w:rPr>
              <w:t>Interscan delay</w:t>
            </w:r>
          </w:p>
        </w:tc>
        <w:tc>
          <w:tcPr>
            <w:tcW w:w="2601" w:type="dxa"/>
            <w:vAlign w:val="center"/>
          </w:tcPr>
          <w:p w14:paraId="759F6117" w14:textId="4F0C75C9" w:rsidR="00713037" w:rsidRPr="003B4E54" w:rsidRDefault="00800F56" w:rsidP="008528A2">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 xml:space="preserve">100-500 </w:t>
            </w:r>
            <w:proofErr w:type="spellStart"/>
            <w:r w:rsidRPr="003B4E54">
              <w:rPr>
                <w:rFonts w:ascii="Times New Roman" w:hAnsi="Times New Roman" w:cs="Times New Roman"/>
                <w:sz w:val="20"/>
              </w:rPr>
              <w:t>ms</w:t>
            </w:r>
            <w:proofErr w:type="spellEnd"/>
          </w:p>
        </w:tc>
        <w:tc>
          <w:tcPr>
            <w:tcW w:w="2758" w:type="dxa"/>
            <w:vAlign w:val="center"/>
          </w:tcPr>
          <w:p w14:paraId="1E3CE8C0" w14:textId="313A71F7" w:rsidR="00713037" w:rsidRPr="003B4E54" w:rsidRDefault="00800F56" w:rsidP="00713037">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 xml:space="preserve">500 </w:t>
            </w:r>
            <w:proofErr w:type="spellStart"/>
            <w:r w:rsidRPr="003B4E54">
              <w:rPr>
                <w:rFonts w:ascii="Times New Roman" w:hAnsi="Times New Roman" w:cs="Times New Roman"/>
                <w:sz w:val="20"/>
              </w:rPr>
              <w:t>ms</w:t>
            </w:r>
            <w:proofErr w:type="spellEnd"/>
            <w:r w:rsidRPr="003B4E54">
              <w:rPr>
                <w:rFonts w:ascii="Times New Roman" w:hAnsi="Times New Roman" w:cs="Times New Roman"/>
                <w:sz w:val="20"/>
              </w:rPr>
              <w:t xml:space="preserve"> (BLM-A2-Cu)</w:t>
            </w:r>
          </w:p>
          <w:p w14:paraId="3A287BBF" w14:textId="779862D8" w:rsidR="00800F56" w:rsidRPr="003B4E54" w:rsidRDefault="00800F56" w:rsidP="00713037">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 xml:space="preserve">200 </w:t>
            </w:r>
            <w:proofErr w:type="spellStart"/>
            <w:r w:rsidRPr="003B4E54">
              <w:rPr>
                <w:rFonts w:ascii="Times New Roman" w:hAnsi="Times New Roman" w:cs="Times New Roman"/>
                <w:sz w:val="20"/>
              </w:rPr>
              <w:t>ms</w:t>
            </w:r>
            <w:proofErr w:type="spellEnd"/>
            <w:r w:rsidRPr="003B4E54">
              <w:rPr>
                <w:rFonts w:ascii="Times New Roman" w:hAnsi="Times New Roman" w:cs="Times New Roman"/>
                <w:sz w:val="20"/>
              </w:rPr>
              <w:t xml:space="preserve"> (BLM-B2-Cu)</w:t>
            </w:r>
          </w:p>
          <w:p w14:paraId="5110C1A0" w14:textId="43B9805A" w:rsidR="00800F56" w:rsidRPr="003B4E54" w:rsidRDefault="00800F56" w:rsidP="00713037">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 xml:space="preserve">200 </w:t>
            </w:r>
            <w:proofErr w:type="spellStart"/>
            <w:r w:rsidRPr="003B4E54">
              <w:rPr>
                <w:rFonts w:ascii="Times New Roman" w:hAnsi="Times New Roman" w:cs="Times New Roman"/>
                <w:sz w:val="20"/>
              </w:rPr>
              <w:t>ms</w:t>
            </w:r>
            <w:proofErr w:type="spellEnd"/>
            <w:r w:rsidR="00E71559" w:rsidRPr="003B4E54">
              <w:rPr>
                <w:rFonts w:ascii="Times New Roman" w:hAnsi="Times New Roman" w:cs="Times New Roman"/>
                <w:sz w:val="20"/>
              </w:rPr>
              <w:t xml:space="preserve"> (BLM-A5-Cu)</w:t>
            </w:r>
          </w:p>
          <w:p w14:paraId="7E5CACD2" w14:textId="65EBF003" w:rsidR="00800F56" w:rsidRPr="003B4E54" w:rsidRDefault="00800F56" w:rsidP="00713037">
            <w:pPr>
              <w:pStyle w:val="NoSpacing"/>
              <w:spacing w:line="240" w:lineRule="auto"/>
              <w:ind w:firstLine="0"/>
              <w:rPr>
                <w:rFonts w:ascii="Times New Roman" w:hAnsi="Times New Roman" w:cs="Times New Roman"/>
                <w:sz w:val="20"/>
              </w:rPr>
            </w:pPr>
            <w:r w:rsidRPr="003B4E54">
              <w:rPr>
                <w:rFonts w:ascii="Times New Roman" w:hAnsi="Times New Roman" w:cs="Times New Roman"/>
                <w:sz w:val="20"/>
              </w:rPr>
              <w:t xml:space="preserve">100 </w:t>
            </w:r>
            <w:proofErr w:type="spellStart"/>
            <w:r w:rsidRPr="003B4E54">
              <w:rPr>
                <w:rFonts w:ascii="Times New Roman" w:hAnsi="Times New Roman" w:cs="Times New Roman"/>
                <w:sz w:val="20"/>
              </w:rPr>
              <w:t>ms</w:t>
            </w:r>
            <w:proofErr w:type="spellEnd"/>
            <w:r w:rsidRPr="003B4E54">
              <w:rPr>
                <w:rFonts w:ascii="Times New Roman" w:hAnsi="Times New Roman" w:cs="Times New Roman"/>
                <w:sz w:val="20"/>
              </w:rPr>
              <w:t xml:space="preserve"> (</w:t>
            </w:r>
            <w:r w:rsidR="00E71559" w:rsidRPr="003B4E54">
              <w:rPr>
                <w:rFonts w:ascii="Times New Roman" w:hAnsi="Times New Roman" w:cs="Times New Roman"/>
                <w:sz w:val="20"/>
              </w:rPr>
              <w:t>BLM-A5-Cu)</w:t>
            </w:r>
          </w:p>
        </w:tc>
      </w:tr>
      <w:tr w:rsidR="00E71559" w:rsidRPr="003B4E54" w14:paraId="132EB1EC" w14:textId="77777777" w:rsidTr="007E207F">
        <w:trPr>
          <w:trHeight w:val="377"/>
        </w:trPr>
        <w:tc>
          <w:tcPr>
            <w:tcW w:w="3505" w:type="dxa"/>
            <w:vAlign w:val="center"/>
          </w:tcPr>
          <w:p w14:paraId="487DD01C" w14:textId="406B3FF5" w:rsidR="00E71559" w:rsidRPr="003B4E54" w:rsidRDefault="00E71559" w:rsidP="00E71559">
            <w:pPr>
              <w:pStyle w:val="NoSpacing"/>
              <w:ind w:firstLine="0"/>
              <w:rPr>
                <w:rFonts w:ascii="Times New Roman" w:hAnsi="Times New Roman" w:cs="Times New Roman"/>
                <w:b/>
                <w:sz w:val="20"/>
              </w:rPr>
            </w:pPr>
            <w:r w:rsidRPr="003B4E54">
              <w:rPr>
                <w:rFonts w:ascii="Times New Roman" w:hAnsi="Times New Roman" w:cs="Times New Roman"/>
                <w:b/>
                <w:sz w:val="20"/>
              </w:rPr>
              <w:t>Resolution</w:t>
            </w:r>
            <w:r w:rsidR="00DE7F33" w:rsidRPr="003B4E54">
              <w:rPr>
                <w:rFonts w:ascii="Times New Roman" w:hAnsi="Times New Roman" w:cs="Times New Roman"/>
                <w:b/>
                <w:sz w:val="20"/>
              </w:rPr>
              <w:t xml:space="preserve"> Q1 and Q2</w:t>
            </w:r>
          </w:p>
        </w:tc>
        <w:tc>
          <w:tcPr>
            <w:tcW w:w="2601" w:type="dxa"/>
            <w:vAlign w:val="center"/>
          </w:tcPr>
          <w:p w14:paraId="1DA5A1B5" w14:textId="662AE7F7" w:rsidR="00E71559" w:rsidRPr="003B4E54" w:rsidRDefault="00DE7F33" w:rsidP="00DE7F33">
            <w:pPr>
              <w:pStyle w:val="NoSpacing"/>
              <w:ind w:firstLine="0"/>
              <w:rPr>
                <w:rFonts w:ascii="Times New Roman" w:hAnsi="Times New Roman" w:cs="Times New Roman"/>
                <w:sz w:val="20"/>
              </w:rPr>
            </w:pPr>
            <w:r w:rsidRPr="003B4E54">
              <w:rPr>
                <w:rFonts w:ascii="Times New Roman" w:hAnsi="Times New Roman" w:cs="Times New Roman"/>
                <w:sz w:val="20"/>
              </w:rPr>
              <w:t>Unit, Low</w:t>
            </w:r>
          </w:p>
        </w:tc>
        <w:tc>
          <w:tcPr>
            <w:tcW w:w="2758" w:type="dxa"/>
            <w:vAlign w:val="center"/>
          </w:tcPr>
          <w:p w14:paraId="763966EE" w14:textId="18301029" w:rsidR="00E71559" w:rsidRPr="003B4E54" w:rsidRDefault="00DE7F33" w:rsidP="00DE7F33">
            <w:pPr>
              <w:pStyle w:val="NoSpacing"/>
              <w:ind w:firstLine="0"/>
              <w:rPr>
                <w:rFonts w:ascii="Times New Roman" w:hAnsi="Times New Roman" w:cs="Times New Roman"/>
                <w:sz w:val="20"/>
              </w:rPr>
            </w:pPr>
            <w:r w:rsidRPr="003B4E54">
              <w:rPr>
                <w:rFonts w:ascii="Times New Roman" w:hAnsi="Times New Roman" w:cs="Times New Roman"/>
                <w:sz w:val="20"/>
              </w:rPr>
              <w:t>Unit</w:t>
            </w:r>
          </w:p>
        </w:tc>
      </w:tr>
    </w:tbl>
    <w:p w14:paraId="12B14C74" w14:textId="77777777" w:rsidR="00804912" w:rsidRPr="003B4E54" w:rsidRDefault="00804912">
      <w:pPr>
        <w:rPr>
          <w:rFonts w:ascii="Times New Roman" w:hAnsi="Times New Roman" w:cs="Times New Roman"/>
          <w:color w:val="FF0000"/>
          <w:sz w:val="22"/>
        </w:rPr>
      </w:pPr>
    </w:p>
    <w:p w14:paraId="5A3E2B9A" w14:textId="73A49723" w:rsidR="00CC7AF8" w:rsidRPr="002975BA" w:rsidRDefault="00935E6A" w:rsidP="00200063">
      <w:pPr>
        <w:pStyle w:val="Heading2"/>
        <w:rPr>
          <w:b w:val="0"/>
          <w:bCs/>
          <w:i/>
          <w:color w:val="auto"/>
        </w:rPr>
      </w:pPr>
      <w:bookmarkStart w:id="57" w:name="_Ref313103709"/>
      <w:bookmarkStart w:id="58" w:name="_Toc320358131"/>
      <w:bookmarkStart w:id="59" w:name="_Toc130558177"/>
      <w:r w:rsidRPr="00200063">
        <w:rPr>
          <w:b w:val="0"/>
          <w:bCs/>
          <w:i/>
          <w:color w:val="auto"/>
        </w:rPr>
        <w:t xml:space="preserve">2.2 </w:t>
      </w:r>
      <w:r w:rsidR="00CC7AF8" w:rsidRPr="002975BA">
        <w:rPr>
          <w:b w:val="0"/>
          <w:bCs/>
          <w:i/>
          <w:color w:val="auto"/>
        </w:rPr>
        <w:t>S</w:t>
      </w:r>
      <w:r w:rsidR="006C399E" w:rsidRPr="002975BA">
        <w:rPr>
          <w:b w:val="0"/>
          <w:bCs/>
          <w:i/>
          <w:color w:val="auto"/>
        </w:rPr>
        <w:t xml:space="preserve">ample preparation </w:t>
      </w:r>
      <w:bookmarkEnd w:id="57"/>
      <w:r w:rsidR="006C399E" w:rsidRPr="002975BA">
        <w:rPr>
          <w:b w:val="0"/>
          <w:bCs/>
          <w:i/>
          <w:color w:val="auto"/>
        </w:rPr>
        <w:t>procedure</w:t>
      </w:r>
      <w:bookmarkEnd w:id="58"/>
      <w:bookmarkEnd w:id="59"/>
    </w:p>
    <w:p w14:paraId="1A4F7D8C" w14:textId="15CBCDDF" w:rsidR="00CC7AF8" w:rsidRPr="00200063" w:rsidRDefault="000F1B01" w:rsidP="00200063">
      <w:pPr>
        <w:pStyle w:val="Heading3"/>
        <w:rPr>
          <w:rFonts w:ascii="Times New Roman" w:hAnsi="Times New Roman" w:cs="Times New Roman"/>
          <w:bCs/>
          <w:i/>
          <w:sz w:val="22"/>
          <w:szCs w:val="26"/>
        </w:rPr>
      </w:pPr>
      <w:bookmarkStart w:id="60" w:name="_Toc130558178"/>
      <w:r w:rsidRPr="00200063">
        <w:rPr>
          <w:rFonts w:ascii="Times New Roman" w:hAnsi="Times New Roman" w:cs="Times New Roman"/>
          <w:bCs/>
          <w:i/>
          <w:color w:val="auto"/>
          <w:sz w:val="22"/>
          <w:szCs w:val="26"/>
        </w:rPr>
        <w:t>2</w:t>
      </w:r>
      <w:r w:rsidR="00CC7AF8" w:rsidRPr="00200063">
        <w:rPr>
          <w:rFonts w:ascii="Times New Roman" w:hAnsi="Times New Roman" w:cs="Times New Roman"/>
          <w:bCs/>
          <w:i/>
          <w:color w:val="auto"/>
          <w:sz w:val="22"/>
          <w:szCs w:val="26"/>
        </w:rPr>
        <w:t xml:space="preserve">.2.1 Optimization and comparison of </w:t>
      </w:r>
      <w:r w:rsidR="00D00C40" w:rsidRPr="00200063">
        <w:rPr>
          <w:rFonts w:ascii="Times New Roman" w:hAnsi="Times New Roman" w:cs="Times New Roman"/>
          <w:bCs/>
          <w:i/>
          <w:color w:val="auto"/>
          <w:sz w:val="22"/>
          <w:szCs w:val="26"/>
        </w:rPr>
        <w:t xml:space="preserve">alternative </w:t>
      </w:r>
      <w:r w:rsidR="00CC7AF8" w:rsidRPr="00200063">
        <w:rPr>
          <w:rFonts w:ascii="Times New Roman" w:hAnsi="Times New Roman" w:cs="Times New Roman"/>
          <w:bCs/>
          <w:i/>
          <w:color w:val="auto"/>
          <w:sz w:val="22"/>
          <w:szCs w:val="26"/>
        </w:rPr>
        <w:t>sample preparation protocols</w:t>
      </w:r>
      <w:bookmarkEnd w:id="60"/>
    </w:p>
    <w:p w14:paraId="6F672951" w14:textId="77777777" w:rsidR="00CC7AF8" w:rsidRPr="003B4E54" w:rsidRDefault="00CC7AF8" w:rsidP="00CC7AF8">
      <w:pPr>
        <w:rPr>
          <w:rFonts w:ascii="Times New Roman" w:hAnsi="Times New Roman" w:cs="Times New Roman"/>
        </w:rPr>
      </w:pPr>
    </w:p>
    <w:p w14:paraId="076E4128" w14:textId="501FF171" w:rsidR="003E4177" w:rsidRPr="009249C3" w:rsidRDefault="00911EE5" w:rsidP="009249C3">
      <w:pPr>
        <w:spacing w:line="276" w:lineRule="auto"/>
        <w:jc w:val="both"/>
        <w:rPr>
          <w:rFonts w:ascii="Times New Roman" w:hAnsi="Times New Roman" w:cs="Times New Roman"/>
          <w:sz w:val="22"/>
          <w:szCs w:val="22"/>
        </w:rPr>
      </w:pPr>
      <w:r w:rsidRPr="009249C3">
        <w:rPr>
          <w:rFonts w:ascii="Times New Roman" w:hAnsi="Times New Roman" w:cs="Times New Roman"/>
          <w:sz w:val="22"/>
          <w:szCs w:val="22"/>
        </w:rPr>
        <w:t xml:space="preserve">Elution solvents for </w:t>
      </w:r>
      <w:r w:rsidR="00A0703F" w:rsidRPr="009249C3">
        <w:rPr>
          <w:rFonts w:ascii="Times New Roman" w:hAnsi="Times New Roman" w:cs="Times New Roman"/>
          <w:sz w:val="22"/>
          <w:szCs w:val="22"/>
        </w:rPr>
        <w:t xml:space="preserve">the first elution step of </w:t>
      </w:r>
      <w:r w:rsidRPr="009249C3">
        <w:rPr>
          <w:rFonts w:ascii="Times New Roman" w:hAnsi="Times New Roman" w:cs="Times New Roman"/>
          <w:sz w:val="22"/>
          <w:szCs w:val="22"/>
        </w:rPr>
        <w:t xml:space="preserve">SPE have been tested in various </w:t>
      </w:r>
      <w:r w:rsidR="00A0703F" w:rsidRPr="009249C3">
        <w:rPr>
          <w:rFonts w:ascii="Times New Roman" w:hAnsi="Times New Roman" w:cs="Times New Roman"/>
          <w:sz w:val="22"/>
          <w:szCs w:val="22"/>
        </w:rPr>
        <w:t>ratios</w:t>
      </w:r>
      <w:r w:rsidR="006103DE" w:rsidRPr="009249C3">
        <w:rPr>
          <w:rFonts w:ascii="Times New Roman" w:hAnsi="Times New Roman" w:cs="Times New Roman"/>
          <w:sz w:val="22"/>
          <w:szCs w:val="22"/>
        </w:rPr>
        <w:t xml:space="preserve"> as illustrated in Table S-2. Highest recoveries were present for either MeOH or MeOH/MQ </w:t>
      </w:r>
      <w:r w:rsidR="00626122" w:rsidRPr="009249C3">
        <w:rPr>
          <w:rFonts w:ascii="Times New Roman" w:hAnsi="Times New Roman" w:cs="Times New Roman"/>
          <w:sz w:val="22"/>
          <w:szCs w:val="22"/>
        </w:rPr>
        <w:t xml:space="preserve">1:1. The latter was chosen due to </w:t>
      </w:r>
      <w:r w:rsidR="007E24D4" w:rsidRPr="009249C3">
        <w:rPr>
          <w:rFonts w:ascii="Times New Roman" w:hAnsi="Times New Roman" w:cs="Times New Roman"/>
          <w:sz w:val="22"/>
          <w:szCs w:val="22"/>
        </w:rPr>
        <w:t>lower variation among the parallels.</w:t>
      </w:r>
      <w:r w:rsidR="00FC0193" w:rsidRPr="009249C3">
        <w:rPr>
          <w:rFonts w:ascii="Times New Roman" w:hAnsi="Times New Roman" w:cs="Times New Roman"/>
          <w:sz w:val="22"/>
          <w:szCs w:val="22"/>
        </w:rPr>
        <w:t xml:space="preserve"> </w:t>
      </w:r>
    </w:p>
    <w:p w14:paraId="747E5F2E" w14:textId="77777777" w:rsidR="00CD0FF9" w:rsidRPr="003B4E54" w:rsidRDefault="00CD0FF9" w:rsidP="00F61B4D">
      <w:pPr>
        <w:pStyle w:val="TAMainText"/>
        <w:spacing w:line="276" w:lineRule="auto"/>
        <w:ind w:firstLine="0"/>
        <w:rPr>
          <w:rFonts w:ascii="Times New Roman" w:hAnsi="Times New Roman"/>
          <w:sz w:val="22"/>
        </w:rPr>
      </w:pPr>
    </w:p>
    <w:p w14:paraId="59D80E44" w14:textId="3DEDDFFB" w:rsidR="00F61B4D" w:rsidRPr="003B4E54" w:rsidRDefault="003E4177" w:rsidP="00F61B4D">
      <w:pPr>
        <w:pStyle w:val="TAMainText"/>
        <w:spacing w:line="276" w:lineRule="auto"/>
        <w:ind w:firstLine="0"/>
        <w:rPr>
          <w:rFonts w:ascii="Times New Roman" w:hAnsi="Times New Roman"/>
          <w:sz w:val="22"/>
        </w:rPr>
      </w:pPr>
      <w:r w:rsidRPr="003B4E54">
        <w:rPr>
          <w:rFonts w:ascii="Times New Roman" w:hAnsi="Times New Roman"/>
          <w:sz w:val="22"/>
        </w:rPr>
        <w:t xml:space="preserve">Table S – 2: Elution </w:t>
      </w:r>
      <w:r w:rsidR="00FC0193" w:rsidRPr="003B4E54">
        <w:rPr>
          <w:rFonts w:ascii="Times New Roman" w:hAnsi="Times New Roman"/>
          <w:sz w:val="22"/>
        </w:rPr>
        <w:t>from Oasis HLB</w:t>
      </w:r>
      <w:r w:rsidR="00FC0193" w:rsidRPr="003B4E54">
        <w:rPr>
          <w:rFonts w:ascii="Times New Roman" w:hAnsi="Times New Roman"/>
          <w:sz w:val="22"/>
          <w:vertAlign w:val="superscript"/>
        </w:rPr>
        <w:t>TM</w:t>
      </w:r>
      <w:r w:rsidR="00FC0193" w:rsidRPr="003B4E54">
        <w:rPr>
          <w:rFonts w:ascii="Times New Roman" w:hAnsi="Times New Roman"/>
          <w:sz w:val="22"/>
        </w:rPr>
        <w:t xml:space="preserve"> sorbent: Solvent optimization</w:t>
      </w:r>
    </w:p>
    <w:tbl>
      <w:tblPr>
        <w:tblW w:w="7938" w:type="dxa"/>
        <w:tblInd w:w="-10" w:type="dxa"/>
        <w:tblLook w:val="04A0" w:firstRow="1" w:lastRow="0" w:firstColumn="1" w:lastColumn="0" w:noHBand="0" w:noVBand="1"/>
      </w:tblPr>
      <w:tblGrid>
        <w:gridCol w:w="2268"/>
        <w:gridCol w:w="1418"/>
        <w:gridCol w:w="4252"/>
      </w:tblGrid>
      <w:tr w:rsidR="00186DD0" w:rsidRPr="003B4E54" w14:paraId="3AEE64B9" w14:textId="77777777" w:rsidTr="0042771C">
        <w:trPr>
          <w:trHeight w:val="315"/>
        </w:trPr>
        <w:tc>
          <w:tcPr>
            <w:tcW w:w="3686"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46B13BEC" w14:textId="1B5AD519" w:rsidR="00186DD0" w:rsidRPr="003B4E54" w:rsidRDefault="00186DD0" w:rsidP="00282FE4">
            <w:pPr>
              <w:jc w:val="center"/>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Elution solvents</w:t>
            </w:r>
          </w:p>
        </w:tc>
        <w:tc>
          <w:tcPr>
            <w:tcW w:w="4252" w:type="dxa"/>
            <w:vMerge w:val="restart"/>
            <w:tcBorders>
              <w:top w:val="single" w:sz="4" w:space="0" w:color="auto"/>
              <w:left w:val="single" w:sz="4" w:space="0" w:color="auto"/>
              <w:right w:val="single" w:sz="4" w:space="0" w:color="auto"/>
            </w:tcBorders>
            <w:shd w:val="clear" w:color="auto" w:fill="auto"/>
            <w:vAlign w:val="center"/>
            <w:hideMark/>
          </w:tcPr>
          <w:p w14:paraId="6F48122E" w14:textId="3A0D6575" w:rsidR="00186DD0" w:rsidRPr="003B4E54" w:rsidRDefault="00186DD0"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Average AUC 2 paral</w:t>
            </w:r>
            <w:r w:rsidR="00F80936" w:rsidRPr="003B4E54">
              <w:rPr>
                <w:rFonts w:ascii="Times New Roman" w:eastAsia="Times New Roman" w:hAnsi="Times New Roman" w:cs="Times New Roman"/>
                <w:sz w:val="22"/>
                <w:szCs w:val="22"/>
              </w:rPr>
              <w:t>l</w:t>
            </w:r>
            <w:r w:rsidRPr="003B4E54">
              <w:rPr>
                <w:rFonts w:ascii="Times New Roman" w:eastAsia="Times New Roman" w:hAnsi="Times New Roman" w:cs="Times New Roman"/>
                <w:sz w:val="22"/>
                <w:szCs w:val="22"/>
              </w:rPr>
              <w:t>els (RSD %)</w:t>
            </w:r>
          </w:p>
        </w:tc>
      </w:tr>
      <w:tr w:rsidR="00186DD0" w:rsidRPr="003B4E54" w14:paraId="1EA2444A" w14:textId="77777777" w:rsidTr="00707EC3">
        <w:trPr>
          <w:trHeight w:val="315"/>
        </w:trPr>
        <w:tc>
          <w:tcPr>
            <w:tcW w:w="2268" w:type="dxa"/>
            <w:tcBorders>
              <w:top w:val="single" w:sz="8" w:space="0" w:color="auto"/>
              <w:left w:val="single" w:sz="8" w:space="0" w:color="auto"/>
              <w:bottom w:val="single" w:sz="8" w:space="0" w:color="auto"/>
              <w:right w:val="single" w:sz="4" w:space="0" w:color="auto"/>
            </w:tcBorders>
            <w:shd w:val="clear" w:color="auto" w:fill="auto"/>
            <w:vAlign w:val="center"/>
          </w:tcPr>
          <w:p w14:paraId="26EAE9C7" w14:textId="38A7F4B5" w:rsidR="00186DD0" w:rsidRPr="003B4E54" w:rsidRDefault="00186DD0" w:rsidP="00707EC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Elution 1 (0.5 mL)</w:t>
            </w:r>
          </w:p>
        </w:tc>
        <w:tc>
          <w:tcPr>
            <w:tcW w:w="1418" w:type="dxa"/>
            <w:tcBorders>
              <w:top w:val="single" w:sz="4" w:space="0" w:color="auto"/>
              <w:left w:val="single" w:sz="4" w:space="0" w:color="auto"/>
              <w:bottom w:val="single" w:sz="4" w:space="0" w:color="auto"/>
              <w:right w:val="single" w:sz="4" w:space="0" w:color="auto"/>
            </w:tcBorders>
          </w:tcPr>
          <w:p w14:paraId="047590D6" w14:textId="0B816EC0" w:rsidR="00186DD0" w:rsidRPr="003B4E54" w:rsidRDefault="00186DD0"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Elution</w:t>
            </w:r>
            <w:r w:rsidR="00707EC3" w:rsidRPr="003B4E54">
              <w:rPr>
                <w:rFonts w:ascii="Times New Roman" w:eastAsia="Times New Roman" w:hAnsi="Times New Roman" w:cs="Times New Roman"/>
                <w:sz w:val="22"/>
                <w:szCs w:val="22"/>
              </w:rPr>
              <w:t xml:space="preserve"> 2 and</w:t>
            </w:r>
            <w:r w:rsidRPr="003B4E54">
              <w:rPr>
                <w:rFonts w:ascii="Times New Roman" w:eastAsia="Times New Roman" w:hAnsi="Times New Roman" w:cs="Times New Roman"/>
                <w:sz w:val="22"/>
                <w:szCs w:val="22"/>
              </w:rPr>
              <w:t xml:space="preserve"> 3 (</w:t>
            </w:r>
            <w:r w:rsidR="00707EC3" w:rsidRPr="003B4E54">
              <w:rPr>
                <w:rFonts w:ascii="Times New Roman" w:eastAsia="Times New Roman" w:hAnsi="Times New Roman" w:cs="Times New Roman"/>
                <w:sz w:val="22"/>
                <w:szCs w:val="22"/>
              </w:rPr>
              <w:t>2·</w:t>
            </w:r>
            <w:r w:rsidRPr="003B4E54">
              <w:rPr>
                <w:rFonts w:ascii="Times New Roman" w:eastAsia="Times New Roman" w:hAnsi="Times New Roman" w:cs="Times New Roman"/>
                <w:sz w:val="22"/>
                <w:szCs w:val="22"/>
              </w:rPr>
              <w:t>0.5 mL)</w:t>
            </w:r>
          </w:p>
        </w:tc>
        <w:tc>
          <w:tcPr>
            <w:tcW w:w="4252" w:type="dxa"/>
            <w:vMerge/>
            <w:tcBorders>
              <w:left w:val="single" w:sz="4" w:space="0" w:color="auto"/>
              <w:bottom w:val="single" w:sz="4" w:space="0" w:color="auto"/>
              <w:right w:val="single" w:sz="4" w:space="0" w:color="auto"/>
            </w:tcBorders>
            <w:shd w:val="clear" w:color="auto" w:fill="auto"/>
            <w:vAlign w:val="center"/>
          </w:tcPr>
          <w:p w14:paraId="1D1736E9" w14:textId="1854B377" w:rsidR="00186DD0" w:rsidRPr="003B4E54" w:rsidRDefault="00186DD0" w:rsidP="001845E3">
            <w:pPr>
              <w:jc w:val="both"/>
              <w:rPr>
                <w:rFonts w:ascii="Times New Roman" w:eastAsia="Times New Roman" w:hAnsi="Times New Roman" w:cs="Times New Roman"/>
                <w:sz w:val="22"/>
                <w:szCs w:val="22"/>
              </w:rPr>
            </w:pPr>
          </w:p>
        </w:tc>
      </w:tr>
      <w:tr w:rsidR="00282FE4" w:rsidRPr="003B4E54" w14:paraId="5416047C" w14:textId="77777777" w:rsidTr="00707EC3">
        <w:trPr>
          <w:trHeight w:val="315"/>
        </w:trPr>
        <w:tc>
          <w:tcPr>
            <w:tcW w:w="2268" w:type="dxa"/>
            <w:tcBorders>
              <w:top w:val="nil"/>
              <w:left w:val="single" w:sz="8" w:space="0" w:color="auto"/>
              <w:bottom w:val="single" w:sz="8" w:space="0" w:color="auto"/>
              <w:right w:val="single" w:sz="4" w:space="0" w:color="auto"/>
            </w:tcBorders>
            <w:shd w:val="clear" w:color="auto" w:fill="auto"/>
            <w:vAlign w:val="center"/>
            <w:hideMark/>
          </w:tcPr>
          <w:p w14:paraId="669AEA57" w14:textId="77777777" w:rsidR="00EE7FA8" w:rsidRPr="003B4E54" w:rsidRDefault="00EE7FA8"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 xml:space="preserve">MeOH </w:t>
            </w:r>
          </w:p>
        </w:tc>
        <w:tc>
          <w:tcPr>
            <w:tcW w:w="1418" w:type="dxa"/>
            <w:vMerge w:val="restart"/>
            <w:tcBorders>
              <w:top w:val="single" w:sz="4" w:space="0" w:color="auto"/>
              <w:left w:val="single" w:sz="4" w:space="0" w:color="auto"/>
              <w:right w:val="single" w:sz="4" w:space="0" w:color="auto"/>
            </w:tcBorders>
          </w:tcPr>
          <w:p w14:paraId="58663759" w14:textId="40C65500" w:rsidR="00EE7FA8" w:rsidRPr="003B4E54" w:rsidRDefault="00EE7FA8" w:rsidP="00EE7FA8">
            <w:pPr>
              <w:jc w:val="center"/>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ACN</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D0357" w14:textId="2D42027D" w:rsidR="00EE7FA8" w:rsidRPr="003B4E54" w:rsidRDefault="00EE7FA8" w:rsidP="001845E3">
            <w:pPr>
              <w:jc w:val="both"/>
              <w:rPr>
                <w:rFonts w:ascii="Times New Roman" w:eastAsia="Times New Roman" w:hAnsi="Times New Roman" w:cs="Times New Roman"/>
                <w:sz w:val="20"/>
                <w:szCs w:val="20"/>
              </w:rPr>
            </w:pPr>
            <w:r w:rsidRPr="003B4E54">
              <w:rPr>
                <w:rFonts w:ascii="Times New Roman" w:eastAsia="Times New Roman" w:hAnsi="Times New Roman" w:cs="Times New Roman"/>
                <w:b/>
                <w:sz w:val="20"/>
                <w:szCs w:val="20"/>
              </w:rPr>
              <w:t>686 500</w:t>
            </w:r>
            <w:r w:rsidRPr="003B4E54">
              <w:rPr>
                <w:rFonts w:ascii="Times New Roman" w:eastAsia="Times New Roman" w:hAnsi="Times New Roman" w:cs="Times New Roman"/>
                <w:sz w:val="20"/>
                <w:szCs w:val="20"/>
              </w:rPr>
              <w:t xml:space="preserve"> (3.8 %) </w:t>
            </w:r>
          </w:p>
        </w:tc>
      </w:tr>
      <w:tr w:rsidR="00282FE4" w:rsidRPr="003B4E54" w14:paraId="242C2B13" w14:textId="77777777" w:rsidTr="00707EC3">
        <w:trPr>
          <w:trHeight w:val="315"/>
        </w:trPr>
        <w:tc>
          <w:tcPr>
            <w:tcW w:w="2268" w:type="dxa"/>
            <w:tcBorders>
              <w:top w:val="nil"/>
              <w:left w:val="single" w:sz="8" w:space="0" w:color="auto"/>
              <w:bottom w:val="single" w:sz="8" w:space="0" w:color="auto"/>
              <w:right w:val="single" w:sz="4" w:space="0" w:color="auto"/>
            </w:tcBorders>
            <w:shd w:val="clear" w:color="auto" w:fill="auto"/>
            <w:vAlign w:val="center"/>
            <w:hideMark/>
          </w:tcPr>
          <w:p w14:paraId="6BB6E7C1" w14:textId="77777777" w:rsidR="00EE7FA8" w:rsidRPr="003B4E54" w:rsidRDefault="00EE7FA8"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MQ/MeOH 1:9</w:t>
            </w:r>
          </w:p>
        </w:tc>
        <w:tc>
          <w:tcPr>
            <w:tcW w:w="1418" w:type="dxa"/>
            <w:vMerge/>
            <w:tcBorders>
              <w:left w:val="single" w:sz="4" w:space="0" w:color="auto"/>
              <w:right w:val="single" w:sz="4" w:space="0" w:color="auto"/>
            </w:tcBorders>
          </w:tcPr>
          <w:p w14:paraId="3DAD1301" w14:textId="77777777" w:rsidR="00EE7FA8" w:rsidRPr="003B4E54" w:rsidRDefault="00EE7FA8" w:rsidP="001845E3">
            <w:pPr>
              <w:jc w:val="both"/>
              <w:rPr>
                <w:rFonts w:ascii="Times New Roman" w:eastAsia="Times New Roman" w:hAnsi="Times New Roman" w:cs="Times New Roman"/>
                <w:sz w:val="20"/>
                <w:szCs w:val="2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5C7BB" w14:textId="6466252D" w:rsidR="00EE7FA8" w:rsidRPr="003B4E54" w:rsidRDefault="00EE7FA8" w:rsidP="001845E3">
            <w:pPr>
              <w:jc w:val="both"/>
              <w:rPr>
                <w:rFonts w:ascii="Times New Roman" w:eastAsia="Times New Roman" w:hAnsi="Times New Roman" w:cs="Times New Roman"/>
                <w:sz w:val="20"/>
                <w:szCs w:val="20"/>
              </w:rPr>
            </w:pPr>
            <w:r w:rsidRPr="003B4E54">
              <w:rPr>
                <w:rFonts w:ascii="Times New Roman" w:eastAsia="Times New Roman" w:hAnsi="Times New Roman" w:cs="Times New Roman"/>
                <w:sz w:val="20"/>
                <w:szCs w:val="20"/>
              </w:rPr>
              <w:t xml:space="preserve">642 500 (5.1 %) </w:t>
            </w:r>
          </w:p>
        </w:tc>
      </w:tr>
      <w:tr w:rsidR="00282FE4" w:rsidRPr="003B4E54" w14:paraId="22D80248" w14:textId="77777777" w:rsidTr="00707EC3">
        <w:trPr>
          <w:trHeight w:val="315"/>
        </w:trPr>
        <w:tc>
          <w:tcPr>
            <w:tcW w:w="2268" w:type="dxa"/>
            <w:tcBorders>
              <w:top w:val="nil"/>
              <w:left w:val="single" w:sz="8" w:space="0" w:color="auto"/>
              <w:bottom w:val="single" w:sz="8" w:space="0" w:color="auto"/>
              <w:right w:val="single" w:sz="4" w:space="0" w:color="auto"/>
            </w:tcBorders>
            <w:shd w:val="clear" w:color="auto" w:fill="auto"/>
            <w:vAlign w:val="center"/>
            <w:hideMark/>
          </w:tcPr>
          <w:p w14:paraId="4D7D3F15" w14:textId="77777777" w:rsidR="00EE7FA8" w:rsidRPr="003B4E54" w:rsidRDefault="00EE7FA8"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MQ/MeOH 1:4</w:t>
            </w:r>
          </w:p>
        </w:tc>
        <w:tc>
          <w:tcPr>
            <w:tcW w:w="1418" w:type="dxa"/>
            <w:vMerge/>
            <w:tcBorders>
              <w:left w:val="single" w:sz="4" w:space="0" w:color="auto"/>
              <w:right w:val="single" w:sz="4" w:space="0" w:color="auto"/>
            </w:tcBorders>
          </w:tcPr>
          <w:p w14:paraId="3B51633D" w14:textId="77777777" w:rsidR="00EE7FA8" w:rsidRPr="003B4E54" w:rsidRDefault="00EE7FA8" w:rsidP="001845E3">
            <w:pPr>
              <w:jc w:val="both"/>
              <w:rPr>
                <w:rFonts w:ascii="Times New Roman" w:eastAsia="Times New Roman" w:hAnsi="Times New Roman" w:cs="Times New Roman"/>
                <w:sz w:val="20"/>
                <w:szCs w:val="2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9F7E5" w14:textId="33BED72B" w:rsidR="00EE7FA8" w:rsidRPr="003B4E54" w:rsidRDefault="00EE7FA8" w:rsidP="001845E3">
            <w:pPr>
              <w:jc w:val="both"/>
              <w:rPr>
                <w:rFonts w:ascii="Times New Roman" w:eastAsia="Times New Roman" w:hAnsi="Times New Roman" w:cs="Times New Roman"/>
                <w:sz w:val="20"/>
                <w:szCs w:val="20"/>
              </w:rPr>
            </w:pPr>
            <w:r w:rsidRPr="003B4E54">
              <w:rPr>
                <w:rFonts w:ascii="Times New Roman" w:eastAsia="Times New Roman" w:hAnsi="Times New Roman" w:cs="Times New Roman"/>
                <w:sz w:val="20"/>
                <w:szCs w:val="20"/>
              </w:rPr>
              <w:t xml:space="preserve">575 500 (9.5 %) </w:t>
            </w:r>
          </w:p>
        </w:tc>
      </w:tr>
      <w:tr w:rsidR="00282FE4" w:rsidRPr="003B4E54" w14:paraId="04151634" w14:textId="77777777" w:rsidTr="00707EC3">
        <w:trPr>
          <w:trHeight w:val="315"/>
        </w:trPr>
        <w:tc>
          <w:tcPr>
            <w:tcW w:w="2268" w:type="dxa"/>
            <w:tcBorders>
              <w:top w:val="nil"/>
              <w:left w:val="single" w:sz="8" w:space="0" w:color="auto"/>
              <w:bottom w:val="single" w:sz="8" w:space="0" w:color="auto"/>
              <w:right w:val="single" w:sz="4" w:space="0" w:color="auto"/>
            </w:tcBorders>
            <w:shd w:val="clear" w:color="auto" w:fill="auto"/>
            <w:vAlign w:val="center"/>
            <w:hideMark/>
          </w:tcPr>
          <w:p w14:paraId="53DC41D2" w14:textId="77777777" w:rsidR="00EE7FA8" w:rsidRPr="003B4E54" w:rsidRDefault="00EE7FA8"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MQ/MeOH 3:7</w:t>
            </w:r>
          </w:p>
        </w:tc>
        <w:tc>
          <w:tcPr>
            <w:tcW w:w="1418" w:type="dxa"/>
            <w:vMerge/>
            <w:tcBorders>
              <w:left w:val="single" w:sz="4" w:space="0" w:color="auto"/>
              <w:right w:val="single" w:sz="4" w:space="0" w:color="auto"/>
            </w:tcBorders>
          </w:tcPr>
          <w:p w14:paraId="3B995439" w14:textId="77777777" w:rsidR="00EE7FA8" w:rsidRPr="003B4E54" w:rsidRDefault="00EE7FA8" w:rsidP="001845E3">
            <w:pPr>
              <w:jc w:val="both"/>
              <w:rPr>
                <w:rFonts w:ascii="Times New Roman" w:eastAsia="Times New Roman" w:hAnsi="Times New Roman" w:cs="Times New Roman"/>
                <w:sz w:val="20"/>
                <w:szCs w:val="2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601EF" w14:textId="3C58F41A" w:rsidR="00EE7FA8" w:rsidRPr="003B4E54" w:rsidRDefault="00EE7FA8" w:rsidP="001845E3">
            <w:pPr>
              <w:jc w:val="both"/>
              <w:rPr>
                <w:rFonts w:ascii="Times New Roman" w:eastAsia="Times New Roman" w:hAnsi="Times New Roman" w:cs="Times New Roman"/>
                <w:sz w:val="20"/>
                <w:szCs w:val="20"/>
              </w:rPr>
            </w:pPr>
            <w:r w:rsidRPr="003B4E54">
              <w:rPr>
                <w:rFonts w:ascii="Times New Roman" w:eastAsia="Times New Roman" w:hAnsi="Times New Roman" w:cs="Times New Roman"/>
                <w:sz w:val="20"/>
                <w:szCs w:val="20"/>
              </w:rPr>
              <w:t xml:space="preserve">594 000 (2.4 %) </w:t>
            </w:r>
          </w:p>
        </w:tc>
      </w:tr>
      <w:tr w:rsidR="00282FE4" w:rsidRPr="003B4E54" w14:paraId="2185F942" w14:textId="77777777" w:rsidTr="00707EC3">
        <w:trPr>
          <w:trHeight w:val="315"/>
        </w:trPr>
        <w:tc>
          <w:tcPr>
            <w:tcW w:w="2268" w:type="dxa"/>
            <w:tcBorders>
              <w:top w:val="nil"/>
              <w:left w:val="single" w:sz="8" w:space="0" w:color="auto"/>
              <w:bottom w:val="single" w:sz="8" w:space="0" w:color="auto"/>
              <w:right w:val="single" w:sz="4" w:space="0" w:color="auto"/>
            </w:tcBorders>
            <w:shd w:val="clear" w:color="auto" w:fill="auto"/>
            <w:vAlign w:val="center"/>
            <w:hideMark/>
          </w:tcPr>
          <w:p w14:paraId="38017D57" w14:textId="77777777" w:rsidR="00EE7FA8" w:rsidRPr="003B4E54" w:rsidRDefault="00EE7FA8"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lastRenderedPageBreak/>
              <w:t>MQ/MeOH 1:1</w:t>
            </w:r>
          </w:p>
        </w:tc>
        <w:tc>
          <w:tcPr>
            <w:tcW w:w="1418" w:type="dxa"/>
            <w:vMerge/>
            <w:tcBorders>
              <w:left w:val="single" w:sz="4" w:space="0" w:color="auto"/>
              <w:right w:val="single" w:sz="4" w:space="0" w:color="auto"/>
            </w:tcBorders>
          </w:tcPr>
          <w:p w14:paraId="4ABE422B" w14:textId="77777777" w:rsidR="00EE7FA8" w:rsidRPr="003B4E54" w:rsidRDefault="00EE7FA8" w:rsidP="001845E3">
            <w:pPr>
              <w:jc w:val="both"/>
              <w:rPr>
                <w:rFonts w:ascii="Times New Roman" w:eastAsia="Times New Roman" w:hAnsi="Times New Roman" w:cs="Times New Roman"/>
                <w:b/>
                <w:sz w:val="20"/>
                <w:szCs w:val="2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25224" w14:textId="0440F331" w:rsidR="00EE7FA8" w:rsidRPr="003B4E54" w:rsidRDefault="00EE7FA8" w:rsidP="001845E3">
            <w:pPr>
              <w:jc w:val="both"/>
              <w:rPr>
                <w:rFonts w:ascii="Times New Roman" w:eastAsia="Times New Roman" w:hAnsi="Times New Roman" w:cs="Times New Roman"/>
                <w:sz w:val="20"/>
                <w:szCs w:val="20"/>
              </w:rPr>
            </w:pPr>
            <w:r w:rsidRPr="003B4E54">
              <w:rPr>
                <w:rFonts w:ascii="Times New Roman" w:eastAsia="Times New Roman" w:hAnsi="Times New Roman" w:cs="Times New Roman"/>
                <w:b/>
                <w:sz w:val="20"/>
                <w:szCs w:val="20"/>
              </w:rPr>
              <w:t>687 000</w:t>
            </w:r>
            <w:r w:rsidRPr="003B4E54">
              <w:rPr>
                <w:rFonts w:ascii="Times New Roman" w:eastAsia="Times New Roman" w:hAnsi="Times New Roman" w:cs="Times New Roman"/>
                <w:sz w:val="20"/>
                <w:szCs w:val="20"/>
              </w:rPr>
              <w:t xml:space="preserve"> (1.2 %) </w:t>
            </w:r>
          </w:p>
        </w:tc>
      </w:tr>
      <w:tr w:rsidR="00282FE4" w:rsidRPr="003B4E54" w14:paraId="612685CF" w14:textId="77777777" w:rsidTr="00707EC3">
        <w:trPr>
          <w:trHeight w:val="315"/>
        </w:trPr>
        <w:tc>
          <w:tcPr>
            <w:tcW w:w="2268" w:type="dxa"/>
            <w:tcBorders>
              <w:top w:val="nil"/>
              <w:left w:val="single" w:sz="8" w:space="0" w:color="auto"/>
              <w:bottom w:val="single" w:sz="8" w:space="0" w:color="auto"/>
              <w:right w:val="single" w:sz="4" w:space="0" w:color="auto"/>
            </w:tcBorders>
            <w:shd w:val="clear" w:color="auto" w:fill="auto"/>
            <w:vAlign w:val="center"/>
            <w:hideMark/>
          </w:tcPr>
          <w:p w14:paraId="2BB82C13" w14:textId="77777777" w:rsidR="00EE7FA8" w:rsidRPr="003B4E54" w:rsidRDefault="00EE7FA8" w:rsidP="001845E3">
            <w:pPr>
              <w:jc w:val="both"/>
              <w:rPr>
                <w:rFonts w:ascii="Times New Roman" w:eastAsia="Times New Roman" w:hAnsi="Times New Roman" w:cs="Times New Roman"/>
                <w:sz w:val="22"/>
                <w:szCs w:val="22"/>
              </w:rPr>
            </w:pPr>
            <w:r w:rsidRPr="003B4E54">
              <w:rPr>
                <w:rFonts w:ascii="Times New Roman" w:eastAsia="Times New Roman" w:hAnsi="Times New Roman" w:cs="Times New Roman"/>
                <w:sz w:val="22"/>
                <w:szCs w:val="22"/>
              </w:rPr>
              <w:t>MQ/MeOH 3:2</w:t>
            </w:r>
          </w:p>
        </w:tc>
        <w:tc>
          <w:tcPr>
            <w:tcW w:w="1418" w:type="dxa"/>
            <w:vMerge/>
            <w:tcBorders>
              <w:left w:val="single" w:sz="4" w:space="0" w:color="auto"/>
              <w:bottom w:val="single" w:sz="4" w:space="0" w:color="auto"/>
              <w:right w:val="single" w:sz="4" w:space="0" w:color="auto"/>
            </w:tcBorders>
          </w:tcPr>
          <w:p w14:paraId="30D7A321" w14:textId="77777777" w:rsidR="00EE7FA8" w:rsidRPr="003B4E54" w:rsidRDefault="00EE7FA8" w:rsidP="001845E3">
            <w:pPr>
              <w:jc w:val="both"/>
              <w:rPr>
                <w:rFonts w:ascii="Times New Roman" w:eastAsia="Times New Roman" w:hAnsi="Times New Roman" w:cs="Times New Roman"/>
                <w:sz w:val="20"/>
                <w:szCs w:val="2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F993C" w14:textId="7FFD3B44" w:rsidR="00EE7FA8" w:rsidRPr="003B4E54" w:rsidRDefault="00EE7FA8" w:rsidP="001845E3">
            <w:pPr>
              <w:jc w:val="both"/>
              <w:rPr>
                <w:rFonts w:ascii="Times New Roman" w:eastAsia="Times New Roman" w:hAnsi="Times New Roman" w:cs="Times New Roman"/>
                <w:sz w:val="20"/>
                <w:szCs w:val="20"/>
              </w:rPr>
            </w:pPr>
            <w:r w:rsidRPr="003B4E54">
              <w:rPr>
                <w:rFonts w:ascii="Times New Roman" w:eastAsia="Times New Roman" w:hAnsi="Times New Roman" w:cs="Times New Roman"/>
                <w:sz w:val="20"/>
                <w:szCs w:val="20"/>
              </w:rPr>
              <w:t xml:space="preserve">587 000 (6.8 %) </w:t>
            </w:r>
          </w:p>
        </w:tc>
      </w:tr>
    </w:tbl>
    <w:p w14:paraId="56DD9BEF" w14:textId="77777777" w:rsidR="0084308B" w:rsidRPr="003B4E54" w:rsidRDefault="0084308B" w:rsidP="00F61B4D">
      <w:pPr>
        <w:pStyle w:val="TAMainText"/>
        <w:spacing w:line="276" w:lineRule="auto"/>
        <w:ind w:firstLine="0"/>
        <w:rPr>
          <w:rFonts w:ascii="Times New Roman" w:eastAsiaTheme="majorEastAsia" w:hAnsi="Times New Roman"/>
          <w:i/>
          <w:kern w:val="0"/>
          <w:sz w:val="22"/>
          <w:szCs w:val="26"/>
        </w:rPr>
      </w:pPr>
    </w:p>
    <w:p w14:paraId="56DFF3FB" w14:textId="1674CC10" w:rsidR="007E6128" w:rsidRPr="003B4E54" w:rsidRDefault="007E6128" w:rsidP="006D506F">
      <w:pPr>
        <w:pStyle w:val="TAMainText"/>
        <w:spacing w:line="276" w:lineRule="auto"/>
        <w:ind w:firstLine="0"/>
        <w:rPr>
          <w:rFonts w:ascii="Times New Roman" w:eastAsiaTheme="majorEastAsia" w:hAnsi="Times New Roman"/>
          <w:i/>
          <w:kern w:val="0"/>
          <w:sz w:val="22"/>
          <w:szCs w:val="26"/>
        </w:rPr>
      </w:pPr>
      <w:r w:rsidRPr="003B4E54">
        <w:rPr>
          <w:rFonts w:ascii="Times New Roman" w:eastAsiaTheme="majorEastAsia" w:hAnsi="Times New Roman"/>
          <w:i/>
          <w:kern w:val="0"/>
          <w:sz w:val="22"/>
          <w:szCs w:val="26"/>
        </w:rPr>
        <w:t>Final SPE protocol</w:t>
      </w:r>
    </w:p>
    <w:p w14:paraId="46918889" w14:textId="44355B9E" w:rsidR="009A70B2" w:rsidRPr="00642EBF" w:rsidRDefault="007E6128" w:rsidP="00642EBF">
      <w:pPr>
        <w:spacing w:line="276" w:lineRule="auto"/>
        <w:jc w:val="both"/>
        <w:rPr>
          <w:rFonts w:ascii="Times New Roman" w:hAnsi="Times New Roman" w:cs="Times New Roman"/>
          <w:sz w:val="22"/>
          <w:szCs w:val="22"/>
        </w:rPr>
      </w:pPr>
      <w:r w:rsidRPr="00642EBF">
        <w:rPr>
          <w:rFonts w:ascii="Times New Roman" w:hAnsi="Times New Roman" w:cs="Times New Roman"/>
          <w:sz w:val="22"/>
          <w:szCs w:val="22"/>
        </w:rPr>
        <w:t xml:space="preserve">200 µL of matrix (plasma or serum) was put into 1.5 mL polypropylene microcentrifuge tubes, adding CuSO4 </w:t>
      </w:r>
      <w:r w:rsidR="00FC089D" w:rsidRPr="00642EBF">
        <w:rPr>
          <w:rFonts w:ascii="Times New Roman" w:hAnsi="Times New Roman" w:cs="Times New Roman"/>
          <w:sz w:val="22"/>
          <w:szCs w:val="22"/>
        </w:rPr>
        <w:t xml:space="preserve">and spiking it with the analyte and internal standard. 0.1% formic acid in MQ was added to obtain a total volume of 1 ml. </w:t>
      </w:r>
      <w:r w:rsidR="009A70B2" w:rsidRPr="00642EBF">
        <w:rPr>
          <w:rFonts w:ascii="Times New Roman" w:hAnsi="Times New Roman" w:cs="Times New Roman"/>
          <w:sz w:val="22"/>
          <w:szCs w:val="22"/>
        </w:rPr>
        <w:t xml:space="preserve">After </w:t>
      </w:r>
      <w:proofErr w:type="spellStart"/>
      <w:r w:rsidR="009A70B2" w:rsidRPr="00642EBF">
        <w:rPr>
          <w:rFonts w:ascii="Times New Roman" w:hAnsi="Times New Roman" w:cs="Times New Roman"/>
          <w:sz w:val="22"/>
          <w:szCs w:val="22"/>
        </w:rPr>
        <w:t>vortexing</w:t>
      </w:r>
      <w:proofErr w:type="spellEnd"/>
      <w:r w:rsidR="009A70B2" w:rsidRPr="00642EBF">
        <w:rPr>
          <w:rFonts w:ascii="Times New Roman" w:hAnsi="Times New Roman" w:cs="Times New Roman"/>
          <w:sz w:val="22"/>
          <w:szCs w:val="22"/>
        </w:rPr>
        <w:t xml:space="preserve">, the mixtures were transferred to SPE 96-well plates (Oasis HLB 96-well plate, 30 mg), pre-conditioned with 1 mL of methanol and 0.1% formic acid in MQ, respectively. All solvents and </w:t>
      </w:r>
      <w:r w:rsidR="008E1612" w:rsidRPr="00642EBF">
        <w:rPr>
          <w:rFonts w:ascii="Times New Roman" w:hAnsi="Times New Roman" w:cs="Times New Roman"/>
          <w:sz w:val="22"/>
          <w:szCs w:val="22"/>
        </w:rPr>
        <w:t>samples were pushed through the sorbent with nitrogen on a positive pressure manifold.</w:t>
      </w:r>
      <w:r w:rsidR="00EE330B" w:rsidRPr="00642EBF">
        <w:rPr>
          <w:rFonts w:ascii="Times New Roman" w:hAnsi="Times New Roman" w:cs="Times New Roman"/>
          <w:sz w:val="22"/>
          <w:szCs w:val="22"/>
        </w:rPr>
        <w:t xml:space="preserve"> </w:t>
      </w:r>
      <w:r w:rsidR="00865E11" w:rsidRPr="00642EBF">
        <w:rPr>
          <w:rFonts w:ascii="Times New Roman" w:hAnsi="Times New Roman" w:cs="Times New Roman"/>
          <w:sz w:val="22"/>
          <w:szCs w:val="22"/>
        </w:rPr>
        <w:t xml:space="preserve">Drying was performed for 10 minutes </w:t>
      </w:r>
      <w:r w:rsidR="00463FF1" w:rsidRPr="00642EBF">
        <w:rPr>
          <w:rFonts w:ascii="Times New Roman" w:hAnsi="Times New Roman" w:cs="Times New Roman"/>
          <w:sz w:val="22"/>
          <w:szCs w:val="22"/>
        </w:rPr>
        <w:t>at 15 psi N2</w:t>
      </w:r>
      <w:r w:rsidR="00B03363" w:rsidRPr="00642EBF">
        <w:rPr>
          <w:rFonts w:ascii="Times New Roman" w:hAnsi="Times New Roman" w:cs="Times New Roman"/>
          <w:sz w:val="22"/>
          <w:szCs w:val="22"/>
        </w:rPr>
        <w:t>.</w:t>
      </w:r>
      <w:r w:rsidR="005A5D46" w:rsidRPr="00642EBF">
        <w:rPr>
          <w:rFonts w:ascii="Times New Roman" w:hAnsi="Times New Roman" w:cs="Times New Roman"/>
          <w:sz w:val="22"/>
          <w:szCs w:val="22"/>
        </w:rPr>
        <w:t xml:space="preserve"> Elution consisted of three steps, 0.5 mL of MeOH/MQ followed by 0.5 mL ACN</w:t>
      </w:r>
      <w:r w:rsidR="003B5AD9" w:rsidRPr="00642EBF">
        <w:rPr>
          <w:rFonts w:ascii="Times New Roman" w:hAnsi="Times New Roman" w:cs="Times New Roman"/>
          <w:sz w:val="22"/>
          <w:szCs w:val="22"/>
        </w:rPr>
        <w:t xml:space="preserve">. The eluate was finally dried to 1 </w:t>
      </w:r>
      <w:proofErr w:type="spellStart"/>
      <w:r w:rsidR="003B5AD9" w:rsidRPr="00642EBF">
        <w:rPr>
          <w:rFonts w:ascii="Times New Roman" w:hAnsi="Times New Roman" w:cs="Times New Roman"/>
          <w:sz w:val="22"/>
          <w:szCs w:val="22"/>
        </w:rPr>
        <w:t>mL.</w:t>
      </w:r>
      <w:proofErr w:type="spellEnd"/>
    </w:p>
    <w:p w14:paraId="396D112E" w14:textId="4437D9A8" w:rsidR="00CE4269" w:rsidRPr="00642EBF" w:rsidRDefault="00CE4269" w:rsidP="00642EBF">
      <w:pPr>
        <w:spacing w:line="276" w:lineRule="auto"/>
        <w:jc w:val="both"/>
        <w:rPr>
          <w:rFonts w:ascii="Times New Roman" w:hAnsi="Times New Roman" w:cs="Times New Roman"/>
          <w:sz w:val="22"/>
          <w:szCs w:val="22"/>
        </w:rPr>
      </w:pPr>
      <w:r w:rsidRPr="00642EBF">
        <w:rPr>
          <w:rFonts w:ascii="Times New Roman" w:hAnsi="Times New Roman" w:cs="Times New Roman"/>
          <w:sz w:val="22"/>
          <w:szCs w:val="22"/>
        </w:rPr>
        <w:t>Direct deprotei</w:t>
      </w:r>
      <w:r w:rsidR="007719C4" w:rsidRPr="00642EBF">
        <w:rPr>
          <w:rFonts w:ascii="Times New Roman" w:hAnsi="Times New Roman" w:cs="Times New Roman"/>
          <w:sz w:val="22"/>
          <w:szCs w:val="22"/>
        </w:rPr>
        <w:t>nization protoco</w:t>
      </w:r>
      <w:r w:rsidR="006A620A" w:rsidRPr="00642EBF">
        <w:rPr>
          <w:rFonts w:ascii="Times New Roman" w:hAnsi="Times New Roman" w:cs="Times New Roman"/>
          <w:sz w:val="22"/>
          <w:szCs w:val="22"/>
        </w:rPr>
        <w:t>l</w:t>
      </w:r>
    </w:p>
    <w:p w14:paraId="38120E41" w14:textId="258B6D90" w:rsidR="009A70B2" w:rsidRPr="00642EBF" w:rsidRDefault="0068361B" w:rsidP="00642EBF">
      <w:pPr>
        <w:spacing w:line="276" w:lineRule="auto"/>
        <w:jc w:val="both"/>
        <w:rPr>
          <w:rFonts w:ascii="Times New Roman" w:hAnsi="Times New Roman" w:cs="Times New Roman"/>
          <w:sz w:val="22"/>
          <w:szCs w:val="22"/>
        </w:rPr>
      </w:pPr>
      <w:r w:rsidRPr="00642EBF">
        <w:rPr>
          <w:rFonts w:ascii="Times New Roman" w:hAnsi="Times New Roman" w:cs="Times New Roman"/>
          <w:sz w:val="22"/>
          <w:szCs w:val="22"/>
        </w:rPr>
        <w:t>200 µL of matrix (plasma or serum) was put into 1.5 mL polypropylene microcentrifuge tubes, adding CuSO4 and spiking it with the analyte and internal standard. Cold acetonitrile was added to obtain a total volume of 1 ml. The mixture was vortexed and sonicated for 10 minutes, which was followed by centrifugation (20 minutes at 12900 RCF), and, finally, filtration through RC filters (0.2 µm).</w:t>
      </w:r>
    </w:p>
    <w:p w14:paraId="04AB65F9" w14:textId="7084C51C" w:rsidR="007E6128" w:rsidRPr="003B4E54" w:rsidRDefault="007E6128" w:rsidP="006D506F">
      <w:pPr>
        <w:pStyle w:val="TAMainText"/>
        <w:spacing w:line="276" w:lineRule="auto"/>
        <w:ind w:firstLine="0"/>
        <w:rPr>
          <w:rFonts w:ascii="Times New Roman" w:hAnsi="Times New Roman"/>
          <w:color w:val="FF0000"/>
          <w:sz w:val="22"/>
        </w:rPr>
      </w:pPr>
    </w:p>
    <w:p w14:paraId="1AE67844" w14:textId="77777777" w:rsidR="007E6128" w:rsidRPr="003B4E54" w:rsidRDefault="007E6128" w:rsidP="006D506F">
      <w:pPr>
        <w:pStyle w:val="TAMainText"/>
        <w:spacing w:line="276" w:lineRule="auto"/>
        <w:ind w:firstLine="0"/>
        <w:rPr>
          <w:rFonts w:ascii="Times New Roman" w:hAnsi="Times New Roman"/>
          <w:color w:val="FF0000"/>
          <w:sz w:val="22"/>
        </w:rPr>
      </w:pPr>
    </w:p>
    <w:p w14:paraId="7B7FFC6B" w14:textId="06543E13" w:rsidR="004D54DF" w:rsidRPr="003B4E54" w:rsidRDefault="004D54DF" w:rsidP="006D506F">
      <w:pPr>
        <w:pStyle w:val="TAMainText"/>
        <w:spacing w:line="276" w:lineRule="auto"/>
        <w:ind w:firstLine="0"/>
        <w:rPr>
          <w:rFonts w:ascii="Times New Roman" w:hAnsi="Times New Roman"/>
          <w:color w:val="FF0000"/>
          <w:sz w:val="22"/>
        </w:rPr>
      </w:pPr>
    </w:p>
    <w:p w14:paraId="0259553F" w14:textId="5026445B" w:rsidR="0049616B" w:rsidRDefault="0049616B" w:rsidP="0049616B">
      <w:pPr>
        <w:pStyle w:val="TAMainText"/>
        <w:spacing w:line="276" w:lineRule="auto"/>
        <w:ind w:firstLine="0"/>
        <w:jc w:val="center"/>
        <w:rPr>
          <w:rFonts w:ascii="Times New Roman" w:hAnsi="Times New Roman"/>
          <w:color w:val="FF0000"/>
          <w:sz w:val="22"/>
        </w:rPr>
      </w:pPr>
    </w:p>
    <w:p w14:paraId="0500391A" w14:textId="6A4D3284" w:rsidR="00F30F7B" w:rsidRDefault="00F30F7B" w:rsidP="0049616B">
      <w:pPr>
        <w:pStyle w:val="TAMainText"/>
        <w:spacing w:line="276" w:lineRule="auto"/>
        <w:ind w:firstLine="0"/>
        <w:jc w:val="center"/>
        <w:rPr>
          <w:rFonts w:ascii="Times New Roman" w:hAnsi="Times New Roman"/>
          <w:color w:val="FF0000"/>
          <w:sz w:val="22"/>
        </w:rPr>
      </w:pPr>
    </w:p>
    <w:p w14:paraId="5C906633" w14:textId="6D5CBCB2" w:rsidR="00624865" w:rsidRPr="003B4E54" w:rsidRDefault="00624865" w:rsidP="0049616B">
      <w:pPr>
        <w:pStyle w:val="TAMainText"/>
        <w:spacing w:line="276" w:lineRule="auto"/>
        <w:ind w:firstLine="0"/>
        <w:jc w:val="center"/>
        <w:rPr>
          <w:rFonts w:ascii="Times New Roman" w:hAnsi="Times New Roman"/>
          <w:color w:val="FF0000"/>
          <w:sz w:val="22"/>
        </w:rPr>
      </w:pPr>
      <w:r>
        <w:rPr>
          <w:noProof/>
        </w:rPr>
        <mc:AlternateContent>
          <mc:Choic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19BFDDF8" wp14:editId="195A52C8">
                <wp:extent cx="5162550" cy="2905125"/>
                <wp:effectExtent l="0" t="0" r="0" b="9525"/>
                <wp:docPr id="2" name="Chart 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4"/>
                  </a:graphicData>
                </a:graphic>
              </wp:inline>
            </w:drawing>
          </mc:Choice>
          <mc:Fallback>
            <w:drawing>
              <wp:inline distT="0" distB="0" distL="0" distR="0" wp14:anchorId="19BFDDF8" wp14:editId="195A52C8">
                <wp:extent cx="5162550" cy="2905125"/>
                <wp:effectExtent l="0" t="0" r="0" b="9525"/>
                <wp:docPr id="2"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pic:cNvPicPr>
                          <a:picLocks noGrp="1" noRot="1" noChangeAspect="1" noMove="1" noResize="1" noEditPoints="1" noAdjustHandles="1" noChangeArrowheads="1" noChangeShapeType="1"/>
                        </pic:cNvPicPr>
                      </pic:nvPicPr>
                      <pic:blipFill>
                        <a:blip r:embed="rId15"/>
                        <a:stretch>
                          <a:fillRect/>
                        </a:stretch>
                      </pic:blipFill>
                      <pic:spPr>
                        <a:xfrm>
                          <a:off x="0" y="0"/>
                          <a:ext cx="5162550" cy="2905125"/>
                        </a:xfrm>
                        <a:prstGeom prst="rect">
                          <a:avLst/>
                        </a:prstGeom>
                      </pic:spPr>
                    </pic:pic>
                  </a:graphicData>
                </a:graphic>
              </wp:inline>
            </w:drawing>
          </mc:Fallback>
        </mc:AlternateContent>
      </w:r>
    </w:p>
    <w:p w14:paraId="6B589575" w14:textId="5E3CEBA2" w:rsidR="00896E6D" w:rsidRPr="003B4E54" w:rsidRDefault="00896E6D" w:rsidP="00896E6D">
      <w:pPr>
        <w:pStyle w:val="TAMainText"/>
        <w:spacing w:line="276" w:lineRule="auto"/>
        <w:ind w:firstLine="0"/>
        <w:rPr>
          <w:rFonts w:ascii="Times New Roman" w:hAnsi="Times New Roman"/>
          <w:color w:val="FF0000"/>
          <w:sz w:val="22"/>
        </w:rPr>
      </w:pPr>
    </w:p>
    <w:tbl>
      <w:tblPr>
        <w:tblStyle w:val="PlainTable2"/>
        <w:tblW w:w="0" w:type="auto"/>
        <w:jc w:val="center"/>
        <w:tblLook w:val="04A0" w:firstRow="1" w:lastRow="0" w:firstColumn="1" w:lastColumn="0" w:noHBand="0" w:noVBand="1"/>
      </w:tblPr>
      <w:tblGrid>
        <w:gridCol w:w="4394"/>
        <w:gridCol w:w="3828"/>
      </w:tblGrid>
      <w:tr w:rsidR="00A86766" w:rsidRPr="003B4E54" w14:paraId="1901B216" w14:textId="77777777" w:rsidTr="003E57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94" w:type="dxa"/>
            <w:tcBorders>
              <w:bottom w:val="single" w:sz="8" w:space="0" w:color="000000"/>
            </w:tcBorders>
          </w:tcPr>
          <w:p w14:paraId="05950ACD" w14:textId="77777777" w:rsidR="00A86766" w:rsidRPr="003B4E54" w:rsidRDefault="00A86766" w:rsidP="00A86766">
            <w:pPr>
              <w:pStyle w:val="TAMainText"/>
              <w:spacing w:line="276" w:lineRule="auto"/>
              <w:ind w:firstLine="0"/>
              <w:rPr>
                <w:rFonts w:ascii="Times New Roman" w:hAnsi="Times New Roman"/>
                <w:sz w:val="22"/>
              </w:rPr>
            </w:pPr>
          </w:p>
        </w:tc>
        <w:tc>
          <w:tcPr>
            <w:tcW w:w="3828" w:type="dxa"/>
            <w:tcBorders>
              <w:bottom w:val="single" w:sz="8" w:space="0" w:color="000000"/>
            </w:tcBorders>
          </w:tcPr>
          <w:p w14:paraId="41CC1F7B" w14:textId="507EC48B" w:rsidR="00A86766" w:rsidRPr="003B4E54" w:rsidRDefault="00A86766" w:rsidP="00896E6D">
            <w:pPr>
              <w:pStyle w:val="TAMainText"/>
              <w:spacing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2"/>
              </w:rPr>
            </w:pPr>
            <w:r w:rsidRPr="003B4E54">
              <w:rPr>
                <w:rFonts w:ascii="Times New Roman" w:hAnsi="Times New Roman"/>
                <w:sz w:val="22"/>
              </w:rPr>
              <w:t>AUC (RSD</w:t>
            </w:r>
            <w:r w:rsidR="004644E9" w:rsidRPr="003B4E54">
              <w:rPr>
                <w:rFonts w:ascii="Times New Roman" w:hAnsi="Times New Roman"/>
                <w:sz w:val="22"/>
              </w:rPr>
              <w:t>; n=3</w:t>
            </w:r>
            <w:r w:rsidRPr="003B4E54">
              <w:rPr>
                <w:rFonts w:ascii="Times New Roman" w:hAnsi="Times New Roman"/>
                <w:sz w:val="22"/>
              </w:rPr>
              <w:t>)</w:t>
            </w:r>
          </w:p>
        </w:tc>
      </w:tr>
      <w:tr w:rsidR="00A86766" w:rsidRPr="003B4E54" w14:paraId="484F58FE" w14:textId="77777777" w:rsidTr="003E57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94" w:type="dxa"/>
            <w:tcBorders>
              <w:top w:val="single" w:sz="8" w:space="0" w:color="000000"/>
            </w:tcBorders>
          </w:tcPr>
          <w:p w14:paraId="7119A8CA" w14:textId="6F0821A9" w:rsidR="00A86766" w:rsidRPr="003B4E54" w:rsidRDefault="00A86766" w:rsidP="00AF15C9">
            <w:pPr>
              <w:pStyle w:val="TAMainText"/>
              <w:spacing w:line="276" w:lineRule="auto"/>
              <w:ind w:firstLine="0"/>
              <w:jc w:val="center"/>
              <w:rPr>
                <w:rFonts w:ascii="Times New Roman" w:hAnsi="Times New Roman"/>
                <w:sz w:val="22"/>
              </w:rPr>
            </w:pPr>
            <w:proofErr w:type="spellStart"/>
            <w:r w:rsidRPr="003B4E54">
              <w:rPr>
                <w:rFonts w:ascii="Times New Roman" w:hAnsi="Times New Roman"/>
                <w:sz w:val="22"/>
              </w:rPr>
              <w:lastRenderedPageBreak/>
              <w:t>Ostro</w:t>
            </w:r>
            <w:proofErr w:type="spellEnd"/>
            <w:r w:rsidRPr="003B4E54">
              <w:rPr>
                <w:rFonts w:ascii="Times New Roman" w:hAnsi="Times New Roman"/>
                <w:sz w:val="22"/>
              </w:rPr>
              <w:t xml:space="preserve"> ® protocol</w:t>
            </w:r>
          </w:p>
        </w:tc>
        <w:tc>
          <w:tcPr>
            <w:tcW w:w="3828" w:type="dxa"/>
            <w:tcBorders>
              <w:top w:val="single" w:sz="8" w:space="0" w:color="000000"/>
            </w:tcBorders>
          </w:tcPr>
          <w:p w14:paraId="006D536F" w14:textId="7E3CB0F9" w:rsidR="00A86766" w:rsidRPr="003B4E54" w:rsidRDefault="00822B71" w:rsidP="00AF15C9">
            <w:pPr>
              <w:pStyle w:val="TAMainText"/>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3B4E54">
              <w:rPr>
                <w:rFonts w:ascii="Times New Roman" w:hAnsi="Times New Roman"/>
                <w:sz w:val="22"/>
              </w:rPr>
              <w:t>212 000</w:t>
            </w:r>
            <w:r w:rsidR="00A86766" w:rsidRPr="003B4E54">
              <w:rPr>
                <w:rFonts w:ascii="Times New Roman" w:hAnsi="Times New Roman"/>
                <w:sz w:val="22"/>
              </w:rPr>
              <w:t xml:space="preserve"> (9.7%)</w:t>
            </w:r>
          </w:p>
        </w:tc>
      </w:tr>
      <w:tr w:rsidR="00A86766" w:rsidRPr="003B4E54" w14:paraId="21188A14" w14:textId="77777777" w:rsidTr="003E5730">
        <w:trPr>
          <w:jc w:val="center"/>
        </w:trPr>
        <w:tc>
          <w:tcPr>
            <w:cnfStyle w:val="001000000000" w:firstRow="0" w:lastRow="0" w:firstColumn="1" w:lastColumn="0" w:oddVBand="0" w:evenVBand="0" w:oddHBand="0" w:evenHBand="0" w:firstRowFirstColumn="0" w:firstRowLastColumn="0" w:lastRowFirstColumn="0" w:lastRowLastColumn="0"/>
            <w:tcW w:w="4394" w:type="dxa"/>
            <w:tcBorders>
              <w:top w:val="single" w:sz="8" w:space="0" w:color="000000"/>
            </w:tcBorders>
          </w:tcPr>
          <w:p w14:paraId="2715D4C7" w14:textId="4307910E" w:rsidR="00A86766" w:rsidRPr="003B4E54" w:rsidRDefault="00A86766"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Direct deproteinization</w:t>
            </w:r>
          </w:p>
        </w:tc>
        <w:tc>
          <w:tcPr>
            <w:tcW w:w="3828" w:type="dxa"/>
            <w:tcBorders>
              <w:top w:val="single" w:sz="8" w:space="0" w:color="000000"/>
            </w:tcBorders>
          </w:tcPr>
          <w:p w14:paraId="0B909B3B" w14:textId="4275109F" w:rsidR="00A86766" w:rsidRPr="003B4E54" w:rsidRDefault="00822B71" w:rsidP="00822B71">
            <w:pPr>
              <w:pStyle w:val="TAMainText"/>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3B4E54">
              <w:rPr>
                <w:rFonts w:ascii="Times New Roman" w:hAnsi="Times New Roman"/>
                <w:sz w:val="22"/>
              </w:rPr>
              <w:t>256 000</w:t>
            </w:r>
            <w:r w:rsidR="00A86766" w:rsidRPr="003B4E54">
              <w:rPr>
                <w:rFonts w:ascii="Times New Roman" w:hAnsi="Times New Roman"/>
                <w:sz w:val="22"/>
              </w:rPr>
              <w:t xml:space="preserve"> (6.4 %)</w:t>
            </w:r>
          </w:p>
        </w:tc>
      </w:tr>
      <w:tr w:rsidR="00A86766" w:rsidRPr="003B4E54" w14:paraId="521C7079" w14:textId="77777777" w:rsidTr="003E57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94" w:type="dxa"/>
          </w:tcPr>
          <w:p w14:paraId="4575D3B1" w14:textId="00EF9F6E" w:rsidR="00A86766" w:rsidRPr="003B4E54" w:rsidRDefault="00A86766"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SPE</w:t>
            </w:r>
          </w:p>
        </w:tc>
        <w:tc>
          <w:tcPr>
            <w:tcW w:w="3828" w:type="dxa"/>
          </w:tcPr>
          <w:p w14:paraId="54471081" w14:textId="15D4DC9C" w:rsidR="00A86766" w:rsidRPr="003B4E54" w:rsidRDefault="00A86766" w:rsidP="00A0640F">
            <w:pPr>
              <w:pStyle w:val="TAMainText"/>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3B4E54">
              <w:rPr>
                <w:rFonts w:ascii="Times New Roman" w:hAnsi="Times New Roman"/>
                <w:sz w:val="22"/>
              </w:rPr>
              <w:t>191</w:t>
            </w:r>
            <w:r w:rsidR="00822B71" w:rsidRPr="003B4E54">
              <w:rPr>
                <w:rFonts w:ascii="Times New Roman" w:hAnsi="Times New Roman"/>
                <w:sz w:val="22"/>
              </w:rPr>
              <w:t xml:space="preserve"> 000</w:t>
            </w:r>
            <w:r w:rsidRPr="003B4E54">
              <w:rPr>
                <w:rFonts w:ascii="Times New Roman" w:hAnsi="Times New Roman"/>
                <w:sz w:val="22"/>
              </w:rPr>
              <w:t xml:space="preserve"> (2.9 %)</w:t>
            </w:r>
          </w:p>
        </w:tc>
      </w:tr>
    </w:tbl>
    <w:p w14:paraId="59C80FAD" w14:textId="01482A7C" w:rsidR="001B44AD" w:rsidRPr="003B4E54" w:rsidRDefault="00896E6D" w:rsidP="00097BE9">
      <w:pPr>
        <w:pStyle w:val="TAMainText"/>
        <w:spacing w:line="276" w:lineRule="auto"/>
        <w:ind w:firstLine="0"/>
        <w:jc w:val="center"/>
        <w:rPr>
          <w:rFonts w:ascii="Times New Roman" w:hAnsi="Times New Roman"/>
          <w:sz w:val="22"/>
        </w:rPr>
      </w:pPr>
      <w:r w:rsidRPr="003B4E54">
        <w:rPr>
          <w:rFonts w:ascii="Times New Roman" w:hAnsi="Times New Roman"/>
          <w:sz w:val="22"/>
        </w:rPr>
        <w:t xml:space="preserve">Figure S – </w:t>
      </w:r>
      <w:r w:rsidR="006A620A" w:rsidRPr="003B4E54">
        <w:rPr>
          <w:rFonts w:ascii="Times New Roman" w:hAnsi="Times New Roman"/>
          <w:sz w:val="22"/>
        </w:rPr>
        <w:t>1</w:t>
      </w:r>
      <w:r w:rsidRPr="003B4E54">
        <w:rPr>
          <w:rFonts w:ascii="Times New Roman" w:hAnsi="Times New Roman"/>
          <w:sz w:val="22"/>
        </w:rPr>
        <w:t>: Comparison of signal intensities (AUC) among three sample preparation protocols</w:t>
      </w:r>
      <w:r w:rsidR="00C56537" w:rsidRPr="003B4E54">
        <w:rPr>
          <w:rFonts w:ascii="Times New Roman" w:hAnsi="Times New Roman"/>
          <w:sz w:val="22"/>
        </w:rPr>
        <w:t xml:space="preserve"> (serum </w:t>
      </w:r>
      <w:r w:rsidR="00A06AEC" w:rsidRPr="003B4E54">
        <w:rPr>
          <w:rFonts w:ascii="Times New Roman" w:hAnsi="Times New Roman"/>
          <w:sz w:val="22"/>
        </w:rPr>
        <w:t>as matrix</w:t>
      </w:r>
      <w:r w:rsidR="00C56537" w:rsidRPr="003B4E54">
        <w:rPr>
          <w:rFonts w:ascii="Times New Roman" w:hAnsi="Times New Roman"/>
          <w:sz w:val="22"/>
        </w:rPr>
        <w:t>)</w:t>
      </w:r>
    </w:p>
    <w:p w14:paraId="2FC8C58C" w14:textId="1DE651E7" w:rsidR="00872607" w:rsidRPr="003B4E54" w:rsidRDefault="002F0275" w:rsidP="00097BE9">
      <w:pPr>
        <w:pStyle w:val="TAMainText"/>
        <w:spacing w:line="276" w:lineRule="auto"/>
        <w:ind w:firstLine="0"/>
        <w:jc w:val="left"/>
        <w:rPr>
          <w:rFonts w:ascii="Times New Roman" w:hAnsi="Times New Roman"/>
          <w:sz w:val="22"/>
        </w:rPr>
      </w:pPr>
      <w:r w:rsidRPr="003B4E54">
        <w:rPr>
          <w:rFonts w:ascii="Times New Roman" w:hAnsi="Times New Roman"/>
          <w:sz w:val="22"/>
        </w:rPr>
        <w:t>Table S –</w:t>
      </w:r>
      <w:r w:rsidR="0061795D" w:rsidRPr="003B4E54">
        <w:rPr>
          <w:rFonts w:ascii="Times New Roman" w:hAnsi="Times New Roman"/>
          <w:sz w:val="22"/>
        </w:rPr>
        <w:t xml:space="preserve"> 3</w:t>
      </w:r>
      <w:r w:rsidRPr="003B4E54">
        <w:rPr>
          <w:rFonts w:ascii="Times New Roman" w:hAnsi="Times New Roman"/>
          <w:sz w:val="22"/>
        </w:rPr>
        <w:t xml:space="preserve">: Suitability of </w:t>
      </w:r>
      <w:r w:rsidR="007C37CD">
        <w:rPr>
          <w:rFonts w:ascii="Times New Roman" w:hAnsi="Times New Roman"/>
          <w:sz w:val="22"/>
        </w:rPr>
        <w:t>d</w:t>
      </w:r>
      <w:r w:rsidRPr="003B4E54">
        <w:rPr>
          <w:rFonts w:ascii="Times New Roman" w:hAnsi="Times New Roman"/>
          <w:sz w:val="22"/>
        </w:rPr>
        <w:t>irect deproteinization method for plasma samples</w:t>
      </w:r>
    </w:p>
    <w:tbl>
      <w:tblPr>
        <w:tblStyle w:val="TableGrid"/>
        <w:tblW w:w="0" w:type="auto"/>
        <w:tblLook w:val="04A0" w:firstRow="1" w:lastRow="0" w:firstColumn="1" w:lastColumn="0" w:noHBand="0" w:noVBand="1"/>
      </w:tblPr>
      <w:tblGrid>
        <w:gridCol w:w="3194"/>
        <w:gridCol w:w="3195"/>
        <w:gridCol w:w="3195"/>
      </w:tblGrid>
      <w:tr w:rsidR="009F3C49" w:rsidRPr="003B4E54" w14:paraId="71953E5F" w14:textId="77777777" w:rsidTr="009F3C49">
        <w:tc>
          <w:tcPr>
            <w:tcW w:w="3194" w:type="dxa"/>
          </w:tcPr>
          <w:p w14:paraId="72738688" w14:textId="77777777" w:rsidR="009F3C49" w:rsidRPr="003B4E54" w:rsidRDefault="009F3C49" w:rsidP="00AF15C9">
            <w:pPr>
              <w:pStyle w:val="TAMainText"/>
              <w:spacing w:line="276" w:lineRule="auto"/>
              <w:ind w:firstLine="0"/>
              <w:jc w:val="center"/>
              <w:rPr>
                <w:rFonts w:ascii="Times New Roman" w:hAnsi="Times New Roman"/>
                <w:sz w:val="22"/>
              </w:rPr>
            </w:pPr>
          </w:p>
        </w:tc>
        <w:tc>
          <w:tcPr>
            <w:tcW w:w="3195" w:type="dxa"/>
          </w:tcPr>
          <w:p w14:paraId="54FCF994" w14:textId="5C000A36" w:rsidR="009F3C49" w:rsidRPr="003B4E54" w:rsidRDefault="009F3C49"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AUC (RSD</w:t>
            </w:r>
            <w:r w:rsidR="004644E9" w:rsidRPr="003B4E54">
              <w:rPr>
                <w:rFonts w:ascii="Times New Roman" w:hAnsi="Times New Roman"/>
                <w:sz w:val="22"/>
              </w:rPr>
              <w:t>; n=3</w:t>
            </w:r>
            <w:r w:rsidRPr="003B4E54">
              <w:rPr>
                <w:rFonts w:ascii="Times New Roman" w:hAnsi="Times New Roman"/>
                <w:sz w:val="22"/>
              </w:rPr>
              <w:t>)</w:t>
            </w:r>
            <w:r w:rsidR="000A0439" w:rsidRPr="003B4E54">
              <w:rPr>
                <w:rFonts w:ascii="Times New Roman" w:hAnsi="Times New Roman"/>
                <w:sz w:val="22"/>
              </w:rPr>
              <w:t xml:space="preserve"> plasma</w:t>
            </w:r>
          </w:p>
        </w:tc>
        <w:tc>
          <w:tcPr>
            <w:tcW w:w="3195" w:type="dxa"/>
          </w:tcPr>
          <w:p w14:paraId="07FF8B72" w14:textId="63BA5B65" w:rsidR="009F3C49" w:rsidRPr="003B4E54" w:rsidRDefault="009F3C49"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AUC (RSD</w:t>
            </w:r>
            <w:r w:rsidR="004644E9" w:rsidRPr="003B4E54">
              <w:rPr>
                <w:rFonts w:ascii="Times New Roman" w:hAnsi="Times New Roman"/>
                <w:sz w:val="22"/>
              </w:rPr>
              <w:t>; n=3</w:t>
            </w:r>
            <w:r w:rsidRPr="003B4E54">
              <w:rPr>
                <w:rFonts w:ascii="Times New Roman" w:hAnsi="Times New Roman"/>
                <w:sz w:val="22"/>
              </w:rPr>
              <w:t>)</w:t>
            </w:r>
            <w:r w:rsidR="000A0439" w:rsidRPr="003B4E54">
              <w:rPr>
                <w:rFonts w:ascii="Times New Roman" w:hAnsi="Times New Roman"/>
                <w:sz w:val="22"/>
              </w:rPr>
              <w:t xml:space="preserve"> serum</w:t>
            </w:r>
          </w:p>
        </w:tc>
      </w:tr>
      <w:tr w:rsidR="009F3C49" w:rsidRPr="003B4E54" w14:paraId="5E1C4DDD" w14:textId="77777777" w:rsidTr="009F3C49">
        <w:tc>
          <w:tcPr>
            <w:tcW w:w="3194" w:type="dxa"/>
          </w:tcPr>
          <w:p w14:paraId="0586B7EE" w14:textId="10397A33" w:rsidR="009F3C49" w:rsidRPr="003B4E54" w:rsidRDefault="000A0439" w:rsidP="000A0439">
            <w:pPr>
              <w:pStyle w:val="TAMainText"/>
              <w:spacing w:line="276" w:lineRule="auto"/>
              <w:ind w:firstLine="0"/>
              <w:jc w:val="center"/>
              <w:rPr>
                <w:rFonts w:ascii="Times New Roman" w:hAnsi="Times New Roman"/>
                <w:sz w:val="22"/>
              </w:rPr>
            </w:pPr>
            <w:r w:rsidRPr="003B4E54">
              <w:rPr>
                <w:rFonts w:ascii="Times New Roman" w:hAnsi="Times New Roman"/>
                <w:sz w:val="22"/>
              </w:rPr>
              <w:t>5 ng/mL BLM</w:t>
            </w:r>
          </w:p>
        </w:tc>
        <w:tc>
          <w:tcPr>
            <w:tcW w:w="3195" w:type="dxa"/>
          </w:tcPr>
          <w:p w14:paraId="1C4ACADA" w14:textId="2D57355B" w:rsidR="009F3C49" w:rsidRPr="003B4E54" w:rsidRDefault="00A86766"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7477 (25</w:t>
            </w:r>
            <w:r w:rsidR="00086077" w:rsidRPr="003B4E54">
              <w:rPr>
                <w:rFonts w:ascii="Times New Roman" w:hAnsi="Times New Roman"/>
                <w:sz w:val="22"/>
              </w:rPr>
              <w:t xml:space="preserve">.2 </w:t>
            </w:r>
            <w:r w:rsidRPr="003B4E54">
              <w:rPr>
                <w:rFonts w:ascii="Times New Roman" w:hAnsi="Times New Roman"/>
                <w:sz w:val="22"/>
              </w:rPr>
              <w:t>%)</w:t>
            </w:r>
          </w:p>
        </w:tc>
        <w:tc>
          <w:tcPr>
            <w:tcW w:w="3195" w:type="dxa"/>
          </w:tcPr>
          <w:p w14:paraId="7C54D92B" w14:textId="60E93B06" w:rsidR="009F3C49" w:rsidRPr="003B4E54" w:rsidRDefault="00086077"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10993 (10.0%)</w:t>
            </w:r>
          </w:p>
        </w:tc>
      </w:tr>
      <w:tr w:rsidR="009F3C49" w:rsidRPr="003B4E54" w14:paraId="54246AD9" w14:textId="77777777" w:rsidTr="009F3C49">
        <w:tc>
          <w:tcPr>
            <w:tcW w:w="3194" w:type="dxa"/>
          </w:tcPr>
          <w:p w14:paraId="7EE4123D" w14:textId="7CC3AD89" w:rsidR="009F3C49" w:rsidRPr="003B4E54" w:rsidRDefault="000A0439"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50 ng/mL BLM</w:t>
            </w:r>
          </w:p>
        </w:tc>
        <w:tc>
          <w:tcPr>
            <w:tcW w:w="3195" w:type="dxa"/>
          </w:tcPr>
          <w:p w14:paraId="0E9CB123" w14:textId="18F6CEC3" w:rsidR="009F3C49" w:rsidRPr="003B4E54" w:rsidRDefault="00A86766"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49767 (10</w:t>
            </w:r>
            <w:r w:rsidR="00086077" w:rsidRPr="003B4E54">
              <w:rPr>
                <w:rFonts w:ascii="Times New Roman" w:hAnsi="Times New Roman"/>
                <w:sz w:val="22"/>
              </w:rPr>
              <w:t xml:space="preserve">.4 </w:t>
            </w:r>
            <w:r w:rsidRPr="003B4E54">
              <w:rPr>
                <w:rFonts w:ascii="Times New Roman" w:hAnsi="Times New Roman"/>
                <w:sz w:val="22"/>
              </w:rPr>
              <w:t>%)</w:t>
            </w:r>
          </w:p>
        </w:tc>
        <w:tc>
          <w:tcPr>
            <w:tcW w:w="3195" w:type="dxa"/>
          </w:tcPr>
          <w:p w14:paraId="2C4452AC" w14:textId="772BF9C6" w:rsidR="009F3C49" w:rsidRPr="003B4E54" w:rsidRDefault="00086077" w:rsidP="00AF15C9">
            <w:pPr>
              <w:pStyle w:val="TAMainText"/>
              <w:spacing w:line="276" w:lineRule="auto"/>
              <w:ind w:firstLine="0"/>
              <w:jc w:val="center"/>
              <w:rPr>
                <w:rFonts w:ascii="Times New Roman" w:hAnsi="Times New Roman"/>
                <w:sz w:val="22"/>
              </w:rPr>
            </w:pPr>
            <w:r w:rsidRPr="003B4E54">
              <w:rPr>
                <w:rFonts w:ascii="Times New Roman" w:hAnsi="Times New Roman"/>
                <w:sz w:val="22"/>
              </w:rPr>
              <w:t>81867 (13.2 %)</w:t>
            </w:r>
          </w:p>
        </w:tc>
      </w:tr>
    </w:tbl>
    <w:p w14:paraId="78DC2999" w14:textId="77777777" w:rsidR="007C37CD" w:rsidRDefault="007C37CD" w:rsidP="00200063">
      <w:pPr>
        <w:pStyle w:val="Heading3"/>
      </w:pPr>
    </w:p>
    <w:p w14:paraId="2F13269F" w14:textId="2A53D189" w:rsidR="005106AF" w:rsidRPr="00200063" w:rsidRDefault="000F1B01" w:rsidP="00200063">
      <w:pPr>
        <w:pStyle w:val="Heading3"/>
        <w:rPr>
          <w:rFonts w:ascii="Times New Roman" w:hAnsi="Times New Roman"/>
          <w:bCs/>
          <w:i/>
          <w:sz w:val="22"/>
          <w:szCs w:val="26"/>
        </w:rPr>
      </w:pPr>
      <w:bookmarkStart w:id="61" w:name="_Toc130558179"/>
      <w:r w:rsidRPr="00200063">
        <w:rPr>
          <w:rFonts w:ascii="Times New Roman" w:hAnsi="Times New Roman" w:cs="Times New Roman"/>
          <w:bCs/>
          <w:i/>
          <w:color w:val="auto"/>
          <w:sz w:val="22"/>
          <w:szCs w:val="26"/>
        </w:rPr>
        <w:t>2</w:t>
      </w:r>
      <w:r w:rsidR="00CC7AF8" w:rsidRPr="00200063">
        <w:rPr>
          <w:rFonts w:ascii="Times New Roman" w:hAnsi="Times New Roman" w:cs="Times New Roman"/>
          <w:bCs/>
          <w:i/>
          <w:color w:val="auto"/>
          <w:sz w:val="22"/>
          <w:szCs w:val="26"/>
        </w:rPr>
        <w:t>.2.2 Other sample preparation modifications</w:t>
      </w:r>
      <w:bookmarkEnd w:id="61"/>
    </w:p>
    <w:p w14:paraId="79942F57" w14:textId="66CF3289" w:rsidR="00D05382" w:rsidRDefault="005428EE" w:rsidP="006D506F">
      <w:pPr>
        <w:pStyle w:val="TAMainText"/>
        <w:spacing w:line="276" w:lineRule="auto"/>
        <w:ind w:firstLine="0"/>
        <w:rPr>
          <w:rFonts w:ascii="Times New Roman" w:hAnsi="Times New Roman"/>
          <w:noProof/>
        </w:rPr>
      </w:pPr>
      <w:r w:rsidRPr="003B4E54">
        <w:rPr>
          <w:rFonts w:ascii="Times New Roman" w:hAnsi="Times New Roman"/>
          <w:noProof/>
        </w:rPr>
        <w:t xml:space="preserve"> </w:t>
      </w:r>
    </w:p>
    <w:p w14:paraId="38C2DD41" w14:textId="30AD0FEE" w:rsidR="00F30F7B" w:rsidRDefault="00F30F7B" w:rsidP="006D506F">
      <w:pPr>
        <w:pStyle w:val="TAMainText"/>
        <w:spacing w:line="276" w:lineRule="auto"/>
        <w:ind w:firstLine="0"/>
        <w:rPr>
          <w:rFonts w:ascii="Times New Roman" w:eastAsiaTheme="majorEastAsia" w:hAnsi="Times New Roman"/>
          <w:i/>
          <w:kern w:val="0"/>
          <w:sz w:val="22"/>
          <w:szCs w:val="26"/>
        </w:rPr>
      </w:pPr>
    </w:p>
    <w:p w14:paraId="3D0B41CE" w14:textId="5183AC17" w:rsidR="00FE3B33" w:rsidRPr="003B4E54" w:rsidRDefault="00FE3B33" w:rsidP="006D506F">
      <w:pPr>
        <w:pStyle w:val="TAMainText"/>
        <w:spacing w:line="276" w:lineRule="auto"/>
        <w:ind w:firstLine="0"/>
        <w:rPr>
          <w:rFonts w:ascii="Times New Roman" w:eastAsiaTheme="majorEastAsia" w:hAnsi="Times New Roman"/>
          <w:i/>
          <w:kern w:val="0"/>
          <w:sz w:val="22"/>
          <w:szCs w:val="26"/>
        </w:rPr>
      </w:pPr>
      <w:r>
        <w:rPr>
          <w:noProof/>
        </w:rPr>
        <mc:AlternateContent>
          <mc:Choic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436DDC0D" wp14:editId="1B91BE50">
                <wp:extent cx="6066430" cy="3138985"/>
                <wp:effectExtent l="0" t="0" r="10795" b="4445"/>
                <wp:docPr id="1" name="Chart 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6"/>
                  </a:graphicData>
                </a:graphic>
              </wp:inline>
            </w:drawing>
          </mc:Choice>
          <mc:Fallback>
            <w:drawing>
              <wp:inline distT="0" distB="0" distL="0" distR="0" wp14:anchorId="436DDC0D" wp14:editId="1B91BE50">
                <wp:extent cx="6066430" cy="3138985"/>
                <wp:effectExtent l="0" t="0" r="10795" b="4445"/>
                <wp:docPr id="1"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pic:cNvPicPr>
                          <a:picLocks noGrp="1" noRot="1" noChangeAspect="1" noMove="1" noResize="1" noEditPoints="1" noAdjustHandles="1" noChangeArrowheads="1" noChangeShapeType="1"/>
                        </pic:cNvPicPr>
                      </pic:nvPicPr>
                      <pic:blipFill>
                        <a:blip r:embed="rId17"/>
                        <a:stretch>
                          <a:fillRect/>
                        </a:stretch>
                      </pic:blipFill>
                      <pic:spPr>
                        <a:xfrm>
                          <a:off x="0" y="0"/>
                          <a:ext cx="6066155" cy="3138805"/>
                        </a:xfrm>
                        <a:prstGeom prst="rect">
                          <a:avLst/>
                        </a:prstGeom>
                      </pic:spPr>
                    </pic:pic>
                  </a:graphicData>
                </a:graphic>
              </wp:inline>
            </w:drawing>
          </mc:Fallback>
        </mc:AlternateContent>
      </w:r>
    </w:p>
    <w:p w14:paraId="7C0E0553" w14:textId="2E0AB5F7" w:rsidR="00B2718E" w:rsidRPr="0001035A" w:rsidRDefault="00B2718E" w:rsidP="00B2718E">
      <w:pPr>
        <w:pStyle w:val="TAMainText"/>
        <w:spacing w:line="276" w:lineRule="auto"/>
        <w:ind w:firstLine="0"/>
        <w:jc w:val="center"/>
        <w:rPr>
          <w:rFonts w:ascii="Times New Roman" w:hAnsi="Times New Roman"/>
          <w:sz w:val="22"/>
        </w:rPr>
      </w:pPr>
    </w:p>
    <w:p w14:paraId="33E59A5C" w14:textId="7BC18089" w:rsidR="00424E0B" w:rsidRPr="0001035A" w:rsidRDefault="00424E0B" w:rsidP="00B2718E">
      <w:pPr>
        <w:pStyle w:val="TAMainText"/>
        <w:spacing w:line="276" w:lineRule="auto"/>
        <w:ind w:firstLine="0"/>
        <w:jc w:val="center"/>
        <w:rPr>
          <w:rFonts w:ascii="Times New Roman" w:hAnsi="Times New Roman"/>
          <w:sz w:val="22"/>
        </w:rPr>
      </w:pPr>
      <w:r w:rsidRPr="0001035A">
        <w:rPr>
          <w:rFonts w:ascii="Times New Roman" w:hAnsi="Times New Roman"/>
          <w:sz w:val="22"/>
        </w:rPr>
        <w:t>Fi</w:t>
      </w:r>
      <w:r w:rsidR="0001035A" w:rsidRPr="0001035A">
        <w:rPr>
          <w:rFonts w:ascii="Times New Roman" w:hAnsi="Times New Roman"/>
          <w:sz w:val="22"/>
        </w:rPr>
        <w:t>gure</w:t>
      </w:r>
      <w:r w:rsidRPr="0001035A">
        <w:rPr>
          <w:rFonts w:ascii="Times New Roman" w:hAnsi="Times New Roman"/>
          <w:sz w:val="22"/>
        </w:rPr>
        <w:t xml:space="preserve"> S – </w:t>
      </w:r>
      <w:r w:rsidR="00B00012">
        <w:rPr>
          <w:rFonts w:ascii="Times New Roman" w:hAnsi="Times New Roman"/>
          <w:sz w:val="22"/>
        </w:rPr>
        <w:t>2</w:t>
      </w:r>
      <w:r w:rsidRPr="0001035A">
        <w:rPr>
          <w:rFonts w:ascii="Times New Roman" w:hAnsi="Times New Roman"/>
          <w:sz w:val="22"/>
        </w:rPr>
        <w:t>: R</w:t>
      </w:r>
      <w:r w:rsidR="005428EE" w:rsidRPr="0001035A">
        <w:rPr>
          <w:rFonts w:ascii="Times New Roman" w:hAnsi="Times New Roman"/>
          <w:sz w:val="22"/>
        </w:rPr>
        <w:t>ole of glass material, addition of complex formation agent (CuSO4) and anticoagulant type for plasma collection</w:t>
      </w:r>
    </w:p>
    <w:p w14:paraId="2A55E200" w14:textId="1C53D911" w:rsidR="009601E1" w:rsidRDefault="009601E1" w:rsidP="00881185">
      <w:pPr>
        <w:pStyle w:val="TAMainText"/>
        <w:spacing w:line="276" w:lineRule="auto"/>
        <w:ind w:firstLine="0"/>
        <w:rPr>
          <w:rFonts w:ascii="Times New Roman" w:hAnsi="Times New Roman"/>
          <w:color w:val="FF0000"/>
          <w:sz w:val="22"/>
        </w:rPr>
      </w:pPr>
    </w:p>
    <w:p w14:paraId="0E4B7CBB" w14:textId="3B3D0B33" w:rsidR="00881185" w:rsidRPr="003B4E54" w:rsidRDefault="00881185" w:rsidP="00514E6E">
      <w:pPr>
        <w:pStyle w:val="TAMainText"/>
        <w:spacing w:line="276" w:lineRule="auto"/>
        <w:ind w:firstLine="0"/>
        <w:jc w:val="center"/>
        <w:rPr>
          <w:rFonts w:ascii="Times New Roman" w:hAnsi="Times New Roman"/>
          <w:color w:val="FF0000"/>
          <w:sz w:val="22"/>
        </w:rPr>
      </w:pPr>
      <w:r>
        <w:rPr>
          <w:noProof/>
        </w:rPr>
        <w:lastRenderedPageBreak/>
        <mc:AlternateContent>
          <mc:Choic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2FE37F04" wp14:editId="3C813648">
                <wp:extent cx="4490113" cy="2497540"/>
                <wp:effectExtent l="0" t="0" r="5715" b="17145"/>
                <wp:docPr id="7" name="Chart 7"/>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8"/>
                  </a:graphicData>
                </a:graphic>
              </wp:inline>
            </w:drawing>
          </mc:Choice>
          <mc:Fallback>
            <w:drawing>
              <wp:inline distT="0" distB="0" distL="0" distR="0" wp14:anchorId="2FE37F04" wp14:editId="3C813648">
                <wp:extent cx="4490113" cy="2497540"/>
                <wp:effectExtent l="0" t="0" r="5715" b="17145"/>
                <wp:docPr id="7" name="Chart 7"/>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pic:cNvPicPr>
                          <a:picLocks noGrp="1" noRot="1" noChangeAspect="1" noMove="1" noResize="1" noEditPoints="1" noAdjustHandles="1" noChangeArrowheads="1" noChangeShapeType="1"/>
                        </pic:cNvPicPr>
                      </pic:nvPicPr>
                      <pic:blipFill>
                        <a:blip r:embed="rId19"/>
                        <a:stretch>
                          <a:fillRect/>
                        </a:stretch>
                      </pic:blipFill>
                      <pic:spPr>
                        <a:xfrm>
                          <a:off x="0" y="0"/>
                          <a:ext cx="4490085" cy="2497455"/>
                        </a:xfrm>
                        <a:prstGeom prst="rect">
                          <a:avLst/>
                        </a:prstGeom>
                      </pic:spPr>
                    </pic:pic>
                  </a:graphicData>
                </a:graphic>
              </wp:inline>
            </w:drawing>
          </mc:Fallback>
        </mc:AlternateContent>
      </w:r>
    </w:p>
    <w:p w14:paraId="657EC00F" w14:textId="2BE4AEC3" w:rsidR="00637938" w:rsidRPr="003B4E54" w:rsidRDefault="00637938" w:rsidP="00514E6E">
      <w:pPr>
        <w:pStyle w:val="TAMainText"/>
        <w:spacing w:line="276" w:lineRule="auto"/>
        <w:ind w:firstLine="0"/>
        <w:jc w:val="center"/>
        <w:rPr>
          <w:rFonts w:ascii="Times New Roman" w:hAnsi="Times New Roman"/>
          <w:color w:val="FF0000"/>
          <w:sz w:val="22"/>
        </w:rPr>
      </w:pPr>
      <w:r w:rsidRPr="003B4E54">
        <w:rPr>
          <w:rFonts w:ascii="Times New Roman" w:hAnsi="Times New Roman"/>
          <w:sz w:val="22"/>
        </w:rPr>
        <w:t xml:space="preserve">Figure S – </w:t>
      </w:r>
      <w:r w:rsidR="00B00012">
        <w:rPr>
          <w:rFonts w:ascii="Times New Roman" w:hAnsi="Times New Roman"/>
          <w:sz w:val="22"/>
        </w:rPr>
        <w:t>3</w:t>
      </w:r>
      <w:r w:rsidRPr="003B4E54">
        <w:rPr>
          <w:rFonts w:ascii="Times New Roman" w:hAnsi="Times New Roman"/>
          <w:sz w:val="22"/>
        </w:rPr>
        <w:t xml:space="preserve">: </w:t>
      </w:r>
      <w:r w:rsidR="00751C12" w:rsidRPr="003B4E54">
        <w:rPr>
          <w:rFonts w:ascii="Times New Roman" w:hAnsi="Times New Roman"/>
          <w:sz w:val="22"/>
        </w:rPr>
        <w:t>Comparison between serum and plasma matrix</w:t>
      </w:r>
      <w:r w:rsidR="00651536" w:rsidRPr="003B4E54">
        <w:rPr>
          <w:rFonts w:ascii="Times New Roman" w:hAnsi="Times New Roman"/>
          <w:sz w:val="22"/>
        </w:rPr>
        <w:t>: Normalized response</w:t>
      </w:r>
    </w:p>
    <w:p w14:paraId="55C1AA67" w14:textId="4AE61604" w:rsidR="009601E1" w:rsidRPr="003B4E54" w:rsidRDefault="009601E1" w:rsidP="006D506F">
      <w:pPr>
        <w:pStyle w:val="TAMainText"/>
        <w:spacing w:line="276" w:lineRule="auto"/>
        <w:ind w:firstLine="0"/>
        <w:rPr>
          <w:rFonts w:ascii="Times New Roman" w:hAnsi="Times New Roman"/>
          <w:color w:val="FF0000"/>
          <w:sz w:val="22"/>
        </w:rPr>
      </w:pPr>
    </w:p>
    <w:p w14:paraId="34E411BE" w14:textId="496D0E91" w:rsidR="00AB1B13" w:rsidRPr="003B4E54" w:rsidRDefault="000F1B01" w:rsidP="00200063">
      <w:pPr>
        <w:pStyle w:val="Heading3"/>
      </w:pPr>
      <w:bookmarkStart w:id="62" w:name="_Toc130558180"/>
      <w:r w:rsidRPr="00200063">
        <w:rPr>
          <w:rFonts w:ascii="Times New Roman" w:hAnsi="Times New Roman" w:cs="Times New Roman"/>
          <w:bCs/>
          <w:i/>
          <w:color w:val="auto"/>
          <w:sz w:val="22"/>
          <w:szCs w:val="26"/>
        </w:rPr>
        <w:t>2</w:t>
      </w:r>
      <w:r w:rsidR="0031119A" w:rsidRPr="00200063">
        <w:rPr>
          <w:rFonts w:ascii="Times New Roman" w:hAnsi="Times New Roman" w:cs="Times New Roman"/>
          <w:bCs/>
          <w:i/>
          <w:color w:val="auto"/>
          <w:sz w:val="22"/>
          <w:szCs w:val="26"/>
        </w:rPr>
        <w:t>.2.3</w:t>
      </w:r>
      <w:r w:rsidR="00AB1B13" w:rsidRPr="00200063">
        <w:rPr>
          <w:rFonts w:ascii="Times New Roman" w:hAnsi="Times New Roman" w:cs="Times New Roman"/>
          <w:bCs/>
          <w:i/>
          <w:color w:val="auto"/>
          <w:sz w:val="22"/>
          <w:szCs w:val="26"/>
        </w:rPr>
        <w:t xml:space="preserve"> Implementation of a new internal standard</w:t>
      </w:r>
      <w:bookmarkEnd w:id="62"/>
    </w:p>
    <w:p w14:paraId="2C896FE7" w14:textId="7C7C6368" w:rsidR="00AB1B13" w:rsidRPr="00F72AF1" w:rsidRDefault="00AB1B13" w:rsidP="00AB1B13">
      <w:pPr>
        <w:spacing w:line="276" w:lineRule="auto"/>
        <w:jc w:val="both"/>
        <w:rPr>
          <w:rFonts w:ascii="Times New Roman" w:hAnsi="Times New Roman" w:cs="Times New Roman"/>
          <w:sz w:val="22"/>
          <w:szCs w:val="22"/>
        </w:rPr>
      </w:pPr>
      <w:r w:rsidRPr="00F72AF1">
        <w:rPr>
          <w:rFonts w:ascii="Times New Roman" w:hAnsi="Times New Roman" w:cs="Times New Roman"/>
          <w:sz w:val="22"/>
          <w:szCs w:val="22"/>
        </w:rPr>
        <w:t>The exact mass and viable fragments of BLM-A5-Cu complex (to be used as internal standard) was precisely determined with an HRMS scan. The 2+ charged ions expressed higher intensity than 1+ charged</w:t>
      </w:r>
      <w:r w:rsidR="00C03993" w:rsidRPr="00F72AF1">
        <w:rPr>
          <w:rFonts w:ascii="Times New Roman" w:hAnsi="Times New Roman" w:cs="Times New Roman"/>
          <w:sz w:val="22"/>
          <w:szCs w:val="22"/>
        </w:rPr>
        <w:t>,</w:t>
      </w:r>
      <w:r w:rsidRPr="00F72AF1">
        <w:rPr>
          <w:rFonts w:ascii="Times New Roman" w:hAnsi="Times New Roman" w:cs="Times New Roman"/>
          <w:sz w:val="22"/>
          <w:szCs w:val="22"/>
        </w:rPr>
        <w:t xml:space="preserve"> hence the use of the double charged BLM-A5-Cu with the measured m/z 752.272 as the parent ion. </w:t>
      </w:r>
    </w:p>
    <w:p w14:paraId="2F96CE81" w14:textId="59D622A9" w:rsidR="00AB1B13" w:rsidRPr="003B4E54" w:rsidRDefault="00AB1B13" w:rsidP="00AB1B13">
      <w:pPr>
        <w:spacing w:line="276" w:lineRule="auto"/>
        <w:rPr>
          <w:rFonts w:ascii="Times New Roman" w:hAnsi="Times New Roman" w:cs="Times New Roman"/>
          <w:color w:val="76923C" w:themeColor="accent3" w:themeShade="BF"/>
          <w:sz w:val="22"/>
        </w:rPr>
      </w:pPr>
      <w:r w:rsidRPr="003B4E54">
        <w:rPr>
          <w:rFonts w:ascii="Times New Roman" w:hAnsi="Times New Roman" w:cs="Times New Roman"/>
          <w:color w:val="76923C" w:themeColor="accent3" w:themeShade="BF"/>
          <w:sz w:val="22"/>
        </w:rPr>
        <w:t xml:space="preserve"> </w:t>
      </w:r>
      <w:r w:rsidRPr="003B4E54">
        <w:rPr>
          <w:rFonts w:ascii="Times New Roman" w:hAnsi="Times New Roman" w:cs="Times New Roman"/>
          <w:noProof/>
        </w:rPr>
        <w:drawing>
          <wp:inline distT="0" distB="0" distL="0" distR="0" wp14:anchorId="2A57F8E1" wp14:editId="0BF3A29D">
            <wp:extent cx="5634990" cy="1101450"/>
            <wp:effectExtent l="0" t="0" r="381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0033"/>
                    <a:stretch/>
                  </pic:blipFill>
                  <pic:spPr bwMode="auto">
                    <a:xfrm>
                      <a:off x="0" y="0"/>
                      <a:ext cx="5634990" cy="1101450"/>
                    </a:xfrm>
                    <a:prstGeom prst="rect">
                      <a:avLst/>
                    </a:prstGeom>
                    <a:ln>
                      <a:noFill/>
                    </a:ln>
                    <a:extLst>
                      <a:ext uri="{53640926-AAD7-44D8-BBD7-CCE9431645EC}">
                        <a14:shadowObscured xmlns:a14="http://schemas.microsoft.com/office/drawing/2010/main"/>
                      </a:ext>
                    </a:extLst>
                  </pic:spPr>
                </pic:pic>
              </a:graphicData>
            </a:graphic>
          </wp:inline>
        </w:drawing>
      </w:r>
    </w:p>
    <w:p w14:paraId="6C51A038" w14:textId="77777777" w:rsidR="00705E14" w:rsidRPr="003B4E54" w:rsidRDefault="00705E14" w:rsidP="00705E14">
      <w:pPr>
        <w:spacing w:line="276" w:lineRule="auto"/>
        <w:rPr>
          <w:rFonts w:ascii="Times New Roman" w:hAnsi="Times New Roman" w:cs="Times New Roman"/>
          <w:color w:val="FF0000"/>
          <w:sz w:val="22"/>
        </w:rPr>
      </w:pPr>
    </w:p>
    <w:p w14:paraId="127C695A" w14:textId="1D9DFFC2" w:rsidR="00705E14" w:rsidRDefault="00705E14" w:rsidP="00705E14">
      <w:pPr>
        <w:spacing w:line="276" w:lineRule="auto"/>
        <w:rPr>
          <w:rFonts w:ascii="Times New Roman" w:hAnsi="Times New Roman" w:cs="Times New Roman"/>
          <w:sz w:val="22"/>
        </w:rPr>
      </w:pPr>
      <w:r w:rsidRPr="003B4E54">
        <w:rPr>
          <w:rFonts w:ascii="Times New Roman" w:hAnsi="Times New Roman" w:cs="Times New Roman"/>
          <w:sz w:val="22"/>
        </w:rPr>
        <w:t xml:space="preserve">Figure S - </w:t>
      </w:r>
      <w:r w:rsidR="00B00012">
        <w:rPr>
          <w:rFonts w:ascii="Times New Roman" w:hAnsi="Times New Roman" w:cs="Times New Roman"/>
          <w:sz w:val="22"/>
        </w:rPr>
        <w:t>4</w:t>
      </w:r>
      <w:r w:rsidRPr="003B4E54">
        <w:rPr>
          <w:rFonts w:ascii="Times New Roman" w:hAnsi="Times New Roman" w:cs="Times New Roman"/>
          <w:sz w:val="22"/>
        </w:rPr>
        <w:t>: Mass spectrum of BLM-A5-Cu</w:t>
      </w:r>
    </w:p>
    <w:p w14:paraId="51698101" w14:textId="75155EC9" w:rsidR="00A25538" w:rsidRDefault="00A25538" w:rsidP="00705E14">
      <w:pPr>
        <w:spacing w:line="276" w:lineRule="auto"/>
        <w:rPr>
          <w:rFonts w:ascii="Times New Roman" w:hAnsi="Times New Roman" w:cs="Times New Roman"/>
          <w:sz w:val="22"/>
        </w:rPr>
      </w:pPr>
    </w:p>
    <w:p w14:paraId="060ED1F5" w14:textId="19F3C033" w:rsidR="00894CAC" w:rsidRPr="008A78D8" w:rsidRDefault="003B1B7E" w:rsidP="00200063">
      <w:pPr>
        <w:pStyle w:val="Heading2"/>
        <w:numPr>
          <w:ilvl w:val="1"/>
          <w:numId w:val="52"/>
        </w:numPr>
        <w:rPr>
          <w:b w:val="0"/>
          <w:i/>
          <w:color w:val="auto"/>
        </w:rPr>
      </w:pPr>
      <w:bookmarkStart w:id="63" w:name="_Toc130558181"/>
      <w:r w:rsidRPr="008A78D8">
        <w:rPr>
          <w:b w:val="0"/>
          <w:i/>
          <w:color w:val="auto"/>
        </w:rPr>
        <w:t>Signal strength quality control</w:t>
      </w:r>
      <w:bookmarkEnd w:id="63"/>
    </w:p>
    <w:p w14:paraId="46460D1E" w14:textId="688DFDDC" w:rsidR="00D40924" w:rsidRDefault="00D40924"/>
    <w:p w14:paraId="2C09F1D9" w14:textId="38956221" w:rsidR="000857F3" w:rsidRDefault="000857F3"/>
    <w:p w14:paraId="55E254BE" w14:textId="3A5CE653" w:rsidR="000857F3" w:rsidRDefault="00A11BE1" w:rsidP="00200063">
      <w:r>
        <w:rPr>
          <w:noProof/>
        </w:rPr>
        <w:lastRenderedPageBreak/>
        <w:drawing>
          <wp:inline distT="0" distB="0" distL="0" distR="0" wp14:anchorId="18FCC5A3" wp14:editId="2D5F6DE1">
            <wp:extent cx="6092190" cy="4187825"/>
            <wp:effectExtent l="0" t="0" r="3810" b="3175"/>
            <wp:docPr id="6" name="Chart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1A981F-BFA1-406A-8630-60C86EF27F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02F114A" w14:textId="77777777" w:rsidR="00A11BE1" w:rsidRDefault="00A11BE1">
      <w:pPr>
        <w:jc w:val="center"/>
        <w:rPr>
          <w:rFonts w:ascii="Times New Roman" w:hAnsi="Times New Roman"/>
          <w:sz w:val="22"/>
        </w:rPr>
      </w:pPr>
    </w:p>
    <w:p w14:paraId="2AD1D102" w14:textId="6FEB47D1" w:rsidR="00DE0FA2" w:rsidRPr="00200063" w:rsidRDefault="00DE0FA2" w:rsidP="00200063">
      <w:pPr>
        <w:jc w:val="center"/>
        <w:rPr>
          <w:b/>
        </w:rPr>
      </w:pPr>
      <w:r w:rsidRPr="0001035A">
        <w:rPr>
          <w:rFonts w:ascii="Times New Roman" w:hAnsi="Times New Roman"/>
          <w:sz w:val="22"/>
        </w:rPr>
        <w:t xml:space="preserve">Figure S – </w:t>
      </w:r>
      <w:r w:rsidR="00F70271">
        <w:rPr>
          <w:rFonts w:ascii="Times New Roman" w:hAnsi="Times New Roman"/>
          <w:sz w:val="22"/>
        </w:rPr>
        <w:t>5</w:t>
      </w:r>
      <w:r w:rsidR="00344846">
        <w:rPr>
          <w:rFonts w:ascii="Times New Roman" w:hAnsi="Times New Roman"/>
          <w:sz w:val="22"/>
        </w:rPr>
        <w:t xml:space="preserve">: </w:t>
      </w:r>
      <w:r w:rsidR="003B113A">
        <w:rPr>
          <w:rFonts w:ascii="Times New Roman" w:hAnsi="Times New Roman"/>
          <w:sz w:val="22"/>
        </w:rPr>
        <w:t xml:space="preserve">Peak areas </w:t>
      </w:r>
      <w:r w:rsidR="00EA5375">
        <w:rPr>
          <w:rFonts w:ascii="Times New Roman" w:hAnsi="Times New Roman"/>
          <w:sz w:val="22"/>
        </w:rPr>
        <w:t xml:space="preserve">of QC samples </w:t>
      </w:r>
      <w:r w:rsidR="00985E08">
        <w:rPr>
          <w:rFonts w:ascii="Times New Roman" w:hAnsi="Times New Roman"/>
          <w:sz w:val="22"/>
        </w:rPr>
        <w:t>at two concentrations</w:t>
      </w:r>
      <w:r w:rsidR="00B11E66">
        <w:rPr>
          <w:rFonts w:ascii="Times New Roman" w:hAnsi="Times New Roman"/>
          <w:sz w:val="22"/>
        </w:rPr>
        <w:t xml:space="preserve"> through time</w:t>
      </w:r>
      <w:r w:rsidR="00D53C11">
        <w:rPr>
          <w:rFonts w:ascii="Times New Roman" w:hAnsi="Times New Roman"/>
          <w:sz w:val="22"/>
        </w:rPr>
        <w:t xml:space="preserve">, corresponding the measurements on the control charts </w:t>
      </w:r>
      <w:r w:rsidR="00E52C5C">
        <w:rPr>
          <w:rFonts w:ascii="Times New Roman" w:hAnsi="Times New Roman"/>
          <w:sz w:val="22"/>
        </w:rPr>
        <w:t>(averages of three values)</w:t>
      </w:r>
    </w:p>
    <w:p w14:paraId="17CCED1D" w14:textId="77777777" w:rsidR="00DA5BB3" w:rsidRPr="00200063" w:rsidRDefault="00DA5BB3" w:rsidP="00200063">
      <w:pPr>
        <w:pStyle w:val="ListParagraph"/>
        <w:ind w:left="360"/>
        <w:rPr>
          <w:b/>
        </w:rPr>
      </w:pPr>
    </w:p>
    <w:p w14:paraId="4FE23BA1" w14:textId="41E20F6F" w:rsidR="00A25538" w:rsidRPr="009A6024" w:rsidRDefault="002B1B06" w:rsidP="009A6024">
      <w:pPr>
        <w:pStyle w:val="Heading2"/>
        <w:rPr>
          <w:b w:val="0"/>
          <w:i/>
          <w:color w:val="auto"/>
        </w:rPr>
      </w:pPr>
      <w:bookmarkStart w:id="64" w:name="_Toc130558182"/>
      <w:r>
        <w:rPr>
          <w:b w:val="0"/>
          <w:i/>
          <w:color w:val="auto"/>
        </w:rPr>
        <w:t>2</w:t>
      </w:r>
      <w:r w:rsidR="009A6024">
        <w:rPr>
          <w:b w:val="0"/>
          <w:i/>
          <w:color w:val="auto"/>
        </w:rPr>
        <w:t>.</w:t>
      </w:r>
      <w:r w:rsidR="00894CAC">
        <w:rPr>
          <w:b w:val="0"/>
          <w:i/>
          <w:color w:val="auto"/>
        </w:rPr>
        <w:t xml:space="preserve">4 </w:t>
      </w:r>
      <w:r w:rsidR="00A25538" w:rsidRPr="009A6024">
        <w:rPr>
          <w:b w:val="0"/>
          <w:i/>
          <w:color w:val="auto"/>
        </w:rPr>
        <w:t>HPLC-based method development</w:t>
      </w:r>
      <w:bookmarkEnd w:id="64"/>
    </w:p>
    <w:p w14:paraId="73426098" w14:textId="68135616" w:rsidR="002E4E7D" w:rsidRPr="002E4E7D" w:rsidRDefault="002E4E7D" w:rsidP="002E4E7D">
      <w:pPr>
        <w:jc w:val="both"/>
        <w:rPr>
          <w:rFonts w:ascii="Times New Roman" w:hAnsi="Times New Roman" w:cs="Times New Roman"/>
          <w:sz w:val="22"/>
          <w:szCs w:val="22"/>
        </w:rPr>
      </w:pPr>
      <w:r w:rsidRPr="002E4E7D">
        <w:rPr>
          <w:rFonts w:ascii="Times New Roman" w:hAnsi="Times New Roman" w:cs="Times New Roman"/>
          <w:sz w:val="22"/>
          <w:szCs w:val="22"/>
        </w:rPr>
        <w:t xml:space="preserve">An HPLC method was developed with the purpose of analyzing BLM in a higher concentration range and in simple matrices, i.e. for the study of BLM stability in injection solution. The challenge, often pointed out with methods using UV detection is achieving chromatographic separation of structurally very similar BLM-A2 and BLM-B2 fractions, which is not an issue when using MS detection. </w:t>
      </w:r>
    </w:p>
    <w:p w14:paraId="48DA7D15" w14:textId="77777777" w:rsidR="002E4E7D" w:rsidRPr="002E4E7D" w:rsidRDefault="002E4E7D" w:rsidP="002E4E7D">
      <w:pPr>
        <w:jc w:val="both"/>
        <w:rPr>
          <w:rFonts w:ascii="Times New Roman" w:hAnsi="Times New Roman" w:cs="Times New Roman"/>
          <w:sz w:val="22"/>
          <w:szCs w:val="22"/>
        </w:rPr>
      </w:pPr>
    </w:p>
    <w:p w14:paraId="5480AE2A" w14:textId="7A17AF01" w:rsidR="002E4E7D" w:rsidRDefault="002E4E7D" w:rsidP="002E4E7D">
      <w:pPr>
        <w:jc w:val="both"/>
        <w:rPr>
          <w:rFonts w:ascii="Times New Roman" w:hAnsi="Times New Roman" w:cs="Times New Roman"/>
          <w:sz w:val="22"/>
          <w:szCs w:val="22"/>
        </w:rPr>
      </w:pPr>
      <w:r w:rsidRPr="002E4E7D">
        <w:rPr>
          <w:rFonts w:ascii="Times New Roman" w:hAnsi="Times New Roman" w:cs="Times New Roman"/>
          <w:sz w:val="22"/>
          <w:szCs w:val="22"/>
        </w:rPr>
        <w:t xml:space="preserve">Method development entailed testing a variety of different mobile phase compositions, including methanol and acetonitrile with and without the addition of formic acid as organic and ammonium </w:t>
      </w:r>
      <w:proofErr w:type="spellStart"/>
      <w:r w:rsidRPr="002E4E7D">
        <w:rPr>
          <w:rFonts w:ascii="Times New Roman" w:hAnsi="Times New Roman" w:cs="Times New Roman"/>
          <w:sz w:val="22"/>
          <w:szCs w:val="22"/>
        </w:rPr>
        <w:t>formate</w:t>
      </w:r>
      <w:proofErr w:type="spellEnd"/>
      <w:r w:rsidRPr="002E4E7D">
        <w:rPr>
          <w:rFonts w:ascii="Times New Roman" w:hAnsi="Times New Roman" w:cs="Times New Roman"/>
          <w:sz w:val="22"/>
          <w:szCs w:val="22"/>
        </w:rPr>
        <w:t xml:space="preserve"> buffer as the aqueous phase. The optimal mobile phases were determined to be 0.1% HCOOH in acetonitrile and buffer containing 20 </w:t>
      </w:r>
      <w:proofErr w:type="spellStart"/>
      <w:r w:rsidRPr="002E4E7D">
        <w:rPr>
          <w:rFonts w:ascii="Times New Roman" w:hAnsi="Times New Roman" w:cs="Times New Roman"/>
          <w:sz w:val="22"/>
          <w:szCs w:val="22"/>
        </w:rPr>
        <w:t>mM</w:t>
      </w:r>
      <w:proofErr w:type="spellEnd"/>
      <w:r w:rsidRPr="002E4E7D">
        <w:rPr>
          <w:rFonts w:ascii="Times New Roman" w:hAnsi="Times New Roman" w:cs="Times New Roman"/>
          <w:sz w:val="22"/>
          <w:szCs w:val="22"/>
        </w:rPr>
        <w:t xml:space="preserve"> ammonium </w:t>
      </w:r>
      <w:proofErr w:type="spellStart"/>
      <w:r w:rsidRPr="002E4E7D">
        <w:rPr>
          <w:rFonts w:ascii="Times New Roman" w:hAnsi="Times New Roman" w:cs="Times New Roman"/>
          <w:sz w:val="22"/>
          <w:szCs w:val="22"/>
        </w:rPr>
        <w:t>formate</w:t>
      </w:r>
      <w:proofErr w:type="spellEnd"/>
      <w:r w:rsidRPr="002E4E7D">
        <w:rPr>
          <w:rFonts w:ascii="Times New Roman" w:hAnsi="Times New Roman" w:cs="Times New Roman"/>
          <w:sz w:val="22"/>
          <w:szCs w:val="22"/>
        </w:rPr>
        <w:t xml:space="preserve"> with 0.1% HCOOH. The separation of A2 and B2 fractions was achieved without the addition of any ion-pairing reagents, which were before used in multiple published reversed-phase HPLC methods </w:t>
      </w:r>
      <w:r w:rsidR="00B747F2">
        <w:rPr>
          <w:rFonts w:ascii="Times New Roman" w:hAnsi="Times New Roman" w:cs="Times New Roman"/>
          <w:sz w:val="22"/>
          <w:szCs w:val="22"/>
        </w:rPr>
        <w:t xml:space="preserve">[12, 13, </w:t>
      </w:r>
      <w:r w:rsidR="00380E46">
        <w:rPr>
          <w:rFonts w:ascii="Times New Roman" w:hAnsi="Times New Roman" w:cs="Times New Roman"/>
          <w:sz w:val="22"/>
          <w:szCs w:val="22"/>
        </w:rPr>
        <w:t>18</w:t>
      </w:r>
      <w:r w:rsidR="00B747F2">
        <w:rPr>
          <w:rFonts w:ascii="Times New Roman" w:hAnsi="Times New Roman" w:cs="Times New Roman"/>
          <w:sz w:val="22"/>
          <w:szCs w:val="22"/>
        </w:rPr>
        <w:t xml:space="preserve">, </w:t>
      </w:r>
      <w:proofErr w:type="gramStart"/>
      <w:r w:rsidR="00380E46">
        <w:rPr>
          <w:rFonts w:ascii="Times New Roman" w:hAnsi="Times New Roman" w:cs="Times New Roman"/>
          <w:sz w:val="22"/>
          <w:szCs w:val="22"/>
        </w:rPr>
        <w:t>19</w:t>
      </w:r>
      <w:bookmarkStart w:id="65" w:name="_GoBack"/>
      <w:bookmarkEnd w:id="65"/>
      <w:proofErr w:type="gramEnd"/>
      <w:r w:rsidR="00B747F2">
        <w:rPr>
          <w:rFonts w:ascii="Times New Roman" w:hAnsi="Times New Roman" w:cs="Times New Roman"/>
          <w:sz w:val="22"/>
          <w:szCs w:val="22"/>
        </w:rPr>
        <w:t xml:space="preserve">] </w:t>
      </w:r>
      <w:r w:rsidRPr="002E4E7D">
        <w:rPr>
          <w:rFonts w:ascii="Times New Roman" w:hAnsi="Times New Roman" w:cs="Times New Roman"/>
          <w:sz w:val="22"/>
          <w:szCs w:val="22"/>
        </w:rPr>
        <w:t xml:space="preserve">to aid the separation of individual fractions. Said fractions eluted at 4.7 and 5.0 minutes, respectively. </w:t>
      </w:r>
    </w:p>
    <w:p w14:paraId="564A1B45" w14:textId="7D3EFA79" w:rsidR="003432CD" w:rsidRDefault="003432CD" w:rsidP="00C21495">
      <w:pPr>
        <w:pStyle w:val="Heading3"/>
      </w:pPr>
    </w:p>
    <w:p w14:paraId="741BECD0" w14:textId="72066CE8" w:rsidR="003432CD" w:rsidRPr="00C21495" w:rsidRDefault="007B18FB" w:rsidP="00C21495">
      <w:pPr>
        <w:pStyle w:val="Heading3"/>
        <w:rPr>
          <w:rFonts w:ascii="Times New Roman" w:hAnsi="Times New Roman" w:cs="Times New Roman"/>
          <w:i/>
          <w:color w:val="auto"/>
          <w:sz w:val="22"/>
          <w:szCs w:val="22"/>
        </w:rPr>
      </w:pPr>
      <w:bookmarkStart w:id="66" w:name="_Toc130558183"/>
      <w:r>
        <w:rPr>
          <w:rFonts w:ascii="Times New Roman" w:hAnsi="Times New Roman" w:cs="Times New Roman"/>
          <w:i/>
          <w:color w:val="auto"/>
          <w:sz w:val="22"/>
          <w:szCs w:val="22"/>
        </w:rPr>
        <w:t>2</w:t>
      </w:r>
      <w:r w:rsidR="003432CD" w:rsidRPr="00C21495">
        <w:rPr>
          <w:rFonts w:ascii="Times New Roman" w:hAnsi="Times New Roman" w:cs="Times New Roman"/>
          <w:i/>
          <w:color w:val="auto"/>
          <w:sz w:val="22"/>
          <w:szCs w:val="22"/>
        </w:rPr>
        <w:t>.</w:t>
      </w:r>
      <w:r w:rsidR="00894CAC">
        <w:rPr>
          <w:rFonts w:ascii="Times New Roman" w:hAnsi="Times New Roman" w:cs="Times New Roman"/>
          <w:i/>
          <w:color w:val="auto"/>
          <w:sz w:val="22"/>
          <w:szCs w:val="22"/>
        </w:rPr>
        <w:t>4</w:t>
      </w:r>
      <w:r w:rsidR="003432CD" w:rsidRPr="00C21495">
        <w:rPr>
          <w:rFonts w:ascii="Times New Roman" w:hAnsi="Times New Roman" w:cs="Times New Roman"/>
          <w:i/>
          <w:color w:val="auto"/>
          <w:sz w:val="22"/>
          <w:szCs w:val="22"/>
        </w:rPr>
        <w:t>.1</w:t>
      </w:r>
      <w:r w:rsidR="00085131" w:rsidRPr="00C21495">
        <w:rPr>
          <w:rFonts w:ascii="Times New Roman" w:hAnsi="Times New Roman" w:cs="Times New Roman"/>
          <w:i/>
          <w:color w:val="auto"/>
          <w:sz w:val="22"/>
          <w:szCs w:val="22"/>
        </w:rPr>
        <w:t xml:space="preserve"> HPLC method validation</w:t>
      </w:r>
      <w:bookmarkEnd w:id="66"/>
    </w:p>
    <w:p w14:paraId="6956E15E" w14:textId="77777777" w:rsidR="00085131" w:rsidRDefault="00085131" w:rsidP="002E4E7D">
      <w:pPr>
        <w:jc w:val="both"/>
        <w:rPr>
          <w:rFonts w:ascii="Times New Roman" w:hAnsi="Times New Roman" w:cs="Times New Roman"/>
          <w:sz w:val="22"/>
          <w:szCs w:val="22"/>
        </w:rPr>
      </w:pPr>
    </w:p>
    <w:p w14:paraId="329F8897" w14:textId="77777777" w:rsidR="00085131" w:rsidRPr="007A4313" w:rsidRDefault="00085131" w:rsidP="00085131">
      <w:pPr>
        <w:jc w:val="both"/>
        <w:rPr>
          <w:rFonts w:ascii="Times New Roman" w:eastAsiaTheme="majorEastAsia" w:hAnsi="Times New Roman" w:cs="Times New Roman"/>
          <w:sz w:val="22"/>
          <w:szCs w:val="22"/>
        </w:rPr>
      </w:pPr>
      <w:r w:rsidRPr="007A4313">
        <w:rPr>
          <w:rFonts w:ascii="Times New Roman" w:eastAsiaTheme="majorEastAsia" w:hAnsi="Times New Roman" w:cs="Times New Roman"/>
          <w:color w:val="000000" w:themeColor="text1"/>
          <w:sz w:val="22"/>
          <w:szCs w:val="22"/>
        </w:rPr>
        <w:t>Having successfully separated major BLM-A2 and BLM-B2 fractions, quantification was performed for the predominant BLM-A2 fraction. Method validation included evalu</w:t>
      </w:r>
      <w:r w:rsidRPr="007A4313">
        <w:rPr>
          <w:rFonts w:ascii="Times New Roman" w:eastAsiaTheme="majorEastAsia" w:hAnsi="Times New Roman" w:cs="Times New Roman"/>
          <w:sz w:val="22"/>
          <w:szCs w:val="22"/>
        </w:rPr>
        <w:t xml:space="preserve">ation of selectivity, linearity, LLOQ, precision, accuracy error, and measurement uncertainty. </w:t>
      </w:r>
      <w:r w:rsidRPr="007A4313">
        <w:rPr>
          <w:rFonts w:ascii="Times New Roman" w:eastAsiaTheme="majorEastAsia" w:hAnsi="Times New Roman" w:cs="Times New Roman"/>
          <w:color w:val="000000" w:themeColor="text1"/>
          <w:sz w:val="22"/>
          <w:szCs w:val="22"/>
        </w:rPr>
        <w:t>Good selectivity of the method was demonstrated by the absence of signals at critical retention times for all of the blank samples. The response throughout the analytical range (2.5-40 µg/mL) was proved linear with R</w:t>
      </w:r>
      <w:r w:rsidRPr="007A4313">
        <w:rPr>
          <w:rFonts w:ascii="Times New Roman" w:eastAsiaTheme="majorEastAsia" w:hAnsi="Times New Roman" w:cs="Times New Roman"/>
          <w:color w:val="000000" w:themeColor="text1"/>
          <w:sz w:val="22"/>
          <w:szCs w:val="22"/>
          <w:vertAlign w:val="superscript"/>
        </w:rPr>
        <w:t>2</w:t>
      </w:r>
      <w:r w:rsidRPr="007A4313">
        <w:rPr>
          <w:rFonts w:ascii="Times New Roman" w:eastAsiaTheme="majorEastAsia" w:hAnsi="Times New Roman" w:cs="Times New Roman"/>
          <w:color w:val="000000" w:themeColor="text1"/>
          <w:sz w:val="22"/>
          <w:szCs w:val="22"/>
        </w:rPr>
        <w:t xml:space="preserve"> values over 0.999 for all of the calibration curves prepared/measured. The results also showed negligible day-to-day variability in the slopes and intercepts. LLOQ </w:t>
      </w:r>
      <w:r w:rsidRPr="007A4313">
        <w:rPr>
          <w:rFonts w:ascii="Times New Roman" w:eastAsia="Times New Roman" w:hAnsi="Times New Roman" w:cs="Times New Roman"/>
          <w:bCs/>
          <w:sz w:val="22"/>
          <w:szCs w:val="22"/>
        </w:rPr>
        <w:t xml:space="preserve">determined as the lowest calibration point with accuracy error ≤20 % was established at 2.5 </w:t>
      </w:r>
      <w:r w:rsidRPr="007A4313">
        <w:rPr>
          <w:rFonts w:ascii="Times New Roman" w:eastAsiaTheme="majorEastAsia" w:hAnsi="Times New Roman" w:cs="Times New Roman"/>
          <w:sz w:val="22"/>
          <w:szCs w:val="22"/>
        </w:rPr>
        <w:t xml:space="preserve">µg/mL (and 5.0 µg /mL for BLM-B2 fraction) and was found to be sufficiently low for the intended purpose. Individual calibration samples all exhibited recoveries deviating from the nominal value by less than 10% (97 - 103%) for the values above LLOQ and by 20 % (90-112 %) for samples at LLOQ. RSD values for replicates (at LLOQ and at 30 µg/mL) were all below 2.9 %, demonstrating sufficient method precision. </w:t>
      </w:r>
      <w:r w:rsidRPr="007A4313">
        <w:rPr>
          <w:rFonts w:ascii="Times New Roman" w:eastAsia="Times New Roman" w:hAnsi="Times New Roman" w:cs="Times New Roman"/>
          <w:bCs/>
          <w:color w:val="000000" w:themeColor="text1"/>
          <w:sz w:val="22"/>
          <w:szCs w:val="22"/>
        </w:rPr>
        <w:t>Extended measurement uncertainty using the calculation described in Supplementary material was evaluated for this method as well and was determined to be 32.2% (for LLOQ at 2.5 µg/mL) or 9.3 % (at high concentrations; 30 µg/mL).</w:t>
      </w:r>
    </w:p>
    <w:p w14:paraId="4BB58D4D" w14:textId="77777777" w:rsidR="00085131" w:rsidRPr="002E4E7D" w:rsidRDefault="00085131" w:rsidP="002E4E7D">
      <w:pPr>
        <w:jc w:val="both"/>
        <w:rPr>
          <w:rFonts w:ascii="Times New Roman" w:hAnsi="Times New Roman" w:cs="Times New Roman"/>
          <w:sz w:val="22"/>
          <w:szCs w:val="22"/>
        </w:rPr>
      </w:pPr>
    </w:p>
    <w:p w14:paraId="74E7E210" w14:textId="335A2639" w:rsidR="009601E1" w:rsidRPr="00200063" w:rsidRDefault="00B50533" w:rsidP="00200063">
      <w:pPr>
        <w:pStyle w:val="Heading2"/>
        <w:rPr>
          <w:i/>
        </w:rPr>
      </w:pPr>
      <w:bookmarkStart w:id="67" w:name="_Toc130558184"/>
      <w:r w:rsidRPr="00200063">
        <w:rPr>
          <w:b w:val="0"/>
          <w:i/>
          <w:color w:val="auto"/>
        </w:rPr>
        <w:t xml:space="preserve">2.5 </w:t>
      </w:r>
      <w:r w:rsidR="000F049D" w:rsidRPr="00200063">
        <w:rPr>
          <w:b w:val="0"/>
          <w:i/>
          <w:color w:val="auto"/>
        </w:rPr>
        <w:t>Validation results</w:t>
      </w:r>
      <w:bookmarkEnd w:id="67"/>
      <w:r w:rsidR="008E4560" w:rsidRPr="00200063">
        <w:rPr>
          <w:b w:val="0"/>
          <w:i/>
          <w:color w:val="auto"/>
        </w:rPr>
        <w:t xml:space="preserve"> </w:t>
      </w:r>
    </w:p>
    <w:p w14:paraId="629110FE" w14:textId="611C00CE" w:rsidR="008E4560" w:rsidRPr="00200063" w:rsidRDefault="00CE3DFA" w:rsidP="00200063">
      <w:pPr>
        <w:pStyle w:val="Heading3"/>
        <w:rPr>
          <w:rFonts w:ascii="Times New Roman" w:hAnsi="Times New Roman"/>
          <w:i/>
          <w:sz w:val="22"/>
          <w:szCs w:val="26"/>
        </w:rPr>
      </w:pPr>
      <w:bookmarkStart w:id="68" w:name="_Toc130558185"/>
      <w:r w:rsidRPr="00200063">
        <w:rPr>
          <w:rFonts w:ascii="Times New Roman" w:hAnsi="Times New Roman" w:cs="Times New Roman"/>
          <w:i/>
          <w:color w:val="auto"/>
          <w:sz w:val="22"/>
          <w:szCs w:val="26"/>
        </w:rPr>
        <w:t>2</w:t>
      </w:r>
      <w:r w:rsidR="008E4560" w:rsidRPr="00200063">
        <w:rPr>
          <w:rFonts w:ascii="Times New Roman" w:hAnsi="Times New Roman" w:cs="Times New Roman"/>
          <w:i/>
          <w:color w:val="auto"/>
          <w:sz w:val="22"/>
          <w:szCs w:val="26"/>
        </w:rPr>
        <w:t>.</w:t>
      </w:r>
      <w:r w:rsidR="00894CAC" w:rsidRPr="00200063">
        <w:rPr>
          <w:rFonts w:ascii="Times New Roman" w:hAnsi="Times New Roman" w:cs="Times New Roman"/>
          <w:i/>
          <w:color w:val="auto"/>
          <w:sz w:val="22"/>
          <w:szCs w:val="26"/>
        </w:rPr>
        <w:t>5</w:t>
      </w:r>
      <w:r w:rsidR="003432CD" w:rsidRPr="00200063">
        <w:rPr>
          <w:rFonts w:ascii="Times New Roman" w:hAnsi="Times New Roman" w:cs="Times New Roman"/>
          <w:i/>
          <w:color w:val="auto"/>
          <w:sz w:val="22"/>
          <w:szCs w:val="26"/>
        </w:rPr>
        <w:t>.1</w:t>
      </w:r>
      <w:r w:rsidR="00746F4B" w:rsidRPr="00200063">
        <w:rPr>
          <w:rFonts w:ascii="Times New Roman" w:hAnsi="Times New Roman" w:cs="Times New Roman"/>
          <w:i/>
          <w:color w:val="auto"/>
          <w:sz w:val="22"/>
          <w:szCs w:val="26"/>
        </w:rPr>
        <w:t xml:space="preserve"> Traceability</w:t>
      </w:r>
      <w:bookmarkEnd w:id="68"/>
    </w:p>
    <w:p w14:paraId="0930A500" w14:textId="6705418A" w:rsidR="008A71DB" w:rsidRPr="003B4E54" w:rsidRDefault="00A10568" w:rsidP="00531B83">
      <w:pPr>
        <w:pStyle w:val="TAMainText"/>
        <w:spacing w:line="276" w:lineRule="auto"/>
        <w:ind w:left="360" w:firstLine="0"/>
        <w:jc w:val="center"/>
        <w:rPr>
          <w:rFonts w:ascii="Times New Roman" w:eastAsiaTheme="majorEastAsia" w:hAnsi="Times New Roman"/>
          <w:i/>
          <w:kern w:val="0"/>
          <w:sz w:val="22"/>
          <w:szCs w:val="26"/>
        </w:rPr>
      </w:pPr>
      <w:r w:rsidRPr="003B4E54">
        <w:rPr>
          <w:rFonts w:ascii="Times New Roman" w:hAnsi="Times New Roman"/>
          <w:noProof/>
        </w:rPr>
        <w:t xml:space="preserve"> </w:t>
      </w:r>
      <w:r w:rsidR="00467E1F">
        <w:rPr>
          <w:noProof/>
        </w:rPr>
        <mc:AlternateContent>
          <mc:Choic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4FB042F1" wp14:editId="38050266">
                <wp:extent cx="4661807" cy="2743200"/>
                <wp:effectExtent l="0" t="0" r="5715" b="0"/>
                <wp:docPr id="5" name="Chart 5"/>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2"/>
                  </a:graphicData>
                </a:graphic>
              </wp:inline>
            </w:drawing>
          </mc:Choice>
          <mc:Fallback>
            <w:drawing>
              <wp:inline distT="0" distB="0" distL="0" distR="0" wp14:anchorId="4FB042F1" wp14:editId="38050266">
                <wp:extent cx="4661807" cy="2743200"/>
                <wp:effectExtent l="0" t="0" r="5715" b="0"/>
                <wp:docPr id="5" name="Chart 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pic:cNvPicPr>
                          <a:picLocks noGrp="1" noRot="1" noChangeAspect="1" noMove="1" noResize="1" noEditPoints="1" noAdjustHandles="1" noChangeArrowheads="1" noChangeShapeType="1"/>
                        </pic:cNvPicPr>
                      </pic:nvPicPr>
                      <pic:blipFill>
                        <a:blip r:embed="rId23"/>
                        <a:stretch>
                          <a:fillRect/>
                        </a:stretch>
                      </pic:blipFill>
                      <pic:spPr>
                        <a:xfrm>
                          <a:off x="0" y="0"/>
                          <a:ext cx="4661535" cy="2743200"/>
                        </a:xfrm>
                        <a:prstGeom prst="rect">
                          <a:avLst/>
                        </a:prstGeom>
                      </pic:spPr>
                    </pic:pic>
                  </a:graphicData>
                </a:graphic>
              </wp:inline>
            </w:drawing>
          </mc:Fallback>
        </mc:AlternateContent>
      </w:r>
    </w:p>
    <w:p w14:paraId="6700899F" w14:textId="0AACA164" w:rsidR="00531B83" w:rsidRPr="003B4E54" w:rsidRDefault="00531B83" w:rsidP="00531B83">
      <w:pPr>
        <w:pStyle w:val="TAMainText"/>
        <w:spacing w:line="276" w:lineRule="auto"/>
        <w:ind w:firstLine="0"/>
        <w:jc w:val="center"/>
        <w:rPr>
          <w:rFonts w:ascii="Times New Roman" w:hAnsi="Times New Roman"/>
          <w:color w:val="FF0000"/>
          <w:sz w:val="22"/>
        </w:rPr>
      </w:pPr>
      <w:r w:rsidRPr="003B4E54">
        <w:rPr>
          <w:rFonts w:ascii="Times New Roman" w:hAnsi="Times New Roman"/>
          <w:sz w:val="22"/>
        </w:rPr>
        <w:t xml:space="preserve">Figure S – </w:t>
      </w:r>
      <w:r w:rsidR="00F70271">
        <w:rPr>
          <w:rFonts w:ascii="Times New Roman" w:hAnsi="Times New Roman"/>
          <w:sz w:val="22"/>
        </w:rPr>
        <w:t>6</w:t>
      </w:r>
      <w:r w:rsidRPr="003B4E54">
        <w:rPr>
          <w:rFonts w:ascii="Times New Roman" w:hAnsi="Times New Roman"/>
          <w:sz w:val="22"/>
        </w:rPr>
        <w:t xml:space="preserve">: Comparison between </w:t>
      </w:r>
      <w:r w:rsidR="003D3627" w:rsidRPr="003B4E54">
        <w:rPr>
          <w:rFonts w:ascii="Times New Roman" w:hAnsi="Times New Roman"/>
          <w:sz w:val="22"/>
        </w:rPr>
        <w:t>primary standards from different producers</w:t>
      </w:r>
      <w:r w:rsidR="00102007" w:rsidRPr="003B4E54">
        <w:rPr>
          <w:rFonts w:ascii="Times New Roman" w:hAnsi="Times New Roman"/>
          <w:sz w:val="22"/>
        </w:rPr>
        <w:t>: Santa Cruz and Cayman</w:t>
      </w:r>
    </w:p>
    <w:p w14:paraId="5B2E30BB" w14:textId="78DC9F96" w:rsidR="008A71DB" w:rsidRPr="003B4E54" w:rsidRDefault="008A71DB" w:rsidP="00200063">
      <w:pPr>
        <w:pStyle w:val="Heading3"/>
      </w:pPr>
    </w:p>
    <w:p w14:paraId="42E335FA" w14:textId="0D5D3D0B" w:rsidR="008A71DB" w:rsidRPr="00200063" w:rsidRDefault="00CE3DFA" w:rsidP="00200063">
      <w:pPr>
        <w:pStyle w:val="Heading3"/>
        <w:rPr>
          <w:rFonts w:ascii="Times New Roman" w:hAnsi="Times New Roman"/>
          <w:i/>
          <w:sz w:val="22"/>
          <w:szCs w:val="26"/>
        </w:rPr>
      </w:pPr>
      <w:bookmarkStart w:id="69" w:name="_Toc130558186"/>
      <w:r>
        <w:rPr>
          <w:rFonts w:ascii="Times New Roman" w:hAnsi="Times New Roman" w:cs="Times New Roman"/>
          <w:i/>
          <w:color w:val="auto"/>
          <w:sz w:val="22"/>
          <w:szCs w:val="26"/>
        </w:rPr>
        <w:t>2</w:t>
      </w:r>
      <w:r w:rsidR="0021642E" w:rsidRPr="00200063">
        <w:rPr>
          <w:rFonts w:ascii="Times New Roman" w:hAnsi="Times New Roman" w:cs="Times New Roman"/>
          <w:i/>
          <w:color w:val="auto"/>
          <w:sz w:val="22"/>
          <w:szCs w:val="26"/>
        </w:rPr>
        <w:t xml:space="preserve">.5.2 </w:t>
      </w:r>
      <w:r w:rsidR="008A71DB" w:rsidRPr="00200063">
        <w:rPr>
          <w:rFonts w:ascii="Times New Roman" w:hAnsi="Times New Roman" w:cs="Times New Roman"/>
          <w:i/>
          <w:color w:val="auto"/>
          <w:sz w:val="22"/>
          <w:szCs w:val="26"/>
        </w:rPr>
        <w:t>Estimation of measurement uncertainty</w:t>
      </w:r>
      <w:bookmarkEnd w:id="69"/>
    </w:p>
    <w:p w14:paraId="12C3EE08" w14:textId="668A58D0" w:rsidR="008A71DB" w:rsidRPr="003B4E54" w:rsidRDefault="001B488D" w:rsidP="008A71DB">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C</w:t>
      </w:r>
      <w:r w:rsidR="008A71DB" w:rsidRPr="003B4E54">
        <w:rPr>
          <w:rFonts w:ascii="Times New Roman" w:hAnsi="Times New Roman" w:cs="Times New Roman"/>
          <w:color w:val="000000" w:themeColor="text1"/>
        </w:rPr>
        <w:t xml:space="preserve">ombined measurement uncertainty </w:t>
      </w:r>
      <w:r w:rsidRPr="003B4E54">
        <w:rPr>
          <w:rFonts w:ascii="Times New Roman" w:hAnsi="Times New Roman" w:cs="Times New Roman"/>
          <w:color w:val="000000" w:themeColor="text1"/>
        </w:rPr>
        <w:t>w</w:t>
      </w:r>
      <w:r>
        <w:rPr>
          <w:rFonts w:ascii="Times New Roman" w:hAnsi="Times New Roman" w:cs="Times New Roman"/>
          <w:color w:val="000000" w:themeColor="text1"/>
        </w:rPr>
        <w:t>as</w:t>
      </w:r>
      <w:r w:rsidRPr="003B4E54">
        <w:rPr>
          <w:rFonts w:ascii="Times New Roman" w:hAnsi="Times New Roman" w:cs="Times New Roman"/>
          <w:color w:val="000000" w:themeColor="text1"/>
        </w:rPr>
        <w:t xml:space="preserve"> </w:t>
      </w:r>
      <w:r w:rsidR="008A71DB" w:rsidRPr="003B4E54">
        <w:rPr>
          <w:rFonts w:ascii="Times New Roman" w:hAnsi="Times New Roman" w:cs="Times New Roman"/>
          <w:color w:val="000000" w:themeColor="text1"/>
        </w:rPr>
        <w:t>calculated from the reproducibility and bias of the QCs using the formula:</w:t>
      </w:r>
    </w:p>
    <w:p w14:paraId="76B27ABA" w14:textId="680EC984" w:rsidR="008A71DB" w:rsidRPr="001B488D" w:rsidRDefault="008A71DB" w:rsidP="008A71DB">
      <w:pPr>
        <w:jc w:val="both"/>
        <w:rPr>
          <w:rFonts w:ascii="Times New Roman" w:hAnsi="Times New Roman" w:cs="Times New Roman"/>
          <w:iCs/>
          <w:color w:val="000000" w:themeColor="text1"/>
        </w:rPr>
      </w:pPr>
      <m:oMathPara>
        <m:oMath>
          <m:r>
            <w:rPr>
              <w:rFonts w:ascii="Cambria Math" w:hAnsi="Cambria Math" w:cs="Times New Roman"/>
              <w:color w:val="000000" w:themeColor="text1"/>
            </w:rPr>
            <m:t>u</m:t>
          </m:r>
          <m:d>
            <m:dPr>
              <m:ctrlPr>
                <w:rPr>
                  <w:rFonts w:ascii="Cambria Math" w:hAnsi="Cambria Math" w:cs="Times New Roman"/>
                  <w:i/>
                  <w:iCs/>
                  <w:color w:val="000000" w:themeColor="text1"/>
                </w:rPr>
              </m:ctrlPr>
            </m:dPr>
            <m:e>
              <m:r>
                <w:rPr>
                  <w:rFonts w:ascii="Cambria Math" w:hAnsi="Cambria Math" w:cs="Times New Roman"/>
                  <w:color w:val="000000" w:themeColor="text1"/>
                </w:rPr>
                <m:t>combined</m:t>
              </m:r>
            </m:e>
          </m:d>
          <m:r>
            <w:rPr>
              <w:rFonts w:ascii="Cambria Math" w:hAnsi="Cambria Math" w:cs="Times New Roman"/>
              <w:color w:val="000000" w:themeColor="text1"/>
            </w:rPr>
            <m:t>=</m:t>
          </m:r>
          <m:rad>
            <m:radPr>
              <m:degHide m:val="1"/>
              <m:ctrlPr>
                <w:rPr>
                  <w:rFonts w:ascii="Cambria Math" w:hAnsi="Cambria Math" w:cs="Times New Roman"/>
                  <w:i/>
                  <w:iCs/>
                  <w:color w:val="000000" w:themeColor="text1"/>
                </w:rPr>
              </m:ctrlPr>
            </m:radPr>
            <m:deg/>
            <m:e>
              <m:sSup>
                <m:sSupPr>
                  <m:ctrlPr>
                    <w:rPr>
                      <w:rFonts w:ascii="Cambria Math" w:hAnsi="Cambria Math" w:cs="Times New Roman"/>
                      <w:i/>
                      <w:iCs/>
                      <w:color w:val="000000" w:themeColor="text1"/>
                    </w:rPr>
                  </m:ctrlPr>
                </m:sSupPr>
                <m:e>
                  <m:r>
                    <w:rPr>
                      <w:rFonts w:ascii="Cambria Math" w:hAnsi="Cambria Math" w:cs="Times New Roman"/>
                      <w:color w:val="000000" w:themeColor="text1"/>
                    </w:rPr>
                    <m:t>u(reproducibility)</m:t>
                  </m:r>
                </m:e>
                <m:sup>
                  <m:r>
                    <w:rPr>
                      <w:rFonts w:ascii="Cambria Math" w:hAnsi="Cambria Math" w:cs="Times New Roman"/>
                      <w:color w:val="000000" w:themeColor="text1"/>
                    </w:rPr>
                    <m:t>2 </m:t>
                  </m:r>
                </m:sup>
              </m:sSup>
              <m:r>
                <w:rPr>
                  <w:rFonts w:ascii="Cambria Math" w:hAnsi="Cambria Math" w:cs="Times New Roman"/>
                  <w:color w:val="000000" w:themeColor="text1"/>
                </w:rPr>
                <m:t>+</m:t>
              </m:r>
              <m:sSup>
                <m:sSupPr>
                  <m:ctrlPr>
                    <w:rPr>
                      <w:rFonts w:ascii="Cambria Math" w:hAnsi="Cambria Math" w:cs="Times New Roman"/>
                      <w:i/>
                      <w:iCs/>
                      <w:color w:val="000000" w:themeColor="text1"/>
                    </w:rPr>
                  </m:ctrlPr>
                </m:sSupPr>
                <m:e>
                  <m:r>
                    <w:rPr>
                      <w:rFonts w:ascii="Cambria Math" w:hAnsi="Cambria Math" w:cs="Times New Roman"/>
                      <w:color w:val="000000" w:themeColor="text1"/>
                    </w:rPr>
                    <m:t>u(bias)</m:t>
                  </m:r>
                </m:e>
                <m:sup>
                  <m:r>
                    <w:rPr>
                      <w:rFonts w:ascii="Cambria Math" w:hAnsi="Cambria Math" w:cs="Times New Roman"/>
                      <w:color w:val="000000" w:themeColor="text1"/>
                    </w:rPr>
                    <m:t>2</m:t>
                  </m:r>
                </m:sup>
              </m:sSup>
            </m:e>
          </m:rad>
        </m:oMath>
      </m:oMathPara>
    </w:p>
    <w:p w14:paraId="1A55BB8D" w14:textId="77777777" w:rsidR="001B488D" w:rsidRPr="003B4E54" w:rsidRDefault="001B488D" w:rsidP="008A71DB">
      <w:pPr>
        <w:jc w:val="both"/>
        <w:rPr>
          <w:rFonts w:ascii="Times New Roman" w:hAnsi="Times New Roman" w:cs="Times New Roman"/>
          <w:color w:val="000000" w:themeColor="text1"/>
        </w:rPr>
      </w:pPr>
    </w:p>
    <w:p w14:paraId="6E364C99" w14:textId="77777777" w:rsidR="008A71DB" w:rsidRPr="003B4E54" w:rsidRDefault="008A71DB" w:rsidP="008A71DB">
      <w:pPr>
        <w:spacing w:line="276" w:lineRule="auto"/>
        <w:jc w:val="both"/>
        <w:rPr>
          <w:rFonts w:ascii="Times New Roman" w:hAnsi="Times New Roman" w:cs="Times New Roman"/>
          <w:color w:val="FF0000"/>
        </w:rPr>
      </w:pPr>
      <w:r w:rsidRPr="003B4E54">
        <w:rPr>
          <w:rFonts w:ascii="Times New Roman" w:hAnsi="Times New Roman" w:cs="Times New Roman"/>
          <w:b/>
          <w:i/>
          <w:color w:val="000000" w:themeColor="text1"/>
        </w:rPr>
        <w:t>u(reproducibility)</w:t>
      </w:r>
      <w:r w:rsidRPr="003B4E54">
        <w:rPr>
          <w:rFonts w:ascii="Times New Roman" w:hAnsi="Times New Roman" w:cs="Times New Roman"/>
          <w:color w:val="000000" w:themeColor="text1"/>
        </w:rPr>
        <w:t xml:space="preserve"> is relative standard deviation (RSD) in QC samples measured within different batches on different days. QC samples took into account uncertainty contributed by sample preparation as well as the instrumental repeatability. Information about the latter was obtained by triple injection of the same QC sample. QC samples were prepared at two different concentrations by spiking serum with 12.5 and 600 ng/mL of standard.</w:t>
      </w:r>
    </w:p>
    <w:p w14:paraId="34257388" w14:textId="77777777" w:rsidR="008A71DB" w:rsidRPr="003B4E54" w:rsidRDefault="008A71DB" w:rsidP="008A71DB">
      <w:pPr>
        <w:spacing w:line="276" w:lineRule="auto"/>
        <w:jc w:val="both"/>
        <w:rPr>
          <w:rFonts w:ascii="Times New Roman" w:hAnsi="Times New Roman" w:cs="Times New Roman"/>
          <w:color w:val="FF0000"/>
        </w:rPr>
      </w:pPr>
    </w:p>
    <w:p w14:paraId="1BCDFC41" w14:textId="77777777" w:rsidR="008A71DB" w:rsidRPr="003B4E54" w:rsidRDefault="008A71DB" w:rsidP="008A71DB">
      <w:pPr>
        <w:spacing w:line="276" w:lineRule="auto"/>
        <w:jc w:val="both"/>
        <w:rPr>
          <w:rFonts w:ascii="Times New Roman" w:hAnsi="Times New Roman" w:cs="Times New Roman"/>
          <w:color w:val="000000" w:themeColor="text1"/>
        </w:rPr>
      </w:pPr>
      <w:r w:rsidRPr="003B4E54">
        <w:rPr>
          <w:rFonts w:ascii="Times New Roman" w:hAnsi="Times New Roman" w:cs="Times New Roman"/>
          <w:b/>
          <w:i/>
          <w:color w:val="000000" w:themeColor="text1"/>
        </w:rPr>
        <w:t>u(bias)</w:t>
      </w:r>
      <w:r w:rsidRPr="003B4E54">
        <w:rPr>
          <w:rFonts w:ascii="Times New Roman" w:hAnsi="Times New Roman" w:cs="Times New Roman"/>
          <w:color w:val="000000" w:themeColor="text1"/>
        </w:rPr>
        <w:t xml:space="preserve"> was calculated with the formula:</w:t>
      </w:r>
    </w:p>
    <w:p w14:paraId="197E53E5" w14:textId="3DF3E7EE" w:rsidR="008A71DB" w:rsidRPr="003B4E54" w:rsidRDefault="00380E46" w:rsidP="008A71DB">
      <w:pPr>
        <w:spacing w:line="276" w:lineRule="auto"/>
        <w:jc w:val="both"/>
        <w:rPr>
          <w:rFonts w:ascii="Times New Roman" w:hAnsi="Times New Roman" w:cs="Times New Roman"/>
          <w:color w:val="000000" w:themeColor="text1"/>
        </w:rPr>
      </w:pPr>
      <m:oMathPara>
        <m:oMath>
          <m:rad>
            <m:radPr>
              <m:degHide m:val="1"/>
              <m:ctrlPr>
                <w:rPr>
                  <w:rFonts w:ascii="Cambria Math" w:hAnsi="Cambria Math" w:cs="Times New Roman"/>
                  <w:i/>
                  <w:iCs/>
                  <w:color w:val="000000" w:themeColor="text1"/>
                </w:rPr>
              </m:ctrlPr>
            </m:radPr>
            <m:deg/>
            <m:e>
              <m:sSup>
                <m:sSupPr>
                  <m:ctrlPr>
                    <w:rPr>
                      <w:rFonts w:ascii="Cambria Math" w:hAnsi="Cambria Math" w:cs="Times New Roman"/>
                      <w:i/>
                      <w:iCs/>
                      <w:color w:val="000000" w:themeColor="text1"/>
                    </w:rPr>
                  </m:ctrlPr>
                </m:sSupPr>
                <m:e>
                  <m:r>
                    <w:rPr>
                      <w:rFonts w:ascii="Cambria Math" w:hAnsi="Cambria Math" w:cs="Times New Roman"/>
                      <w:color w:val="000000" w:themeColor="text1"/>
                    </w:rPr>
                    <m:t>accuracy</m:t>
                  </m:r>
                  <m:r>
                    <w:rPr>
                      <w:rFonts w:ascii="Cambria Math" w:hAnsi="Cambria Math" w:cs="Times New Roman"/>
                      <w:color w:val="000000" w:themeColor="text1"/>
                    </w:rPr>
                    <m:t xml:space="preserve"> </m:t>
                  </m:r>
                  <m:r>
                    <w:rPr>
                      <w:rFonts w:ascii="Cambria Math" w:hAnsi="Cambria Math" w:cs="Times New Roman"/>
                      <w:color w:val="000000" w:themeColor="text1"/>
                    </w:rPr>
                    <m:t>error</m:t>
                  </m:r>
                </m:e>
                <m:sup>
                  <m:r>
                    <w:rPr>
                      <w:rFonts w:ascii="Cambria Math" w:hAnsi="Cambria Math" w:cs="Times New Roman"/>
                      <w:color w:val="000000" w:themeColor="text1"/>
                    </w:rPr>
                    <m:t>2</m:t>
                  </m:r>
                </m:sup>
              </m:sSup>
              <m:r>
                <w:rPr>
                  <w:rFonts w:ascii="Cambria Math" w:hAnsi="Cambria Math" w:cs="Times New Roman"/>
                  <w:color w:val="000000" w:themeColor="text1"/>
                </w:rPr>
                <m:t>+(</m:t>
              </m:r>
              <m:sSup>
                <m:sSupPr>
                  <m:ctrlPr>
                    <w:rPr>
                      <w:rFonts w:ascii="Cambria Math" w:hAnsi="Cambria Math" w:cs="Times New Roman"/>
                      <w:i/>
                      <w:iCs/>
                      <w:color w:val="000000" w:themeColor="text1"/>
                    </w:rPr>
                  </m:ctrlPr>
                </m:sSupPr>
                <m:e>
                  <m:f>
                    <m:fPr>
                      <m:ctrlPr>
                        <w:rPr>
                          <w:rFonts w:ascii="Cambria Math" w:hAnsi="Cambria Math" w:cs="Times New Roman"/>
                          <w:i/>
                          <w:iCs/>
                          <w:color w:val="000000" w:themeColor="text1"/>
                        </w:rPr>
                      </m:ctrlPr>
                    </m:fPr>
                    <m:num>
                      <m:r>
                        <w:rPr>
                          <w:rFonts w:ascii="Cambria Math" w:hAnsi="Cambria Math" w:cs="Times New Roman"/>
                          <w:color w:val="000000" w:themeColor="text1"/>
                        </w:rPr>
                        <m:t>RSD</m:t>
                      </m:r>
                      <m:r>
                        <w:rPr>
                          <w:rFonts w:ascii="Cambria Math" w:hAnsi="Cambria Math" w:cs="Times New Roman"/>
                          <w:color w:val="000000" w:themeColor="text1"/>
                        </w:rPr>
                        <m:t>(</m:t>
                      </m:r>
                      <m:r>
                        <w:rPr>
                          <w:rFonts w:ascii="Cambria Math" w:hAnsi="Cambria Math" w:cs="Times New Roman"/>
                          <w:color w:val="000000" w:themeColor="text1"/>
                        </w:rPr>
                        <m:t>QC</m:t>
                      </m:r>
                      <m:r>
                        <w:rPr>
                          <w:rFonts w:ascii="Cambria Math" w:hAnsi="Cambria Math" w:cs="Times New Roman"/>
                          <w:color w:val="000000" w:themeColor="text1"/>
                        </w:rPr>
                        <m:t>)</m:t>
                      </m:r>
                    </m:num>
                    <m:den>
                      <m:rad>
                        <m:radPr>
                          <m:degHide m:val="1"/>
                          <m:ctrlPr>
                            <w:rPr>
                              <w:rFonts w:ascii="Cambria Math" w:hAnsi="Cambria Math" w:cs="Times New Roman"/>
                              <w:i/>
                              <w:iCs/>
                              <w:color w:val="000000" w:themeColor="text1"/>
                            </w:rPr>
                          </m:ctrlPr>
                        </m:radPr>
                        <m:deg/>
                        <m:e>
                          <m:r>
                            <w:rPr>
                              <w:rFonts w:ascii="Cambria Math" w:hAnsi="Cambria Math" w:cs="Times New Roman"/>
                              <w:color w:val="000000" w:themeColor="text1"/>
                            </w:rPr>
                            <m:t>N</m:t>
                          </m:r>
                        </m:e>
                      </m:rad>
                    </m:den>
                  </m:f>
                  <m:r>
                    <w:rPr>
                      <w:rFonts w:ascii="Cambria Math" w:hAnsi="Cambria Math" w:cs="Times New Roman"/>
                      <w:color w:val="000000" w:themeColor="text1"/>
                    </w:rPr>
                    <m:t>)</m:t>
                  </m:r>
                </m:e>
                <m:sup>
                  <m:r>
                    <w:rPr>
                      <w:rFonts w:ascii="Cambria Math" w:hAnsi="Cambria Math" w:cs="Times New Roman"/>
                      <w:color w:val="000000" w:themeColor="text1"/>
                    </w:rPr>
                    <m:t>2</m:t>
                  </m:r>
                </m:sup>
              </m:sSup>
              <m:r>
                <w:rPr>
                  <w:rFonts w:ascii="Cambria Math" w:hAnsi="Cambria Math" w:cs="Times New Roman"/>
                  <w:color w:val="000000" w:themeColor="text1"/>
                </w:rPr>
                <m:t>+</m:t>
              </m:r>
              <m:sSup>
                <m:sSupPr>
                  <m:ctrlPr>
                    <w:rPr>
                      <w:rFonts w:ascii="Cambria Math" w:hAnsi="Cambria Math" w:cs="Times New Roman"/>
                      <w:i/>
                      <w:iCs/>
                      <w:color w:val="000000" w:themeColor="text1"/>
                    </w:rPr>
                  </m:ctrlPr>
                </m:sSupPr>
                <m:e>
                  <m:r>
                    <w:rPr>
                      <w:rFonts w:ascii="Cambria Math" w:hAnsi="Cambria Math" w:cs="Times New Roman"/>
                      <w:color w:val="000000" w:themeColor="text1"/>
                    </w:rPr>
                    <m:t>u</m:t>
                  </m:r>
                  <m:r>
                    <w:rPr>
                      <w:rFonts w:ascii="Cambria Math" w:hAnsi="Cambria Math" w:cs="Times New Roman"/>
                      <w:color w:val="000000" w:themeColor="text1"/>
                    </w:rPr>
                    <m:t>(</m:t>
                  </m:r>
                  <m:r>
                    <w:rPr>
                      <w:rFonts w:ascii="Cambria Math" w:hAnsi="Cambria Math" w:cs="Times New Roman"/>
                      <w:color w:val="000000" w:themeColor="text1"/>
                    </w:rPr>
                    <m:t>concentration</m:t>
                  </m:r>
                  <m:r>
                    <w:rPr>
                      <w:rFonts w:ascii="Cambria Math" w:hAnsi="Cambria Math" w:cs="Times New Roman"/>
                      <w:color w:val="000000" w:themeColor="text1"/>
                    </w:rPr>
                    <m:t>)</m:t>
                  </m:r>
                </m:e>
                <m:sup>
                  <m:r>
                    <w:rPr>
                      <w:rFonts w:ascii="Cambria Math" w:hAnsi="Cambria Math" w:cs="Times New Roman"/>
                      <w:color w:val="000000" w:themeColor="text1"/>
                    </w:rPr>
                    <m:t>2</m:t>
                  </m:r>
                </m:sup>
              </m:sSup>
            </m:e>
          </m:rad>
        </m:oMath>
      </m:oMathPara>
    </w:p>
    <w:p w14:paraId="6EDE5477" w14:textId="77777777" w:rsidR="008A71DB" w:rsidRPr="003B4E54" w:rsidRDefault="008A71DB" w:rsidP="008A71DB">
      <w:pPr>
        <w:spacing w:line="276" w:lineRule="auto"/>
        <w:jc w:val="both"/>
        <w:rPr>
          <w:rFonts w:ascii="Times New Roman" w:hAnsi="Times New Roman" w:cs="Times New Roman"/>
          <w:i/>
          <w:color w:val="FF0000"/>
        </w:rPr>
      </w:pPr>
      <w:r w:rsidRPr="003B4E54">
        <w:rPr>
          <w:rFonts w:ascii="Times New Roman" w:hAnsi="Times New Roman" w:cs="Times New Roman"/>
          <w:color w:val="000000" w:themeColor="text1"/>
        </w:rPr>
        <w:t xml:space="preserve">It takes into account the bias of accuracy samples, reflecting method bias, reproducibility of response for QC samples and uncertainty in concentration derived by the preparation of primary and working standards. </w:t>
      </w:r>
    </w:p>
    <w:p w14:paraId="625B5263" w14:textId="77777777" w:rsidR="008A71DB" w:rsidRPr="003B4E54" w:rsidRDefault="008A71DB" w:rsidP="008A71DB">
      <w:pPr>
        <w:spacing w:line="276" w:lineRule="auto"/>
        <w:jc w:val="both"/>
        <w:rPr>
          <w:rFonts w:ascii="Times New Roman" w:hAnsi="Times New Roman" w:cs="Times New Roman"/>
          <w:color w:val="000000" w:themeColor="text1"/>
        </w:rPr>
      </w:pPr>
      <w:r w:rsidRPr="003B4E54">
        <w:rPr>
          <w:rFonts w:ascii="Times New Roman" w:hAnsi="Times New Roman" w:cs="Times New Roman"/>
          <w:b/>
          <w:i/>
          <w:color w:val="000000" w:themeColor="text1"/>
        </w:rPr>
        <w:t>Accuracy error</w:t>
      </w:r>
      <w:r w:rsidRPr="003B4E54">
        <w:rPr>
          <w:rFonts w:ascii="Times New Roman" w:hAnsi="Times New Roman" w:cs="Times New Roman"/>
          <w:color w:val="000000" w:themeColor="text1"/>
        </w:rPr>
        <w:t xml:space="preserve"> represents difference between nominal and measured concentration for each concentration level. </w:t>
      </w:r>
      <w:r w:rsidRPr="003B4E54">
        <w:rPr>
          <w:rFonts w:ascii="Times New Roman" w:hAnsi="Times New Roman" w:cs="Times New Roman"/>
          <w:i/>
          <w:color w:val="000000" w:themeColor="text1"/>
        </w:rPr>
        <w:t>RSD(QC)</w:t>
      </w:r>
      <w:r w:rsidRPr="003B4E54">
        <w:rPr>
          <w:rFonts w:ascii="Times New Roman" w:hAnsi="Times New Roman" w:cs="Times New Roman"/>
          <w:color w:val="000000" w:themeColor="text1"/>
        </w:rPr>
        <w:t xml:space="preserve"> is relative standard deviation among the daily averages of the QC samples, which was also used to define </w:t>
      </w:r>
      <w:r w:rsidRPr="003B4E54">
        <w:rPr>
          <w:rFonts w:ascii="Times New Roman" w:hAnsi="Times New Roman" w:cs="Times New Roman"/>
          <w:i/>
          <w:color w:val="000000" w:themeColor="text1"/>
        </w:rPr>
        <w:t>u(reproducibility)</w:t>
      </w:r>
      <w:r w:rsidRPr="003B4E54">
        <w:rPr>
          <w:rFonts w:ascii="Times New Roman" w:hAnsi="Times New Roman" w:cs="Times New Roman"/>
          <w:color w:val="000000" w:themeColor="text1"/>
        </w:rPr>
        <w:t xml:space="preserve">. We assumed that </w:t>
      </w:r>
      <w:r w:rsidRPr="003B4E54">
        <w:rPr>
          <w:rFonts w:ascii="Times New Roman" w:hAnsi="Times New Roman" w:cs="Times New Roman"/>
          <w:i/>
          <w:color w:val="000000" w:themeColor="text1"/>
        </w:rPr>
        <w:t>RSD(QC)</w:t>
      </w:r>
      <w:r w:rsidRPr="003B4E54">
        <w:rPr>
          <w:rFonts w:ascii="Times New Roman" w:hAnsi="Times New Roman" w:cs="Times New Roman"/>
          <w:color w:val="000000" w:themeColor="text1"/>
        </w:rPr>
        <w:t xml:space="preserve"> is would not be different from that of the real samples.</w:t>
      </w:r>
    </w:p>
    <w:p w14:paraId="06D86182" w14:textId="77777777" w:rsidR="008A71DB" w:rsidRPr="003B4E54" w:rsidRDefault="008A71DB" w:rsidP="008A71DB">
      <w:pPr>
        <w:spacing w:line="276" w:lineRule="auto"/>
        <w:jc w:val="both"/>
        <w:rPr>
          <w:rFonts w:ascii="Times New Roman" w:hAnsi="Times New Roman" w:cs="Times New Roman"/>
          <w:color w:val="FF0000"/>
        </w:rPr>
      </w:pPr>
      <w:r w:rsidRPr="003B4E54">
        <w:rPr>
          <w:rFonts w:ascii="Times New Roman" w:hAnsi="Times New Roman" w:cs="Times New Roman"/>
          <w:b/>
          <w:i/>
          <w:color w:val="000000" w:themeColor="text1"/>
        </w:rPr>
        <w:t>N</w:t>
      </w:r>
      <w:r w:rsidRPr="003B4E54">
        <w:rPr>
          <w:rFonts w:ascii="Times New Roman" w:hAnsi="Times New Roman" w:cs="Times New Roman"/>
          <w:color w:val="FF0000"/>
        </w:rPr>
        <w:t xml:space="preserve"> </w:t>
      </w:r>
      <w:r w:rsidRPr="003B4E54">
        <w:rPr>
          <w:rFonts w:ascii="Times New Roman" w:hAnsi="Times New Roman" w:cs="Times New Roman"/>
          <w:color w:val="000000" w:themeColor="text1"/>
        </w:rPr>
        <w:t xml:space="preserve">represents the number of measurement events, each time three QCs were measured and averaged. </w:t>
      </w:r>
    </w:p>
    <w:p w14:paraId="362159F2" w14:textId="14E7BD00" w:rsidR="008A71DB" w:rsidRPr="003B4E54" w:rsidRDefault="008A71DB" w:rsidP="008A71DB">
      <w:pPr>
        <w:spacing w:line="276" w:lineRule="auto"/>
        <w:jc w:val="both"/>
        <w:rPr>
          <w:rFonts w:ascii="Times New Roman" w:hAnsi="Times New Roman" w:cs="Times New Roman"/>
          <w:color w:val="FF0000"/>
        </w:rPr>
      </w:pPr>
      <w:r w:rsidRPr="003B4E54">
        <w:rPr>
          <w:rFonts w:ascii="Times New Roman" w:hAnsi="Times New Roman" w:cs="Times New Roman"/>
          <w:b/>
          <w:i/>
          <w:color w:val="000000" w:themeColor="text1"/>
        </w:rPr>
        <w:t>u(concentration)</w:t>
      </w:r>
      <w:r w:rsidRPr="003B4E54">
        <w:rPr>
          <w:rFonts w:ascii="Times New Roman" w:hAnsi="Times New Roman" w:cs="Times New Roman"/>
          <w:color w:val="000000" w:themeColor="text1"/>
        </w:rPr>
        <w:t xml:space="preserve"> is uncertainty in concentration of the calibration and QC samples. It takes into </w:t>
      </w:r>
      <w:r w:rsidRPr="003B4E54">
        <w:rPr>
          <w:rFonts w:ascii="Times New Roman" w:hAnsi="Times New Roman" w:cs="Times New Roman"/>
        </w:rPr>
        <w:t>account uncertainty contributed from volume measurements (volumetric flasks and pipettes). Uncertainty in concentration was calculated in accordance with the rules of uncertainty propagati</w:t>
      </w:r>
      <w:r w:rsidR="00741F1A" w:rsidRPr="003B4E54">
        <w:rPr>
          <w:rFonts w:ascii="Times New Roman" w:hAnsi="Times New Roman" w:cs="Times New Roman"/>
        </w:rPr>
        <w:t xml:space="preserve">on for multiplication relations, </w:t>
      </w:r>
      <w:r w:rsidRPr="003B4E54">
        <w:rPr>
          <w:rFonts w:ascii="Times New Roman" w:hAnsi="Times New Roman" w:cs="Times New Roman"/>
        </w:rPr>
        <w:t xml:space="preserve">taking into account uncertainty contributions in each step of standard preparation: </w:t>
      </w:r>
    </w:p>
    <w:p w14:paraId="31BB6B5F" w14:textId="77777777" w:rsidR="008A71DB" w:rsidRPr="003B4E54" w:rsidRDefault="008A71DB" w:rsidP="008A71DB">
      <w:pPr>
        <w:spacing w:line="276" w:lineRule="auto"/>
        <w:jc w:val="both"/>
        <w:rPr>
          <w:rFonts w:ascii="Times New Roman" w:hAnsi="Times New Roman" w:cs="Times New Roman"/>
          <w:color w:val="000000" w:themeColor="text1"/>
        </w:rPr>
      </w:pPr>
      <m:oMathPara>
        <m:oMath>
          <m:r>
            <w:rPr>
              <w:rFonts w:ascii="Cambria Math" w:hAnsi="Cambria Math" w:cs="Times New Roman"/>
              <w:color w:val="000000" w:themeColor="text1"/>
            </w:rPr>
            <m:t>u</m:t>
          </m:r>
          <m:d>
            <m:dPr>
              <m:ctrlPr>
                <w:rPr>
                  <w:rFonts w:ascii="Cambria Math" w:hAnsi="Cambria Math" w:cs="Times New Roman"/>
                  <w:i/>
                  <w:color w:val="000000" w:themeColor="text1"/>
                </w:rPr>
              </m:ctrlPr>
            </m:dPr>
            <m:e>
              <m:r>
                <w:rPr>
                  <w:rFonts w:ascii="Cambria Math" w:hAnsi="Cambria Math" w:cs="Times New Roman"/>
                  <w:color w:val="000000" w:themeColor="text1"/>
                </w:rPr>
                <m:t>concentration</m:t>
              </m:r>
            </m:e>
          </m:d>
          <m:r>
            <w:rPr>
              <w:rFonts w:ascii="Cambria Math" w:hAnsi="Cambria Math" w:cs="Times New Roman"/>
              <w:color w:val="000000" w:themeColor="text1"/>
            </w:rPr>
            <m:t>=</m:t>
          </m:r>
          <m:rad>
            <m:radPr>
              <m:degHide m:val="1"/>
              <m:ctrlPr>
                <w:rPr>
                  <w:rFonts w:ascii="Cambria Math" w:hAnsi="Cambria Math" w:cs="Times New Roman"/>
                  <w:i/>
                  <w:color w:val="000000" w:themeColor="text1"/>
                </w:rPr>
              </m:ctrlPr>
            </m:radPr>
            <m:deg/>
            <m:e>
              <m:r>
                <w:rPr>
                  <w:rFonts w:ascii="Cambria Math" w:hAnsi="Cambria Math" w:cs="Times New Roman"/>
                  <w:color w:val="000000" w:themeColor="text1"/>
                </w:rPr>
                <m:t>2</m:t>
              </m:r>
              <m:sSup>
                <m:sSupPr>
                  <m:ctrlPr>
                    <w:rPr>
                      <w:rFonts w:ascii="Cambria Math" w:hAnsi="Cambria Math" w:cs="Times New Roman"/>
                      <w:i/>
                      <w:color w:val="000000" w:themeColor="text1"/>
                    </w:rPr>
                  </m:ctrlPr>
                </m:sSupPr>
                <m:e>
                  <m:r>
                    <w:rPr>
                      <w:rFonts w:ascii="Cambria Math" w:hAnsi="Cambria Math" w:cs="Times New Roman"/>
                      <w:color w:val="000000" w:themeColor="text1"/>
                    </w:rPr>
                    <m:t>u(pipette)</m:t>
                  </m:r>
                </m:e>
                <m:sup>
                  <m:r>
                    <w:rPr>
                      <w:rFonts w:ascii="Cambria Math" w:hAnsi="Cambria Math" w:cs="Times New Roman"/>
                      <w:color w:val="000000" w:themeColor="text1"/>
                    </w:rPr>
                    <m:t>2</m:t>
                  </m:r>
                </m:sup>
              </m:sSup>
              <m:r>
                <w:rPr>
                  <w:rFonts w:ascii="Cambria Math" w:hAnsi="Cambria Math" w:cs="Times New Roman"/>
                  <w:color w:val="000000" w:themeColor="text1"/>
                </w:rPr>
                <m:t>+2</m:t>
              </m:r>
              <m:sSup>
                <m:sSupPr>
                  <m:ctrlPr>
                    <w:rPr>
                      <w:rFonts w:ascii="Cambria Math" w:hAnsi="Cambria Math" w:cs="Times New Roman"/>
                      <w:i/>
                      <w:color w:val="000000" w:themeColor="text1"/>
                    </w:rPr>
                  </m:ctrlPr>
                </m:sSupPr>
                <m:e>
                  <m:r>
                    <w:rPr>
                      <w:rFonts w:ascii="Cambria Math" w:hAnsi="Cambria Math" w:cs="Times New Roman"/>
                      <w:color w:val="000000" w:themeColor="text1"/>
                    </w:rPr>
                    <m:t>u(volumetric flask)</m:t>
                  </m:r>
                </m:e>
                <m:sup>
                  <m:r>
                    <w:rPr>
                      <w:rFonts w:ascii="Cambria Math" w:hAnsi="Cambria Math" w:cs="Times New Roman"/>
                      <w:color w:val="000000" w:themeColor="text1"/>
                    </w:rPr>
                    <m:t>2</m:t>
                  </m:r>
                </m:sup>
              </m:sSup>
              <m:r>
                <w:rPr>
                  <w:rFonts w:ascii="Cambria Math" w:hAnsi="Cambria Math" w:cs="Times New Roman"/>
                  <w:color w:val="000000" w:themeColor="text1"/>
                </w:rPr>
                <m:t>+</m:t>
              </m:r>
              <m:sSup>
                <m:sSupPr>
                  <m:ctrlPr>
                    <w:rPr>
                      <w:rFonts w:ascii="Cambria Math" w:hAnsi="Cambria Math" w:cs="Times New Roman"/>
                      <w:i/>
                    </w:rPr>
                  </m:ctrlPr>
                </m:sSupPr>
                <m:e>
                  <m:r>
                    <w:rPr>
                      <w:rFonts w:ascii="Cambria Math" w:hAnsi="Cambria Math" w:cs="Times New Roman"/>
                    </w:rPr>
                    <m:t>u(mass)</m:t>
                  </m:r>
                </m:e>
                <m:sup>
                  <m:r>
                    <w:rPr>
                      <w:rFonts w:ascii="Cambria Math" w:hAnsi="Cambria Math" w:cs="Times New Roman"/>
                    </w:rPr>
                    <m:t>2</m:t>
                  </m:r>
                </m:sup>
              </m:sSup>
            </m:e>
          </m:rad>
        </m:oMath>
      </m:oMathPara>
    </w:p>
    <w:p w14:paraId="561CC6F7" w14:textId="77777777" w:rsidR="008A71DB" w:rsidRPr="003B4E54" w:rsidRDefault="008A71DB" w:rsidP="008A71DB">
      <w:pPr>
        <w:spacing w:line="276" w:lineRule="auto"/>
        <w:jc w:val="both"/>
        <w:rPr>
          <w:rFonts w:ascii="Times New Roman" w:hAnsi="Times New Roman" w:cs="Times New Roman"/>
          <w:color w:val="000000" w:themeColor="text1"/>
        </w:rPr>
      </w:pPr>
      <w:r w:rsidRPr="003B4E54">
        <w:rPr>
          <w:rFonts w:ascii="Times New Roman" w:hAnsi="Times New Roman" w:cs="Times New Roman"/>
          <w:color w:val="000000" w:themeColor="text1"/>
        </w:rPr>
        <w:t xml:space="preserve">The </w:t>
      </w:r>
      <w:proofErr w:type="gramStart"/>
      <w:r w:rsidRPr="003B4E54">
        <w:rPr>
          <w:rFonts w:ascii="Times New Roman" w:hAnsi="Times New Roman" w:cs="Times New Roman"/>
          <w:color w:val="000000" w:themeColor="text1"/>
        </w:rPr>
        <w:t>uncertainty of the standard purity were</w:t>
      </w:r>
      <w:proofErr w:type="gramEnd"/>
      <w:r w:rsidRPr="003B4E54">
        <w:rPr>
          <w:rFonts w:ascii="Times New Roman" w:hAnsi="Times New Roman" w:cs="Times New Roman"/>
          <w:color w:val="000000" w:themeColor="text1"/>
        </w:rPr>
        <w:t xml:space="preserve"> not included in the calculation as the certificate of analysis for the used standard batch provided assay information (95.7%) without stated uncertainty. Uncertainty of the mass describes the uncertainty of the scale, defined per last calibration certificate.</w:t>
      </w:r>
    </w:p>
    <w:p w14:paraId="2909DC81" w14:textId="77777777" w:rsidR="008A71DB" w:rsidRPr="003B4E54" w:rsidRDefault="008A71DB" w:rsidP="008A71DB">
      <w:pPr>
        <w:spacing w:line="276" w:lineRule="auto"/>
        <w:jc w:val="both"/>
        <w:rPr>
          <w:rFonts w:ascii="Times New Roman" w:hAnsi="Times New Roman" w:cs="Times New Roman"/>
          <w:color w:val="000000" w:themeColor="text1"/>
        </w:rPr>
      </w:pPr>
      <w:r w:rsidRPr="003B4E54">
        <w:rPr>
          <w:rFonts w:ascii="Times New Roman" w:hAnsi="Times New Roman" w:cs="Times New Roman"/>
          <w:color w:val="000000" w:themeColor="text1"/>
        </w:rPr>
        <w:t>Uncertainty in volume of volumetric flask is defined by the producer. Uncertainty in volume measured by pipette was calculated from data obtained in monthly check of pipettes conducted in our laboratory, performed by weighing certain volumes of calibration liquid (water) and taking into account the correction for density according to temperature and pressure at the time of measurement.</w:t>
      </w:r>
    </w:p>
    <w:p w14:paraId="6FF2C1FB" w14:textId="77777777" w:rsidR="008A71DB" w:rsidRPr="003B4E54" w:rsidRDefault="008A71DB" w:rsidP="008A71DB">
      <w:pPr>
        <w:spacing w:line="276" w:lineRule="auto"/>
        <w:jc w:val="both"/>
        <w:rPr>
          <w:rFonts w:ascii="Times New Roman" w:hAnsi="Times New Roman" w:cs="Times New Roman"/>
          <w:color w:val="000000" w:themeColor="text1"/>
        </w:rPr>
      </w:pPr>
    </w:p>
    <w:p w14:paraId="4F089AFE" w14:textId="38D77C36" w:rsidR="008A71DB" w:rsidRPr="003B4E54" w:rsidRDefault="008A71DB" w:rsidP="000E54E5">
      <w:pPr>
        <w:pStyle w:val="TAMainText"/>
        <w:spacing w:line="276" w:lineRule="auto"/>
        <w:ind w:firstLine="0"/>
        <w:jc w:val="left"/>
        <w:rPr>
          <w:rFonts w:ascii="Times New Roman" w:eastAsiaTheme="majorEastAsia" w:hAnsi="Times New Roman"/>
          <w:i/>
          <w:kern w:val="0"/>
          <w:sz w:val="22"/>
          <w:szCs w:val="26"/>
        </w:rPr>
      </w:pPr>
      <w:r w:rsidRPr="003B4E54">
        <w:rPr>
          <w:rFonts w:ascii="Times New Roman" w:eastAsiaTheme="majorEastAsia" w:hAnsi="Times New Roman"/>
          <w:i/>
          <w:kern w:val="0"/>
          <w:sz w:val="22"/>
          <w:szCs w:val="26"/>
        </w:rPr>
        <w:t xml:space="preserve">Table </w:t>
      </w:r>
      <w:r w:rsidR="000E54E5" w:rsidRPr="003B4E54">
        <w:rPr>
          <w:rFonts w:ascii="Times New Roman" w:eastAsiaTheme="majorEastAsia" w:hAnsi="Times New Roman"/>
          <w:i/>
          <w:kern w:val="0"/>
          <w:sz w:val="22"/>
          <w:szCs w:val="26"/>
        </w:rPr>
        <w:t>S - 4</w:t>
      </w:r>
      <w:r w:rsidRPr="003B4E54">
        <w:rPr>
          <w:rFonts w:ascii="Times New Roman" w:eastAsiaTheme="majorEastAsia" w:hAnsi="Times New Roman"/>
          <w:i/>
          <w:kern w:val="0"/>
          <w:sz w:val="22"/>
          <w:szCs w:val="26"/>
        </w:rPr>
        <w:t>: Uncertainty parameters</w:t>
      </w:r>
      <w:r w:rsidR="002D5849" w:rsidRPr="003B4E54">
        <w:rPr>
          <w:rFonts w:ascii="Times New Roman" w:eastAsiaTheme="majorEastAsia" w:hAnsi="Times New Roman"/>
          <w:i/>
          <w:kern w:val="0"/>
          <w:sz w:val="22"/>
          <w:szCs w:val="26"/>
        </w:rPr>
        <w:t xml:space="preserve"> (LCMS method)</w:t>
      </w:r>
    </w:p>
    <w:tbl>
      <w:tblPr>
        <w:tblStyle w:val="TableGrid"/>
        <w:tblW w:w="0" w:type="auto"/>
        <w:tblLook w:val="04A0" w:firstRow="1" w:lastRow="0" w:firstColumn="1" w:lastColumn="0" w:noHBand="0" w:noVBand="1"/>
      </w:tblPr>
      <w:tblGrid>
        <w:gridCol w:w="997"/>
        <w:gridCol w:w="1177"/>
        <w:gridCol w:w="1403"/>
        <w:gridCol w:w="1415"/>
        <w:gridCol w:w="1574"/>
        <w:gridCol w:w="1439"/>
        <w:gridCol w:w="1391"/>
      </w:tblGrid>
      <w:tr w:rsidR="008A71DB" w:rsidRPr="003B4E54" w14:paraId="0E4447A7" w14:textId="77777777" w:rsidTr="0042771C">
        <w:tc>
          <w:tcPr>
            <w:tcW w:w="997" w:type="dxa"/>
            <w:vAlign w:val="bottom"/>
          </w:tcPr>
          <w:p w14:paraId="709568D3" w14:textId="77777777" w:rsidR="008A71DB" w:rsidRPr="003B4E54" w:rsidRDefault="008A71DB" w:rsidP="008A71DB">
            <w:pPr>
              <w:pStyle w:val="TAMainText"/>
              <w:spacing w:line="276" w:lineRule="auto"/>
              <w:rPr>
                <w:rFonts w:ascii="Times New Roman" w:eastAsiaTheme="majorEastAsia" w:hAnsi="Times New Roman"/>
                <w:i/>
                <w:sz w:val="20"/>
                <w:szCs w:val="26"/>
              </w:rPr>
            </w:pPr>
          </w:p>
        </w:tc>
        <w:tc>
          <w:tcPr>
            <w:tcW w:w="1177" w:type="dxa"/>
            <w:vAlign w:val="bottom"/>
          </w:tcPr>
          <w:p w14:paraId="2EE361C3"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 xml:space="preserve">accuracy </w:t>
            </w:r>
            <w:r w:rsidRPr="003B4E54">
              <w:rPr>
                <w:rFonts w:ascii="Times New Roman" w:eastAsiaTheme="majorEastAsia" w:hAnsi="Times New Roman"/>
                <w:i/>
                <w:sz w:val="20"/>
                <w:szCs w:val="26"/>
              </w:rPr>
              <w:lastRenderedPageBreak/>
              <w:t>error (%)</w:t>
            </w:r>
          </w:p>
        </w:tc>
        <w:tc>
          <w:tcPr>
            <w:tcW w:w="1403" w:type="dxa"/>
            <w:vAlign w:val="bottom"/>
          </w:tcPr>
          <w:p w14:paraId="642A3A19"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lastRenderedPageBreak/>
              <w:t xml:space="preserve">method </w:t>
            </w:r>
            <w:r w:rsidRPr="003B4E54">
              <w:rPr>
                <w:rFonts w:ascii="Times New Roman" w:eastAsiaTheme="majorEastAsia" w:hAnsi="Times New Roman"/>
                <w:i/>
                <w:sz w:val="20"/>
                <w:szCs w:val="26"/>
              </w:rPr>
              <w:lastRenderedPageBreak/>
              <w:t>repeatability (RSD %)</w:t>
            </w:r>
          </w:p>
        </w:tc>
        <w:tc>
          <w:tcPr>
            <w:tcW w:w="1415" w:type="dxa"/>
            <w:vAlign w:val="bottom"/>
          </w:tcPr>
          <w:p w14:paraId="4303BD21"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lastRenderedPageBreak/>
              <w:t xml:space="preserve">instrumental </w:t>
            </w:r>
            <w:r w:rsidRPr="003B4E54">
              <w:rPr>
                <w:rFonts w:ascii="Times New Roman" w:eastAsiaTheme="majorEastAsia" w:hAnsi="Times New Roman"/>
                <w:i/>
                <w:sz w:val="20"/>
                <w:szCs w:val="26"/>
              </w:rPr>
              <w:lastRenderedPageBreak/>
              <w:t>repeatability (RSD %)</w:t>
            </w:r>
          </w:p>
        </w:tc>
        <w:tc>
          <w:tcPr>
            <w:tcW w:w="1574" w:type="dxa"/>
            <w:vAlign w:val="bottom"/>
          </w:tcPr>
          <w:p w14:paraId="017B71FC" w14:textId="7B370BF6" w:rsidR="008A71DB" w:rsidRPr="003B4E54" w:rsidRDefault="008A71DB" w:rsidP="00F20338">
            <w:pPr>
              <w:pStyle w:val="TAMainText"/>
              <w:spacing w:line="276" w:lineRule="auto"/>
              <w:ind w:firstLine="0"/>
              <w:jc w:val="left"/>
              <w:rPr>
                <w:rFonts w:ascii="Times New Roman" w:eastAsiaTheme="majorEastAsia" w:hAnsi="Times New Roman"/>
                <w:i/>
                <w:sz w:val="20"/>
                <w:szCs w:val="26"/>
              </w:rPr>
            </w:pPr>
            <w:proofErr w:type="gramStart"/>
            <w:r w:rsidRPr="003B4E54">
              <w:rPr>
                <w:rFonts w:ascii="Times New Roman" w:eastAsiaTheme="majorEastAsia" w:hAnsi="Times New Roman"/>
                <w:i/>
                <w:sz w:val="20"/>
                <w:szCs w:val="26"/>
              </w:rPr>
              <w:lastRenderedPageBreak/>
              <w:t>reproducibility</w:t>
            </w:r>
            <w:r w:rsidR="00D97DF1" w:rsidRPr="003B4E54">
              <w:rPr>
                <w:rFonts w:ascii="Times New Roman" w:eastAsiaTheme="majorEastAsia" w:hAnsi="Times New Roman"/>
                <w:i/>
                <w:sz w:val="20"/>
                <w:szCs w:val="26"/>
              </w:rPr>
              <w:t xml:space="preserve">  </w:t>
            </w:r>
            <w:r w:rsidRPr="003B4E54">
              <w:rPr>
                <w:rFonts w:ascii="Times New Roman" w:eastAsiaTheme="majorEastAsia" w:hAnsi="Times New Roman"/>
                <w:i/>
                <w:sz w:val="20"/>
                <w:szCs w:val="26"/>
              </w:rPr>
              <w:lastRenderedPageBreak/>
              <w:t>(</w:t>
            </w:r>
            <w:proofErr w:type="gramEnd"/>
            <w:r w:rsidRPr="003B4E54">
              <w:rPr>
                <w:rFonts w:ascii="Times New Roman" w:eastAsiaTheme="majorEastAsia" w:hAnsi="Times New Roman"/>
                <w:i/>
                <w:sz w:val="20"/>
                <w:szCs w:val="26"/>
              </w:rPr>
              <w:t>RSD %)</w:t>
            </w:r>
          </w:p>
        </w:tc>
        <w:tc>
          <w:tcPr>
            <w:tcW w:w="1439" w:type="dxa"/>
            <w:vAlign w:val="bottom"/>
          </w:tcPr>
          <w:p w14:paraId="77D07F99"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lastRenderedPageBreak/>
              <w:t xml:space="preserve">u(combined) </w:t>
            </w:r>
            <w:r w:rsidRPr="003B4E54">
              <w:rPr>
                <w:rFonts w:ascii="Times New Roman" w:eastAsiaTheme="majorEastAsia" w:hAnsi="Times New Roman"/>
                <w:i/>
                <w:sz w:val="20"/>
                <w:szCs w:val="26"/>
              </w:rPr>
              <w:lastRenderedPageBreak/>
              <w:t>%</w:t>
            </w:r>
          </w:p>
        </w:tc>
        <w:tc>
          <w:tcPr>
            <w:tcW w:w="1391" w:type="dxa"/>
            <w:vAlign w:val="bottom"/>
          </w:tcPr>
          <w:p w14:paraId="14BC137C"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lastRenderedPageBreak/>
              <w:t>u(extended) %</w:t>
            </w:r>
          </w:p>
        </w:tc>
      </w:tr>
      <w:tr w:rsidR="008A71DB" w:rsidRPr="003B4E54" w14:paraId="227965A7" w14:textId="77777777" w:rsidTr="0042771C">
        <w:tc>
          <w:tcPr>
            <w:tcW w:w="997" w:type="dxa"/>
            <w:vAlign w:val="bottom"/>
          </w:tcPr>
          <w:p w14:paraId="6C7D8FB5"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lastRenderedPageBreak/>
              <w:t>c=15 ng/mL</w:t>
            </w:r>
          </w:p>
        </w:tc>
        <w:tc>
          <w:tcPr>
            <w:tcW w:w="1177" w:type="dxa"/>
            <w:vAlign w:val="bottom"/>
          </w:tcPr>
          <w:p w14:paraId="27FEFBE1"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10.5%</w:t>
            </w:r>
          </w:p>
        </w:tc>
        <w:tc>
          <w:tcPr>
            <w:tcW w:w="1403" w:type="dxa"/>
            <w:vAlign w:val="bottom"/>
          </w:tcPr>
          <w:p w14:paraId="7C11BA94"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8.7%</w:t>
            </w:r>
          </w:p>
        </w:tc>
        <w:tc>
          <w:tcPr>
            <w:tcW w:w="1415" w:type="dxa"/>
            <w:vAlign w:val="bottom"/>
          </w:tcPr>
          <w:p w14:paraId="4F2FC9C8"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1.8%</w:t>
            </w:r>
          </w:p>
        </w:tc>
        <w:tc>
          <w:tcPr>
            <w:tcW w:w="1574" w:type="dxa"/>
            <w:vAlign w:val="bottom"/>
          </w:tcPr>
          <w:p w14:paraId="775CEDF9"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21.9%</w:t>
            </w:r>
          </w:p>
        </w:tc>
        <w:tc>
          <w:tcPr>
            <w:tcW w:w="1439" w:type="dxa"/>
            <w:vAlign w:val="bottom"/>
          </w:tcPr>
          <w:p w14:paraId="43224E03"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25.0%</w:t>
            </w:r>
          </w:p>
        </w:tc>
        <w:tc>
          <w:tcPr>
            <w:tcW w:w="1391" w:type="dxa"/>
            <w:vAlign w:val="bottom"/>
          </w:tcPr>
          <w:p w14:paraId="161799F1"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49.9%</w:t>
            </w:r>
          </w:p>
        </w:tc>
      </w:tr>
      <w:tr w:rsidR="008A71DB" w:rsidRPr="003B4E54" w14:paraId="621859D6" w14:textId="77777777" w:rsidTr="0042771C">
        <w:tc>
          <w:tcPr>
            <w:tcW w:w="997" w:type="dxa"/>
            <w:vAlign w:val="bottom"/>
          </w:tcPr>
          <w:p w14:paraId="263D8CDD" w14:textId="77777777" w:rsidR="008A71DB" w:rsidRPr="003B4E54" w:rsidRDefault="008A71DB" w:rsidP="00F20338">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c=600 ng/mL</w:t>
            </w:r>
          </w:p>
        </w:tc>
        <w:tc>
          <w:tcPr>
            <w:tcW w:w="1177" w:type="dxa"/>
            <w:vAlign w:val="bottom"/>
          </w:tcPr>
          <w:p w14:paraId="2251C1EB"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4.2%</w:t>
            </w:r>
          </w:p>
        </w:tc>
        <w:tc>
          <w:tcPr>
            <w:tcW w:w="1403" w:type="dxa"/>
            <w:vAlign w:val="bottom"/>
          </w:tcPr>
          <w:p w14:paraId="358920B9"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8.1%</w:t>
            </w:r>
          </w:p>
        </w:tc>
        <w:tc>
          <w:tcPr>
            <w:tcW w:w="1415" w:type="dxa"/>
            <w:vAlign w:val="bottom"/>
          </w:tcPr>
          <w:p w14:paraId="68B93691"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1.3%</w:t>
            </w:r>
          </w:p>
        </w:tc>
        <w:tc>
          <w:tcPr>
            <w:tcW w:w="1574" w:type="dxa"/>
            <w:vAlign w:val="bottom"/>
          </w:tcPr>
          <w:p w14:paraId="246F3EF4"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10.6%</w:t>
            </w:r>
          </w:p>
        </w:tc>
        <w:tc>
          <w:tcPr>
            <w:tcW w:w="1439" w:type="dxa"/>
            <w:vAlign w:val="bottom"/>
          </w:tcPr>
          <w:p w14:paraId="5ACEEE28"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13.1%</w:t>
            </w:r>
          </w:p>
        </w:tc>
        <w:tc>
          <w:tcPr>
            <w:tcW w:w="1391" w:type="dxa"/>
            <w:vAlign w:val="bottom"/>
          </w:tcPr>
          <w:p w14:paraId="4F93545D" w14:textId="77777777" w:rsidR="008A71DB" w:rsidRPr="003B4E54" w:rsidRDefault="008A71DB" w:rsidP="008A71DB">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26.2%</w:t>
            </w:r>
          </w:p>
        </w:tc>
      </w:tr>
    </w:tbl>
    <w:p w14:paraId="554E6F69" w14:textId="00ECB5D5" w:rsidR="008A71DB" w:rsidRPr="003B4E54" w:rsidRDefault="008A71DB" w:rsidP="008A71DB">
      <w:pPr>
        <w:pStyle w:val="TAMainText"/>
        <w:spacing w:line="276" w:lineRule="auto"/>
        <w:ind w:firstLine="0"/>
        <w:rPr>
          <w:rFonts w:ascii="Times New Roman" w:eastAsiaTheme="majorEastAsia" w:hAnsi="Times New Roman"/>
          <w:i/>
          <w:kern w:val="0"/>
          <w:sz w:val="22"/>
          <w:szCs w:val="26"/>
        </w:rPr>
      </w:pPr>
    </w:p>
    <w:p w14:paraId="14084EC6" w14:textId="48CDE0BF" w:rsidR="008A71DB" w:rsidRPr="003B4E54" w:rsidRDefault="000E54E5" w:rsidP="00F20338">
      <w:pPr>
        <w:pStyle w:val="TAMainText"/>
        <w:spacing w:line="276" w:lineRule="auto"/>
        <w:ind w:firstLine="0"/>
        <w:jc w:val="left"/>
        <w:rPr>
          <w:rFonts w:ascii="Times New Roman" w:eastAsiaTheme="majorEastAsia" w:hAnsi="Times New Roman"/>
          <w:i/>
          <w:kern w:val="0"/>
          <w:sz w:val="22"/>
          <w:szCs w:val="26"/>
        </w:rPr>
      </w:pPr>
      <w:r w:rsidRPr="003B4E54">
        <w:rPr>
          <w:rFonts w:ascii="Times New Roman" w:eastAsiaTheme="majorEastAsia" w:hAnsi="Times New Roman"/>
          <w:i/>
          <w:kern w:val="0"/>
          <w:sz w:val="22"/>
          <w:szCs w:val="26"/>
        </w:rPr>
        <w:t>Table S - 5</w:t>
      </w:r>
      <w:r w:rsidR="008A71DB" w:rsidRPr="003B4E54">
        <w:rPr>
          <w:rFonts w:ascii="Times New Roman" w:eastAsiaTheme="majorEastAsia" w:hAnsi="Times New Roman"/>
          <w:i/>
          <w:kern w:val="0"/>
          <w:sz w:val="22"/>
          <w:szCs w:val="26"/>
        </w:rPr>
        <w:t xml:space="preserve">: </w:t>
      </w:r>
      <w:r w:rsidR="002D5849" w:rsidRPr="003B4E54">
        <w:rPr>
          <w:rFonts w:ascii="Times New Roman" w:eastAsiaTheme="majorEastAsia" w:hAnsi="Times New Roman"/>
          <w:i/>
          <w:kern w:val="0"/>
          <w:sz w:val="22"/>
          <w:szCs w:val="26"/>
        </w:rPr>
        <w:t>Uncertainty parameters (HP</w:t>
      </w:r>
      <w:r w:rsidR="00473BDB" w:rsidRPr="003B4E54">
        <w:rPr>
          <w:rFonts w:ascii="Times New Roman" w:eastAsiaTheme="majorEastAsia" w:hAnsi="Times New Roman"/>
          <w:i/>
          <w:kern w:val="0"/>
          <w:sz w:val="22"/>
          <w:szCs w:val="26"/>
        </w:rPr>
        <w:t>LC</w:t>
      </w:r>
      <w:r w:rsidR="002D5849" w:rsidRPr="003B4E54">
        <w:rPr>
          <w:rFonts w:ascii="Times New Roman" w:eastAsiaTheme="majorEastAsia" w:hAnsi="Times New Roman"/>
          <w:i/>
          <w:kern w:val="0"/>
          <w:sz w:val="22"/>
          <w:szCs w:val="26"/>
        </w:rPr>
        <w:t xml:space="preserve"> method)</w:t>
      </w:r>
    </w:p>
    <w:p w14:paraId="2C4005A0" w14:textId="5685BC82" w:rsidR="007D27DF" w:rsidRPr="003B4E54" w:rsidRDefault="007D27DF">
      <w:pPr>
        <w:rPr>
          <w:rFonts w:ascii="Times New Roman" w:hAnsi="Times New Roman" w:cs="Times New Roman"/>
          <w:color w:val="FF0000"/>
        </w:rPr>
      </w:pPr>
    </w:p>
    <w:p w14:paraId="639DAF26" w14:textId="77777777" w:rsidR="0055775E" w:rsidRPr="003B4E54" w:rsidRDefault="0055775E">
      <w:pPr>
        <w:rPr>
          <w:rFonts w:ascii="Times New Roman" w:hAnsi="Times New Roman" w:cs="Times New Roman"/>
          <w:color w:val="FF0000"/>
        </w:rPr>
      </w:pPr>
    </w:p>
    <w:tbl>
      <w:tblPr>
        <w:tblStyle w:val="TableGrid"/>
        <w:tblW w:w="0" w:type="auto"/>
        <w:tblLook w:val="04A0" w:firstRow="1" w:lastRow="0" w:firstColumn="1" w:lastColumn="0" w:noHBand="0" w:noVBand="1"/>
      </w:tblPr>
      <w:tblGrid>
        <w:gridCol w:w="997"/>
        <w:gridCol w:w="1177"/>
        <w:gridCol w:w="1403"/>
        <w:gridCol w:w="1415"/>
        <w:gridCol w:w="1574"/>
        <w:gridCol w:w="1446"/>
        <w:gridCol w:w="1391"/>
      </w:tblGrid>
      <w:tr w:rsidR="0055775E" w:rsidRPr="003B4E54" w14:paraId="2F308B03" w14:textId="77777777" w:rsidTr="0055775E">
        <w:tc>
          <w:tcPr>
            <w:tcW w:w="997" w:type="dxa"/>
            <w:vAlign w:val="bottom"/>
          </w:tcPr>
          <w:p w14:paraId="2197250B" w14:textId="77777777" w:rsidR="0055775E" w:rsidRPr="003B4E54" w:rsidRDefault="0055775E" w:rsidP="00611EF0">
            <w:pPr>
              <w:pStyle w:val="TAMainText"/>
              <w:spacing w:line="276" w:lineRule="auto"/>
              <w:rPr>
                <w:rFonts w:ascii="Times New Roman" w:eastAsiaTheme="majorEastAsia" w:hAnsi="Times New Roman"/>
                <w:i/>
                <w:sz w:val="20"/>
                <w:szCs w:val="26"/>
              </w:rPr>
            </w:pPr>
          </w:p>
        </w:tc>
        <w:tc>
          <w:tcPr>
            <w:tcW w:w="1177" w:type="dxa"/>
            <w:vAlign w:val="bottom"/>
          </w:tcPr>
          <w:p w14:paraId="3E74E047" w14:textId="77777777" w:rsidR="0055775E" w:rsidRPr="003B4E54" w:rsidRDefault="0055775E" w:rsidP="00611EF0">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accuracy error (%)</w:t>
            </w:r>
          </w:p>
        </w:tc>
        <w:tc>
          <w:tcPr>
            <w:tcW w:w="1403" w:type="dxa"/>
            <w:vAlign w:val="bottom"/>
          </w:tcPr>
          <w:p w14:paraId="24CCCFFF" w14:textId="77777777" w:rsidR="0055775E" w:rsidRPr="003B4E54" w:rsidRDefault="0055775E" w:rsidP="00611EF0">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method repeatability (RSD %)</w:t>
            </w:r>
          </w:p>
        </w:tc>
        <w:tc>
          <w:tcPr>
            <w:tcW w:w="1415" w:type="dxa"/>
            <w:vAlign w:val="bottom"/>
          </w:tcPr>
          <w:p w14:paraId="6054390F" w14:textId="77777777" w:rsidR="0055775E" w:rsidRPr="003B4E54" w:rsidRDefault="0055775E" w:rsidP="00611EF0">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instrumental repeatability (RSD %)</w:t>
            </w:r>
          </w:p>
        </w:tc>
        <w:tc>
          <w:tcPr>
            <w:tcW w:w="1574" w:type="dxa"/>
            <w:vAlign w:val="bottom"/>
          </w:tcPr>
          <w:p w14:paraId="1A1DE2F9" w14:textId="77777777" w:rsidR="0055775E" w:rsidRPr="003B4E54" w:rsidRDefault="0055775E" w:rsidP="00611EF0">
            <w:pPr>
              <w:pStyle w:val="TAMainText"/>
              <w:spacing w:line="276" w:lineRule="auto"/>
              <w:ind w:firstLine="0"/>
              <w:jc w:val="left"/>
              <w:rPr>
                <w:rFonts w:ascii="Times New Roman" w:eastAsiaTheme="majorEastAsia" w:hAnsi="Times New Roman"/>
                <w:i/>
                <w:sz w:val="20"/>
                <w:szCs w:val="26"/>
              </w:rPr>
            </w:pPr>
            <w:proofErr w:type="gramStart"/>
            <w:r w:rsidRPr="003B4E54">
              <w:rPr>
                <w:rFonts w:ascii="Times New Roman" w:eastAsiaTheme="majorEastAsia" w:hAnsi="Times New Roman"/>
                <w:i/>
                <w:sz w:val="20"/>
                <w:szCs w:val="26"/>
              </w:rPr>
              <w:t>reproducibility  (</w:t>
            </w:r>
            <w:proofErr w:type="gramEnd"/>
            <w:r w:rsidRPr="003B4E54">
              <w:rPr>
                <w:rFonts w:ascii="Times New Roman" w:eastAsiaTheme="majorEastAsia" w:hAnsi="Times New Roman"/>
                <w:i/>
                <w:sz w:val="20"/>
                <w:szCs w:val="26"/>
              </w:rPr>
              <w:t>RSD %)</w:t>
            </w:r>
          </w:p>
        </w:tc>
        <w:tc>
          <w:tcPr>
            <w:tcW w:w="1446" w:type="dxa"/>
            <w:vAlign w:val="bottom"/>
          </w:tcPr>
          <w:p w14:paraId="07991ADD" w14:textId="77777777" w:rsidR="0055775E" w:rsidRPr="003B4E54" w:rsidRDefault="0055775E" w:rsidP="00611EF0">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u(combined) %</w:t>
            </w:r>
          </w:p>
        </w:tc>
        <w:tc>
          <w:tcPr>
            <w:tcW w:w="1391" w:type="dxa"/>
            <w:vAlign w:val="bottom"/>
          </w:tcPr>
          <w:p w14:paraId="17A850CD" w14:textId="77777777" w:rsidR="0055775E" w:rsidRPr="003B4E54" w:rsidRDefault="0055775E" w:rsidP="00611EF0">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u(extended) %</w:t>
            </w:r>
          </w:p>
        </w:tc>
      </w:tr>
      <w:tr w:rsidR="0055775E" w:rsidRPr="003B4E54" w14:paraId="40F68ACB" w14:textId="77777777" w:rsidTr="0055775E">
        <w:tc>
          <w:tcPr>
            <w:tcW w:w="997" w:type="dxa"/>
            <w:vAlign w:val="bottom"/>
          </w:tcPr>
          <w:p w14:paraId="7451B0F4" w14:textId="39339C9E" w:rsidR="0055775E" w:rsidRPr="003B4E54" w:rsidRDefault="0055775E" w:rsidP="0055775E">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c=2.5 µg/mL</w:t>
            </w:r>
          </w:p>
        </w:tc>
        <w:tc>
          <w:tcPr>
            <w:tcW w:w="1177" w:type="dxa"/>
          </w:tcPr>
          <w:p w14:paraId="7CFE69B0" w14:textId="388143F7" w:rsidR="0055775E" w:rsidRPr="003B4E54" w:rsidRDefault="00B5660A" w:rsidP="00B5660A">
            <w:pPr>
              <w:pStyle w:val="TAMainText"/>
              <w:spacing w:line="276" w:lineRule="auto"/>
              <w:rPr>
                <w:rFonts w:ascii="Times New Roman" w:eastAsiaTheme="majorEastAsia" w:hAnsi="Times New Roman"/>
                <w:i/>
                <w:sz w:val="20"/>
                <w:szCs w:val="26"/>
              </w:rPr>
            </w:pPr>
            <w:r>
              <w:rPr>
                <w:rFonts w:ascii="Times New Roman" w:eastAsiaTheme="majorEastAsia" w:hAnsi="Times New Roman"/>
                <w:i/>
                <w:sz w:val="20"/>
                <w:szCs w:val="26"/>
              </w:rPr>
              <w:t>9.5</w:t>
            </w:r>
            <w:r w:rsidR="0055775E" w:rsidRPr="003B4E54">
              <w:rPr>
                <w:rFonts w:ascii="Times New Roman" w:eastAsiaTheme="majorEastAsia" w:hAnsi="Times New Roman"/>
                <w:i/>
                <w:sz w:val="20"/>
                <w:szCs w:val="26"/>
              </w:rPr>
              <w:t>%</w:t>
            </w:r>
          </w:p>
        </w:tc>
        <w:tc>
          <w:tcPr>
            <w:tcW w:w="1403" w:type="dxa"/>
          </w:tcPr>
          <w:p w14:paraId="47297841" w14:textId="5603FE3D"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2.4%</w:t>
            </w:r>
          </w:p>
        </w:tc>
        <w:tc>
          <w:tcPr>
            <w:tcW w:w="1415" w:type="dxa"/>
          </w:tcPr>
          <w:p w14:paraId="1CF71E12" w14:textId="22E0E389" w:rsidR="0055775E" w:rsidRPr="003B4E54" w:rsidRDefault="0055775E" w:rsidP="00B5660A">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0.2</w:t>
            </w:r>
            <w:r w:rsidR="00B5660A">
              <w:rPr>
                <w:rFonts w:ascii="Times New Roman" w:eastAsiaTheme="majorEastAsia" w:hAnsi="Times New Roman"/>
                <w:i/>
                <w:sz w:val="20"/>
                <w:szCs w:val="26"/>
              </w:rPr>
              <w:t>2</w:t>
            </w:r>
            <w:r w:rsidRPr="003B4E54">
              <w:rPr>
                <w:rFonts w:ascii="Times New Roman" w:eastAsiaTheme="majorEastAsia" w:hAnsi="Times New Roman"/>
                <w:i/>
                <w:sz w:val="20"/>
                <w:szCs w:val="26"/>
              </w:rPr>
              <w:t>%</w:t>
            </w:r>
          </w:p>
        </w:tc>
        <w:tc>
          <w:tcPr>
            <w:tcW w:w="1574" w:type="dxa"/>
          </w:tcPr>
          <w:p w14:paraId="4F4964D1" w14:textId="34EA9437"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12.8%</w:t>
            </w:r>
          </w:p>
        </w:tc>
        <w:tc>
          <w:tcPr>
            <w:tcW w:w="1446" w:type="dxa"/>
          </w:tcPr>
          <w:p w14:paraId="4DAD7C51" w14:textId="0D83260A"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hAnsi="Times New Roman"/>
              </w:rPr>
              <w:t>16.1%</w:t>
            </w:r>
          </w:p>
        </w:tc>
        <w:tc>
          <w:tcPr>
            <w:tcW w:w="1391" w:type="dxa"/>
          </w:tcPr>
          <w:p w14:paraId="138719D4" w14:textId="11823140"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32.2%</w:t>
            </w:r>
          </w:p>
        </w:tc>
      </w:tr>
      <w:tr w:rsidR="0055775E" w:rsidRPr="003B4E54" w14:paraId="5639BFF2" w14:textId="77777777" w:rsidTr="0055775E">
        <w:tc>
          <w:tcPr>
            <w:tcW w:w="997" w:type="dxa"/>
            <w:vAlign w:val="bottom"/>
          </w:tcPr>
          <w:p w14:paraId="4D37711A" w14:textId="6011355C" w:rsidR="0055775E" w:rsidRPr="003B4E54" w:rsidRDefault="0055775E" w:rsidP="0055775E">
            <w:pPr>
              <w:pStyle w:val="TAMainText"/>
              <w:spacing w:line="276" w:lineRule="auto"/>
              <w:ind w:firstLine="0"/>
              <w:rPr>
                <w:rFonts w:ascii="Times New Roman" w:eastAsiaTheme="majorEastAsia" w:hAnsi="Times New Roman"/>
                <w:i/>
                <w:sz w:val="20"/>
                <w:szCs w:val="26"/>
              </w:rPr>
            </w:pPr>
            <w:r w:rsidRPr="003B4E54">
              <w:rPr>
                <w:rFonts w:ascii="Times New Roman" w:eastAsiaTheme="majorEastAsia" w:hAnsi="Times New Roman"/>
                <w:i/>
                <w:sz w:val="20"/>
                <w:szCs w:val="26"/>
              </w:rPr>
              <w:t>c=30 µg/mL</w:t>
            </w:r>
          </w:p>
        </w:tc>
        <w:tc>
          <w:tcPr>
            <w:tcW w:w="1177" w:type="dxa"/>
          </w:tcPr>
          <w:p w14:paraId="62FAC6BD" w14:textId="4D7DCEB3" w:rsidR="0055775E" w:rsidRPr="003B4E54" w:rsidRDefault="00B5660A" w:rsidP="00B5660A">
            <w:pPr>
              <w:pStyle w:val="TAMainText"/>
              <w:spacing w:line="276" w:lineRule="auto"/>
              <w:rPr>
                <w:rFonts w:ascii="Times New Roman" w:eastAsiaTheme="majorEastAsia" w:hAnsi="Times New Roman"/>
                <w:i/>
                <w:sz w:val="20"/>
                <w:szCs w:val="26"/>
              </w:rPr>
            </w:pPr>
            <w:r>
              <w:rPr>
                <w:rFonts w:ascii="Times New Roman" w:eastAsiaTheme="majorEastAsia" w:hAnsi="Times New Roman"/>
                <w:i/>
                <w:sz w:val="20"/>
                <w:szCs w:val="26"/>
              </w:rPr>
              <w:t>2.2</w:t>
            </w:r>
            <w:r w:rsidR="0055775E" w:rsidRPr="003B4E54">
              <w:rPr>
                <w:rFonts w:ascii="Times New Roman" w:eastAsiaTheme="majorEastAsia" w:hAnsi="Times New Roman"/>
                <w:i/>
                <w:sz w:val="20"/>
                <w:szCs w:val="26"/>
              </w:rPr>
              <w:t>%</w:t>
            </w:r>
          </w:p>
        </w:tc>
        <w:tc>
          <w:tcPr>
            <w:tcW w:w="1403" w:type="dxa"/>
          </w:tcPr>
          <w:p w14:paraId="49A727C3" w14:textId="37C0BAD8"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0.5%</w:t>
            </w:r>
          </w:p>
        </w:tc>
        <w:tc>
          <w:tcPr>
            <w:tcW w:w="1415" w:type="dxa"/>
          </w:tcPr>
          <w:p w14:paraId="2CAD3B48" w14:textId="262DD0B1" w:rsidR="0055775E" w:rsidRPr="003B4E54" w:rsidRDefault="0055775E" w:rsidP="00B5660A">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0.3%</w:t>
            </w:r>
          </w:p>
        </w:tc>
        <w:tc>
          <w:tcPr>
            <w:tcW w:w="1574" w:type="dxa"/>
          </w:tcPr>
          <w:p w14:paraId="0CC81206" w14:textId="073D8195"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3.3%</w:t>
            </w:r>
          </w:p>
        </w:tc>
        <w:tc>
          <w:tcPr>
            <w:tcW w:w="1446" w:type="dxa"/>
          </w:tcPr>
          <w:p w14:paraId="726833FD" w14:textId="528D8F75"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hAnsi="Times New Roman"/>
              </w:rPr>
              <w:t>4.7%</w:t>
            </w:r>
          </w:p>
        </w:tc>
        <w:tc>
          <w:tcPr>
            <w:tcW w:w="1391" w:type="dxa"/>
          </w:tcPr>
          <w:p w14:paraId="229F5983" w14:textId="2F3E19C0" w:rsidR="0055775E" w:rsidRPr="003B4E54" w:rsidRDefault="0055775E" w:rsidP="0055775E">
            <w:pPr>
              <w:pStyle w:val="TAMainText"/>
              <w:spacing w:line="276" w:lineRule="auto"/>
              <w:rPr>
                <w:rFonts w:ascii="Times New Roman" w:eastAsiaTheme="majorEastAsia" w:hAnsi="Times New Roman"/>
                <w:i/>
                <w:sz w:val="20"/>
                <w:szCs w:val="26"/>
              </w:rPr>
            </w:pPr>
            <w:r w:rsidRPr="003B4E54">
              <w:rPr>
                <w:rFonts w:ascii="Times New Roman" w:eastAsiaTheme="majorEastAsia" w:hAnsi="Times New Roman"/>
                <w:i/>
                <w:sz w:val="20"/>
                <w:szCs w:val="26"/>
              </w:rPr>
              <w:t>9.3%</w:t>
            </w:r>
          </w:p>
        </w:tc>
      </w:tr>
    </w:tbl>
    <w:p w14:paraId="7017C5DE" w14:textId="77777777" w:rsidR="0055775E" w:rsidRPr="003B4E54" w:rsidRDefault="0055775E">
      <w:pPr>
        <w:rPr>
          <w:rFonts w:ascii="Times New Roman" w:hAnsi="Times New Roman" w:cs="Times New Roman"/>
          <w:color w:val="FF0000"/>
        </w:rPr>
      </w:pPr>
    </w:p>
    <w:p w14:paraId="2F24A0C5" w14:textId="77777777" w:rsidR="007D27DF" w:rsidRPr="003B4E54" w:rsidRDefault="007D27DF">
      <w:pPr>
        <w:rPr>
          <w:rFonts w:ascii="Times New Roman" w:hAnsi="Times New Roman" w:cs="Times New Roman"/>
          <w:color w:val="FF0000"/>
        </w:rPr>
      </w:pPr>
    </w:p>
    <w:p w14:paraId="6DDB4BA8" w14:textId="480E65A3" w:rsidR="004935B5" w:rsidRPr="000F1B01" w:rsidRDefault="00CE3DFA" w:rsidP="00200063">
      <w:pPr>
        <w:pStyle w:val="Heading2"/>
        <w:rPr>
          <w:i/>
        </w:rPr>
      </w:pPr>
      <w:bookmarkStart w:id="70" w:name="_Toc130558187"/>
      <w:r>
        <w:rPr>
          <w:b w:val="0"/>
          <w:i/>
          <w:color w:val="auto"/>
        </w:rPr>
        <w:t>2</w:t>
      </w:r>
      <w:r w:rsidR="000F727E" w:rsidRPr="00200063">
        <w:rPr>
          <w:b w:val="0"/>
          <w:i/>
          <w:color w:val="auto"/>
        </w:rPr>
        <w:t xml:space="preserve">.6 </w:t>
      </w:r>
      <w:r w:rsidR="005F54CF" w:rsidRPr="00200063">
        <w:rPr>
          <w:b w:val="0"/>
          <w:i/>
          <w:color w:val="auto"/>
        </w:rPr>
        <w:t>Stability study</w:t>
      </w:r>
      <w:bookmarkEnd w:id="70"/>
    </w:p>
    <w:p w14:paraId="6740D672" w14:textId="48A17BFA" w:rsidR="00F368B2" w:rsidRDefault="00F368B2" w:rsidP="00200063">
      <w:pPr>
        <w:pStyle w:val="ListParagraph"/>
        <w:ind w:left="480"/>
        <w:jc w:val="center"/>
        <w:rPr>
          <w:rFonts w:ascii="Times New Roman" w:eastAsiaTheme="majorEastAsia" w:hAnsi="Times New Roman" w:cs="Times New Roman"/>
        </w:rPr>
      </w:pPr>
      <w:r>
        <w:rPr>
          <w:noProof/>
        </w:rPr>
        <w:drawing>
          <wp:inline distT="0" distB="0" distL="0" distR="0" wp14:anchorId="3D6FB532" wp14:editId="01871A95">
            <wp:extent cx="4759187" cy="3009900"/>
            <wp:effectExtent l="0" t="0" r="381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5E24A8" w14:textId="77777777" w:rsidR="00554813" w:rsidRPr="00F368B2" w:rsidRDefault="00554813" w:rsidP="00554813">
      <w:pPr>
        <w:pStyle w:val="ListParagraph"/>
        <w:ind w:left="480"/>
        <w:jc w:val="center"/>
        <w:rPr>
          <w:rFonts w:ascii="Times New Roman" w:eastAsiaTheme="majorEastAsia" w:hAnsi="Times New Roman" w:cs="Times New Roman"/>
        </w:rPr>
      </w:pPr>
      <w:r w:rsidRPr="007E43EE">
        <w:rPr>
          <w:rFonts w:ascii="Times New Roman" w:eastAsiaTheme="majorEastAsia" w:hAnsi="Times New Roman" w:cs="Times New Roman"/>
        </w:rPr>
        <w:t xml:space="preserve">Figure S - </w:t>
      </w:r>
      <w:r>
        <w:rPr>
          <w:rFonts w:ascii="Times New Roman" w:eastAsiaTheme="majorEastAsia" w:hAnsi="Times New Roman" w:cs="Times New Roman"/>
        </w:rPr>
        <w:t>7</w:t>
      </w:r>
      <w:r w:rsidRPr="00C26199">
        <w:rPr>
          <w:rFonts w:ascii="Times New Roman" w:eastAsiaTheme="majorEastAsia" w:hAnsi="Times New Roman" w:cs="Times New Roman"/>
        </w:rPr>
        <w:t>:</w:t>
      </w:r>
      <w:r w:rsidRPr="00F368B2">
        <w:rPr>
          <w:rFonts w:ascii="Times New Roman" w:eastAsiaTheme="majorEastAsia" w:hAnsi="Times New Roman" w:cs="Times New Roman"/>
        </w:rPr>
        <w:t xml:space="preserve"> Long-term stability of bleomycin in plasma and serum</w:t>
      </w:r>
    </w:p>
    <w:p w14:paraId="761E06C6" w14:textId="77777777" w:rsidR="00554813" w:rsidRDefault="00554813" w:rsidP="00200063">
      <w:pPr>
        <w:pStyle w:val="ListParagraph"/>
        <w:ind w:left="480"/>
        <w:jc w:val="center"/>
        <w:rPr>
          <w:rFonts w:ascii="Times New Roman" w:eastAsiaTheme="majorEastAsia" w:hAnsi="Times New Roman" w:cs="Times New Roman"/>
        </w:rPr>
      </w:pPr>
    </w:p>
    <w:p w14:paraId="2C747AEF" w14:textId="35899ED2" w:rsidR="00F368B2" w:rsidRDefault="00F368B2" w:rsidP="00200063">
      <w:pPr>
        <w:pStyle w:val="ListParagraph"/>
        <w:ind w:left="480"/>
        <w:rPr>
          <w:rFonts w:ascii="Times New Roman" w:eastAsiaTheme="majorEastAsia" w:hAnsi="Times New Roman" w:cs="Times New Roman"/>
        </w:rPr>
      </w:pPr>
    </w:p>
    <w:p w14:paraId="1F2AE157" w14:textId="4BBC16A8" w:rsidR="00F368B2" w:rsidRDefault="00F368B2">
      <w:pPr>
        <w:jc w:val="center"/>
        <w:rPr>
          <w:noProof/>
        </w:rPr>
      </w:pPr>
      <w:r>
        <w:rPr>
          <w:noProof/>
        </w:rPr>
        <w:lastRenderedPageBreak/>
        <w:drawing>
          <wp:inline distT="0" distB="0" distL="0" distR="0" wp14:anchorId="35831D3D" wp14:editId="020570F9">
            <wp:extent cx="4588151" cy="2741958"/>
            <wp:effectExtent l="0" t="0" r="3175" b="12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F41DB1" w14:textId="77777777" w:rsidR="00554813" w:rsidRDefault="00554813" w:rsidP="00554813">
      <w:pPr>
        <w:jc w:val="center"/>
        <w:rPr>
          <w:noProof/>
        </w:rPr>
      </w:pPr>
      <w:r w:rsidRPr="000B5FFE">
        <w:rPr>
          <w:rFonts w:ascii="Times New Roman" w:eastAsiaTheme="majorEastAsia" w:hAnsi="Times New Roman" w:cs="Times New Roman"/>
        </w:rPr>
        <w:t xml:space="preserve">Figure S - </w:t>
      </w:r>
      <w:r>
        <w:rPr>
          <w:rFonts w:ascii="Times New Roman" w:eastAsiaTheme="majorEastAsia" w:hAnsi="Times New Roman" w:cs="Times New Roman"/>
        </w:rPr>
        <w:t>8: Freeze-thaw stability of bleomycin in plasma and serum</w:t>
      </w:r>
    </w:p>
    <w:p w14:paraId="09BE16C8" w14:textId="79B1BDA1" w:rsidR="00F368B2" w:rsidRDefault="00F368B2" w:rsidP="00200063">
      <w:pPr>
        <w:rPr>
          <w:noProof/>
        </w:rPr>
      </w:pPr>
    </w:p>
    <w:p w14:paraId="7C85F446" w14:textId="189EDAAA" w:rsidR="00235834" w:rsidRDefault="00235834">
      <w:pPr>
        <w:jc w:val="center"/>
        <w:rPr>
          <w:rFonts w:ascii="Times New Roman" w:eastAsiaTheme="majorEastAsia" w:hAnsi="Times New Roman" w:cs="Times New Roman"/>
        </w:rPr>
      </w:pPr>
      <w:r>
        <w:rPr>
          <w:noProof/>
        </w:rPr>
        <w:drawing>
          <wp:inline distT="0" distB="0" distL="0" distR="0" wp14:anchorId="4EA6C23F" wp14:editId="6E76C672">
            <wp:extent cx="4905955" cy="2703443"/>
            <wp:effectExtent l="0" t="0" r="9525" b="190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95D62A" w14:textId="77777777" w:rsidR="00554813" w:rsidRDefault="00554813" w:rsidP="00554813">
      <w:pPr>
        <w:jc w:val="center"/>
        <w:rPr>
          <w:rFonts w:ascii="Times New Roman" w:eastAsiaTheme="majorEastAsia" w:hAnsi="Times New Roman" w:cs="Times New Roman"/>
        </w:rPr>
      </w:pPr>
      <w:r w:rsidRPr="005D0CA8">
        <w:rPr>
          <w:rFonts w:ascii="Times New Roman" w:eastAsiaTheme="majorEastAsia" w:hAnsi="Times New Roman" w:cs="Times New Roman"/>
        </w:rPr>
        <w:t xml:space="preserve">Figure S - </w:t>
      </w:r>
      <w:r>
        <w:rPr>
          <w:rFonts w:ascii="Times New Roman" w:eastAsiaTheme="majorEastAsia" w:hAnsi="Times New Roman" w:cs="Times New Roman"/>
        </w:rPr>
        <w:t>9</w:t>
      </w:r>
      <w:r w:rsidRPr="005D0CA8">
        <w:rPr>
          <w:rFonts w:ascii="Times New Roman" w:eastAsiaTheme="majorEastAsia" w:hAnsi="Times New Roman" w:cs="Times New Roman"/>
        </w:rPr>
        <w:t>:</w:t>
      </w:r>
      <w:r>
        <w:rPr>
          <w:rFonts w:ascii="Times New Roman" w:eastAsiaTheme="majorEastAsia" w:hAnsi="Times New Roman" w:cs="Times New Roman"/>
        </w:rPr>
        <w:t xml:space="preserve"> Long-term stability of bleomycin in injection solution</w:t>
      </w:r>
    </w:p>
    <w:p w14:paraId="21376AB4" w14:textId="77777777" w:rsidR="00554813" w:rsidRDefault="00554813">
      <w:pPr>
        <w:jc w:val="center"/>
        <w:rPr>
          <w:rFonts w:ascii="Times New Roman" w:eastAsiaTheme="majorEastAsia" w:hAnsi="Times New Roman" w:cs="Times New Roman"/>
        </w:rPr>
      </w:pPr>
    </w:p>
    <w:p w14:paraId="45D63781" w14:textId="6A0F595B" w:rsidR="00235834" w:rsidRDefault="00235834" w:rsidP="00200063">
      <w:pPr>
        <w:rPr>
          <w:rFonts w:ascii="Times New Roman" w:eastAsiaTheme="majorEastAsia" w:hAnsi="Times New Roman" w:cs="Times New Roman"/>
        </w:rPr>
      </w:pPr>
    </w:p>
    <w:p w14:paraId="31EC593C" w14:textId="487B2349" w:rsidR="00810AB8" w:rsidRDefault="00F32408">
      <w:pPr>
        <w:jc w:val="center"/>
        <w:rPr>
          <w:rFonts w:ascii="Times New Roman" w:eastAsiaTheme="majorEastAsia" w:hAnsi="Times New Roman" w:cs="Times New Roman"/>
        </w:rPr>
      </w:pPr>
      <w:r>
        <w:rPr>
          <w:noProof/>
        </w:rPr>
        <w:lastRenderedPageBreak/>
        <w:drawing>
          <wp:inline distT="0" distB="0" distL="0" distR="0" wp14:anchorId="79A6DBD7" wp14:editId="114CB75A">
            <wp:extent cx="5392130" cy="3348037"/>
            <wp:effectExtent l="0" t="0" r="18415" b="508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B20AB88" w14:textId="77777777" w:rsidR="00554813" w:rsidRDefault="00554813" w:rsidP="00554813">
      <w:pPr>
        <w:jc w:val="center"/>
        <w:rPr>
          <w:rFonts w:ascii="Times New Roman" w:eastAsiaTheme="majorEastAsia" w:hAnsi="Times New Roman" w:cs="Times New Roman"/>
        </w:rPr>
      </w:pPr>
      <w:r w:rsidRPr="005D0CA8">
        <w:rPr>
          <w:rFonts w:ascii="Times New Roman" w:eastAsiaTheme="majorEastAsia" w:hAnsi="Times New Roman" w:cs="Times New Roman"/>
        </w:rPr>
        <w:t xml:space="preserve">Figure S - </w:t>
      </w:r>
      <w:r>
        <w:rPr>
          <w:rFonts w:ascii="Times New Roman" w:eastAsiaTheme="majorEastAsia" w:hAnsi="Times New Roman" w:cs="Times New Roman"/>
        </w:rPr>
        <w:t>10</w:t>
      </w:r>
      <w:r w:rsidRPr="005D0CA8">
        <w:rPr>
          <w:rFonts w:ascii="Times New Roman" w:eastAsiaTheme="majorEastAsia" w:hAnsi="Times New Roman" w:cs="Times New Roman"/>
        </w:rPr>
        <w:t>:</w:t>
      </w:r>
      <w:r>
        <w:rPr>
          <w:rFonts w:ascii="Times New Roman" w:eastAsiaTheme="majorEastAsia" w:hAnsi="Times New Roman" w:cs="Times New Roman"/>
        </w:rPr>
        <w:t xml:space="preserve"> Freeze-thaw stability of bleomycin in injection solution</w:t>
      </w:r>
    </w:p>
    <w:p w14:paraId="370588B4" w14:textId="77777777" w:rsidR="00554813" w:rsidRDefault="00554813">
      <w:pPr>
        <w:jc w:val="center"/>
        <w:rPr>
          <w:rFonts w:ascii="Times New Roman" w:eastAsiaTheme="majorEastAsia" w:hAnsi="Times New Roman" w:cs="Times New Roman"/>
        </w:rPr>
      </w:pPr>
    </w:p>
    <w:p w14:paraId="69E3EB39" w14:textId="77777777" w:rsidR="00810AB8" w:rsidRDefault="00810AB8" w:rsidP="00200063">
      <w:pPr>
        <w:rPr>
          <w:rFonts w:ascii="Times New Roman" w:eastAsiaTheme="majorEastAsia" w:hAnsi="Times New Roman" w:cs="Times New Roman"/>
        </w:rPr>
      </w:pPr>
    </w:p>
    <w:p w14:paraId="32C4BD1B" w14:textId="77777777" w:rsidR="00235834" w:rsidRDefault="00235834" w:rsidP="00200063">
      <w:pPr>
        <w:rPr>
          <w:noProof/>
        </w:rPr>
      </w:pPr>
    </w:p>
    <w:p w14:paraId="7B9EB5F4" w14:textId="77777777" w:rsidR="00F368B2" w:rsidRPr="00F368B2" w:rsidRDefault="00F368B2" w:rsidP="00200063">
      <w:pPr>
        <w:pStyle w:val="ListParagraph"/>
        <w:ind w:left="480"/>
        <w:rPr>
          <w:rFonts w:ascii="Times New Roman" w:eastAsiaTheme="majorEastAsia" w:hAnsi="Times New Roman" w:cs="Times New Roman"/>
        </w:rPr>
      </w:pPr>
    </w:p>
    <w:p w14:paraId="5F7BA8C4" w14:textId="77777777" w:rsidR="005F54CF" w:rsidRPr="00200063" w:rsidRDefault="005F54CF" w:rsidP="00200063">
      <w:pPr>
        <w:pStyle w:val="ListParagraph"/>
        <w:ind w:left="480"/>
      </w:pPr>
    </w:p>
    <w:p w14:paraId="0530703A" w14:textId="77777777" w:rsidR="00A35B8E" w:rsidRPr="003B4E54" w:rsidRDefault="00A35B8E">
      <w:pPr>
        <w:rPr>
          <w:rFonts w:ascii="Times New Roman" w:hAnsi="Times New Roman" w:cs="Times New Roman"/>
          <w:color w:val="FF0000"/>
        </w:rPr>
      </w:pPr>
    </w:p>
    <w:p w14:paraId="00A9E5A1" w14:textId="77777777" w:rsidR="00D01D18" w:rsidRPr="003B4E54" w:rsidRDefault="00D01D18" w:rsidP="0034544F">
      <w:pPr>
        <w:rPr>
          <w:rFonts w:ascii="Times New Roman" w:hAnsi="Times New Roman" w:cs="Times New Roman"/>
          <w:color w:val="FF0000"/>
        </w:rPr>
      </w:pPr>
    </w:p>
    <w:sectPr w:rsidR="00D01D18" w:rsidRPr="003B4E54" w:rsidSect="00CE2D5E">
      <w:pgSz w:w="12474" w:h="15876"/>
      <w:pgMar w:top="1797" w:right="1440" w:bottom="179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EA7201" w14:textId="77777777" w:rsidR="005002EA" w:rsidRDefault="005002EA" w:rsidP="00F85F44">
      <w:r>
        <w:separator/>
      </w:r>
    </w:p>
  </w:endnote>
  <w:endnote w:type="continuationSeparator" w:id="0">
    <w:p w14:paraId="2F6DDF3A" w14:textId="77777777" w:rsidR="005002EA" w:rsidRDefault="005002EA" w:rsidP="00F85F44">
      <w:r>
        <w:continuationSeparator/>
      </w:r>
    </w:p>
  </w:endnote>
  <w:endnote w:type="continuationNotice" w:id="1">
    <w:p w14:paraId="5EAB493B" w14:textId="77777777" w:rsidR="005002EA" w:rsidRDefault="005002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no Pro">
    <w:altName w:val="Times New Roman"/>
    <w:panose1 w:val="00000000000000000000"/>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888AC" w14:textId="77777777" w:rsidR="0042771C" w:rsidRPr="00BA524A" w:rsidRDefault="0042771C" w:rsidP="00F85F44">
    <w:pPr>
      <w:pStyle w:val="Footer"/>
    </w:pPr>
  </w:p>
  <w:p w14:paraId="01E079FD" w14:textId="77777777" w:rsidR="0042771C" w:rsidRDefault="004277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00CF6" w14:textId="77777777" w:rsidR="0042771C" w:rsidRDefault="004277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D4D260" w14:textId="77777777" w:rsidR="005002EA" w:rsidRDefault="005002EA" w:rsidP="00F85F44">
      <w:r>
        <w:separator/>
      </w:r>
    </w:p>
  </w:footnote>
  <w:footnote w:type="continuationSeparator" w:id="0">
    <w:p w14:paraId="4846DAA0" w14:textId="77777777" w:rsidR="005002EA" w:rsidRDefault="005002EA" w:rsidP="00F85F44">
      <w:r>
        <w:continuationSeparator/>
      </w:r>
    </w:p>
  </w:footnote>
  <w:footnote w:type="continuationNotice" w:id="1">
    <w:p w14:paraId="25FCF955" w14:textId="77777777" w:rsidR="005002EA" w:rsidRDefault="005002E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67F43" w14:textId="1ED26930" w:rsidR="0042771C" w:rsidRDefault="0042771C">
    <w:pPr>
      <w:pStyle w:val="Header"/>
      <w:jc w:val="right"/>
    </w:pPr>
    <w:r>
      <w:t>S-</w:t>
    </w:r>
    <w:sdt>
      <w:sdtPr>
        <w:id w:val="-11351741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0E46">
          <w:rPr>
            <w:noProof/>
          </w:rPr>
          <w:t>7</w:t>
        </w:r>
        <w:r>
          <w:rPr>
            <w:noProof/>
          </w:rPr>
          <w:fldChar w:fldCharType="end"/>
        </w:r>
      </w:sdtContent>
    </w:sdt>
  </w:p>
  <w:p w14:paraId="5FD8F976" w14:textId="77777777" w:rsidR="0042771C" w:rsidRDefault="004277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91D24" w14:textId="7EB24728" w:rsidR="0042771C" w:rsidRDefault="0042771C">
    <w:pPr>
      <w:pStyle w:val="Header"/>
      <w:jc w:val="right"/>
    </w:pPr>
    <w:r>
      <w:t>S-</w:t>
    </w:r>
    <w:sdt>
      <w:sdtPr>
        <w:id w:val="561072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0E46">
          <w:rPr>
            <w:noProof/>
          </w:rPr>
          <w:t>2</w:t>
        </w:r>
        <w:r>
          <w:rPr>
            <w:noProof/>
          </w:rPr>
          <w:fldChar w:fldCharType="end"/>
        </w:r>
      </w:sdtContent>
    </w:sdt>
  </w:p>
  <w:p w14:paraId="542C9D8C" w14:textId="13111DDA" w:rsidR="0042771C" w:rsidRPr="00D52853" w:rsidRDefault="0042771C">
    <w:pPr>
      <w:pStyle w:val="Header"/>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BDC"/>
    <w:multiLevelType w:val="hybridMultilevel"/>
    <w:tmpl w:val="5BF64186"/>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6416D"/>
    <w:multiLevelType w:val="multilevel"/>
    <w:tmpl w:val="4F76C80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sz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C2F1BE1"/>
    <w:multiLevelType w:val="multilevel"/>
    <w:tmpl w:val="57D2733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CB35474"/>
    <w:multiLevelType w:val="multilevel"/>
    <w:tmpl w:val="44F01B8A"/>
    <w:styleLink w:val="Style1"/>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21976EE"/>
    <w:multiLevelType w:val="multilevel"/>
    <w:tmpl w:val="ECF87BD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9A21131"/>
    <w:multiLevelType w:val="multilevel"/>
    <w:tmpl w:val="3536CDA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0661724"/>
    <w:multiLevelType w:val="multilevel"/>
    <w:tmpl w:val="F12245F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20EE0412"/>
    <w:multiLevelType w:val="hybridMultilevel"/>
    <w:tmpl w:val="9512730C"/>
    <w:lvl w:ilvl="0" w:tplc="3FE80782">
      <w:start w:val="1"/>
      <w:numFmt w:val="none"/>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F215F5"/>
    <w:multiLevelType w:val="multilevel"/>
    <w:tmpl w:val="FE8E2B9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16B3A29"/>
    <w:multiLevelType w:val="hybridMultilevel"/>
    <w:tmpl w:val="0F00E648"/>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8905D7"/>
    <w:multiLevelType w:val="multilevel"/>
    <w:tmpl w:val="9614F8FE"/>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6C93257"/>
    <w:multiLevelType w:val="hybridMultilevel"/>
    <w:tmpl w:val="03C4C44C"/>
    <w:lvl w:ilvl="0" w:tplc="A460A292">
      <w:start w:val="1"/>
      <w:numFmt w:val="none"/>
      <w:lvlText w:val="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26473E"/>
    <w:multiLevelType w:val="multilevel"/>
    <w:tmpl w:val="9800D66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F4D6B78"/>
    <w:multiLevelType w:val="hybridMultilevel"/>
    <w:tmpl w:val="65E6AB16"/>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9C2CEF"/>
    <w:multiLevelType w:val="multilevel"/>
    <w:tmpl w:val="1E56257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33FF7A82"/>
    <w:multiLevelType w:val="hybridMultilevel"/>
    <w:tmpl w:val="3EBE6C1A"/>
    <w:lvl w:ilvl="0" w:tplc="743CA408">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A31D72"/>
    <w:multiLevelType w:val="multilevel"/>
    <w:tmpl w:val="BA3404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7090880"/>
    <w:multiLevelType w:val="hybridMultilevel"/>
    <w:tmpl w:val="E1425A18"/>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EC2BDB"/>
    <w:multiLevelType w:val="hybridMultilevel"/>
    <w:tmpl w:val="384C1590"/>
    <w:lvl w:ilvl="0" w:tplc="89923E96">
      <w:start w:val="1"/>
      <w:numFmt w:val="none"/>
      <w:lvlText w:val="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CC803F1"/>
    <w:multiLevelType w:val="multilevel"/>
    <w:tmpl w:val="6118460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3FA1260"/>
    <w:multiLevelType w:val="hybridMultilevel"/>
    <w:tmpl w:val="7334F67C"/>
    <w:lvl w:ilvl="0" w:tplc="CF4AE0B8">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7E78B6"/>
    <w:multiLevelType w:val="hybridMultilevel"/>
    <w:tmpl w:val="66AEB848"/>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A820F9"/>
    <w:multiLevelType w:val="multilevel"/>
    <w:tmpl w:val="6118460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9D8759F"/>
    <w:multiLevelType w:val="hybridMultilevel"/>
    <w:tmpl w:val="4CA231B2"/>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9B7DED"/>
    <w:multiLevelType w:val="multilevel"/>
    <w:tmpl w:val="7B26C8E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D1F38AE"/>
    <w:multiLevelType w:val="multilevel"/>
    <w:tmpl w:val="EEEC7300"/>
    <w:lvl w:ilvl="0">
      <w:start w:val="2"/>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61787FB1"/>
    <w:multiLevelType w:val="multilevel"/>
    <w:tmpl w:val="D7B86B2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6366124A"/>
    <w:multiLevelType w:val="hybridMultilevel"/>
    <w:tmpl w:val="CEE4944C"/>
    <w:lvl w:ilvl="0" w:tplc="0FE880DA">
      <w:start w:val="1"/>
      <w:numFmt w:val="none"/>
      <w:lvlText w:val="3.3"/>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46A4BD4"/>
    <w:multiLevelType w:val="hybridMultilevel"/>
    <w:tmpl w:val="713EEB10"/>
    <w:lvl w:ilvl="0" w:tplc="89923E96">
      <w:start w:val="1"/>
      <w:numFmt w:val="none"/>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2A1A5D"/>
    <w:multiLevelType w:val="hybridMultilevel"/>
    <w:tmpl w:val="0B8C52A6"/>
    <w:lvl w:ilvl="0" w:tplc="0916F7BE">
      <w:start w:val="1"/>
      <w:numFmt w:val="none"/>
      <w:lvlText w:val="2.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4C70E3"/>
    <w:multiLevelType w:val="hybridMultilevel"/>
    <w:tmpl w:val="FDCAC32E"/>
    <w:lvl w:ilvl="0" w:tplc="89923E96">
      <w:start w:val="1"/>
      <w:numFmt w:val="none"/>
      <w:lvlText w:val="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8163264"/>
    <w:multiLevelType w:val="multilevel"/>
    <w:tmpl w:val="D7E2A17C"/>
    <w:lvl w:ilvl="0">
      <w:start w:val="3"/>
      <w:numFmt w:val="decimal"/>
      <w:lvlText w:val="%1"/>
      <w:lvlJc w:val="left"/>
      <w:pPr>
        <w:ind w:left="480" w:hanging="480"/>
      </w:pPr>
      <w:rPr>
        <w:rFonts w:hint="default"/>
      </w:rPr>
    </w:lvl>
    <w:lvl w:ilvl="1">
      <w:start w:val="4"/>
      <w:numFmt w:val="decimal"/>
      <w:lvlText w:val="%1.%2"/>
      <w:lvlJc w:val="left"/>
      <w:pPr>
        <w:ind w:left="570" w:hanging="480"/>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32">
    <w:nsid w:val="789411A4"/>
    <w:multiLevelType w:val="multilevel"/>
    <w:tmpl w:val="C5087D6C"/>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ECE7FE3"/>
    <w:multiLevelType w:val="multilevel"/>
    <w:tmpl w:val="44F01B8A"/>
    <w:numStyleLink w:val="Style1"/>
  </w:abstractNum>
  <w:abstractNum w:abstractNumId="34">
    <w:nsid w:val="7ED924CB"/>
    <w:multiLevelType w:val="multilevel"/>
    <w:tmpl w:val="4F76C80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6"/>
  </w:num>
  <w:num w:numId="3">
    <w:abstractNumId w:val="21"/>
  </w:num>
  <w:num w:numId="4">
    <w:abstractNumId w:val="1"/>
  </w:num>
  <w:num w:numId="5">
    <w:abstractNumId w:val="1"/>
  </w:num>
  <w:num w:numId="6">
    <w:abstractNumId w:val="4"/>
  </w:num>
  <w:num w:numId="7">
    <w:abstractNumId w:val="18"/>
  </w:num>
  <w:num w:numId="8">
    <w:abstractNumId w:val="23"/>
  </w:num>
  <w:num w:numId="9">
    <w:abstractNumId w:val="28"/>
  </w:num>
  <w:num w:numId="10">
    <w:abstractNumId w:val="13"/>
  </w:num>
  <w:num w:numId="11">
    <w:abstractNumId w:val="0"/>
  </w:num>
  <w:num w:numId="12">
    <w:abstractNumId w:val="7"/>
  </w:num>
  <w:num w:numId="13">
    <w:abstractNumId w:val="30"/>
  </w:num>
  <w:num w:numId="14">
    <w:abstractNumId w:val="17"/>
  </w:num>
  <w:num w:numId="15">
    <w:abstractNumId w:val="9"/>
  </w:num>
  <w:num w:numId="16">
    <w:abstractNumId w:val="11"/>
  </w:num>
  <w:num w:numId="17">
    <w:abstractNumId w:val="27"/>
  </w:num>
  <w:num w:numId="18">
    <w:abstractNumId w:val="29"/>
  </w:num>
  <w:num w:numId="19">
    <w:abstractNumId w:val="1"/>
  </w:num>
  <w:num w:numId="20">
    <w:abstractNumId w:val="25"/>
  </w:num>
  <w:num w:numId="21">
    <w:abstractNumId w:val="1"/>
  </w:num>
  <w:num w:numId="22">
    <w:abstractNumId w:val="1"/>
  </w:num>
  <w:num w:numId="23">
    <w:abstractNumId w:val="15"/>
  </w:num>
  <w:num w:numId="24">
    <w:abstractNumId w:val="1"/>
  </w:num>
  <w:num w:numId="25">
    <w:abstractNumId w:val="20"/>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33"/>
  </w:num>
  <w:num w:numId="36">
    <w:abstractNumId w:val="1"/>
  </w:num>
  <w:num w:numId="37">
    <w:abstractNumId w:val="1"/>
  </w:num>
  <w:num w:numId="38">
    <w:abstractNumId w:val="34"/>
  </w:num>
  <w:num w:numId="39">
    <w:abstractNumId w:val="1"/>
  </w:num>
  <w:num w:numId="40">
    <w:abstractNumId w:val="22"/>
  </w:num>
  <w:num w:numId="41">
    <w:abstractNumId w:val="19"/>
  </w:num>
  <w:num w:numId="42">
    <w:abstractNumId w:val="5"/>
  </w:num>
  <w:num w:numId="43">
    <w:abstractNumId w:val="12"/>
  </w:num>
  <w:num w:numId="44">
    <w:abstractNumId w:val="16"/>
  </w:num>
  <w:num w:numId="45">
    <w:abstractNumId w:val="10"/>
  </w:num>
  <w:num w:numId="46">
    <w:abstractNumId w:val="14"/>
  </w:num>
  <w:num w:numId="47">
    <w:abstractNumId w:val="31"/>
  </w:num>
  <w:num w:numId="48">
    <w:abstractNumId w:val="24"/>
  </w:num>
  <w:num w:numId="49">
    <w:abstractNumId w:val="32"/>
  </w:num>
  <w:num w:numId="50">
    <w:abstractNumId w:val="8"/>
  </w:num>
  <w:num w:numId="51">
    <w:abstractNumId w:val="2"/>
  </w:num>
  <w:num w:numId="5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LQ0NTG3NLYwNjM0MjVU0lEKTi0uzszPAymwqAUAOqmb8CwAAAA="/>
  </w:docVars>
  <w:rsids>
    <w:rsidRoot w:val="00701DA4"/>
    <w:rsid w:val="00001BC4"/>
    <w:rsid w:val="00001E87"/>
    <w:rsid w:val="0001035A"/>
    <w:rsid w:val="00011A4C"/>
    <w:rsid w:val="00012324"/>
    <w:rsid w:val="00013F59"/>
    <w:rsid w:val="000204A8"/>
    <w:rsid w:val="0002288E"/>
    <w:rsid w:val="00026A55"/>
    <w:rsid w:val="00030D78"/>
    <w:rsid w:val="0004097A"/>
    <w:rsid w:val="00041443"/>
    <w:rsid w:val="0004207E"/>
    <w:rsid w:val="00050A89"/>
    <w:rsid w:val="00050C2E"/>
    <w:rsid w:val="00061E2B"/>
    <w:rsid w:val="00064E58"/>
    <w:rsid w:val="00085131"/>
    <w:rsid w:val="000857F3"/>
    <w:rsid w:val="00086077"/>
    <w:rsid w:val="00086A49"/>
    <w:rsid w:val="000979D4"/>
    <w:rsid w:val="00097BE9"/>
    <w:rsid w:val="000A0439"/>
    <w:rsid w:val="000A05F2"/>
    <w:rsid w:val="000A23C5"/>
    <w:rsid w:val="000A2552"/>
    <w:rsid w:val="000A3286"/>
    <w:rsid w:val="000B5FFE"/>
    <w:rsid w:val="000D4E7D"/>
    <w:rsid w:val="000E2406"/>
    <w:rsid w:val="000E4F1B"/>
    <w:rsid w:val="000E54E5"/>
    <w:rsid w:val="000F049D"/>
    <w:rsid w:val="000F133D"/>
    <w:rsid w:val="000F1714"/>
    <w:rsid w:val="000F1947"/>
    <w:rsid w:val="000F19F4"/>
    <w:rsid w:val="000F1B01"/>
    <w:rsid w:val="000F727E"/>
    <w:rsid w:val="000F7993"/>
    <w:rsid w:val="00102007"/>
    <w:rsid w:val="00110C4C"/>
    <w:rsid w:val="00114B89"/>
    <w:rsid w:val="00124996"/>
    <w:rsid w:val="00130C05"/>
    <w:rsid w:val="00155E75"/>
    <w:rsid w:val="00161B7F"/>
    <w:rsid w:val="00161EB9"/>
    <w:rsid w:val="001666F8"/>
    <w:rsid w:val="001718DA"/>
    <w:rsid w:val="00171A06"/>
    <w:rsid w:val="00180414"/>
    <w:rsid w:val="00180973"/>
    <w:rsid w:val="001845E3"/>
    <w:rsid w:val="00185187"/>
    <w:rsid w:val="00186DD0"/>
    <w:rsid w:val="00194D29"/>
    <w:rsid w:val="001B1ED5"/>
    <w:rsid w:val="001B44AD"/>
    <w:rsid w:val="001B488D"/>
    <w:rsid w:val="001C0C8F"/>
    <w:rsid w:val="001C220C"/>
    <w:rsid w:val="001C35D3"/>
    <w:rsid w:val="001C5EE8"/>
    <w:rsid w:val="001D0D80"/>
    <w:rsid w:val="001D4A82"/>
    <w:rsid w:val="001D4EDE"/>
    <w:rsid w:val="001D664F"/>
    <w:rsid w:val="001D7B55"/>
    <w:rsid w:val="001E306A"/>
    <w:rsid w:val="001E3FAE"/>
    <w:rsid w:val="001E53FD"/>
    <w:rsid w:val="001F1694"/>
    <w:rsid w:val="001F1E72"/>
    <w:rsid w:val="001F2A42"/>
    <w:rsid w:val="00200063"/>
    <w:rsid w:val="00203DFB"/>
    <w:rsid w:val="0020411A"/>
    <w:rsid w:val="00210D34"/>
    <w:rsid w:val="00210F83"/>
    <w:rsid w:val="0021467F"/>
    <w:rsid w:val="0021642E"/>
    <w:rsid w:val="00217587"/>
    <w:rsid w:val="00217D21"/>
    <w:rsid w:val="0022626D"/>
    <w:rsid w:val="002279F9"/>
    <w:rsid w:val="00227F35"/>
    <w:rsid w:val="00232BCF"/>
    <w:rsid w:val="002337EC"/>
    <w:rsid w:val="00235834"/>
    <w:rsid w:val="002377ED"/>
    <w:rsid w:val="00241FCD"/>
    <w:rsid w:val="002466AE"/>
    <w:rsid w:val="002576B5"/>
    <w:rsid w:val="002604A0"/>
    <w:rsid w:val="00262B2C"/>
    <w:rsid w:val="00263107"/>
    <w:rsid w:val="00271683"/>
    <w:rsid w:val="0027557B"/>
    <w:rsid w:val="002769A3"/>
    <w:rsid w:val="00276FB4"/>
    <w:rsid w:val="00277DD2"/>
    <w:rsid w:val="00282FE4"/>
    <w:rsid w:val="00283BD4"/>
    <w:rsid w:val="00285618"/>
    <w:rsid w:val="00285F84"/>
    <w:rsid w:val="00293A0E"/>
    <w:rsid w:val="00295EDF"/>
    <w:rsid w:val="002975BA"/>
    <w:rsid w:val="002A25E6"/>
    <w:rsid w:val="002A622A"/>
    <w:rsid w:val="002A6AB5"/>
    <w:rsid w:val="002B1B06"/>
    <w:rsid w:val="002B293E"/>
    <w:rsid w:val="002C4FA0"/>
    <w:rsid w:val="002C5847"/>
    <w:rsid w:val="002D5525"/>
    <w:rsid w:val="002D5849"/>
    <w:rsid w:val="002D62DC"/>
    <w:rsid w:val="002E1188"/>
    <w:rsid w:val="002E1C24"/>
    <w:rsid w:val="002E4E7D"/>
    <w:rsid w:val="002F0275"/>
    <w:rsid w:val="002F427A"/>
    <w:rsid w:val="002F4A4A"/>
    <w:rsid w:val="002F7D43"/>
    <w:rsid w:val="00306478"/>
    <w:rsid w:val="00306A80"/>
    <w:rsid w:val="003078A6"/>
    <w:rsid w:val="00307CFB"/>
    <w:rsid w:val="00310EB9"/>
    <w:rsid w:val="0031119A"/>
    <w:rsid w:val="003135CB"/>
    <w:rsid w:val="00315EF5"/>
    <w:rsid w:val="00325CAF"/>
    <w:rsid w:val="003279CB"/>
    <w:rsid w:val="00327CCD"/>
    <w:rsid w:val="003432CD"/>
    <w:rsid w:val="00344846"/>
    <w:rsid w:val="0034544F"/>
    <w:rsid w:val="003463B2"/>
    <w:rsid w:val="003526AA"/>
    <w:rsid w:val="00355981"/>
    <w:rsid w:val="00356DC1"/>
    <w:rsid w:val="00356E7B"/>
    <w:rsid w:val="003571AA"/>
    <w:rsid w:val="0036359F"/>
    <w:rsid w:val="00366022"/>
    <w:rsid w:val="003739E5"/>
    <w:rsid w:val="00374D01"/>
    <w:rsid w:val="00374F85"/>
    <w:rsid w:val="0037575E"/>
    <w:rsid w:val="00376C14"/>
    <w:rsid w:val="00377DB3"/>
    <w:rsid w:val="00380E46"/>
    <w:rsid w:val="00387EAE"/>
    <w:rsid w:val="00392FAC"/>
    <w:rsid w:val="00395547"/>
    <w:rsid w:val="00396E90"/>
    <w:rsid w:val="003971F5"/>
    <w:rsid w:val="003977B9"/>
    <w:rsid w:val="003B113A"/>
    <w:rsid w:val="003B1B7E"/>
    <w:rsid w:val="003B323D"/>
    <w:rsid w:val="003B4E54"/>
    <w:rsid w:val="003B5AD9"/>
    <w:rsid w:val="003C2263"/>
    <w:rsid w:val="003C3985"/>
    <w:rsid w:val="003C7F52"/>
    <w:rsid w:val="003D13E9"/>
    <w:rsid w:val="003D3627"/>
    <w:rsid w:val="003D376E"/>
    <w:rsid w:val="003E4177"/>
    <w:rsid w:val="003E5730"/>
    <w:rsid w:val="003F0602"/>
    <w:rsid w:val="003F0AA1"/>
    <w:rsid w:val="0040285E"/>
    <w:rsid w:val="00424E0B"/>
    <w:rsid w:val="0042771C"/>
    <w:rsid w:val="00430769"/>
    <w:rsid w:val="00434C2B"/>
    <w:rsid w:val="004357FF"/>
    <w:rsid w:val="00454EFE"/>
    <w:rsid w:val="004621C9"/>
    <w:rsid w:val="004627AD"/>
    <w:rsid w:val="00463FF1"/>
    <w:rsid w:val="004644E9"/>
    <w:rsid w:val="00467E1F"/>
    <w:rsid w:val="00467E56"/>
    <w:rsid w:val="00473BDB"/>
    <w:rsid w:val="00486DAE"/>
    <w:rsid w:val="004935B5"/>
    <w:rsid w:val="0049616B"/>
    <w:rsid w:val="00496293"/>
    <w:rsid w:val="004A2516"/>
    <w:rsid w:val="004B217E"/>
    <w:rsid w:val="004B31A8"/>
    <w:rsid w:val="004C2D46"/>
    <w:rsid w:val="004C7E6D"/>
    <w:rsid w:val="004C7EA1"/>
    <w:rsid w:val="004D3FE2"/>
    <w:rsid w:val="004D54DF"/>
    <w:rsid w:val="004E61F3"/>
    <w:rsid w:val="004F3F29"/>
    <w:rsid w:val="005002EA"/>
    <w:rsid w:val="00503CF9"/>
    <w:rsid w:val="005106AF"/>
    <w:rsid w:val="00514E6E"/>
    <w:rsid w:val="00520839"/>
    <w:rsid w:val="00522394"/>
    <w:rsid w:val="00523BA6"/>
    <w:rsid w:val="00525EAC"/>
    <w:rsid w:val="00531B83"/>
    <w:rsid w:val="00534BA2"/>
    <w:rsid w:val="005428EE"/>
    <w:rsid w:val="00544AD0"/>
    <w:rsid w:val="0054524C"/>
    <w:rsid w:val="00545F0E"/>
    <w:rsid w:val="005511D3"/>
    <w:rsid w:val="00554813"/>
    <w:rsid w:val="005554C5"/>
    <w:rsid w:val="00555F2D"/>
    <w:rsid w:val="00556396"/>
    <w:rsid w:val="0055775E"/>
    <w:rsid w:val="00561F92"/>
    <w:rsid w:val="0056318F"/>
    <w:rsid w:val="0056551C"/>
    <w:rsid w:val="00571A73"/>
    <w:rsid w:val="00581E08"/>
    <w:rsid w:val="00587298"/>
    <w:rsid w:val="00591609"/>
    <w:rsid w:val="005A1BFB"/>
    <w:rsid w:val="005A2CA5"/>
    <w:rsid w:val="005A3496"/>
    <w:rsid w:val="005A5D46"/>
    <w:rsid w:val="005B1F5C"/>
    <w:rsid w:val="005B53B3"/>
    <w:rsid w:val="005B54FF"/>
    <w:rsid w:val="005C2654"/>
    <w:rsid w:val="005C568D"/>
    <w:rsid w:val="005D0855"/>
    <w:rsid w:val="005D0CA8"/>
    <w:rsid w:val="005D48C3"/>
    <w:rsid w:val="005E3E56"/>
    <w:rsid w:val="005F4099"/>
    <w:rsid w:val="005F54CF"/>
    <w:rsid w:val="006019C4"/>
    <w:rsid w:val="006103DE"/>
    <w:rsid w:val="00610730"/>
    <w:rsid w:val="006127F1"/>
    <w:rsid w:val="00613D1B"/>
    <w:rsid w:val="0061795D"/>
    <w:rsid w:val="0062064A"/>
    <w:rsid w:val="0062206D"/>
    <w:rsid w:val="00623D86"/>
    <w:rsid w:val="00624865"/>
    <w:rsid w:val="00626122"/>
    <w:rsid w:val="006361AC"/>
    <w:rsid w:val="006366AF"/>
    <w:rsid w:val="0063750A"/>
    <w:rsid w:val="00637938"/>
    <w:rsid w:val="0064071C"/>
    <w:rsid w:val="00642EBF"/>
    <w:rsid w:val="00646772"/>
    <w:rsid w:val="00651536"/>
    <w:rsid w:val="0065363E"/>
    <w:rsid w:val="0065704E"/>
    <w:rsid w:val="00661186"/>
    <w:rsid w:val="00664FD9"/>
    <w:rsid w:val="006700DA"/>
    <w:rsid w:val="00674C97"/>
    <w:rsid w:val="00675ADE"/>
    <w:rsid w:val="0068361B"/>
    <w:rsid w:val="00684135"/>
    <w:rsid w:val="00686209"/>
    <w:rsid w:val="006A010B"/>
    <w:rsid w:val="006A3369"/>
    <w:rsid w:val="006A620A"/>
    <w:rsid w:val="006A7816"/>
    <w:rsid w:val="006B4508"/>
    <w:rsid w:val="006B480B"/>
    <w:rsid w:val="006B60E3"/>
    <w:rsid w:val="006C399E"/>
    <w:rsid w:val="006C4A6C"/>
    <w:rsid w:val="006C75E0"/>
    <w:rsid w:val="006D506F"/>
    <w:rsid w:val="006D5427"/>
    <w:rsid w:val="006D5E47"/>
    <w:rsid w:val="006E0885"/>
    <w:rsid w:val="006E3C7C"/>
    <w:rsid w:val="006F096F"/>
    <w:rsid w:val="006F363E"/>
    <w:rsid w:val="00701DA4"/>
    <w:rsid w:val="007024C4"/>
    <w:rsid w:val="0070553D"/>
    <w:rsid w:val="00705E14"/>
    <w:rsid w:val="00707EC3"/>
    <w:rsid w:val="00713037"/>
    <w:rsid w:val="00713E4C"/>
    <w:rsid w:val="00715A5D"/>
    <w:rsid w:val="00720035"/>
    <w:rsid w:val="00730603"/>
    <w:rsid w:val="00734C18"/>
    <w:rsid w:val="00736D50"/>
    <w:rsid w:val="00741791"/>
    <w:rsid w:val="00741F1A"/>
    <w:rsid w:val="00743F9C"/>
    <w:rsid w:val="007448EE"/>
    <w:rsid w:val="00746F4B"/>
    <w:rsid w:val="00750B72"/>
    <w:rsid w:val="00751C12"/>
    <w:rsid w:val="00752539"/>
    <w:rsid w:val="00762243"/>
    <w:rsid w:val="00764AC3"/>
    <w:rsid w:val="007677B6"/>
    <w:rsid w:val="00770F3A"/>
    <w:rsid w:val="007719C4"/>
    <w:rsid w:val="007728E4"/>
    <w:rsid w:val="00776944"/>
    <w:rsid w:val="0078445B"/>
    <w:rsid w:val="00797AD8"/>
    <w:rsid w:val="007A4313"/>
    <w:rsid w:val="007B18FB"/>
    <w:rsid w:val="007B33E3"/>
    <w:rsid w:val="007C11DC"/>
    <w:rsid w:val="007C37CD"/>
    <w:rsid w:val="007C428B"/>
    <w:rsid w:val="007D27DF"/>
    <w:rsid w:val="007D78A5"/>
    <w:rsid w:val="007E207F"/>
    <w:rsid w:val="007E24D4"/>
    <w:rsid w:val="007E4BC2"/>
    <w:rsid w:val="007E52C9"/>
    <w:rsid w:val="007E6128"/>
    <w:rsid w:val="007F04C2"/>
    <w:rsid w:val="007F4921"/>
    <w:rsid w:val="007F54E3"/>
    <w:rsid w:val="007F64BB"/>
    <w:rsid w:val="00800F56"/>
    <w:rsid w:val="00804912"/>
    <w:rsid w:val="0080794A"/>
    <w:rsid w:val="00810AB8"/>
    <w:rsid w:val="0081581C"/>
    <w:rsid w:val="0082068D"/>
    <w:rsid w:val="00822B71"/>
    <w:rsid w:val="00823365"/>
    <w:rsid w:val="00827FDE"/>
    <w:rsid w:val="00836A35"/>
    <w:rsid w:val="00842DE3"/>
    <w:rsid w:val="0084308B"/>
    <w:rsid w:val="00843A69"/>
    <w:rsid w:val="008461F1"/>
    <w:rsid w:val="008528A2"/>
    <w:rsid w:val="00861E66"/>
    <w:rsid w:val="00865E11"/>
    <w:rsid w:val="0086668F"/>
    <w:rsid w:val="00872607"/>
    <w:rsid w:val="008729E1"/>
    <w:rsid w:val="008736AB"/>
    <w:rsid w:val="008775FD"/>
    <w:rsid w:val="00881185"/>
    <w:rsid w:val="00884D39"/>
    <w:rsid w:val="008928D5"/>
    <w:rsid w:val="00893D28"/>
    <w:rsid w:val="00894CAC"/>
    <w:rsid w:val="00896E6D"/>
    <w:rsid w:val="008A0A48"/>
    <w:rsid w:val="008A2487"/>
    <w:rsid w:val="008A71DB"/>
    <w:rsid w:val="008A72E4"/>
    <w:rsid w:val="008A78D8"/>
    <w:rsid w:val="008B36CF"/>
    <w:rsid w:val="008B3C25"/>
    <w:rsid w:val="008B43F1"/>
    <w:rsid w:val="008B6B93"/>
    <w:rsid w:val="008E1612"/>
    <w:rsid w:val="008E17D9"/>
    <w:rsid w:val="008E4560"/>
    <w:rsid w:val="008E52E5"/>
    <w:rsid w:val="008F210A"/>
    <w:rsid w:val="008F2954"/>
    <w:rsid w:val="008F7BDA"/>
    <w:rsid w:val="00906DD4"/>
    <w:rsid w:val="00911EE5"/>
    <w:rsid w:val="00913721"/>
    <w:rsid w:val="00917D97"/>
    <w:rsid w:val="00917ECE"/>
    <w:rsid w:val="009217E0"/>
    <w:rsid w:val="009249C3"/>
    <w:rsid w:val="00924B4B"/>
    <w:rsid w:val="009320DC"/>
    <w:rsid w:val="00935E6A"/>
    <w:rsid w:val="009409CC"/>
    <w:rsid w:val="0094124D"/>
    <w:rsid w:val="00945ADA"/>
    <w:rsid w:val="009550F4"/>
    <w:rsid w:val="00956355"/>
    <w:rsid w:val="00956E97"/>
    <w:rsid w:val="0095762E"/>
    <w:rsid w:val="00960082"/>
    <w:rsid w:val="009601E1"/>
    <w:rsid w:val="009711B7"/>
    <w:rsid w:val="009711C4"/>
    <w:rsid w:val="009720A2"/>
    <w:rsid w:val="00973DA6"/>
    <w:rsid w:val="00977023"/>
    <w:rsid w:val="009778E4"/>
    <w:rsid w:val="00980391"/>
    <w:rsid w:val="00980D75"/>
    <w:rsid w:val="00985E08"/>
    <w:rsid w:val="00996116"/>
    <w:rsid w:val="009A0CEC"/>
    <w:rsid w:val="009A3A49"/>
    <w:rsid w:val="009A3E3D"/>
    <w:rsid w:val="009A42D6"/>
    <w:rsid w:val="009A6024"/>
    <w:rsid w:val="009A70B2"/>
    <w:rsid w:val="009B1242"/>
    <w:rsid w:val="009B2826"/>
    <w:rsid w:val="009B3FDF"/>
    <w:rsid w:val="009B42C7"/>
    <w:rsid w:val="009C2A20"/>
    <w:rsid w:val="009C3D07"/>
    <w:rsid w:val="009C483C"/>
    <w:rsid w:val="009E4D7A"/>
    <w:rsid w:val="009F3704"/>
    <w:rsid w:val="009F3C49"/>
    <w:rsid w:val="00A04105"/>
    <w:rsid w:val="00A0640F"/>
    <w:rsid w:val="00A06AEC"/>
    <w:rsid w:val="00A0703F"/>
    <w:rsid w:val="00A10568"/>
    <w:rsid w:val="00A11BE1"/>
    <w:rsid w:val="00A23C5B"/>
    <w:rsid w:val="00A25538"/>
    <w:rsid w:val="00A35402"/>
    <w:rsid w:val="00A35B8E"/>
    <w:rsid w:val="00A37CE0"/>
    <w:rsid w:val="00A461A0"/>
    <w:rsid w:val="00A46219"/>
    <w:rsid w:val="00A51D51"/>
    <w:rsid w:val="00A63E78"/>
    <w:rsid w:val="00A65742"/>
    <w:rsid w:val="00A65A97"/>
    <w:rsid w:val="00A726D6"/>
    <w:rsid w:val="00A72D90"/>
    <w:rsid w:val="00A72E52"/>
    <w:rsid w:val="00A74A35"/>
    <w:rsid w:val="00A753ED"/>
    <w:rsid w:val="00A77589"/>
    <w:rsid w:val="00A7765C"/>
    <w:rsid w:val="00A86766"/>
    <w:rsid w:val="00A9021B"/>
    <w:rsid w:val="00A90D94"/>
    <w:rsid w:val="00A9382D"/>
    <w:rsid w:val="00A97DC4"/>
    <w:rsid w:val="00AA2BA6"/>
    <w:rsid w:val="00AA5C7C"/>
    <w:rsid w:val="00AB1B13"/>
    <w:rsid w:val="00AB204F"/>
    <w:rsid w:val="00AB6F3F"/>
    <w:rsid w:val="00AB7E80"/>
    <w:rsid w:val="00AC0356"/>
    <w:rsid w:val="00AC6C43"/>
    <w:rsid w:val="00AD1E80"/>
    <w:rsid w:val="00AD67A7"/>
    <w:rsid w:val="00AE198F"/>
    <w:rsid w:val="00AE2CA8"/>
    <w:rsid w:val="00AF15C9"/>
    <w:rsid w:val="00B00012"/>
    <w:rsid w:val="00B02AD4"/>
    <w:rsid w:val="00B03363"/>
    <w:rsid w:val="00B038E0"/>
    <w:rsid w:val="00B04886"/>
    <w:rsid w:val="00B11E66"/>
    <w:rsid w:val="00B12B26"/>
    <w:rsid w:val="00B13545"/>
    <w:rsid w:val="00B15535"/>
    <w:rsid w:val="00B15C71"/>
    <w:rsid w:val="00B20CA6"/>
    <w:rsid w:val="00B255F6"/>
    <w:rsid w:val="00B26986"/>
    <w:rsid w:val="00B26D5E"/>
    <w:rsid w:val="00B2718E"/>
    <w:rsid w:val="00B36453"/>
    <w:rsid w:val="00B4056D"/>
    <w:rsid w:val="00B41C36"/>
    <w:rsid w:val="00B4521D"/>
    <w:rsid w:val="00B50533"/>
    <w:rsid w:val="00B5483C"/>
    <w:rsid w:val="00B55553"/>
    <w:rsid w:val="00B5660A"/>
    <w:rsid w:val="00B652CF"/>
    <w:rsid w:val="00B66951"/>
    <w:rsid w:val="00B71478"/>
    <w:rsid w:val="00B747F2"/>
    <w:rsid w:val="00B81186"/>
    <w:rsid w:val="00B8170C"/>
    <w:rsid w:val="00B854D5"/>
    <w:rsid w:val="00BA4C6C"/>
    <w:rsid w:val="00BA73A9"/>
    <w:rsid w:val="00BB1DCF"/>
    <w:rsid w:val="00BB2005"/>
    <w:rsid w:val="00BB2FD0"/>
    <w:rsid w:val="00BC1279"/>
    <w:rsid w:val="00BC798F"/>
    <w:rsid w:val="00BE0B01"/>
    <w:rsid w:val="00BE3D28"/>
    <w:rsid w:val="00BE7B08"/>
    <w:rsid w:val="00BF257B"/>
    <w:rsid w:val="00C0028F"/>
    <w:rsid w:val="00C01538"/>
    <w:rsid w:val="00C03993"/>
    <w:rsid w:val="00C03D30"/>
    <w:rsid w:val="00C05954"/>
    <w:rsid w:val="00C11ACC"/>
    <w:rsid w:val="00C16B99"/>
    <w:rsid w:val="00C2083B"/>
    <w:rsid w:val="00C21495"/>
    <w:rsid w:val="00C26199"/>
    <w:rsid w:val="00C41569"/>
    <w:rsid w:val="00C42442"/>
    <w:rsid w:val="00C50C99"/>
    <w:rsid w:val="00C539C5"/>
    <w:rsid w:val="00C56537"/>
    <w:rsid w:val="00C610AA"/>
    <w:rsid w:val="00C61CAE"/>
    <w:rsid w:val="00C61EBB"/>
    <w:rsid w:val="00C653DB"/>
    <w:rsid w:val="00C843A8"/>
    <w:rsid w:val="00C86BB2"/>
    <w:rsid w:val="00C94087"/>
    <w:rsid w:val="00C953A9"/>
    <w:rsid w:val="00CA0255"/>
    <w:rsid w:val="00CA070C"/>
    <w:rsid w:val="00CA1D1D"/>
    <w:rsid w:val="00CB26B6"/>
    <w:rsid w:val="00CB26F1"/>
    <w:rsid w:val="00CC09AF"/>
    <w:rsid w:val="00CC2C8E"/>
    <w:rsid w:val="00CC6A27"/>
    <w:rsid w:val="00CC7AF8"/>
    <w:rsid w:val="00CD005C"/>
    <w:rsid w:val="00CD030B"/>
    <w:rsid w:val="00CD0FF9"/>
    <w:rsid w:val="00CD1717"/>
    <w:rsid w:val="00CD2A97"/>
    <w:rsid w:val="00CE2D5E"/>
    <w:rsid w:val="00CE31CD"/>
    <w:rsid w:val="00CE3DFA"/>
    <w:rsid w:val="00CE4269"/>
    <w:rsid w:val="00CE7A25"/>
    <w:rsid w:val="00CF1EB0"/>
    <w:rsid w:val="00CF2D0E"/>
    <w:rsid w:val="00CF3521"/>
    <w:rsid w:val="00D00C40"/>
    <w:rsid w:val="00D01D18"/>
    <w:rsid w:val="00D0411D"/>
    <w:rsid w:val="00D05382"/>
    <w:rsid w:val="00D05732"/>
    <w:rsid w:val="00D11D71"/>
    <w:rsid w:val="00D11F72"/>
    <w:rsid w:val="00D17ADE"/>
    <w:rsid w:val="00D2156C"/>
    <w:rsid w:val="00D40924"/>
    <w:rsid w:val="00D421E8"/>
    <w:rsid w:val="00D4714D"/>
    <w:rsid w:val="00D52853"/>
    <w:rsid w:val="00D53C11"/>
    <w:rsid w:val="00D54165"/>
    <w:rsid w:val="00D61DF6"/>
    <w:rsid w:val="00D730E4"/>
    <w:rsid w:val="00D872FE"/>
    <w:rsid w:val="00D91266"/>
    <w:rsid w:val="00D95CD4"/>
    <w:rsid w:val="00D963EF"/>
    <w:rsid w:val="00D97DF1"/>
    <w:rsid w:val="00DA4251"/>
    <w:rsid w:val="00DA5BB3"/>
    <w:rsid w:val="00DB3029"/>
    <w:rsid w:val="00DB49F0"/>
    <w:rsid w:val="00DB7435"/>
    <w:rsid w:val="00DC14FF"/>
    <w:rsid w:val="00DD1183"/>
    <w:rsid w:val="00DD2F11"/>
    <w:rsid w:val="00DD3421"/>
    <w:rsid w:val="00DD508C"/>
    <w:rsid w:val="00DE0FA2"/>
    <w:rsid w:val="00DE1E96"/>
    <w:rsid w:val="00DE2E40"/>
    <w:rsid w:val="00DE7F33"/>
    <w:rsid w:val="00DE7F57"/>
    <w:rsid w:val="00DF1E18"/>
    <w:rsid w:val="00E00194"/>
    <w:rsid w:val="00E03C7E"/>
    <w:rsid w:val="00E04A77"/>
    <w:rsid w:val="00E10EBB"/>
    <w:rsid w:val="00E124B7"/>
    <w:rsid w:val="00E52C5C"/>
    <w:rsid w:val="00E53F2A"/>
    <w:rsid w:val="00E643C1"/>
    <w:rsid w:val="00E71130"/>
    <w:rsid w:val="00E71559"/>
    <w:rsid w:val="00E71AE9"/>
    <w:rsid w:val="00E725AE"/>
    <w:rsid w:val="00E73B73"/>
    <w:rsid w:val="00E7423C"/>
    <w:rsid w:val="00E76480"/>
    <w:rsid w:val="00E83D00"/>
    <w:rsid w:val="00E858BC"/>
    <w:rsid w:val="00E90023"/>
    <w:rsid w:val="00E95D5F"/>
    <w:rsid w:val="00EA10F4"/>
    <w:rsid w:val="00EA5375"/>
    <w:rsid w:val="00EA641B"/>
    <w:rsid w:val="00EB3FFC"/>
    <w:rsid w:val="00EB68BA"/>
    <w:rsid w:val="00EC3985"/>
    <w:rsid w:val="00EC6A0A"/>
    <w:rsid w:val="00ED1AB0"/>
    <w:rsid w:val="00ED60CD"/>
    <w:rsid w:val="00EE330B"/>
    <w:rsid w:val="00EE7FA8"/>
    <w:rsid w:val="00EF04A2"/>
    <w:rsid w:val="00EF0CFE"/>
    <w:rsid w:val="00EF4450"/>
    <w:rsid w:val="00F00C6D"/>
    <w:rsid w:val="00F02552"/>
    <w:rsid w:val="00F02B80"/>
    <w:rsid w:val="00F05B58"/>
    <w:rsid w:val="00F11BA2"/>
    <w:rsid w:val="00F155E8"/>
    <w:rsid w:val="00F175CA"/>
    <w:rsid w:val="00F20338"/>
    <w:rsid w:val="00F26D6C"/>
    <w:rsid w:val="00F30F7B"/>
    <w:rsid w:val="00F31775"/>
    <w:rsid w:val="00F32408"/>
    <w:rsid w:val="00F33040"/>
    <w:rsid w:val="00F339BA"/>
    <w:rsid w:val="00F34A32"/>
    <w:rsid w:val="00F368B2"/>
    <w:rsid w:val="00F53C17"/>
    <w:rsid w:val="00F615D5"/>
    <w:rsid w:val="00F61B4D"/>
    <w:rsid w:val="00F6261D"/>
    <w:rsid w:val="00F6281E"/>
    <w:rsid w:val="00F70271"/>
    <w:rsid w:val="00F72AF1"/>
    <w:rsid w:val="00F737F4"/>
    <w:rsid w:val="00F80936"/>
    <w:rsid w:val="00F82609"/>
    <w:rsid w:val="00F83033"/>
    <w:rsid w:val="00F85D29"/>
    <w:rsid w:val="00F85F44"/>
    <w:rsid w:val="00F86CD2"/>
    <w:rsid w:val="00F87E78"/>
    <w:rsid w:val="00F90E20"/>
    <w:rsid w:val="00FB1765"/>
    <w:rsid w:val="00FB495A"/>
    <w:rsid w:val="00FB6FCD"/>
    <w:rsid w:val="00FC0193"/>
    <w:rsid w:val="00FC089D"/>
    <w:rsid w:val="00FC20F8"/>
    <w:rsid w:val="00FC25B3"/>
    <w:rsid w:val="00FC3E02"/>
    <w:rsid w:val="00FC643F"/>
    <w:rsid w:val="00FD3218"/>
    <w:rsid w:val="00FD6D2F"/>
    <w:rsid w:val="00FE0637"/>
    <w:rsid w:val="00FE3B33"/>
    <w:rsid w:val="00FE66A1"/>
    <w:rsid w:val="00FF6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78C0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5F4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C399E"/>
    <w:pPr>
      <w:spacing w:before="320" w:line="360" w:lineRule="auto"/>
      <w:outlineLvl w:val="1"/>
    </w:pPr>
    <w:rPr>
      <w:rFonts w:ascii="Times New Roman" w:eastAsiaTheme="majorEastAsia" w:hAnsi="Times New Roman" w:cs="Times New Roman"/>
      <w:b/>
      <w:color w:val="365F91" w:themeColor="accent1" w:themeShade="BF"/>
      <w:sz w:val="22"/>
      <w:szCs w:val="26"/>
    </w:rPr>
  </w:style>
  <w:style w:type="paragraph" w:styleId="Heading3">
    <w:name w:val="heading 3"/>
    <w:basedOn w:val="Normal"/>
    <w:next w:val="Normal"/>
    <w:link w:val="Heading3Char"/>
    <w:uiPriority w:val="9"/>
    <w:unhideWhenUsed/>
    <w:qFormat/>
    <w:rsid w:val="001F1E72"/>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F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B1F5C"/>
    <w:rPr>
      <w:rFonts w:ascii="Lucida Grande" w:hAnsi="Lucida Grande" w:cs="Lucida Grande"/>
      <w:sz w:val="18"/>
      <w:szCs w:val="18"/>
    </w:rPr>
  </w:style>
  <w:style w:type="character" w:customStyle="1" w:styleId="Heading1Char">
    <w:name w:val="Heading 1 Char"/>
    <w:basedOn w:val="DefaultParagraphFont"/>
    <w:link w:val="Heading1"/>
    <w:uiPriority w:val="9"/>
    <w:rsid w:val="00F85F44"/>
    <w:rPr>
      <w:rFonts w:asciiTheme="majorHAnsi" w:eastAsiaTheme="majorEastAsia" w:hAnsiTheme="majorHAnsi" w:cstheme="majorBidi"/>
      <w:b/>
      <w:bCs/>
      <w:color w:val="345A8A" w:themeColor="accent1" w:themeShade="B5"/>
      <w:sz w:val="32"/>
      <w:szCs w:val="32"/>
    </w:rPr>
  </w:style>
  <w:style w:type="paragraph" w:styleId="Title">
    <w:name w:val="Title"/>
    <w:basedOn w:val="Normal"/>
    <w:next w:val="Normal"/>
    <w:link w:val="TitleChar"/>
    <w:uiPriority w:val="10"/>
    <w:qFormat/>
    <w:rsid w:val="00F85F44"/>
    <w:pPr>
      <w:spacing w:after="24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F85F44"/>
    <w:rPr>
      <w:rFonts w:asciiTheme="majorHAnsi" w:eastAsiaTheme="majorEastAsia" w:hAnsiTheme="majorHAnsi" w:cstheme="majorBidi"/>
      <w:b/>
      <w:bCs/>
      <w:i/>
      <w:iCs/>
      <w:spacing w:val="10"/>
      <w:sz w:val="60"/>
      <w:szCs w:val="60"/>
    </w:rPr>
  </w:style>
  <w:style w:type="paragraph" w:styleId="Header">
    <w:name w:val="header"/>
    <w:basedOn w:val="Normal"/>
    <w:link w:val="HeaderChar"/>
    <w:uiPriority w:val="99"/>
    <w:unhideWhenUsed/>
    <w:rsid w:val="00F85F44"/>
    <w:pPr>
      <w:tabs>
        <w:tab w:val="center" w:pos="4320"/>
        <w:tab w:val="right" w:pos="8640"/>
      </w:tabs>
    </w:pPr>
  </w:style>
  <w:style w:type="character" w:customStyle="1" w:styleId="HeaderChar">
    <w:name w:val="Header Char"/>
    <w:basedOn w:val="DefaultParagraphFont"/>
    <w:link w:val="Header"/>
    <w:uiPriority w:val="99"/>
    <w:rsid w:val="00F85F44"/>
  </w:style>
  <w:style w:type="paragraph" w:styleId="Footer">
    <w:name w:val="footer"/>
    <w:basedOn w:val="Normal"/>
    <w:link w:val="FooterChar"/>
    <w:uiPriority w:val="99"/>
    <w:unhideWhenUsed/>
    <w:rsid w:val="00F85F44"/>
    <w:pPr>
      <w:tabs>
        <w:tab w:val="center" w:pos="4320"/>
        <w:tab w:val="right" w:pos="8640"/>
      </w:tabs>
    </w:pPr>
  </w:style>
  <w:style w:type="character" w:customStyle="1" w:styleId="FooterChar">
    <w:name w:val="Footer Char"/>
    <w:basedOn w:val="DefaultParagraphFont"/>
    <w:link w:val="Footer"/>
    <w:uiPriority w:val="99"/>
    <w:rsid w:val="00F85F44"/>
  </w:style>
  <w:style w:type="character" w:styleId="Hyperlink">
    <w:name w:val="Hyperlink"/>
    <w:basedOn w:val="DefaultParagraphFont"/>
    <w:uiPriority w:val="99"/>
    <w:unhideWhenUsed/>
    <w:rsid w:val="00F85F44"/>
    <w:rPr>
      <w:color w:val="0000FF" w:themeColor="hyperlink"/>
      <w:u w:val="single"/>
    </w:rPr>
  </w:style>
  <w:style w:type="paragraph" w:customStyle="1" w:styleId="Tekst">
    <w:name w:val="Tekst"/>
    <w:basedOn w:val="Normal"/>
    <w:qFormat/>
    <w:rsid w:val="00F85F44"/>
    <w:pPr>
      <w:spacing w:line="480" w:lineRule="auto"/>
      <w:jc w:val="both"/>
    </w:pPr>
    <w:rPr>
      <w:rFonts w:ascii="Times New Roman" w:eastAsia="Times New Roman" w:hAnsi="Times New Roman" w:cs="Times New Roman"/>
      <w:sz w:val="20"/>
      <w:lang w:eastAsia="sl-SI"/>
    </w:rPr>
  </w:style>
  <w:style w:type="character" w:styleId="CommentReference">
    <w:name w:val="annotation reference"/>
    <w:basedOn w:val="DefaultParagraphFont"/>
    <w:uiPriority w:val="99"/>
    <w:semiHidden/>
    <w:unhideWhenUsed/>
    <w:rsid w:val="00A35B8E"/>
    <w:rPr>
      <w:sz w:val="18"/>
      <w:szCs w:val="18"/>
    </w:rPr>
  </w:style>
  <w:style w:type="paragraph" w:styleId="CommentText">
    <w:name w:val="annotation text"/>
    <w:basedOn w:val="Normal"/>
    <w:link w:val="CommentTextChar"/>
    <w:uiPriority w:val="99"/>
    <w:unhideWhenUsed/>
    <w:rsid w:val="00A35B8E"/>
  </w:style>
  <w:style w:type="character" w:customStyle="1" w:styleId="CommentTextChar">
    <w:name w:val="Comment Text Char"/>
    <w:basedOn w:val="DefaultParagraphFont"/>
    <w:link w:val="CommentText"/>
    <w:uiPriority w:val="99"/>
    <w:rsid w:val="00A35B8E"/>
  </w:style>
  <w:style w:type="paragraph" w:styleId="CommentSubject">
    <w:name w:val="annotation subject"/>
    <w:basedOn w:val="CommentText"/>
    <w:next w:val="CommentText"/>
    <w:link w:val="CommentSubjectChar"/>
    <w:uiPriority w:val="99"/>
    <w:semiHidden/>
    <w:unhideWhenUsed/>
    <w:rsid w:val="00A35B8E"/>
    <w:rPr>
      <w:b/>
      <w:bCs/>
      <w:sz w:val="20"/>
      <w:szCs w:val="20"/>
    </w:rPr>
  </w:style>
  <w:style w:type="character" w:customStyle="1" w:styleId="CommentSubjectChar">
    <w:name w:val="Comment Subject Char"/>
    <w:basedOn w:val="CommentTextChar"/>
    <w:link w:val="CommentSubject"/>
    <w:uiPriority w:val="99"/>
    <w:semiHidden/>
    <w:rsid w:val="00A35B8E"/>
    <w:rPr>
      <w:b/>
      <w:bCs/>
      <w:sz w:val="20"/>
      <w:szCs w:val="20"/>
    </w:rPr>
  </w:style>
  <w:style w:type="character" w:customStyle="1" w:styleId="Heading2Char">
    <w:name w:val="Heading 2 Char"/>
    <w:basedOn w:val="DefaultParagraphFont"/>
    <w:link w:val="Heading2"/>
    <w:uiPriority w:val="9"/>
    <w:rsid w:val="006C399E"/>
    <w:rPr>
      <w:rFonts w:ascii="Times New Roman" w:eastAsiaTheme="majorEastAsia" w:hAnsi="Times New Roman" w:cs="Times New Roman"/>
      <w:b/>
      <w:color w:val="365F91" w:themeColor="accent1" w:themeShade="BF"/>
      <w:sz w:val="22"/>
      <w:szCs w:val="26"/>
    </w:rPr>
  </w:style>
  <w:style w:type="paragraph" w:styleId="TOC1">
    <w:name w:val="toc 1"/>
    <w:basedOn w:val="Normal"/>
    <w:next w:val="Normal"/>
    <w:autoRedefine/>
    <w:uiPriority w:val="39"/>
    <w:unhideWhenUsed/>
    <w:rsid w:val="00467E56"/>
    <w:pPr>
      <w:tabs>
        <w:tab w:val="left" w:pos="440"/>
        <w:tab w:val="right" w:leader="dot" w:pos="8864"/>
      </w:tabs>
      <w:spacing w:after="100"/>
    </w:pPr>
    <w:rPr>
      <w:rFonts w:ascii="Times New Roman" w:hAnsi="Times New Roman" w:cs="Times New Roman"/>
    </w:rPr>
  </w:style>
  <w:style w:type="paragraph" w:styleId="TOC2">
    <w:name w:val="toc 2"/>
    <w:basedOn w:val="Normal"/>
    <w:next w:val="Normal"/>
    <w:autoRedefine/>
    <w:uiPriority w:val="39"/>
    <w:unhideWhenUsed/>
    <w:rsid w:val="00203DFB"/>
    <w:pPr>
      <w:spacing w:after="100"/>
      <w:ind w:left="240"/>
    </w:pPr>
  </w:style>
  <w:style w:type="paragraph" w:styleId="TOCHeading">
    <w:name w:val="TOC Heading"/>
    <w:basedOn w:val="Heading1"/>
    <w:next w:val="Normal"/>
    <w:uiPriority w:val="39"/>
    <w:unhideWhenUsed/>
    <w:qFormat/>
    <w:rsid w:val="00E10EBB"/>
    <w:pPr>
      <w:spacing w:before="240" w:line="259" w:lineRule="auto"/>
      <w:outlineLvl w:val="9"/>
    </w:pPr>
    <w:rPr>
      <w:b w:val="0"/>
      <w:bCs w:val="0"/>
      <w:color w:val="365F91" w:themeColor="accent1" w:themeShade="BF"/>
    </w:rPr>
  </w:style>
  <w:style w:type="paragraph" w:styleId="Revision">
    <w:name w:val="Revision"/>
    <w:hidden/>
    <w:uiPriority w:val="99"/>
    <w:semiHidden/>
    <w:rsid w:val="00EB3FFC"/>
  </w:style>
  <w:style w:type="paragraph" w:styleId="Caption">
    <w:name w:val="caption"/>
    <w:basedOn w:val="Normal"/>
    <w:next w:val="Normal"/>
    <w:uiPriority w:val="35"/>
    <w:unhideWhenUsed/>
    <w:qFormat/>
    <w:rsid w:val="0062064A"/>
    <w:pPr>
      <w:spacing w:after="200"/>
    </w:pPr>
    <w:rPr>
      <w:b/>
      <w:bCs/>
      <w:color w:val="4F81BD" w:themeColor="accent1"/>
      <w:sz w:val="18"/>
      <w:szCs w:val="18"/>
    </w:rPr>
  </w:style>
  <w:style w:type="table" w:styleId="TableGrid">
    <w:name w:val="Table Grid"/>
    <w:basedOn w:val="TableNormal"/>
    <w:uiPriority w:val="59"/>
    <w:rsid w:val="00713037"/>
    <w:pPr>
      <w:spacing w:after="240" w:line="480" w:lineRule="auto"/>
      <w:ind w:firstLine="36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13037"/>
  </w:style>
  <w:style w:type="paragraph" w:styleId="ListParagraph">
    <w:name w:val="List Paragraph"/>
    <w:basedOn w:val="Normal"/>
    <w:uiPriority w:val="34"/>
    <w:qFormat/>
    <w:rsid w:val="006A7816"/>
    <w:pPr>
      <w:ind w:left="720"/>
      <w:contextualSpacing/>
    </w:pPr>
  </w:style>
  <w:style w:type="numbering" w:customStyle="1" w:styleId="Style1">
    <w:name w:val="Style1"/>
    <w:uiPriority w:val="99"/>
    <w:rsid w:val="00797AD8"/>
    <w:pPr>
      <w:numPr>
        <w:numId w:val="34"/>
      </w:numPr>
    </w:pPr>
  </w:style>
  <w:style w:type="paragraph" w:customStyle="1" w:styleId="BBAuthorName">
    <w:name w:val="BB_Author_Name"/>
    <w:basedOn w:val="Normal"/>
    <w:next w:val="BCAuthorAddress"/>
    <w:autoRedefine/>
    <w:rsid w:val="00741791"/>
    <w:pPr>
      <w:spacing w:after="180"/>
    </w:pPr>
    <w:rPr>
      <w:rFonts w:ascii="Arno Pro" w:eastAsia="Times New Roman" w:hAnsi="Arno Pro" w:cs="Times New Roman"/>
      <w:kern w:val="26"/>
      <w:szCs w:val="20"/>
    </w:rPr>
  </w:style>
  <w:style w:type="paragraph" w:customStyle="1" w:styleId="BCAuthorAddress">
    <w:name w:val="BC_Author_Address"/>
    <w:basedOn w:val="Normal"/>
    <w:next w:val="Normal"/>
    <w:rsid w:val="00741791"/>
    <w:pPr>
      <w:spacing w:after="60"/>
    </w:pPr>
    <w:rPr>
      <w:rFonts w:ascii="Arno Pro" w:eastAsia="Times New Roman" w:hAnsi="Arno Pro" w:cs="Times New Roman"/>
      <w:kern w:val="22"/>
      <w:sz w:val="20"/>
      <w:szCs w:val="20"/>
    </w:rPr>
  </w:style>
  <w:style w:type="paragraph" w:customStyle="1" w:styleId="TAMainText">
    <w:name w:val="TA_Main_Text"/>
    <w:basedOn w:val="Normal"/>
    <w:rsid w:val="008B6B93"/>
    <w:pPr>
      <w:spacing w:after="60"/>
      <w:ind w:firstLine="180"/>
      <w:jc w:val="both"/>
    </w:pPr>
    <w:rPr>
      <w:rFonts w:ascii="Arno Pro" w:eastAsia="Times New Roman" w:hAnsi="Arno Pro" w:cs="Times New Roman"/>
      <w:kern w:val="21"/>
      <w:sz w:val="19"/>
      <w:szCs w:val="20"/>
    </w:rPr>
  </w:style>
  <w:style w:type="paragraph" w:customStyle="1" w:styleId="Default">
    <w:name w:val="Default"/>
    <w:rsid w:val="003C3985"/>
    <w:pPr>
      <w:autoSpaceDE w:val="0"/>
      <w:autoSpaceDN w:val="0"/>
      <w:adjustRightInd w:val="0"/>
    </w:pPr>
    <w:rPr>
      <w:rFonts w:ascii="Times New Roman" w:hAnsi="Times New Roman" w:cs="Times New Roman"/>
      <w:color w:val="000000"/>
    </w:rPr>
  </w:style>
  <w:style w:type="character" w:styleId="PlaceholderText">
    <w:name w:val="Placeholder Text"/>
    <w:basedOn w:val="DefaultParagraphFont"/>
    <w:uiPriority w:val="99"/>
    <w:semiHidden/>
    <w:rsid w:val="00282FE4"/>
    <w:rPr>
      <w:color w:val="808080"/>
    </w:rPr>
  </w:style>
  <w:style w:type="table" w:customStyle="1" w:styleId="PlainTable2">
    <w:name w:val="Plain Table 2"/>
    <w:basedOn w:val="TableNormal"/>
    <w:uiPriority w:val="99"/>
    <w:rsid w:val="003E57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rsid w:val="001F1E72"/>
    <w:rPr>
      <w:rFonts w:asciiTheme="majorHAnsi" w:eastAsiaTheme="majorEastAsia" w:hAnsiTheme="majorHAnsi" w:cstheme="majorBidi"/>
      <w:color w:val="243F60" w:themeColor="accent1" w:themeShade="7F"/>
    </w:rPr>
  </w:style>
  <w:style w:type="paragraph" w:styleId="TOC3">
    <w:name w:val="toc 3"/>
    <w:basedOn w:val="Normal"/>
    <w:next w:val="Normal"/>
    <w:autoRedefine/>
    <w:uiPriority w:val="39"/>
    <w:unhideWhenUsed/>
    <w:rsid w:val="00843A69"/>
    <w:pPr>
      <w:tabs>
        <w:tab w:val="right" w:leader="dot" w:pos="8864"/>
      </w:tabs>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5F4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C399E"/>
    <w:pPr>
      <w:spacing w:before="320" w:line="360" w:lineRule="auto"/>
      <w:outlineLvl w:val="1"/>
    </w:pPr>
    <w:rPr>
      <w:rFonts w:ascii="Times New Roman" w:eastAsiaTheme="majorEastAsia" w:hAnsi="Times New Roman" w:cs="Times New Roman"/>
      <w:b/>
      <w:color w:val="365F91" w:themeColor="accent1" w:themeShade="BF"/>
      <w:sz w:val="22"/>
      <w:szCs w:val="26"/>
    </w:rPr>
  </w:style>
  <w:style w:type="paragraph" w:styleId="Heading3">
    <w:name w:val="heading 3"/>
    <w:basedOn w:val="Normal"/>
    <w:next w:val="Normal"/>
    <w:link w:val="Heading3Char"/>
    <w:uiPriority w:val="9"/>
    <w:unhideWhenUsed/>
    <w:qFormat/>
    <w:rsid w:val="001F1E72"/>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F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B1F5C"/>
    <w:rPr>
      <w:rFonts w:ascii="Lucida Grande" w:hAnsi="Lucida Grande" w:cs="Lucida Grande"/>
      <w:sz w:val="18"/>
      <w:szCs w:val="18"/>
    </w:rPr>
  </w:style>
  <w:style w:type="character" w:customStyle="1" w:styleId="Heading1Char">
    <w:name w:val="Heading 1 Char"/>
    <w:basedOn w:val="DefaultParagraphFont"/>
    <w:link w:val="Heading1"/>
    <w:uiPriority w:val="9"/>
    <w:rsid w:val="00F85F44"/>
    <w:rPr>
      <w:rFonts w:asciiTheme="majorHAnsi" w:eastAsiaTheme="majorEastAsia" w:hAnsiTheme="majorHAnsi" w:cstheme="majorBidi"/>
      <w:b/>
      <w:bCs/>
      <w:color w:val="345A8A" w:themeColor="accent1" w:themeShade="B5"/>
      <w:sz w:val="32"/>
      <w:szCs w:val="32"/>
    </w:rPr>
  </w:style>
  <w:style w:type="paragraph" w:styleId="Title">
    <w:name w:val="Title"/>
    <w:basedOn w:val="Normal"/>
    <w:next w:val="Normal"/>
    <w:link w:val="TitleChar"/>
    <w:uiPriority w:val="10"/>
    <w:qFormat/>
    <w:rsid w:val="00F85F44"/>
    <w:pPr>
      <w:spacing w:after="24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F85F44"/>
    <w:rPr>
      <w:rFonts w:asciiTheme="majorHAnsi" w:eastAsiaTheme="majorEastAsia" w:hAnsiTheme="majorHAnsi" w:cstheme="majorBidi"/>
      <w:b/>
      <w:bCs/>
      <w:i/>
      <w:iCs/>
      <w:spacing w:val="10"/>
      <w:sz w:val="60"/>
      <w:szCs w:val="60"/>
    </w:rPr>
  </w:style>
  <w:style w:type="paragraph" w:styleId="Header">
    <w:name w:val="header"/>
    <w:basedOn w:val="Normal"/>
    <w:link w:val="HeaderChar"/>
    <w:uiPriority w:val="99"/>
    <w:unhideWhenUsed/>
    <w:rsid w:val="00F85F44"/>
    <w:pPr>
      <w:tabs>
        <w:tab w:val="center" w:pos="4320"/>
        <w:tab w:val="right" w:pos="8640"/>
      </w:tabs>
    </w:pPr>
  </w:style>
  <w:style w:type="character" w:customStyle="1" w:styleId="HeaderChar">
    <w:name w:val="Header Char"/>
    <w:basedOn w:val="DefaultParagraphFont"/>
    <w:link w:val="Header"/>
    <w:uiPriority w:val="99"/>
    <w:rsid w:val="00F85F44"/>
  </w:style>
  <w:style w:type="paragraph" w:styleId="Footer">
    <w:name w:val="footer"/>
    <w:basedOn w:val="Normal"/>
    <w:link w:val="FooterChar"/>
    <w:uiPriority w:val="99"/>
    <w:unhideWhenUsed/>
    <w:rsid w:val="00F85F44"/>
    <w:pPr>
      <w:tabs>
        <w:tab w:val="center" w:pos="4320"/>
        <w:tab w:val="right" w:pos="8640"/>
      </w:tabs>
    </w:pPr>
  </w:style>
  <w:style w:type="character" w:customStyle="1" w:styleId="FooterChar">
    <w:name w:val="Footer Char"/>
    <w:basedOn w:val="DefaultParagraphFont"/>
    <w:link w:val="Footer"/>
    <w:uiPriority w:val="99"/>
    <w:rsid w:val="00F85F44"/>
  </w:style>
  <w:style w:type="character" w:styleId="Hyperlink">
    <w:name w:val="Hyperlink"/>
    <w:basedOn w:val="DefaultParagraphFont"/>
    <w:uiPriority w:val="99"/>
    <w:unhideWhenUsed/>
    <w:rsid w:val="00F85F44"/>
    <w:rPr>
      <w:color w:val="0000FF" w:themeColor="hyperlink"/>
      <w:u w:val="single"/>
    </w:rPr>
  </w:style>
  <w:style w:type="paragraph" w:customStyle="1" w:styleId="Tekst">
    <w:name w:val="Tekst"/>
    <w:basedOn w:val="Normal"/>
    <w:qFormat/>
    <w:rsid w:val="00F85F44"/>
    <w:pPr>
      <w:spacing w:line="480" w:lineRule="auto"/>
      <w:jc w:val="both"/>
    </w:pPr>
    <w:rPr>
      <w:rFonts w:ascii="Times New Roman" w:eastAsia="Times New Roman" w:hAnsi="Times New Roman" w:cs="Times New Roman"/>
      <w:sz w:val="20"/>
      <w:lang w:eastAsia="sl-SI"/>
    </w:rPr>
  </w:style>
  <w:style w:type="character" w:styleId="CommentReference">
    <w:name w:val="annotation reference"/>
    <w:basedOn w:val="DefaultParagraphFont"/>
    <w:uiPriority w:val="99"/>
    <w:semiHidden/>
    <w:unhideWhenUsed/>
    <w:rsid w:val="00A35B8E"/>
    <w:rPr>
      <w:sz w:val="18"/>
      <w:szCs w:val="18"/>
    </w:rPr>
  </w:style>
  <w:style w:type="paragraph" w:styleId="CommentText">
    <w:name w:val="annotation text"/>
    <w:basedOn w:val="Normal"/>
    <w:link w:val="CommentTextChar"/>
    <w:uiPriority w:val="99"/>
    <w:unhideWhenUsed/>
    <w:rsid w:val="00A35B8E"/>
  </w:style>
  <w:style w:type="character" w:customStyle="1" w:styleId="CommentTextChar">
    <w:name w:val="Comment Text Char"/>
    <w:basedOn w:val="DefaultParagraphFont"/>
    <w:link w:val="CommentText"/>
    <w:uiPriority w:val="99"/>
    <w:rsid w:val="00A35B8E"/>
  </w:style>
  <w:style w:type="paragraph" w:styleId="CommentSubject">
    <w:name w:val="annotation subject"/>
    <w:basedOn w:val="CommentText"/>
    <w:next w:val="CommentText"/>
    <w:link w:val="CommentSubjectChar"/>
    <w:uiPriority w:val="99"/>
    <w:semiHidden/>
    <w:unhideWhenUsed/>
    <w:rsid w:val="00A35B8E"/>
    <w:rPr>
      <w:b/>
      <w:bCs/>
      <w:sz w:val="20"/>
      <w:szCs w:val="20"/>
    </w:rPr>
  </w:style>
  <w:style w:type="character" w:customStyle="1" w:styleId="CommentSubjectChar">
    <w:name w:val="Comment Subject Char"/>
    <w:basedOn w:val="CommentTextChar"/>
    <w:link w:val="CommentSubject"/>
    <w:uiPriority w:val="99"/>
    <w:semiHidden/>
    <w:rsid w:val="00A35B8E"/>
    <w:rPr>
      <w:b/>
      <w:bCs/>
      <w:sz w:val="20"/>
      <w:szCs w:val="20"/>
    </w:rPr>
  </w:style>
  <w:style w:type="character" w:customStyle="1" w:styleId="Heading2Char">
    <w:name w:val="Heading 2 Char"/>
    <w:basedOn w:val="DefaultParagraphFont"/>
    <w:link w:val="Heading2"/>
    <w:uiPriority w:val="9"/>
    <w:rsid w:val="006C399E"/>
    <w:rPr>
      <w:rFonts w:ascii="Times New Roman" w:eastAsiaTheme="majorEastAsia" w:hAnsi="Times New Roman" w:cs="Times New Roman"/>
      <w:b/>
      <w:color w:val="365F91" w:themeColor="accent1" w:themeShade="BF"/>
      <w:sz w:val="22"/>
      <w:szCs w:val="26"/>
    </w:rPr>
  </w:style>
  <w:style w:type="paragraph" w:styleId="TOC1">
    <w:name w:val="toc 1"/>
    <w:basedOn w:val="Normal"/>
    <w:next w:val="Normal"/>
    <w:autoRedefine/>
    <w:uiPriority w:val="39"/>
    <w:unhideWhenUsed/>
    <w:rsid w:val="00467E56"/>
    <w:pPr>
      <w:tabs>
        <w:tab w:val="left" w:pos="440"/>
        <w:tab w:val="right" w:leader="dot" w:pos="8864"/>
      </w:tabs>
      <w:spacing w:after="100"/>
    </w:pPr>
    <w:rPr>
      <w:rFonts w:ascii="Times New Roman" w:hAnsi="Times New Roman" w:cs="Times New Roman"/>
    </w:rPr>
  </w:style>
  <w:style w:type="paragraph" w:styleId="TOC2">
    <w:name w:val="toc 2"/>
    <w:basedOn w:val="Normal"/>
    <w:next w:val="Normal"/>
    <w:autoRedefine/>
    <w:uiPriority w:val="39"/>
    <w:unhideWhenUsed/>
    <w:rsid w:val="00203DFB"/>
    <w:pPr>
      <w:spacing w:after="100"/>
      <w:ind w:left="240"/>
    </w:pPr>
  </w:style>
  <w:style w:type="paragraph" w:styleId="TOCHeading">
    <w:name w:val="TOC Heading"/>
    <w:basedOn w:val="Heading1"/>
    <w:next w:val="Normal"/>
    <w:uiPriority w:val="39"/>
    <w:unhideWhenUsed/>
    <w:qFormat/>
    <w:rsid w:val="00E10EBB"/>
    <w:pPr>
      <w:spacing w:before="240" w:line="259" w:lineRule="auto"/>
      <w:outlineLvl w:val="9"/>
    </w:pPr>
    <w:rPr>
      <w:b w:val="0"/>
      <w:bCs w:val="0"/>
      <w:color w:val="365F91" w:themeColor="accent1" w:themeShade="BF"/>
    </w:rPr>
  </w:style>
  <w:style w:type="paragraph" w:styleId="Revision">
    <w:name w:val="Revision"/>
    <w:hidden/>
    <w:uiPriority w:val="99"/>
    <w:semiHidden/>
    <w:rsid w:val="00EB3FFC"/>
  </w:style>
  <w:style w:type="paragraph" w:styleId="Caption">
    <w:name w:val="caption"/>
    <w:basedOn w:val="Normal"/>
    <w:next w:val="Normal"/>
    <w:uiPriority w:val="35"/>
    <w:unhideWhenUsed/>
    <w:qFormat/>
    <w:rsid w:val="0062064A"/>
    <w:pPr>
      <w:spacing w:after="200"/>
    </w:pPr>
    <w:rPr>
      <w:b/>
      <w:bCs/>
      <w:color w:val="4F81BD" w:themeColor="accent1"/>
      <w:sz w:val="18"/>
      <w:szCs w:val="18"/>
    </w:rPr>
  </w:style>
  <w:style w:type="table" w:styleId="TableGrid">
    <w:name w:val="Table Grid"/>
    <w:basedOn w:val="TableNormal"/>
    <w:uiPriority w:val="59"/>
    <w:rsid w:val="00713037"/>
    <w:pPr>
      <w:spacing w:after="240" w:line="480" w:lineRule="auto"/>
      <w:ind w:firstLine="36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13037"/>
  </w:style>
  <w:style w:type="paragraph" w:styleId="ListParagraph">
    <w:name w:val="List Paragraph"/>
    <w:basedOn w:val="Normal"/>
    <w:uiPriority w:val="34"/>
    <w:qFormat/>
    <w:rsid w:val="006A7816"/>
    <w:pPr>
      <w:ind w:left="720"/>
      <w:contextualSpacing/>
    </w:pPr>
  </w:style>
  <w:style w:type="numbering" w:customStyle="1" w:styleId="Style1">
    <w:name w:val="Style1"/>
    <w:uiPriority w:val="99"/>
    <w:rsid w:val="00797AD8"/>
    <w:pPr>
      <w:numPr>
        <w:numId w:val="34"/>
      </w:numPr>
    </w:pPr>
  </w:style>
  <w:style w:type="paragraph" w:customStyle="1" w:styleId="BBAuthorName">
    <w:name w:val="BB_Author_Name"/>
    <w:basedOn w:val="Normal"/>
    <w:next w:val="BCAuthorAddress"/>
    <w:autoRedefine/>
    <w:rsid w:val="00741791"/>
    <w:pPr>
      <w:spacing w:after="180"/>
    </w:pPr>
    <w:rPr>
      <w:rFonts w:ascii="Arno Pro" w:eastAsia="Times New Roman" w:hAnsi="Arno Pro" w:cs="Times New Roman"/>
      <w:kern w:val="26"/>
      <w:szCs w:val="20"/>
    </w:rPr>
  </w:style>
  <w:style w:type="paragraph" w:customStyle="1" w:styleId="BCAuthorAddress">
    <w:name w:val="BC_Author_Address"/>
    <w:basedOn w:val="Normal"/>
    <w:next w:val="Normal"/>
    <w:rsid w:val="00741791"/>
    <w:pPr>
      <w:spacing w:after="60"/>
    </w:pPr>
    <w:rPr>
      <w:rFonts w:ascii="Arno Pro" w:eastAsia="Times New Roman" w:hAnsi="Arno Pro" w:cs="Times New Roman"/>
      <w:kern w:val="22"/>
      <w:sz w:val="20"/>
      <w:szCs w:val="20"/>
    </w:rPr>
  </w:style>
  <w:style w:type="paragraph" w:customStyle="1" w:styleId="TAMainText">
    <w:name w:val="TA_Main_Text"/>
    <w:basedOn w:val="Normal"/>
    <w:rsid w:val="008B6B93"/>
    <w:pPr>
      <w:spacing w:after="60"/>
      <w:ind w:firstLine="180"/>
      <w:jc w:val="both"/>
    </w:pPr>
    <w:rPr>
      <w:rFonts w:ascii="Arno Pro" w:eastAsia="Times New Roman" w:hAnsi="Arno Pro" w:cs="Times New Roman"/>
      <w:kern w:val="21"/>
      <w:sz w:val="19"/>
      <w:szCs w:val="20"/>
    </w:rPr>
  </w:style>
  <w:style w:type="paragraph" w:customStyle="1" w:styleId="Default">
    <w:name w:val="Default"/>
    <w:rsid w:val="003C3985"/>
    <w:pPr>
      <w:autoSpaceDE w:val="0"/>
      <w:autoSpaceDN w:val="0"/>
      <w:adjustRightInd w:val="0"/>
    </w:pPr>
    <w:rPr>
      <w:rFonts w:ascii="Times New Roman" w:hAnsi="Times New Roman" w:cs="Times New Roman"/>
      <w:color w:val="000000"/>
    </w:rPr>
  </w:style>
  <w:style w:type="character" w:styleId="PlaceholderText">
    <w:name w:val="Placeholder Text"/>
    <w:basedOn w:val="DefaultParagraphFont"/>
    <w:uiPriority w:val="99"/>
    <w:semiHidden/>
    <w:rsid w:val="00282FE4"/>
    <w:rPr>
      <w:color w:val="808080"/>
    </w:rPr>
  </w:style>
  <w:style w:type="table" w:customStyle="1" w:styleId="PlainTable2">
    <w:name w:val="Plain Table 2"/>
    <w:basedOn w:val="TableNormal"/>
    <w:uiPriority w:val="99"/>
    <w:rsid w:val="003E57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rsid w:val="001F1E72"/>
    <w:rPr>
      <w:rFonts w:asciiTheme="majorHAnsi" w:eastAsiaTheme="majorEastAsia" w:hAnsiTheme="majorHAnsi" w:cstheme="majorBidi"/>
      <w:color w:val="243F60" w:themeColor="accent1" w:themeShade="7F"/>
    </w:rPr>
  </w:style>
  <w:style w:type="paragraph" w:styleId="TOC3">
    <w:name w:val="toc 3"/>
    <w:basedOn w:val="Normal"/>
    <w:next w:val="Normal"/>
    <w:autoRedefine/>
    <w:uiPriority w:val="39"/>
    <w:unhideWhenUsed/>
    <w:rsid w:val="00843A69"/>
    <w:pPr>
      <w:tabs>
        <w:tab w:val="right" w:leader="dot" w:pos="8864"/>
      </w:tabs>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34686">
      <w:bodyDiv w:val="1"/>
      <w:marLeft w:val="0"/>
      <w:marRight w:val="0"/>
      <w:marTop w:val="0"/>
      <w:marBottom w:val="0"/>
      <w:divBdr>
        <w:top w:val="none" w:sz="0" w:space="0" w:color="auto"/>
        <w:left w:val="none" w:sz="0" w:space="0" w:color="auto"/>
        <w:bottom w:val="none" w:sz="0" w:space="0" w:color="auto"/>
        <w:right w:val="none" w:sz="0" w:space="0" w:color="auto"/>
      </w:divBdr>
    </w:div>
    <w:div w:id="457651102">
      <w:bodyDiv w:val="1"/>
      <w:marLeft w:val="0"/>
      <w:marRight w:val="0"/>
      <w:marTop w:val="0"/>
      <w:marBottom w:val="0"/>
      <w:divBdr>
        <w:top w:val="none" w:sz="0" w:space="0" w:color="auto"/>
        <w:left w:val="none" w:sz="0" w:space="0" w:color="auto"/>
        <w:bottom w:val="none" w:sz="0" w:space="0" w:color="auto"/>
        <w:right w:val="none" w:sz="0" w:space="0" w:color="auto"/>
      </w:divBdr>
    </w:div>
    <w:div w:id="491027237">
      <w:bodyDiv w:val="1"/>
      <w:marLeft w:val="0"/>
      <w:marRight w:val="0"/>
      <w:marTop w:val="0"/>
      <w:marBottom w:val="0"/>
      <w:divBdr>
        <w:top w:val="none" w:sz="0" w:space="0" w:color="auto"/>
        <w:left w:val="none" w:sz="0" w:space="0" w:color="auto"/>
        <w:bottom w:val="none" w:sz="0" w:space="0" w:color="auto"/>
        <w:right w:val="none" w:sz="0" w:space="0" w:color="auto"/>
      </w:divBdr>
    </w:div>
    <w:div w:id="695885991">
      <w:bodyDiv w:val="1"/>
      <w:marLeft w:val="0"/>
      <w:marRight w:val="0"/>
      <w:marTop w:val="0"/>
      <w:marBottom w:val="0"/>
      <w:divBdr>
        <w:top w:val="none" w:sz="0" w:space="0" w:color="auto"/>
        <w:left w:val="none" w:sz="0" w:space="0" w:color="auto"/>
        <w:bottom w:val="none" w:sz="0" w:space="0" w:color="auto"/>
        <w:right w:val="none" w:sz="0" w:space="0" w:color="auto"/>
      </w:divBdr>
    </w:div>
    <w:div w:id="777067713">
      <w:bodyDiv w:val="1"/>
      <w:marLeft w:val="0"/>
      <w:marRight w:val="0"/>
      <w:marTop w:val="0"/>
      <w:marBottom w:val="0"/>
      <w:divBdr>
        <w:top w:val="none" w:sz="0" w:space="0" w:color="auto"/>
        <w:left w:val="none" w:sz="0" w:space="0" w:color="auto"/>
        <w:bottom w:val="none" w:sz="0" w:space="0" w:color="auto"/>
        <w:right w:val="none" w:sz="0" w:space="0" w:color="auto"/>
      </w:divBdr>
    </w:div>
    <w:div w:id="876510057">
      <w:bodyDiv w:val="1"/>
      <w:marLeft w:val="0"/>
      <w:marRight w:val="0"/>
      <w:marTop w:val="0"/>
      <w:marBottom w:val="0"/>
      <w:divBdr>
        <w:top w:val="none" w:sz="0" w:space="0" w:color="auto"/>
        <w:left w:val="none" w:sz="0" w:space="0" w:color="auto"/>
        <w:bottom w:val="none" w:sz="0" w:space="0" w:color="auto"/>
        <w:right w:val="none" w:sz="0" w:space="0" w:color="auto"/>
      </w:divBdr>
    </w:div>
    <w:div w:id="921253378">
      <w:bodyDiv w:val="1"/>
      <w:marLeft w:val="0"/>
      <w:marRight w:val="0"/>
      <w:marTop w:val="0"/>
      <w:marBottom w:val="0"/>
      <w:divBdr>
        <w:top w:val="none" w:sz="0" w:space="0" w:color="auto"/>
        <w:left w:val="none" w:sz="0" w:space="0" w:color="auto"/>
        <w:bottom w:val="none" w:sz="0" w:space="0" w:color="auto"/>
        <w:right w:val="none" w:sz="0" w:space="0" w:color="auto"/>
      </w:divBdr>
    </w:div>
    <w:div w:id="1473985638">
      <w:bodyDiv w:val="1"/>
      <w:marLeft w:val="0"/>
      <w:marRight w:val="0"/>
      <w:marTop w:val="0"/>
      <w:marBottom w:val="0"/>
      <w:divBdr>
        <w:top w:val="none" w:sz="0" w:space="0" w:color="auto"/>
        <w:left w:val="none" w:sz="0" w:space="0" w:color="auto"/>
        <w:bottom w:val="none" w:sz="0" w:space="0" w:color="auto"/>
        <w:right w:val="none" w:sz="0" w:space="0" w:color="auto"/>
      </w:divBdr>
    </w:div>
    <w:div w:id="1633051604">
      <w:bodyDiv w:val="1"/>
      <w:marLeft w:val="0"/>
      <w:marRight w:val="0"/>
      <w:marTop w:val="0"/>
      <w:marBottom w:val="0"/>
      <w:divBdr>
        <w:top w:val="none" w:sz="0" w:space="0" w:color="auto"/>
        <w:left w:val="none" w:sz="0" w:space="0" w:color="auto"/>
        <w:bottom w:val="none" w:sz="0" w:space="0" w:color="auto"/>
        <w:right w:val="none" w:sz="0" w:space="0" w:color="auto"/>
      </w:divBdr>
    </w:div>
    <w:div w:id="1916164135">
      <w:bodyDiv w:val="1"/>
      <w:marLeft w:val="0"/>
      <w:marRight w:val="0"/>
      <w:marTop w:val="0"/>
      <w:marBottom w:val="0"/>
      <w:divBdr>
        <w:top w:val="none" w:sz="0" w:space="0" w:color="auto"/>
        <w:left w:val="none" w:sz="0" w:space="0" w:color="auto"/>
        <w:bottom w:val="none" w:sz="0" w:space="0" w:color="auto"/>
        <w:right w:val="none" w:sz="0" w:space="0" w:color="auto"/>
      </w:divBdr>
    </w:div>
    <w:div w:id="2033069224">
      <w:bodyDiv w:val="1"/>
      <w:marLeft w:val="0"/>
      <w:marRight w:val="0"/>
      <w:marTop w:val="0"/>
      <w:marBottom w:val="0"/>
      <w:divBdr>
        <w:top w:val="none" w:sz="0" w:space="0" w:color="auto"/>
        <w:left w:val="none" w:sz="0" w:space="0" w:color="auto"/>
        <w:bottom w:val="none" w:sz="0" w:space="0" w:color="auto"/>
        <w:right w:val="none" w:sz="0" w:space="0" w:color="auto"/>
      </w:divBdr>
    </w:div>
    <w:div w:id="21267257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4/relationships/chartEx" Target="charts/chartEx3.xm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chart" Target="charts/chart3.xml"/><Relationship Id="rId2" Type="http://schemas.openxmlformats.org/officeDocument/2006/relationships/numbering" Target="numbering.xml"/><Relationship Id="rId16" Type="http://schemas.microsoft.com/office/2014/relationships/chartEx" Target="charts/chartEx2.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mailto:tina.kosjek@ijs.si" TargetMode="External"/><Relationship Id="rId14" Type="http://schemas.microsoft.com/office/2014/relationships/chartEx" Target="charts/chartEx1.xml"/><Relationship Id="rId22" Type="http://schemas.microsoft.com/office/2014/relationships/chartEx" Target="charts/chartEx4.xml"/><Relationship Id="rId27"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rocessing\Downloads\Copy%20of%20AUC-reviewer-comments-1%20(1).xls" TargetMode="External"/></Relationships>
</file>

<file path=word/charts/_rels/chart2.xml.rels><?xml version="1.0" encoding="UTF-8" standalone="yes"?>
<Relationships xmlns="http://schemas.openxmlformats.org/package/2006/relationships"><Relationship Id="rId3" Type="http://schemas.microsoft.com/office/2011/relationships/chartStyle" Target="style5.xml"/><Relationship Id="rId2" Type="http://schemas.microsoft.com/office/2011/relationships/chartColorStyle" Target="colors5.xml"/><Relationship Id="rId1" Type="http://schemas.openxmlformats.org/officeDocument/2006/relationships/oleObject" Target="file:///C:\Users\helen\OneDrive\Documents\BLM\BLM%20optimization%20&#269;lanek\Data\ZDRU&#381;ENO.xlsx" TargetMode="External"/></Relationships>
</file>

<file path=word/charts/_rels/chart3.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oleObject" Target="file:///C:\Users\helen\OneDrive\Documents\BLM\BLM%20optimization%20&#269;lanek\Data\ZDRU&#381;ENO.xlsx" TargetMode="External"/></Relationships>
</file>

<file path=word/charts/_rels/chart4.xml.rels><?xml version="1.0" encoding="UTF-8" standalone="yes"?>
<Relationships xmlns="http://schemas.openxmlformats.org/package/2006/relationships"><Relationship Id="rId3" Type="http://schemas.microsoft.com/office/2011/relationships/chartStyle" Target="style7.xml"/><Relationship Id="rId2" Type="http://schemas.microsoft.com/office/2011/relationships/chartColorStyle" Target="colors7.xml"/><Relationship Id="rId1" Type="http://schemas.openxmlformats.org/officeDocument/2006/relationships/oleObject" Target="file:///C:\Users\helen\OneDrive\Documents\BLM\BLM%20optimization%20&#269;lanek\Data\ZDRU&#381;ENO.xlsx" TargetMode="External"/></Relationships>
</file>

<file path=word/charts/_rels/chart5.xml.rels><?xml version="1.0" encoding="UTF-8" standalone="yes"?>
<Relationships xmlns="http://schemas.openxmlformats.org/package/2006/relationships"><Relationship Id="rId3" Type="http://schemas.microsoft.com/office/2011/relationships/chartStyle" Target="style8.xml"/><Relationship Id="rId2" Type="http://schemas.microsoft.com/office/2011/relationships/chartColorStyle" Target="colors8.xml"/><Relationship Id="rId1" Type="http://schemas.openxmlformats.org/officeDocument/2006/relationships/oleObject" Target="file:///C:\Users\helen\OneDrive\Documents\BLM\BLM%20optimization%20&#269;lanek\Data\ZDRU&#381;ENO.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helen\OneDrive\Documents\BLM\BLM%20optimization%20&#269;lanek\Data\ZDRU&#381;ENO.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helen\OneDrive\Documents\BLM\BLM%20optimization%20&#269;lanek\Data\ZDRU&#381;ENO.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helen\OneDrive\Documents\BLM\BLM%20optimization%20&#269;lanek\Data\ZDRU&#381;ENO.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helen\OneDrive\Documents\BLM\BLM%20optimization%20&#269;lanek\Data\ZDRU&#381;EN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26551207365494"/>
          <c:y val="3.3358605003790752E-2"/>
          <c:w val="0.81190671991516994"/>
          <c:h val="0.8453373768006065"/>
        </c:manualLayout>
      </c:layout>
      <c:scatterChart>
        <c:scatterStyle val="lineMarker"/>
        <c:varyColors val="0"/>
        <c:ser>
          <c:idx val="0"/>
          <c:order val="0"/>
          <c:tx>
            <c:strRef>
              <c:f>Sheet1!$P$44</c:f>
              <c:strCache>
                <c:ptCount val="1"/>
                <c:pt idx="0">
                  <c:v>LLOQ spike</c:v>
                </c:pt>
              </c:strCache>
            </c:strRef>
          </c:tx>
          <c:spPr>
            <a:ln w="19050">
              <a:noFill/>
            </a:ln>
          </c:spPr>
          <c:marker>
            <c:symbol val="diamond"/>
            <c:size val="5"/>
            <c:spPr>
              <a:solidFill>
                <a:schemeClr val="tx1"/>
              </a:solidFill>
              <a:ln w="9525">
                <a:noFill/>
              </a:ln>
              <a:effectLst/>
            </c:spPr>
          </c:marker>
          <c:xVal>
            <c:numRef>
              <c:f>Sheet1!$O$45:$O$63</c:f>
              <c:numCache>
                <c:formatCode>General</c:formatCode>
                <c:ptCount val="19"/>
                <c:pt idx="0">
                  <c:v>1</c:v>
                </c:pt>
                <c:pt idx="1">
                  <c:v>2</c:v>
                </c:pt>
                <c:pt idx="2">
                  <c:v>3</c:v>
                </c:pt>
                <c:pt idx="3">
                  <c:v>4</c:v>
                </c:pt>
                <c:pt idx="4">
                  <c:v>5</c:v>
                </c:pt>
                <c:pt idx="5">
                  <c:v>6</c:v>
                </c:pt>
                <c:pt idx="6">
                  <c:v>7</c:v>
                </c:pt>
                <c:pt idx="7">
                  <c:v>9</c:v>
                </c:pt>
                <c:pt idx="8">
                  <c:v>8</c:v>
                </c:pt>
                <c:pt idx="9">
                  <c:v>10</c:v>
                </c:pt>
                <c:pt idx="10">
                  <c:v>11</c:v>
                </c:pt>
                <c:pt idx="11">
                  <c:v>12</c:v>
                </c:pt>
                <c:pt idx="12">
                  <c:v>13</c:v>
                </c:pt>
                <c:pt idx="13">
                  <c:v>14</c:v>
                </c:pt>
                <c:pt idx="14">
                  <c:v>15</c:v>
                </c:pt>
                <c:pt idx="15">
                  <c:v>16</c:v>
                </c:pt>
                <c:pt idx="16">
                  <c:v>17</c:v>
                </c:pt>
                <c:pt idx="17">
                  <c:v>18</c:v>
                </c:pt>
                <c:pt idx="18">
                  <c:v>19</c:v>
                </c:pt>
              </c:numCache>
            </c:numRef>
          </c:xVal>
          <c:yVal>
            <c:numRef>
              <c:f>Sheet1!$P$45:$P$63</c:f>
              <c:numCache>
                <c:formatCode>0.00E+00</c:formatCode>
                <c:ptCount val="19"/>
                <c:pt idx="0">
                  <c:v>12500</c:v>
                </c:pt>
                <c:pt idx="1">
                  <c:v>17900</c:v>
                </c:pt>
                <c:pt idx="2">
                  <c:v>14900</c:v>
                </c:pt>
                <c:pt idx="3">
                  <c:v>8536.6666666666661</c:v>
                </c:pt>
                <c:pt idx="4">
                  <c:v>4643.333333333333</c:v>
                </c:pt>
                <c:pt idx="5">
                  <c:v>9533.3333333333339</c:v>
                </c:pt>
                <c:pt idx="6">
                  <c:v>9146.6666666666661</c:v>
                </c:pt>
                <c:pt idx="7">
                  <c:v>1253.3333333333333</c:v>
                </c:pt>
                <c:pt idx="8">
                  <c:v>320</c:v>
                </c:pt>
                <c:pt idx="9">
                  <c:v>1513.3333333333333</c:v>
                </c:pt>
                <c:pt idx="10">
                  <c:v>1160</c:v>
                </c:pt>
                <c:pt idx="11">
                  <c:v>3093.3333333333335</c:v>
                </c:pt>
                <c:pt idx="12">
                  <c:v>1726.6666666666667</c:v>
                </c:pt>
                <c:pt idx="13">
                  <c:v>1926.6666666666667</c:v>
                </c:pt>
                <c:pt idx="14">
                  <c:v>1990</c:v>
                </c:pt>
                <c:pt idx="15">
                  <c:v>5335</c:v>
                </c:pt>
                <c:pt idx="16">
                  <c:v>815.33333333333337</c:v>
                </c:pt>
                <c:pt idx="17">
                  <c:v>4443.333333333333</c:v>
                </c:pt>
                <c:pt idx="18">
                  <c:v>7563.333333333333</c:v>
                </c:pt>
              </c:numCache>
            </c:numRef>
          </c:yVal>
          <c:smooth val="0"/>
          <c:extLst xmlns:c16r2="http://schemas.microsoft.com/office/drawing/2015/06/chart">
            <c:ext xmlns:c16="http://schemas.microsoft.com/office/drawing/2014/chart" uri="{C3380CC4-5D6E-409C-BE32-E72D297353CC}">
              <c16:uniqueId val="{00000000-7938-4E74-B12A-AF302073EC9C}"/>
            </c:ext>
          </c:extLst>
        </c:ser>
        <c:ser>
          <c:idx val="1"/>
          <c:order val="1"/>
          <c:tx>
            <c:strRef>
              <c:f>Sheet1!$Q$44</c:f>
              <c:strCache>
                <c:ptCount val="1"/>
                <c:pt idx="0">
                  <c:v>600 ng/mL spike</c:v>
                </c:pt>
              </c:strCache>
            </c:strRef>
          </c:tx>
          <c:spPr>
            <a:ln w="19050">
              <a:noFill/>
            </a:ln>
          </c:spPr>
          <c:marker>
            <c:symbol val="diamond"/>
            <c:size val="5"/>
            <c:spPr>
              <a:solidFill>
                <a:srgbClr val="C00000"/>
              </a:solidFill>
              <a:ln w="6350">
                <a:noFill/>
              </a:ln>
            </c:spPr>
          </c:marker>
          <c:xVal>
            <c:numRef>
              <c:f>Sheet1!$O$45:$O$63</c:f>
              <c:numCache>
                <c:formatCode>General</c:formatCode>
                <c:ptCount val="19"/>
                <c:pt idx="0">
                  <c:v>1</c:v>
                </c:pt>
                <c:pt idx="1">
                  <c:v>2</c:v>
                </c:pt>
                <c:pt idx="2">
                  <c:v>3</c:v>
                </c:pt>
                <c:pt idx="3">
                  <c:v>4</c:v>
                </c:pt>
                <c:pt idx="4">
                  <c:v>5</c:v>
                </c:pt>
                <c:pt idx="5">
                  <c:v>6</c:v>
                </c:pt>
                <c:pt idx="6">
                  <c:v>7</c:v>
                </c:pt>
                <c:pt idx="7">
                  <c:v>9</c:v>
                </c:pt>
                <c:pt idx="8">
                  <c:v>8</c:v>
                </c:pt>
                <c:pt idx="9">
                  <c:v>10</c:v>
                </c:pt>
                <c:pt idx="10">
                  <c:v>11</c:v>
                </c:pt>
                <c:pt idx="11">
                  <c:v>12</c:v>
                </c:pt>
                <c:pt idx="12">
                  <c:v>13</c:v>
                </c:pt>
                <c:pt idx="13">
                  <c:v>14</c:v>
                </c:pt>
                <c:pt idx="14">
                  <c:v>15</c:v>
                </c:pt>
                <c:pt idx="15">
                  <c:v>16</c:v>
                </c:pt>
                <c:pt idx="16">
                  <c:v>17</c:v>
                </c:pt>
                <c:pt idx="17">
                  <c:v>18</c:v>
                </c:pt>
                <c:pt idx="18">
                  <c:v>19</c:v>
                </c:pt>
              </c:numCache>
            </c:numRef>
          </c:xVal>
          <c:yVal>
            <c:numRef>
              <c:f>Sheet1!$Q$45:$Q$63</c:f>
              <c:numCache>
                <c:formatCode>0.00E+00</c:formatCode>
                <c:ptCount val="19"/>
                <c:pt idx="0">
                  <c:v>420000</c:v>
                </c:pt>
                <c:pt idx="1">
                  <c:v>631000</c:v>
                </c:pt>
                <c:pt idx="2">
                  <c:v>455000</c:v>
                </c:pt>
                <c:pt idx="3">
                  <c:v>460333.33333333331</c:v>
                </c:pt>
                <c:pt idx="4">
                  <c:v>474333.33333333331</c:v>
                </c:pt>
                <c:pt idx="5">
                  <c:v>425333.33333333331</c:v>
                </c:pt>
                <c:pt idx="6">
                  <c:v>477000</c:v>
                </c:pt>
                <c:pt idx="7">
                  <c:v>101033.33333333333</c:v>
                </c:pt>
                <c:pt idx="8">
                  <c:v>17400</c:v>
                </c:pt>
                <c:pt idx="9">
                  <c:v>121000</c:v>
                </c:pt>
                <c:pt idx="10">
                  <c:v>16800</c:v>
                </c:pt>
                <c:pt idx="11">
                  <c:v>212333.33333333334</c:v>
                </c:pt>
                <c:pt idx="12">
                  <c:v>93400</c:v>
                </c:pt>
                <c:pt idx="13">
                  <c:v>121000</c:v>
                </c:pt>
                <c:pt idx="14">
                  <c:v>117000</c:v>
                </c:pt>
                <c:pt idx="15">
                  <c:v>247333.33333333334</c:v>
                </c:pt>
                <c:pt idx="16">
                  <c:v>78533.333333333328</c:v>
                </c:pt>
                <c:pt idx="17">
                  <c:v>445000</c:v>
                </c:pt>
                <c:pt idx="18">
                  <c:v>389000</c:v>
                </c:pt>
              </c:numCache>
            </c:numRef>
          </c:yVal>
          <c:smooth val="0"/>
          <c:extLst xmlns:c16r2="http://schemas.microsoft.com/office/drawing/2015/06/chart">
            <c:ext xmlns:c16="http://schemas.microsoft.com/office/drawing/2014/chart" uri="{C3380CC4-5D6E-409C-BE32-E72D297353CC}">
              <c16:uniqueId val="{00000001-7938-4E74-B12A-AF302073EC9C}"/>
            </c:ext>
          </c:extLst>
        </c:ser>
        <c:dLbls>
          <c:showLegendKey val="0"/>
          <c:showVal val="0"/>
          <c:showCatName val="0"/>
          <c:showSerName val="0"/>
          <c:showPercent val="0"/>
          <c:showBubbleSize val="0"/>
        </c:dLbls>
        <c:axId val="771162112"/>
        <c:axId val="766748928"/>
      </c:scatterChart>
      <c:valAx>
        <c:axId val="771162112"/>
        <c:scaling>
          <c:orientation val="minMax"/>
        </c:scaling>
        <c:delete val="1"/>
        <c:axPos val="b"/>
        <c:numFmt formatCode="General" sourceLinked="1"/>
        <c:majorTickMark val="out"/>
        <c:minorTickMark val="none"/>
        <c:tickLblPos val="nextTo"/>
        <c:crossAx val="766748928"/>
        <c:crosses val="autoZero"/>
        <c:crossBetween val="midCat"/>
      </c:valAx>
      <c:valAx>
        <c:axId val="766748928"/>
        <c:scaling>
          <c:logBase val="10"/>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latin typeface="Times New Roman" panose="02020603050405020304" pitchFamily="18" charset="0"/>
                    <a:cs typeface="Times New Roman" panose="02020603050405020304" pitchFamily="18" charset="0"/>
                  </a:rPr>
                  <a:t>Peak</a:t>
                </a:r>
                <a:r>
                  <a:rPr lang="sl-SI" baseline="0">
                    <a:latin typeface="Times New Roman" panose="02020603050405020304" pitchFamily="18" charset="0"/>
                    <a:cs typeface="Times New Roman" panose="02020603050405020304" pitchFamily="18" charset="0"/>
                  </a:rPr>
                  <a:t> area (AUC)</a:t>
                </a:r>
                <a:endParaRPr lang="en-US">
                  <a:latin typeface="Times New Roman" panose="02020603050405020304" pitchFamily="18" charset="0"/>
                  <a:cs typeface="Times New Roman" panose="02020603050405020304" pitchFamily="18" charset="0"/>
                </a:endParaRPr>
              </a:p>
            </c:rich>
          </c:tx>
          <c:layout/>
          <c:overlay val="0"/>
          <c:spPr>
            <a:noFill/>
            <a:ln w="25400">
              <a:noFill/>
            </a:ln>
          </c:spPr>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71162112"/>
        <c:crosses val="autoZero"/>
        <c:crossBetween val="midCat"/>
      </c:valAx>
      <c:spPr>
        <a:noFill/>
        <a:ln w="25400">
          <a:noFill/>
        </a:ln>
      </c:spPr>
    </c:plotArea>
    <c:legend>
      <c:legendPos val="r"/>
      <c:layout>
        <c:manualLayout>
          <c:xMode val="edge"/>
          <c:yMode val="edge"/>
          <c:x val="0.2875796716780008"/>
          <c:y val="0.94130294365213452"/>
          <c:w val="0.47797048352070437"/>
          <c:h val="3.8232734175855008E-2"/>
        </c:manualLayout>
      </c:layout>
      <c:overlay val="0"/>
      <c:spPr>
        <a:noFill/>
        <a:ln w="25400">
          <a:noFill/>
        </a:ln>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
          <c:order val="0"/>
          <c:tx>
            <c:v>Plasma</c:v>
          </c:tx>
          <c:spPr>
            <a:ln w="6350" cap="rnd">
              <a:solidFill>
                <a:schemeClr val="tx1"/>
              </a:solidFill>
              <a:round/>
            </a:ln>
            <a:effectLst/>
          </c:spPr>
          <c:marker>
            <c:symbol val="diamond"/>
            <c:size val="5"/>
            <c:spPr>
              <a:solidFill>
                <a:schemeClr val="tx1"/>
              </a:solidFill>
              <a:ln w="9525">
                <a:noFill/>
              </a:ln>
              <a:effectLst/>
            </c:spPr>
          </c:marker>
          <c:xVal>
            <c:numRef>
              <c:f>'STAB. QTRAP'!$B$14:$B$17</c:f>
              <c:numCache>
                <c:formatCode>General</c:formatCode>
                <c:ptCount val="4"/>
                <c:pt idx="0">
                  <c:v>0</c:v>
                </c:pt>
                <c:pt idx="1">
                  <c:v>52</c:v>
                </c:pt>
                <c:pt idx="2">
                  <c:v>90</c:v>
                </c:pt>
                <c:pt idx="3">
                  <c:v>123</c:v>
                </c:pt>
              </c:numCache>
            </c:numRef>
          </c:xVal>
          <c:yVal>
            <c:numRef>
              <c:f>'STAB. QTRAP'!$E$14:$E$17</c:f>
              <c:numCache>
                <c:formatCode>General</c:formatCode>
                <c:ptCount val="4"/>
                <c:pt idx="0">
                  <c:v>621</c:v>
                </c:pt>
                <c:pt idx="1">
                  <c:v>518.40000000000009</c:v>
                </c:pt>
                <c:pt idx="2">
                  <c:v>575.09999999999991</c:v>
                </c:pt>
                <c:pt idx="3">
                  <c:v>660</c:v>
                </c:pt>
              </c:numCache>
            </c:numRef>
          </c:yVal>
          <c:smooth val="0"/>
          <c:extLst xmlns:c16r2="http://schemas.microsoft.com/office/drawing/2015/06/chart">
            <c:ext xmlns:c16="http://schemas.microsoft.com/office/drawing/2014/chart" uri="{C3380CC4-5D6E-409C-BE32-E72D297353CC}">
              <c16:uniqueId val="{00000000-8BA8-47CD-B11B-B6619F3C7C17}"/>
            </c:ext>
          </c:extLst>
        </c:ser>
        <c:ser>
          <c:idx val="3"/>
          <c:order val="1"/>
          <c:tx>
            <c:v>Serum</c:v>
          </c:tx>
          <c:spPr>
            <a:ln w="6350" cap="rnd">
              <a:solidFill>
                <a:srgbClr val="C00000"/>
              </a:solidFill>
              <a:round/>
            </a:ln>
            <a:effectLst/>
          </c:spPr>
          <c:marker>
            <c:symbol val="diamond"/>
            <c:size val="5"/>
            <c:spPr>
              <a:solidFill>
                <a:srgbClr val="C00000"/>
              </a:solidFill>
              <a:ln w="9525">
                <a:noFill/>
              </a:ln>
              <a:effectLst/>
            </c:spPr>
          </c:marker>
          <c:xVal>
            <c:numRef>
              <c:f>'STAB. QTRAP'!$B$14:$B$17</c:f>
              <c:numCache>
                <c:formatCode>General</c:formatCode>
                <c:ptCount val="4"/>
                <c:pt idx="0">
                  <c:v>0</c:v>
                </c:pt>
                <c:pt idx="1">
                  <c:v>52</c:v>
                </c:pt>
                <c:pt idx="2">
                  <c:v>90</c:v>
                </c:pt>
                <c:pt idx="3">
                  <c:v>123</c:v>
                </c:pt>
              </c:numCache>
            </c:numRef>
          </c:xVal>
          <c:yVal>
            <c:numRef>
              <c:f>'STAB. QTRAP'!$F$14:$F$17</c:f>
              <c:numCache>
                <c:formatCode>General</c:formatCode>
                <c:ptCount val="4"/>
                <c:pt idx="0">
                  <c:v>587.70000000000005</c:v>
                </c:pt>
                <c:pt idx="1">
                  <c:v>632.70000000000005</c:v>
                </c:pt>
                <c:pt idx="2">
                  <c:v>588.29999999999995</c:v>
                </c:pt>
                <c:pt idx="3">
                  <c:v>618</c:v>
                </c:pt>
              </c:numCache>
            </c:numRef>
          </c:yVal>
          <c:smooth val="0"/>
          <c:extLst xmlns:c16r2="http://schemas.microsoft.com/office/drawing/2015/06/chart">
            <c:ext xmlns:c16="http://schemas.microsoft.com/office/drawing/2014/chart" uri="{C3380CC4-5D6E-409C-BE32-E72D297353CC}">
              <c16:uniqueId val="{00000001-8BA8-47CD-B11B-B6619F3C7C17}"/>
            </c:ext>
          </c:extLst>
        </c:ser>
        <c:dLbls>
          <c:showLegendKey val="0"/>
          <c:showVal val="0"/>
          <c:showCatName val="0"/>
          <c:showSerName val="0"/>
          <c:showPercent val="0"/>
          <c:showBubbleSize val="0"/>
        </c:dLbls>
        <c:axId val="766750656"/>
        <c:axId val="629237440"/>
        <c:extLst xmlns:c16r2="http://schemas.microsoft.com/office/drawing/2015/06/chart">
          <c:ext xmlns:c15="http://schemas.microsoft.com/office/drawing/2012/chart" uri="{02D57815-91ED-43cb-92C2-25804820EDAC}">
            <c15:filteredScatterSeries>
              <c15:ser>
                <c:idx val="0"/>
                <c:order val="0"/>
                <c:tx>
                  <c:strRef>
                    <c:extLst>
                      <c:ext uri="{02D57815-91ED-43cb-92C2-25804820EDAC}">
                        <c15:formulaRef>
                          <c15:sqref>'STAB. QTRAP'!$C$13</c15:sqref>
                        </c15:formulaRef>
                      </c:ext>
                    </c:extLst>
                    <c:strCache>
                      <c:ptCount val="1"/>
                      <c:pt idx="0">
                        <c:v>Plasma</c:v>
                      </c:pt>
                    </c:strCache>
                  </c:strRef>
                </c:tx>
                <c:spPr>
                  <a:ln w="9525" cap="rnd">
                    <a:solidFill>
                      <a:sysClr val="windowText" lastClr="000000"/>
                    </a:solidFill>
                    <a:round/>
                  </a:ln>
                  <a:effectLst/>
                </c:spPr>
                <c:marker>
                  <c:symbol val="circle"/>
                  <c:size val="5"/>
                  <c:spPr>
                    <a:solidFill>
                      <a:schemeClr val="tx1"/>
                    </a:solidFill>
                    <a:ln w="9525">
                      <a:solidFill>
                        <a:sysClr val="windowText" lastClr="000000"/>
                      </a:solidFill>
                    </a:ln>
                    <a:effectLst/>
                  </c:spPr>
                </c:marker>
                <c:xVal>
                  <c:numRef>
                    <c:extLst>
                      <c:ext uri="{02D57815-91ED-43cb-92C2-25804820EDAC}">
                        <c15:formulaRef>
                          <c15:sqref>'STAB. QTRAP'!$B$14:$B$17</c15:sqref>
                        </c15:formulaRef>
                      </c:ext>
                    </c:extLst>
                    <c:numCache>
                      <c:formatCode>General</c:formatCode>
                      <c:ptCount val="4"/>
                      <c:pt idx="0">
                        <c:v>0</c:v>
                      </c:pt>
                      <c:pt idx="1">
                        <c:v>52</c:v>
                      </c:pt>
                      <c:pt idx="2">
                        <c:v>90</c:v>
                      </c:pt>
                      <c:pt idx="3">
                        <c:v>123</c:v>
                      </c:pt>
                    </c:numCache>
                  </c:numRef>
                </c:xVal>
                <c:yVal>
                  <c:numRef>
                    <c:extLst>
                      <c:ext uri="{02D57815-91ED-43cb-92C2-25804820EDAC}">
                        <c15:formulaRef>
                          <c15:sqref>'STAB. QTRAP'!$C$14:$C$17</c15:sqref>
                        </c15:formulaRef>
                      </c:ext>
                    </c:extLst>
                    <c:numCache>
                      <c:formatCode>General</c:formatCode>
                      <c:ptCount val="4"/>
                      <c:pt idx="0">
                        <c:v>103.5</c:v>
                      </c:pt>
                      <c:pt idx="1">
                        <c:v>86.4</c:v>
                      </c:pt>
                      <c:pt idx="2">
                        <c:v>95.85</c:v>
                      </c:pt>
                      <c:pt idx="3">
                        <c:v>110</c:v>
                      </c:pt>
                    </c:numCache>
                  </c:numRef>
                </c:yVal>
                <c:smooth val="0"/>
                <c:extLst>
                  <c:ext xmlns:c16="http://schemas.microsoft.com/office/drawing/2014/chart" uri="{C3380CC4-5D6E-409C-BE32-E72D297353CC}">
                    <c16:uniqueId val="{00000002-8BA8-47CD-B11B-B6619F3C7C17}"/>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'STAB. QTRAP'!$D$13</c15:sqref>
                        </c15:formulaRef>
                      </c:ext>
                    </c:extLst>
                    <c:strCache>
                      <c:ptCount val="1"/>
                      <c:pt idx="0">
                        <c:v>Serum</c:v>
                      </c:pt>
                    </c:strCache>
                  </c:strRef>
                </c:tx>
                <c:spPr>
                  <a:ln w="9525" cap="rnd">
                    <a:solidFill>
                      <a:srgbClr val="C00000"/>
                    </a:solidFill>
                    <a:round/>
                  </a:ln>
                  <a:effectLst/>
                </c:spPr>
                <c:marker>
                  <c:symbol val="circle"/>
                  <c:size val="5"/>
                  <c:spPr>
                    <a:solidFill>
                      <a:srgbClr val="C00000"/>
                    </a:solidFill>
                    <a:ln w="9525">
                      <a:solidFill>
                        <a:srgbClr val="C00000"/>
                      </a:solidFill>
                    </a:ln>
                    <a:effectLst/>
                  </c:spPr>
                </c:marker>
                <c:xVal>
                  <c:numRef>
                    <c:extLst xmlns:c15="http://schemas.microsoft.com/office/drawing/2012/chart">
                      <c:ext xmlns:c15="http://schemas.microsoft.com/office/drawing/2012/chart" uri="{02D57815-91ED-43cb-92C2-25804820EDAC}">
                        <c15:formulaRef>
                          <c15:sqref>'STAB. QTRAP'!$B$14:$B$17</c15:sqref>
                        </c15:formulaRef>
                      </c:ext>
                    </c:extLst>
                    <c:numCache>
                      <c:formatCode>General</c:formatCode>
                      <c:ptCount val="4"/>
                      <c:pt idx="0">
                        <c:v>0</c:v>
                      </c:pt>
                      <c:pt idx="1">
                        <c:v>52</c:v>
                      </c:pt>
                      <c:pt idx="2">
                        <c:v>90</c:v>
                      </c:pt>
                      <c:pt idx="3">
                        <c:v>123</c:v>
                      </c:pt>
                    </c:numCache>
                  </c:numRef>
                </c:xVal>
                <c:yVal>
                  <c:numRef>
                    <c:extLst xmlns:c15="http://schemas.microsoft.com/office/drawing/2012/chart">
                      <c:ext xmlns:c15="http://schemas.microsoft.com/office/drawing/2012/chart" uri="{02D57815-91ED-43cb-92C2-25804820EDAC}">
                        <c15:formulaRef>
                          <c15:sqref>'STAB. QTRAP'!$D$14:$D$17</c15:sqref>
                        </c15:formulaRef>
                      </c:ext>
                    </c:extLst>
                    <c:numCache>
                      <c:formatCode>General</c:formatCode>
                      <c:ptCount val="4"/>
                      <c:pt idx="0">
                        <c:v>97.95</c:v>
                      </c:pt>
                      <c:pt idx="1">
                        <c:v>105.45</c:v>
                      </c:pt>
                      <c:pt idx="2">
                        <c:v>98.05</c:v>
                      </c:pt>
                      <c:pt idx="3">
                        <c:v>103</c:v>
                      </c:pt>
                    </c:numCache>
                  </c:numRef>
                </c:yVal>
                <c:smooth val="0"/>
                <c:extLst xmlns:c15="http://schemas.microsoft.com/office/drawing/2012/chart">
                  <c:ext xmlns:c16="http://schemas.microsoft.com/office/drawing/2014/chart" uri="{C3380CC4-5D6E-409C-BE32-E72D297353CC}">
                    <c16:uniqueId val="{00000003-8BA8-47CD-B11B-B6619F3C7C17}"/>
                  </c:ext>
                </c:extLst>
              </c15:ser>
            </c15:filteredScatterSeries>
          </c:ext>
        </c:extLst>
      </c:scatterChart>
      <c:valAx>
        <c:axId val="766750656"/>
        <c:scaling>
          <c:orientation val="minMax"/>
          <c:max val="125"/>
          <c:min val="0"/>
        </c:scaling>
        <c:delete val="0"/>
        <c:axPos val="b"/>
        <c:majorGridlines>
          <c:spPr>
            <a:ln w="9525" cap="flat" cmpd="sng" algn="ctr">
              <a:solidFill>
                <a:srgbClr val="C00000">
                  <a:alpha val="0"/>
                </a:srgbClr>
              </a:solidFill>
              <a:round/>
            </a:ln>
            <a:effectLst/>
          </c:spPr>
        </c:majorGridlines>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sz="700"/>
                  <a:t>Stability period/day</a:t>
                </a:r>
                <a:endParaRPr lang="en-US" sz="700"/>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29237440"/>
        <c:crosses val="autoZero"/>
        <c:crossBetween val="midCat"/>
      </c:valAx>
      <c:valAx>
        <c:axId val="62923744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sz="700"/>
                  <a:t>Measured concentration (ng/mL)</a:t>
                </a:r>
                <a:endParaRPr lang="en-US" sz="700"/>
              </a:p>
              <a:p>
                <a:pPr algn="ctr" rtl="0">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sz="700"/>
              </a:p>
            </c:rich>
          </c:tx>
          <c:layout/>
          <c:overlay val="0"/>
          <c:spPr>
            <a:noFill/>
            <a:ln>
              <a:noFill/>
            </a:ln>
            <a:effectLst/>
          </c:spPr>
        </c:title>
        <c:numFmt formatCode="#,##0.0_ ;[Red]\-#,##0.0\ "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6750656"/>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2"/>
          <c:order val="0"/>
          <c:tx>
            <c:v>Serum</c:v>
          </c:tx>
          <c:spPr>
            <a:ln w="6350" cap="rnd">
              <a:solidFill>
                <a:srgbClr val="C00000"/>
              </a:solidFill>
              <a:round/>
            </a:ln>
            <a:effectLst/>
          </c:spPr>
          <c:marker>
            <c:symbol val="diamond"/>
            <c:size val="5"/>
            <c:spPr>
              <a:solidFill>
                <a:srgbClr val="FF0000"/>
              </a:solidFill>
              <a:ln w="9525">
                <a:noFill/>
              </a:ln>
              <a:effectLst/>
            </c:spPr>
          </c:marker>
          <c:dPt>
            <c:idx val="4"/>
            <c:marker>
              <c:spPr>
                <a:solidFill>
                  <a:srgbClr val="C00000"/>
                </a:solidFill>
                <a:ln w="9525">
                  <a:noFill/>
                </a:ln>
                <a:effectLst/>
              </c:spPr>
            </c:marker>
            <c:bubble3D val="0"/>
            <c:extLst xmlns:c16r2="http://schemas.microsoft.com/office/drawing/2015/06/chart">
              <c:ext xmlns:c16="http://schemas.microsoft.com/office/drawing/2014/chart" uri="{C3380CC4-5D6E-409C-BE32-E72D297353CC}">
                <c16:uniqueId val="{00000000-62F9-4266-957C-26F3FB67CAC5}"/>
              </c:ext>
            </c:extLst>
          </c:dPt>
          <c:xVal>
            <c:numRef>
              <c:f>'STAB. QTRAP'!$W$4:$W$10</c:f>
              <c:numCache>
                <c:formatCode>General</c:formatCode>
                <c:ptCount val="7"/>
                <c:pt idx="0">
                  <c:v>0</c:v>
                </c:pt>
                <c:pt idx="1">
                  <c:v>1</c:v>
                </c:pt>
                <c:pt idx="2">
                  <c:v>2</c:v>
                </c:pt>
                <c:pt idx="3">
                  <c:v>3</c:v>
                </c:pt>
                <c:pt idx="4">
                  <c:v>4</c:v>
                </c:pt>
                <c:pt idx="5">
                  <c:v>5</c:v>
                </c:pt>
                <c:pt idx="6">
                  <c:v>6</c:v>
                </c:pt>
              </c:numCache>
            </c:numRef>
          </c:xVal>
          <c:yVal>
            <c:numRef>
              <c:f>'STAB. QTRAP'!$X$4:$X$10</c:f>
              <c:numCache>
                <c:formatCode>General</c:formatCode>
                <c:ptCount val="7"/>
                <c:pt idx="0">
                  <c:v>587.70000000000005</c:v>
                </c:pt>
                <c:pt idx="1">
                  <c:v>618</c:v>
                </c:pt>
                <c:pt idx="2">
                  <c:v>678</c:v>
                </c:pt>
                <c:pt idx="3">
                  <c:v>600.29999999999995</c:v>
                </c:pt>
                <c:pt idx="4">
                  <c:v>569.40000000000009</c:v>
                </c:pt>
                <c:pt idx="5">
                  <c:v>696</c:v>
                </c:pt>
                <c:pt idx="6">
                  <c:v>639.90000000000009</c:v>
                </c:pt>
              </c:numCache>
            </c:numRef>
          </c:yVal>
          <c:smooth val="0"/>
          <c:extLst xmlns:c16r2="http://schemas.microsoft.com/office/drawing/2015/06/chart">
            <c:ext xmlns:c16="http://schemas.microsoft.com/office/drawing/2014/chart" uri="{C3380CC4-5D6E-409C-BE32-E72D297353CC}">
              <c16:uniqueId val="{00000001-62F9-4266-957C-26F3FB67CAC5}"/>
            </c:ext>
          </c:extLst>
        </c:ser>
        <c:ser>
          <c:idx val="3"/>
          <c:order val="1"/>
          <c:tx>
            <c:v>Plasma</c:v>
          </c:tx>
          <c:spPr>
            <a:ln w="6350" cap="rnd">
              <a:solidFill>
                <a:schemeClr val="tx1"/>
              </a:solidFill>
              <a:round/>
            </a:ln>
            <a:effectLst/>
          </c:spPr>
          <c:marker>
            <c:symbol val="diamond"/>
            <c:size val="5"/>
            <c:spPr>
              <a:solidFill>
                <a:schemeClr val="tx1"/>
              </a:solidFill>
              <a:ln w="9525">
                <a:noFill/>
              </a:ln>
              <a:effectLst/>
            </c:spPr>
          </c:marker>
          <c:xVal>
            <c:numRef>
              <c:f>'STAB. QTRAP'!$W$4:$W$10</c:f>
              <c:numCache>
                <c:formatCode>General</c:formatCode>
                <c:ptCount val="7"/>
                <c:pt idx="0">
                  <c:v>0</c:v>
                </c:pt>
                <c:pt idx="1">
                  <c:v>1</c:v>
                </c:pt>
                <c:pt idx="2">
                  <c:v>2</c:v>
                </c:pt>
                <c:pt idx="3">
                  <c:v>3</c:v>
                </c:pt>
                <c:pt idx="4">
                  <c:v>4</c:v>
                </c:pt>
                <c:pt idx="5">
                  <c:v>5</c:v>
                </c:pt>
                <c:pt idx="6">
                  <c:v>6</c:v>
                </c:pt>
              </c:numCache>
            </c:numRef>
          </c:xVal>
          <c:yVal>
            <c:numRef>
              <c:f>'STAB. QTRAP'!$Y$4:$Y$10</c:f>
              <c:numCache>
                <c:formatCode>General</c:formatCode>
                <c:ptCount val="7"/>
                <c:pt idx="0">
                  <c:v>621</c:v>
                </c:pt>
                <c:pt idx="1">
                  <c:v>654</c:v>
                </c:pt>
                <c:pt idx="2">
                  <c:v>693</c:v>
                </c:pt>
                <c:pt idx="3">
                  <c:v>663</c:v>
                </c:pt>
                <c:pt idx="4">
                  <c:v>690</c:v>
                </c:pt>
                <c:pt idx="5">
                  <c:v>705</c:v>
                </c:pt>
                <c:pt idx="6">
                  <c:v>616.79999999999995</c:v>
                </c:pt>
              </c:numCache>
            </c:numRef>
          </c:yVal>
          <c:smooth val="0"/>
          <c:extLst xmlns:c16r2="http://schemas.microsoft.com/office/drawing/2015/06/chart">
            <c:ext xmlns:c16="http://schemas.microsoft.com/office/drawing/2014/chart" uri="{C3380CC4-5D6E-409C-BE32-E72D297353CC}">
              <c16:uniqueId val="{00000002-62F9-4266-957C-26F3FB67CAC5}"/>
            </c:ext>
          </c:extLst>
        </c:ser>
        <c:dLbls>
          <c:showLegendKey val="0"/>
          <c:showVal val="0"/>
          <c:showCatName val="0"/>
          <c:showSerName val="0"/>
          <c:showPercent val="0"/>
          <c:showBubbleSize val="0"/>
        </c:dLbls>
        <c:axId val="766751808"/>
        <c:axId val="766752384"/>
        <c:extLst xmlns:c16r2="http://schemas.microsoft.com/office/drawing/2015/06/chart">
          <c:ext xmlns:c15="http://schemas.microsoft.com/office/drawing/2012/chart" uri="{02D57815-91ED-43cb-92C2-25804820EDAC}">
            <c15:filteredScatterSeries>
              <c15:ser>
                <c:idx val="0"/>
                <c:order val="0"/>
                <c:tx>
                  <c:strRef>
                    <c:extLst>
                      <c:ext uri="{02D57815-91ED-43cb-92C2-25804820EDAC}">
                        <c15:formulaRef>
                          <c15:sqref>'STAB. QTRAP'!$Q$3</c15:sqref>
                        </c15:formulaRef>
                      </c:ext>
                    </c:extLst>
                    <c:strCache>
                      <c:ptCount val="1"/>
                      <c:pt idx="0">
                        <c:v>Serum</c:v>
                      </c:pt>
                    </c:strCache>
                  </c:strRef>
                </c:tx>
                <c:spPr>
                  <a:ln w="9525" cap="rnd">
                    <a:solidFill>
                      <a:srgbClr val="C00000"/>
                    </a:solidFill>
                    <a:round/>
                  </a:ln>
                  <a:effectLst/>
                </c:spPr>
                <c:marker>
                  <c:symbol val="circle"/>
                  <c:size val="5"/>
                  <c:spPr>
                    <a:solidFill>
                      <a:srgbClr val="C00000"/>
                    </a:solidFill>
                    <a:ln w="9525">
                      <a:solidFill>
                        <a:srgbClr val="C00000"/>
                      </a:solidFill>
                    </a:ln>
                    <a:effectLst/>
                  </c:spPr>
                </c:marker>
                <c:xVal>
                  <c:numRef>
                    <c:extLst>
                      <c:ext uri="{02D57815-91ED-43cb-92C2-25804820EDAC}">
                        <c15:formulaRef>
                          <c15:sqref>'STAB. QTRAP'!$P$4:$P$10</c15:sqref>
                        </c15:formulaRef>
                      </c:ext>
                    </c:extLst>
                    <c:numCache>
                      <c:formatCode>General</c:formatCode>
                      <c:ptCount val="7"/>
                      <c:pt idx="0">
                        <c:v>0</c:v>
                      </c:pt>
                      <c:pt idx="1">
                        <c:v>1</c:v>
                      </c:pt>
                      <c:pt idx="2">
                        <c:v>2</c:v>
                      </c:pt>
                      <c:pt idx="3">
                        <c:v>3</c:v>
                      </c:pt>
                      <c:pt idx="4">
                        <c:v>4</c:v>
                      </c:pt>
                      <c:pt idx="5">
                        <c:v>5</c:v>
                      </c:pt>
                      <c:pt idx="6">
                        <c:v>6</c:v>
                      </c:pt>
                    </c:numCache>
                  </c:numRef>
                </c:xVal>
                <c:yVal>
                  <c:numRef>
                    <c:extLst>
                      <c:ext uri="{02D57815-91ED-43cb-92C2-25804820EDAC}">
                        <c15:formulaRef>
                          <c15:sqref>'STAB. QTRAP'!$Q$4:$Q$10</c15:sqref>
                        </c15:formulaRef>
                      </c:ext>
                    </c:extLst>
                    <c:numCache>
                      <c:formatCode>General</c:formatCode>
                      <c:ptCount val="7"/>
                      <c:pt idx="0">
                        <c:v>97.95</c:v>
                      </c:pt>
                      <c:pt idx="1">
                        <c:v>103</c:v>
                      </c:pt>
                      <c:pt idx="2">
                        <c:v>113</c:v>
                      </c:pt>
                      <c:pt idx="3">
                        <c:v>100.05</c:v>
                      </c:pt>
                      <c:pt idx="4">
                        <c:v>94.9</c:v>
                      </c:pt>
                      <c:pt idx="5">
                        <c:v>116</c:v>
                      </c:pt>
                      <c:pt idx="6">
                        <c:v>106.65</c:v>
                      </c:pt>
                    </c:numCache>
                  </c:numRef>
                </c:yVal>
                <c:smooth val="0"/>
                <c:extLst>
                  <c:ext xmlns:c16="http://schemas.microsoft.com/office/drawing/2014/chart" uri="{C3380CC4-5D6E-409C-BE32-E72D297353CC}">
                    <c16:uniqueId val="{00000003-62F9-4266-957C-26F3FB67CAC5}"/>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'STAB. QTRAP'!$R$3</c15:sqref>
                        </c15:formulaRef>
                      </c:ext>
                    </c:extLst>
                    <c:strCache>
                      <c:ptCount val="1"/>
                      <c:pt idx="0">
                        <c:v>Plasma</c:v>
                      </c:pt>
                    </c:strCache>
                  </c:strRef>
                </c:tx>
                <c:spPr>
                  <a:ln w="9525" cap="rnd">
                    <a:solidFill>
                      <a:schemeClr val="tx1"/>
                    </a:solidFill>
                    <a:round/>
                  </a:ln>
                  <a:effectLst/>
                </c:spPr>
                <c:marker>
                  <c:symbol val="circle"/>
                  <c:size val="5"/>
                  <c:spPr>
                    <a:solidFill>
                      <a:schemeClr val="tx1"/>
                    </a:solidFill>
                    <a:ln w="9525">
                      <a:solidFill>
                        <a:schemeClr val="tx1"/>
                      </a:solidFill>
                    </a:ln>
                    <a:effectLst/>
                  </c:spPr>
                </c:marker>
                <c:xVal>
                  <c:numRef>
                    <c:extLst xmlns:c15="http://schemas.microsoft.com/office/drawing/2012/chart">
                      <c:ext xmlns:c15="http://schemas.microsoft.com/office/drawing/2012/chart" uri="{02D57815-91ED-43cb-92C2-25804820EDAC}">
                        <c15:formulaRef>
                          <c15:sqref>'STAB. QTRAP'!$P$4:$P$10</c15:sqref>
                        </c15:formulaRef>
                      </c:ext>
                    </c:extLst>
                    <c:numCache>
                      <c:formatCode>General</c:formatCode>
                      <c:ptCount val="7"/>
                      <c:pt idx="0">
                        <c:v>0</c:v>
                      </c:pt>
                      <c:pt idx="1">
                        <c:v>1</c:v>
                      </c:pt>
                      <c:pt idx="2">
                        <c:v>2</c:v>
                      </c:pt>
                      <c:pt idx="3">
                        <c:v>3</c:v>
                      </c:pt>
                      <c:pt idx="4">
                        <c:v>4</c:v>
                      </c:pt>
                      <c:pt idx="5">
                        <c:v>5</c:v>
                      </c:pt>
                      <c:pt idx="6">
                        <c:v>6</c:v>
                      </c:pt>
                    </c:numCache>
                  </c:numRef>
                </c:xVal>
                <c:yVal>
                  <c:numRef>
                    <c:extLst xmlns:c15="http://schemas.microsoft.com/office/drawing/2012/chart">
                      <c:ext xmlns:c15="http://schemas.microsoft.com/office/drawing/2012/chart" uri="{02D57815-91ED-43cb-92C2-25804820EDAC}">
                        <c15:formulaRef>
                          <c15:sqref>'STAB. QTRAP'!$R$4:$R$10</c15:sqref>
                        </c15:formulaRef>
                      </c:ext>
                    </c:extLst>
                    <c:numCache>
                      <c:formatCode>General</c:formatCode>
                      <c:ptCount val="7"/>
                      <c:pt idx="0">
                        <c:v>103.5</c:v>
                      </c:pt>
                      <c:pt idx="1">
                        <c:v>109</c:v>
                      </c:pt>
                      <c:pt idx="2">
                        <c:v>115.5</c:v>
                      </c:pt>
                      <c:pt idx="3">
                        <c:v>110.5</c:v>
                      </c:pt>
                      <c:pt idx="4">
                        <c:v>115</c:v>
                      </c:pt>
                      <c:pt idx="5">
                        <c:v>117.5</c:v>
                      </c:pt>
                      <c:pt idx="6">
                        <c:v>102.8</c:v>
                      </c:pt>
                    </c:numCache>
                  </c:numRef>
                </c:yVal>
                <c:smooth val="0"/>
                <c:extLst xmlns:c15="http://schemas.microsoft.com/office/drawing/2012/chart">
                  <c:ext xmlns:c16="http://schemas.microsoft.com/office/drawing/2014/chart" uri="{C3380CC4-5D6E-409C-BE32-E72D297353CC}">
                    <c16:uniqueId val="{00000004-62F9-4266-957C-26F3FB67CAC5}"/>
                  </c:ext>
                </c:extLst>
              </c15:ser>
            </c15:filteredScatterSeries>
          </c:ext>
        </c:extLst>
      </c:scatterChart>
      <c:valAx>
        <c:axId val="766751808"/>
        <c:scaling>
          <c:orientation val="minMax"/>
          <c:max val="6"/>
        </c:scaling>
        <c:delete val="0"/>
        <c:axPos val="b"/>
        <c:majorGridlines>
          <c:spPr>
            <a:ln w="9525" cap="flat" cmpd="sng" algn="ctr">
              <a:solidFill>
                <a:schemeClr val="bg1">
                  <a:alpha val="0"/>
                </a:schemeClr>
              </a:solidFill>
              <a:round/>
            </a:ln>
            <a:effectLst/>
          </c:spPr>
        </c:majorGridlines>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700">
                    <a:latin typeface="Times New Roman" panose="02020603050405020304" pitchFamily="18" charset="0"/>
                    <a:cs typeface="Times New Roman" panose="02020603050405020304" pitchFamily="18" charset="0"/>
                  </a:rPr>
                  <a:t>No. of freeze-thaw cycles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6752384"/>
        <c:crosses val="autoZero"/>
        <c:crossBetween val="midCat"/>
      </c:valAx>
      <c:valAx>
        <c:axId val="76675238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sz="700">
                    <a:latin typeface="Times New Roman" panose="02020603050405020304" pitchFamily="18" charset="0"/>
                    <a:cs typeface="Times New Roman" panose="02020603050405020304" pitchFamily="18" charset="0"/>
                  </a:rPr>
                  <a:t>Measured</a:t>
                </a:r>
                <a:r>
                  <a:rPr lang="sl-SI" sz="700" baseline="0">
                    <a:latin typeface="Times New Roman" panose="02020603050405020304" pitchFamily="18" charset="0"/>
                    <a:cs typeface="Times New Roman" panose="02020603050405020304" pitchFamily="18" charset="0"/>
                  </a:rPr>
                  <a:t> concentration (ng/mL)</a:t>
                </a:r>
                <a:endParaRPr lang="en-US" sz="700">
                  <a:latin typeface="Times New Roman" panose="02020603050405020304" pitchFamily="18" charset="0"/>
                  <a:cs typeface="Times New Roman" panose="02020603050405020304" pitchFamily="18" charset="0"/>
                </a:endParaRPr>
              </a:p>
            </c:rich>
          </c:tx>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67518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'STAB. HPLC'!$C$43</c:f>
              <c:strCache>
                <c:ptCount val="1"/>
                <c:pt idx="0">
                  <c:v>Freezer stability (-20 °C)</c:v>
                </c:pt>
              </c:strCache>
            </c:strRef>
          </c:tx>
          <c:spPr>
            <a:ln w="6350" cap="rnd">
              <a:solidFill>
                <a:schemeClr val="tx1"/>
              </a:solidFill>
              <a:round/>
            </a:ln>
            <a:effectLst/>
          </c:spPr>
          <c:marker>
            <c:symbol val="diamond"/>
            <c:size val="5"/>
            <c:spPr>
              <a:solidFill>
                <a:schemeClr val="tx1"/>
              </a:solidFill>
              <a:ln w="9525">
                <a:noFill/>
              </a:ln>
              <a:effectLst/>
            </c:spPr>
          </c:marker>
          <c:xVal>
            <c:numRef>
              <c:f>'STAB. HPLC'!$B$44:$B$47</c:f>
              <c:numCache>
                <c:formatCode>General</c:formatCode>
                <c:ptCount val="4"/>
                <c:pt idx="0">
                  <c:v>0</c:v>
                </c:pt>
                <c:pt idx="1">
                  <c:v>58</c:v>
                </c:pt>
                <c:pt idx="2">
                  <c:v>98</c:v>
                </c:pt>
                <c:pt idx="3">
                  <c:v>141</c:v>
                </c:pt>
              </c:numCache>
            </c:numRef>
          </c:xVal>
          <c:yVal>
            <c:numRef>
              <c:f>'STAB. HPLC'!$C$44:$C$47</c:f>
              <c:numCache>
                <c:formatCode>General</c:formatCode>
                <c:ptCount val="4"/>
                <c:pt idx="0">
                  <c:v>14.96</c:v>
                </c:pt>
                <c:pt idx="1">
                  <c:v>15.664999999999999</c:v>
                </c:pt>
                <c:pt idx="2">
                  <c:v>14.435</c:v>
                </c:pt>
                <c:pt idx="3">
                  <c:v>14.705</c:v>
                </c:pt>
              </c:numCache>
            </c:numRef>
          </c:yVal>
          <c:smooth val="0"/>
          <c:extLst xmlns:c16r2="http://schemas.microsoft.com/office/drawing/2015/06/chart">
            <c:ext xmlns:c16="http://schemas.microsoft.com/office/drawing/2014/chart" uri="{C3380CC4-5D6E-409C-BE32-E72D297353CC}">
              <c16:uniqueId val="{00000000-0A03-4F16-9ACD-53152EF9A1E6}"/>
            </c:ext>
          </c:extLst>
        </c:ser>
        <c:ser>
          <c:idx val="1"/>
          <c:order val="1"/>
          <c:tx>
            <c:strRef>
              <c:f>'STAB. HPLC'!$D$43</c:f>
              <c:strCache>
                <c:ptCount val="1"/>
                <c:pt idx="0">
                  <c:v>Cooler stability (-20 °C)</c:v>
                </c:pt>
              </c:strCache>
            </c:strRef>
          </c:tx>
          <c:spPr>
            <a:ln w="6350" cap="rnd">
              <a:solidFill>
                <a:srgbClr val="FF0000"/>
              </a:solidFill>
              <a:round/>
            </a:ln>
            <a:effectLst/>
          </c:spPr>
          <c:marker>
            <c:symbol val="diamond"/>
            <c:size val="5"/>
            <c:spPr>
              <a:solidFill>
                <a:srgbClr val="FF0000"/>
              </a:solidFill>
              <a:ln w="9525">
                <a:noFill/>
              </a:ln>
              <a:effectLst/>
            </c:spPr>
          </c:marker>
          <c:xVal>
            <c:numRef>
              <c:f>'STAB. HPLC'!$B$44:$B$47</c:f>
              <c:numCache>
                <c:formatCode>General</c:formatCode>
                <c:ptCount val="4"/>
                <c:pt idx="0">
                  <c:v>0</c:v>
                </c:pt>
                <c:pt idx="1">
                  <c:v>58</c:v>
                </c:pt>
                <c:pt idx="2">
                  <c:v>98</c:v>
                </c:pt>
                <c:pt idx="3">
                  <c:v>141</c:v>
                </c:pt>
              </c:numCache>
            </c:numRef>
          </c:xVal>
          <c:yVal>
            <c:numRef>
              <c:f>'STAB. HPLC'!$D$44:$D$47</c:f>
              <c:numCache>
                <c:formatCode>General</c:formatCode>
                <c:ptCount val="4"/>
                <c:pt idx="0">
                  <c:v>14.96</c:v>
                </c:pt>
                <c:pt idx="1">
                  <c:v>15.61</c:v>
                </c:pt>
                <c:pt idx="2">
                  <c:v>14.4</c:v>
                </c:pt>
                <c:pt idx="3">
                  <c:v>14.055</c:v>
                </c:pt>
              </c:numCache>
            </c:numRef>
          </c:yVal>
          <c:smooth val="0"/>
          <c:extLst xmlns:c16r2="http://schemas.microsoft.com/office/drawing/2015/06/chart">
            <c:ext xmlns:c16="http://schemas.microsoft.com/office/drawing/2014/chart" uri="{C3380CC4-5D6E-409C-BE32-E72D297353CC}">
              <c16:uniqueId val="{00000001-0A03-4F16-9ACD-53152EF9A1E6}"/>
            </c:ext>
          </c:extLst>
        </c:ser>
        <c:dLbls>
          <c:showLegendKey val="0"/>
          <c:showVal val="0"/>
          <c:showCatName val="0"/>
          <c:showSerName val="0"/>
          <c:showPercent val="0"/>
          <c:showBubbleSize val="0"/>
        </c:dLbls>
        <c:axId val="771022848"/>
        <c:axId val="771023424"/>
      </c:scatterChart>
      <c:valAx>
        <c:axId val="771022848"/>
        <c:scaling>
          <c:orientation val="minMax"/>
          <c:max val="142"/>
          <c:min val="0"/>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sz="700">
                    <a:latin typeface="Times New Roman" panose="02020603050405020304" pitchFamily="18" charset="0"/>
                    <a:cs typeface="Times New Roman" panose="02020603050405020304" pitchFamily="18" charset="0"/>
                  </a:rPr>
                  <a:t>Stability</a:t>
                </a:r>
                <a:r>
                  <a:rPr lang="sl-SI" sz="700" baseline="0">
                    <a:latin typeface="Times New Roman" panose="02020603050405020304" pitchFamily="18" charset="0"/>
                    <a:cs typeface="Times New Roman" panose="02020603050405020304" pitchFamily="18" charset="0"/>
                  </a:rPr>
                  <a:t> period/day</a:t>
                </a:r>
                <a:endParaRPr lang="en-US" sz="700">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71023424"/>
        <c:crosses val="autoZero"/>
        <c:crossBetween val="midCat"/>
      </c:valAx>
      <c:valAx>
        <c:axId val="771023424"/>
        <c:scaling>
          <c:orientation val="minMax"/>
          <c:max val="20"/>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7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sl-SI" sz="700" b="0" i="0" baseline="0">
                    <a:effectLst/>
                    <a:latin typeface="Times New Roman" panose="02020603050405020304" pitchFamily="18" charset="0"/>
                    <a:cs typeface="Times New Roman" panose="02020603050405020304" pitchFamily="18" charset="0"/>
                  </a:rPr>
                  <a:t>Measured concentration (</a:t>
                </a:r>
                <a:r>
                  <a:rPr lang="en-US" sz="700" b="0" i="0" baseline="0">
                    <a:effectLst/>
                    <a:latin typeface="Times New Roman" panose="02020603050405020304" pitchFamily="18" charset="0"/>
                    <a:cs typeface="Times New Roman" panose="02020603050405020304" pitchFamily="18" charset="0"/>
                  </a:rPr>
                  <a:t>µ</a:t>
                </a:r>
                <a:r>
                  <a:rPr lang="sl-SI" sz="700" b="0" i="0" baseline="0">
                    <a:effectLst/>
                    <a:latin typeface="Times New Roman" panose="02020603050405020304" pitchFamily="18" charset="0"/>
                    <a:cs typeface="Times New Roman" panose="02020603050405020304" pitchFamily="18" charset="0"/>
                  </a:rPr>
                  <a:t>g/mL)</a:t>
                </a:r>
                <a:endParaRPr lang="en-US" sz="700">
                  <a:effectLst/>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sz="7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en-US" sz="700">
                  <a:latin typeface="Times New Roman" panose="02020603050405020304" pitchFamily="18" charset="0"/>
                  <a:cs typeface="Times New Roman" panose="02020603050405020304" pitchFamily="18" charset="0"/>
                </a:endParaRPr>
              </a:p>
            </c:rich>
          </c:tx>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710228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6350" cap="rnd">
              <a:solidFill>
                <a:schemeClr val="tx1"/>
              </a:solidFill>
              <a:round/>
            </a:ln>
            <a:effectLst/>
          </c:spPr>
          <c:marker>
            <c:symbol val="diamond"/>
            <c:size val="5"/>
            <c:spPr>
              <a:solidFill>
                <a:schemeClr val="tx1"/>
              </a:solidFill>
              <a:ln w="9525">
                <a:noFill/>
              </a:ln>
              <a:effectLst/>
            </c:spPr>
          </c:marker>
          <c:xVal>
            <c:numRef>
              <c:f>'STAB. HPLC'!$I$44:$I$50</c:f>
              <c:numCache>
                <c:formatCode>General</c:formatCode>
                <c:ptCount val="7"/>
                <c:pt idx="0">
                  <c:v>0</c:v>
                </c:pt>
                <c:pt idx="1">
                  <c:v>1</c:v>
                </c:pt>
                <c:pt idx="2">
                  <c:v>2</c:v>
                </c:pt>
                <c:pt idx="3">
                  <c:v>3</c:v>
                </c:pt>
                <c:pt idx="4">
                  <c:v>4</c:v>
                </c:pt>
                <c:pt idx="5">
                  <c:v>5</c:v>
                </c:pt>
                <c:pt idx="6">
                  <c:v>6</c:v>
                </c:pt>
              </c:numCache>
            </c:numRef>
          </c:xVal>
          <c:yVal>
            <c:numRef>
              <c:f>'STAB. HPLC'!$J$44:$J$50</c:f>
              <c:numCache>
                <c:formatCode>General</c:formatCode>
                <c:ptCount val="7"/>
                <c:pt idx="0">
                  <c:v>14.96</c:v>
                </c:pt>
                <c:pt idx="1">
                  <c:v>14.46</c:v>
                </c:pt>
                <c:pt idx="2">
                  <c:v>14.78</c:v>
                </c:pt>
                <c:pt idx="3">
                  <c:v>13.83</c:v>
                </c:pt>
                <c:pt idx="4">
                  <c:v>14.03</c:v>
                </c:pt>
                <c:pt idx="5">
                  <c:v>14.62</c:v>
                </c:pt>
                <c:pt idx="6">
                  <c:v>14.89</c:v>
                </c:pt>
              </c:numCache>
            </c:numRef>
          </c:yVal>
          <c:smooth val="0"/>
          <c:extLst xmlns:c16r2="http://schemas.microsoft.com/office/drawing/2015/06/chart">
            <c:ext xmlns:c16="http://schemas.microsoft.com/office/drawing/2014/chart" uri="{C3380CC4-5D6E-409C-BE32-E72D297353CC}">
              <c16:uniqueId val="{00000000-6E0B-4758-ACCA-BADF579DC351}"/>
            </c:ext>
          </c:extLst>
        </c:ser>
        <c:dLbls>
          <c:showLegendKey val="0"/>
          <c:showVal val="0"/>
          <c:showCatName val="0"/>
          <c:showSerName val="0"/>
          <c:showPercent val="0"/>
          <c:showBubbleSize val="0"/>
        </c:dLbls>
        <c:axId val="771024576"/>
        <c:axId val="771025152"/>
      </c:scatterChart>
      <c:valAx>
        <c:axId val="771024576"/>
        <c:scaling>
          <c:orientation val="minMax"/>
          <c:max val="6"/>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t>No. of freeze-thaw cycles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71025152"/>
        <c:crosses val="autoZero"/>
        <c:crossBetween val="midCat"/>
      </c:valAx>
      <c:valAx>
        <c:axId val="771025152"/>
        <c:scaling>
          <c:orientation val="minMax"/>
          <c:max val="20"/>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l-SI"/>
                  <a:t>Measured concentration (</a:t>
                </a:r>
                <a:r>
                  <a:rPr lang="en-US"/>
                  <a:t>µ</a:t>
                </a:r>
                <a:r>
                  <a:rPr lang="sl-SI"/>
                  <a:t>g/mL)</a:t>
                </a:r>
                <a:endParaRPr lang="en-US"/>
              </a:p>
            </c:rich>
          </c:tx>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710245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'SPE-vs-OSTRO-vs-DIR'!$W$15:$Y$15</cx:f>
        <cx:lvl ptCount="3" formatCode="0.00E+00">
          <cx:pt idx="0">232000</cx:pt>
          <cx:pt idx="1">191000</cx:pt>
          <cx:pt idx="2">214000</cx:pt>
        </cx:lvl>
      </cx:numDim>
    </cx:data>
    <cx:data id="1">
      <cx:numDim type="val">
        <cx:f>'SPE-vs-OSTRO-vs-DIR'!$W$16:$Y$16</cx:f>
        <cx:lvl ptCount="3" formatCode="0.00E+00">
          <cx:pt idx="0">237000</cx:pt>
          <cx:pt idx="1">265000</cx:pt>
          <cx:pt idx="2">266000</cx:pt>
        </cx:lvl>
      </cx:numDim>
    </cx:data>
    <cx:data id="2">
      <cx:numDim type="val">
        <cx:f>'SPE-vs-OSTRO-vs-DIR'!$W$17:$Y$17</cx:f>
        <cx:lvl ptCount="3" formatCode="0.00E+00">
          <cx:pt idx="0">197000</cx:pt>
          <cx:pt idx="1">186000</cx:pt>
          <cx:pt idx="2">191000</cx:pt>
        </cx:lvl>
      </cx:numDim>
    </cx:data>
  </cx:chartData>
  <cx:chart>
    <cx:plotArea>
      <cx:plotAreaRegion>
        <cx:series layoutId="boxWhisker" uniqueId="{1F7A0117-91F0-4D69-B9A4-1E54BF4D6489}">
          <cx:tx>
            <cx:txData>
              <cx:f>'SPE-vs-OSTRO-vs-DIR'!$V$15</cx:f>
              <cx:v>Ostro ® protocol</cx:v>
            </cx:txData>
          </cx:tx>
          <cx:dataId val="0"/>
          <cx:layoutPr>
            <cx:visibility meanLine="0" meanMarker="1" nonoutliers="0" outliers="1"/>
            <cx:statistics quartileMethod="inclusive"/>
          </cx:layoutPr>
        </cx:series>
        <cx:series layoutId="boxWhisker" uniqueId="{4B390A26-5EC9-4841-9183-6AD29483A9B3}">
          <cx:tx>
            <cx:txData>
              <cx:f>'SPE-vs-OSTRO-vs-DIR'!$V$16</cx:f>
              <cx:v>Direct deproteinization</cx:v>
            </cx:txData>
          </cx:tx>
          <cx:dataId val="1"/>
          <cx:layoutPr>
            <cx:visibility meanLine="0" meanMarker="1" nonoutliers="0" outliers="1"/>
            <cx:statistics quartileMethod="inclusive"/>
          </cx:layoutPr>
        </cx:series>
        <cx:series layoutId="boxWhisker" uniqueId="{AAFBB1FE-4CE4-4443-A84E-2C4232E34203}">
          <cx:tx>
            <cx:txData>
              <cx:f>'SPE-vs-OSTRO-vs-DIR'!$V$17</cx:f>
              <cx:v>SPE</cx:v>
            </cx:txData>
          </cx:tx>
          <cx:dataId val="2"/>
          <cx:layoutPr>
            <cx:visibility meanLine="0" meanMarker="1" nonoutliers="0" outliers="1"/>
            <cx:statistics quartileMethod="inclusive"/>
          </cx:layoutPr>
        </cx:series>
      </cx:plotAreaRegion>
      <cx:axis id="0" hidden="1">
        <cx:catScaling gapWidth="1"/>
        <cx:tickLabels/>
      </cx:axis>
      <cx:axis id="1">
        <cx:valScaling/>
        <cx:title>
          <cx:tx>
            <cx:rich>
              <a:bodyPr spcFirstLastPara="1" vertOverflow="ellipsis" wrap="square" lIns="0" tIns="0" rIns="0" bIns="0" anchor="ctr" anchorCtr="1"/>
              <a:lstStyle/>
              <a:p>
                <a:pPr algn="ctr">
                  <a:defRPr/>
                </a:pPr>
                <a:r>
                  <a:rPr lang="sl-SI"/>
                  <a:t>Response (AUC)</a:t>
                </a:r>
                <a:endParaRPr lang="en-US"/>
              </a:p>
            </cx:rich>
          </cx:tx>
        </cx:title>
        <cx:majorGridlines/>
        <cx:tickLabels/>
        <cx:numFmt formatCode="0.0E+00" sourceLinked="0"/>
      </cx:axis>
    </cx:plotArea>
    <cx:legend pos="b" align="ctr" overlay="0"/>
  </cx:chart>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'zdruzen SP mod.'!$D$4:$F$4</cx:f>
        <cx:lvl ptCount="3" formatCode="General">
          <cx:pt idx="0">494000</cx:pt>
          <cx:pt idx="1">430000</cx:pt>
          <cx:pt idx="2">457000</cx:pt>
        </cx:lvl>
      </cx:numDim>
    </cx:data>
    <cx:data id="1">
      <cx:numDim type="val">
        <cx:f>'zdruzen SP mod.'!$D$5:$F$5</cx:f>
        <cx:lvl ptCount="3" formatCode="General">
          <cx:pt idx="0">472000</cx:pt>
          <cx:pt idx="1">498000</cx:pt>
          <cx:pt idx="2">453000</cx:pt>
        </cx:lvl>
      </cx:numDim>
    </cx:data>
    <cx:data id="2">
      <cx:numDim type="val">
        <cx:f>'zdruzen SP mod.'!$D$6:$F$6</cx:f>
        <cx:lvl ptCount="3" formatCode="General">
          <cx:pt idx="0">441000</cx:pt>
          <cx:pt idx="1">519000</cx:pt>
          <cx:pt idx="2">462000</cx:pt>
        </cx:lvl>
      </cx:numDim>
    </cx:data>
    <cx:data id="3">
      <cx:numDim type="val">
        <cx:f>'zdruzen SP mod.'!$D$8:$F$8</cx:f>
        <cx:lvl ptCount="3" formatCode="General">
          <cx:pt idx="0">423000</cx:pt>
          <cx:pt idx="1">398000</cx:pt>
          <cx:pt idx="2">409000</cx:pt>
        </cx:lvl>
      </cx:numDim>
    </cx:data>
    <cx:data id="4">
      <cx:numDim type="val">
        <cx:f>'zdruzen SP mod.'!$D$9:$F$9</cx:f>
        <cx:lvl ptCount="3" formatCode="General">
          <cx:pt idx="0">361000</cx:pt>
          <cx:pt idx="1">339000</cx:pt>
          <cx:pt idx="2">326000</cx:pt>
        </cx:lvl>
      </cx:numDim>
    </cx:data>
    <cx:data id="5">
      <cx:numDim type="val">
        <cx:f>'zdruzen SP mod.'!$D$11:$F$11</cx:f>
        <cx:lvl ptCount="3" formatCode="General">
          <cx:pt idx="0">56100</cx:pt>
          <cx:pt idx="1">48900</cx:pt>
          <cx:pt idx="2">50800</cx:pt>
        </cx:lvl>
      </cx:numDim>
    </cx:data>
    <cx:data id="6">
      <cx:numDim type="val">
        <cx:f>'zdruzen SP mod.'!$D$12:$F$12</cx:f>
        <cx:lvl ptCount="3" formatCode="General">
          <cx:pt idx="0">386000</cx:pt>
          <cx:pt idx="1">437000</cx:pt>
          <cx:pt idx="2">461000</cx:pt>
        </cx:lvl>
      </cx:numDim>
    </cx:data>
  </cx:chartData>
  <cx:chart>
    <cx:plotArea>
      <cx:plotAreaRegion>
        <cx:series layoutId="boxWhisker" uniqueId="{85BD1837-BB25-43E3-BC96-F0002A538E54}">
          <cx:tx>
            <cx:txData>
              <cx:f>'zdruzen SP mod.'!$C$4</cx:f>
              <cx:v>Glass vials</cx:v>
            </cx:txData>
          </cx:tx>
          <cx:dataId val="0"/>
          <cx:layoutPr>
            <cx:statistics quartileMethod="inclusive"/>
          </cx:layoutPr>
        </cx:series>
        <cx:series layoutId="boxWhisker" uniqueId="{FCB04089-24A1-4E64-AA9D-5D56E719474C}">
          <cx:tx>
            <cx:txData>
              <cx:f>'zdruzen SP mod.'!$C$5</cx:f>
              <cx:v>Glass vials QC</cx:v>
            </cx:txData>
          </cx:tx>
          <cx:dataId val="1"/>
          <cx:layoutPr>
            <cx:statistics quartileMethod="inclusive"/>
          </cx:layoutPr>
        </cx:series>
        <cx:series layoutId="boxWhisker" uniqueId="{83E8DDC6-EE5B-455F-96DC-2C52E936B777}">
          <cx:tx>
            <cx:txData>
              <cx:f>'zdruzen SP mod.'!$C$6</cx:f>
              <cx:v>Polypropylene vials</cx:v>
            </cx:txData>
          </cx:tx>
          <cx:spPr>
            <a:ln w="9525">
              <a:solidFill>
                <a:schemeClr val="bg1">
                  <a:lumMod val="50000"/>
                </a:schemeClr>
              </a:solidFill>
            </a:ln>
          </cx:spPr>
          <cx:dataId val="2"/>
          <cx:layoutPr>
            <cx:statistics quartileMethod="inclusive"/>
          </cx:layoutPr>
        </cx:series>
        <cx:series layoutId="boxWhisker" uniqueId="{31573664-78F1-43A2-B794-BBBB66B8F59D}">
          <cx:tx>
            <cx:txData>
              <cx:f>'zdruzen SP mod.'!$C$8</cx:f>
              <cx:v>Added CuSO4</cx:v>
            </cx:txData>
          </cx:tx>
          <cx:dataId val="3"/>
          <cx:layoutPr>
            <cx:statistics quartileMethod="inclusive"/>
          </cx:layoutPr>
        </cx:series>
        <cx:series layoutId="boxWhisker" uniqueId="{BA5D4EF3-1C5F-47B8-98F8-7255A3E8D6C5}">
          <cx:tx>
            <cx:txData>
              <cx:f>'zdruzen SP mod.'!$C$9</cx:f>
              <cx:v>No CuSO4 added</cx:v>
            </cx:txData>
          </cx:tx>
          <cx:dataId val="4"/>
          <cx:layoutPr>
            <cx:statistics quartileMethod="inclusive"/>
          </cx:layoutPr>
        </cx:series>
        <cx:series layoutId="boxWhisker" uniqueId="{8D27BC50-9726-40C5-A0C7-004006A9BB2C}">
          <cx:tx>
            <cx:txData>
              <cx:f>'zdruzen SP mod.'!$C$11</cx:f>
              <cx:v>EDTA plasma</cx:v>
            </cx:txData>
          </cx:tx>
          <cx:dataId val="5"/>
          <cx:layoutPr>
            <cx:visibility meanLine="0"/>
            <cx:statistics quartileMethod="inclusive"/>
          </cx:layoutPr>
        </cx:series>
        <cx:series layoutId="boxWhisker" uniqueId="{99805A8B-E78D-4AC4-9B59-91F0F7B03CD7}">
          <cx:tx>
            <cx:txData>
              <cx:f>'zdruzen SP mod.'!$C$12</cx:f>
              <cx:v>HEPARIN plasma</cx:v>
            </cx:txData>
          </cx:tx>
          <cx:dataId val="6"/>
          <cx:layoutPr>
            <cx:statistics quartileMethod="inclusive"/>
          </cx:layoutPr>
        </cx:series>
      </cx:plotAreaRegion>
      <cx:axis id="0" hidden="1">
        <cx:catScaling gapWidth="0.310000002"/>
        <cx:tickLabels/>
      </cx:axis>
      <cx:axis id="1">
        <cx:valScaling max="540000" min="0"/>
        <cx:title>
          <cx:tx>
            <cx:rich>
              <a:bodyPr spcFirstLastPara="1" vertOverflow="ellipsis" wrap="square" lIns="0" tIns="0" rIns="0" bIns="0" anchor="ctr" anchorCtr="1"/>
              <a:lstStyle/>
              <a:p>
                <a:pPr algn="ctr">
                  <a:defRPr>
                    <a:latin typeface="Times New Roman" panose="02020603050405020304" pitchFamily="18" charset="0"/>
                    <a:ea typeface="Times New Roman" panose="02020603050405020304" pitchFamily="18" charset="0"/>
                    <a:cs typeface="Times New Roman" panose="02020603050405020304" pitchFamily="18" charset="0"/>
                  </a:defRPr>
                </a:pPr>
                <a:r>
                  <a:rPr lang="sl-SI">
                    <a:latin typeface="Times New Roman" panose="02020603050405020304" pitchFamily="18" charset="0"/>
                    <a:cs typeface="Times New Roman" panose="02020603050405020304" pitchFamily="18" charset="0"/>
                  </a:rPr>
                  <a:t>Response (AUC)</a:t>
                </a:r>
                <a:endParaRPr lang="en-US">
                  <a:latin typeface="Times New Roman" panose="02020603050405020304" pitchFamily="18" charset="0"/>
                  <a:cs typeface="Times New Roman" panose="02020603050405020304" pitchFamily="18" charset="0"/>
                </a:endParaRPr>
              </a:p>
            </cx:rich>
          </cx:tx>
        </cx:title>
        <cx:majorGridlines/>
        <cx:tickLabels/>
        <cx:numFmt formatCode="0.0E+00" sourceLinked="0"/>
        <cx:txPr>
          <a:bodyPr rot="-60000000" spcFirstLastPara="1" vertOverflow="ellipsis" vert="horz"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en-US">
              <a:latin typeface="Times New Roman" panose="02020603050405020304" pitchFamily="18" charset="0"/>
              <a:cs typeface="Times New Roman" panose="02020603050405020304" pitchFamily="18" charset="0"/>
            </a:endParaRPr>
          </a:p>
        </cx:txPr>
      </cx:axis>
    </cx:plotArea>
    <cx:legend pos="r" align="ctr" overlay="0">
      <cx:txPr>
        <a:bodyPr spcFirstLastPara="1" vertOverflow="ellipsis"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en-US">
            <a:latin typeface="Times New Roman" panose="02020603050405020304" pitchFamily="18" charset="0"/>
            <a:cs typeface="Times New Roman" panose="02020603050405020304" pitchFamily="18" charset="0"/>
          </a:endParaRPr>
        </a:p>
      </cx:txPr>
    </cx:legend>
  </cx:chart>
  <cx:spPr>
    <a:ln>
      <a:solidFill>
        <a:schemeClr val="lt1">
          <a:shade val="50000"/>
        </a:schemeClr>
      </a:solidFill>
    </a:ln>
  </cx:spPr>
  <cx:clrMapOvr bg1="lt1" tx1="dk1" bg2="lt2" tx2="dk2" accent1="accent1" accent2="accent2" accent3="accent3" accent4="accent4" accent5="accent5" accent6="accent6" hlink="hlink" folHlink="folHlink"/>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'SERvsPLA-novo'!$B$33:$G$33</cx:f>
        <cx:lvl ptCount="6" formatCode="General">
          <cx:pt idx="0">82.900000000000006</cx:pt>
          <cx:pt idx="1">68.900000000000006</cx:pt>
          <cx:pt idx="2">76</cx:pt>
          <cx:pt idx="3">97.900000000000006</cx:pt>
          <cx:pt idx="4">87.5</cx:pt>
          <cx:pt idx="5">82.5</cx:pt>
        </cx:lvl>
      </cx:numDim>
    </cx:data>
    <cx:data id="1">
      <cx:numDim type="val">
        <cx:f>'SERvsPLA-novo'!$B$34:$G$34</cx:f>
        <cx:lvl ptCount="6" formatCode="General">
          <cx:pt idx="0">81.5</cx:pt>
          <cx:pt idx="1">78.5</cx:pt>
          <cx:pt idx="2">65.599999999999994</cx:pt>
        </cx:lvl>
      </cx:numDim>
    </cx:data>
    <cx:data id="2">
      <cx:numDim type="val">
        <cx:f>'SERvsPLA-novo'!$B$35:$G$35</cx:f>
        <cx:lvl ptCount="6" formatCode="General">
          <cx:pt idx="0">92.900000000000006</cx:pt>
          <cx:pt idx="1">90.799999999999997</cx:pt>
          <cx:pt idx="2">88.700000000000003</cx:pt>
          <cx:pt idx="3">114</cx:pt>
          <cx:pt idx="4">98</cx:pt>
          <cx:pt idx="5">99.099999999999994</cx:pt>
        </cx:lvl>
      </cx:numDim>
    </cx:data>
    <cx:data id="3">
      <cx:numDim type="val">
        <cx:f>'SERvsPLA-novo'!$B$36:$D$36</cx:f>
        <cx:lvl ptCount="3" formatCode="General">
          <cx:pt idx="0">98.799999999999997</cx:pt>
          <cx:pt idx="1">94.900000000000006</cx:pt>
          <cx:pt idx="2">92.5</cx:pt>
        </cx:lvl>
      </cx:numDim>
    </cx:data>
  </cx:chartData>
  <cx:chart>
    <cx:plotArea>
      <cx:plotAreaRegion>
        <cx:series layoutId="boxWhisker" uniqueId="{FEAB2AFC-67BF-4D9B-A76A-BD84D765E11C}">
          <cx:tx>
            <cx:txData>
              <cx:f>'SERvsPLA-novo'!$A$33</cx:f>
              <cx:v>Plasma (15 ng/mL)</cx:v>
            </cx:txData>
          </cx:tx>
          <cx:dataId val="0"/>
          <cx:layoutPr>
            <cx:visibility meanLine="0" meanMarker="1" nonoutliers="0" outliers="1"/>
            <cx:statistics quartileMethod="exclusive"/>
          </cx:layoutPr>
        </cx:series>
        <cx:series layoutId="boxWhisker" uniqueId="{09807F0E-3622-403B-AD5F-662FCE1CBC31}">
          <cx:tx>
            <cx:txData>
              <cx:f>'SERvsPLA-novo'!$A$34</cx:f>
              <cx:v>Serum (15 ng/mL)</cx:v>
            </cx:txData>
          </cx:tx>
          <cx:dataId val="1"/>
          <cx:layoutPr>
            <cx:visibility meanLine="0" meanMarker="1" nonoutliers="0" outliers="1"/>
            <cx:statistics quartileMethod="exclusive"/>
          </cx:layoutPr>
        </cx:series>
        <cx:series layoutId="boxWhisker" uniqueId="{00000002-EBCD-4113-BA22-6C1562A0D4A3}">
          <cx:tx>
            <cx:txData>
              <cx:f>'SERvsPLA-novo'!$A$35</cx:f>
              <cx:v>Plasma (600 ng/mL)</cx:v>
            </cx:txData>
          </cx:tx>
          <cx:dataId val="2"/>
          <cx:layoutPr>
            <cx:statistics quartileMethod="exclusive"/>
          </cx:layoutPr>
        </cx:series>
        <cx:series layoutId="boxWhisker" uniqueId="{00000003-EBCD-4113-BA22-6C1562A0D4A3}">
          <cx:tx>
            <cx:txData>
              <cx:f>'SERvsPLA-novo'!$A$36</cx:f>
              <cx:v>Serum (600 ng/mL)</cx:v>
            </cx:txData>
          </cx:tx>
          <cx:dataId val="3"/>
          <cx:layoutPr>
            <cx:statistics quartileMethod="exclusive"/>
          </cx:layoutPr>
        </cx:series>
      </cx:plotAreaRegion>
      <cx:axis id="0" hidden="1">
        <cx:catScaling gapWidth="1"/>
        <cx:tickLabels/>
      </cx:axis>
      <cx:axis id="1">
        <cx:valScaling/>
        <cx:title>
          <cx:tx>
            <cx:rich>
              <a:bodyPr spcFirstLastPara="1" vertOverflow="ellipsis" wrap="square" lIns="0" tIns="0" rIns="0" bIns="0" anchor="ctr" anchorCtr="1"/>
              <a:lstStyle/>
              <a:p>
                <a:pPr algn="ctr">
                  <a:defRPr>
                    <a:latin typeface="Times New Roman" panose="02020603050405020304" pitchFamily="18" charset="0"/>
                    <a:ea typeface="Times New Roman" panose="02020603050405020304" pitchFamily="18" charset="0"/>
                    <a:cs typeface="Times New Roman" panose="02020603050405020304" pitchFamily="18" charset="0"/>
                  </a:defRPr>
                </a:pPr>
                <a:r>
                  <a:rPr lang="sl-SI">
                    <a:latin typeface="Times New Roman" panose="02020603050405020304" pitchFamily="18" charset="0"/>
                    <a:cs typeface="Times New Roman" panose="02020603050405020304" pitchFamily="18" charset="0"/>
                  </a:rPr>
                  <a:t>Recovery (%)</a:t>
                </a:r>
                <a:endParaRPr lang="en-US">
                  <a:latin typeface="Times New Roman" panose="02020603050405020304" pitchFamily="18" charset="0"/>
                  <a:cs typeface="Times New Roman" panose="02020603050405020304" pitchFamily="18" charset="0"/>
                </a:endParaRPr>
              </a:p>
            </cx:rich>
          </cx:tx>
        </cx:title>
        <cx:majorGridlines/>
        <cx:tickLabels/>
        <cx:numFmt formatCode="0.0" sourceLinked="0"/>
      </cx:axis>
    </cx:plotArea>
    <cx:legend pos="b" align="ctr" overlay="0">
      <cx:txPr>
        <a:bodyPr spcFirstLastPara="1" vertOverflow="ellipsis"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en-US">
            <a:latin typeface="Times New Roman" panose="02020603050405020304" pitchFamily="18" charset="0"/>
            <a:cs typeface="Times New Roman" panose="02020603050405020304" pitchFamily="18" charset="0"/>
          </a:endParaRPr>
        </a:p>
      </cx:txPr>
    </cx:legend>
  </cx:chart>
  <cx:clrMapOvr bg1="lt1" tx1="dk1" bg2="lt2" tx2="dk2" accent1="accent1" accent2="accent2" accent3="accent3" accent4="accent4" accent5="accent5" accent6="accent6" hlink="hlink" folHlink="folHlink"/>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'Cayman-Cruz-XY'!$R$47:$T$47</cx:f>
        <cx:lvl ptCount="3" formatCode="0.00E+00">
          <cx:pt idx="0">124000</cx:pt>
          <cx:pt idx="1">119000</cx:pt>
          <cx:pt idx="2">114000</cx:pt>
        </cx:lvl>
      </cx:numDim>
    </cx:data>
    <cx:data id="1">
      <cx:numDim type="val">
        <cx:f>'Cayman-Cruz-XY'!$R$48:$T$48</cx:f>
        <cx:lvl ptCount="3" formatCode="0.00E+00">
          <cx:pt idx="0">124000</cx:pt>
          <cx:pt idx="1">118000</cx:pt>
          <cx:pt idx="2">107000</cx:pt>
        </cx:lvl>
      </cx:numDim>
    </cx:data>
  </cx:chartData>
  <cx:chart>
    <cx:plotArea>
      <cx:plotAreaRegion>
        <cx:series layoutId="boxWhisker" uniqueId="{9555F648-F2A1-4C88-91A7-24D5334EA643}">
          <cx:tx>
            <cx:txData>
              <cx:f>'Cayman-Cruz-XY'!$Q$47</cx:f>
              <cx:v>Standard producer: Santa cruz</cx:v>
            </cx:txData>
          </cx:tx>
          <cx:dataId val="0"/>
          <cx:layoutPr>
            <cx:visibility meanLine="0" meanMarker="1" nonoutliers="0" outliers="1"/>
            <cx:statistics quartileMethod="inclusive"/>
          </cx:layoutPr>
        </cx:series>
        <cx:series layoutId="boxWhisker" uniqueId="{318157B3-77CC-4D54-BC3F-589CD654C316}">
          <cx:tx>
            <cx:txData>
              <cx:f>'Cayman-Cruz-XY'!$Q$48</cx:f>
              <cx:v>Standard producer: Cayman</cx:v>
            </cx:txData>
          </cx:tx>
          <cx:dataId val="1"/>
          <cx:layoutPr>
            <cx:visibility meanLine="0" meanMarker="1" nonoutliers="0" outliers="1"/>
            <cx:statistics quartileMethod="inclusive"/>
          </cx:layoutPr>
        </cx:series>
      </cx:plotAreaRegion>
      <cx:axis id="0" hidden="1">
        <cx:catScaling gapWidth="1"/>
        <cx:tickLabels/>
      </cx:axis>
      <cx:axis id="1">
        <cx:valScaling/>
        <cx:title>
          <cx:tx>
            <cx:rich>
              <a:bodyPr spcFirstLastPara="1" vertOverflow="ellipsis" wrap="square" lIns="0" tIns="0" rIns="0" bIns="0" anchor="ctr" anchorCtr="1"/>
              <a:lstStyle/>
              <a:p>
                <a:pPr algn="ctr">
                  <a:defRPr>
                    <a:latin typeface="Times New Roman" panose="02020603050405020304" pitchFamily="18" charset="0"/>
                    <a:ea typeface="Times New Roman" panose="02020603050405020304" pitchFamily="18" charset="0"/>
                    <a:cs typeface="Times New Roman" panose="02020603050405020304" pitchFamily="18" charset="0"/>
                  </a:defRPr>
                </a:pPr>
                <a:r>
                  <a:rPr lang="sl-SI">
                    <a:latin typeface="Times New Roman" panose="02020603050405020304" pitchFamily="18" charset="0"/>
                    <a:cs typeface="Times New Roman" panose="02020603050405020304" pitchFamily="18" charset="0"/>
                  </a:rPr>
                  <a:t>Response (AUC)</a:t>
                </a:r>
                <a:endParaRPr lang="en-US">
                  <a:latin typeface="Times New Roman" panose="02020603050405020304" pitchFamily="18" charset="0"/>
                  <a:cs typeface="Times New Roman" panose="02020603050405020304" pitchFamily="18" charset="0"/>
                </a:endParaRPr>
              </a:p>
            </cx:rich>
          </cx:tx>
        </cx:title>
        <cx:majorGridlines/>
        <cx:tickLabels/>
        <cx:numFmt formatCode="0.0E+00" sourceLinked="0"/>
        <cx:txPr>
          <a:bodyPr rot="-60000000" spcFirstLastPara="1" vertOverflow="ellipsis" vert="horz"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en-US">
              <a:latin typeface="Times New Roman" panose="02020603050405020304" pitchFamily="18" charset="0"/>
              <a:cs typeface="Times New Roman" panose="02020603050405020304" pitchFamily="18" charset="0"/>
            </a:endParaRPr>
          </a:p>
        </cx:txPr>
      </cx:axis>
    </cx:plotArea>
    <cx:legend pos="b" align="ctr" overlay="0">
      <cx:txPr>
        <a:bodyPr spcFirstLastPara="1" vertOverflow="ellipsis" wrap="square" lIns="0" tIns="0" rIns="0" bIns="0" anchor="ctr" anchorCtr="1"/>
        <a:lstStyle/>
        <a:p>
          <a:pPr>
            <a:defRPr>
              <a:latin typeface="Times New Roman" panose="02020603050405020304" pitchFamily="18" charset="0"/>
              <a:ea typeface="Times New Roman" panose="02020603050405020304" pitchFamily="18" charset="0"/>
              <a:cs typeface="Times New Roman" panose="02020603050405020304" pitchFamily="18" charset="0"/>
            </a:defRPr>
          </a:pPr>
          <a:endParaRPr lang="en-US">
            <a:latin typeface="Times New Roman" panose="02020603050405020304" pitchFamily="18" charset="0"/>
            <a:cs typeface="Times New Roman" panose="02020603050405020304" pitchFamily="18" charset="0"/>
          </a:endParaRPr>
        </a:p>
      </cx:txPr>
    </cx:legend>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bodyPr rot="-60000000" vert="horz"/>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bodyPr rot="-60000000" vert="horz"/>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rot="0" vert="horz"/>
  </cs:title>
  <cs:trendline>
    <cs:lnRef idx="0"/>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bodyPr rot="-60000000" vert="horz"/>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bodyPr rot="-60000000" vert="horz"/>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bodyPr rot="-60000000" vert="horz"/>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rot="0" vert="horz"/>
  </cs:title>
  <cs:trendline>
    <cs:lnRef idx="0"/>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bodyPr rot="-60000000" vert="horz"/>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bodyPr rot="-60000000" vert="horz"/>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bodyPr rot="-60000000" vert="horz"/>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rot="0" vert="horz"/>
  </cs:title>
  <cs:trendline>
    <cs:lnRef idx="0"/>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bodyPr rot="-60000000" vert="horz"/>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bodyPr rot="-60000000" vert="horz"/>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bodyPr rot="-60000000" vert="horz"/>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rot="0" vert="horz"/>
  </cs:title>
  <cs:trendline>
    <cs:lnRef idx="0"/>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bodyPr rot="-60000000" vert="horz"/>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Mah91</b:Tag>
    <b:SourceType>JournalArticle</b:SourceType>
    <b:Guid>{5BEFA167-354C-49F7-BEE9-2B23E4F7C78F}</b:Guid>
    <b:Author>
      <b:Author>
        <b:NameList>
          <b:Person>
            <b:Last>Mahdadi R</b:Last>
            <b:First>Kenani</b:First>
            <b:Middle>A, Pommery J, Henichart J, Lhermitte M</b:Middle>
          </b:Person>
        </b:NameList>
      </b:Author>
    </b:Author>
    <b:Title>High-performance liquid chromatography assay of bleomycin in human plasma and rat hepatocytes in culture</b:Title>
    <b:JournalName>Cancer Chemotherapy and Pharmacology</b:JournalName>
    <b:Year>1991</b:Year>
    <b:Pages>22-26</b:Pages>
    <b:RefOrder>13</b:RefOrder>
  </b:Source>
  <b:Source>
    <b:Tag>Mab12</b:Tag>
    <b:SourceType>JournalArticle</b:SourceType>
    <b:Guid>{299C3B3D-0CE3-4E5E-8751-B91FA1A4E579}</b:Guid>
    <b:Title>A validated HPLC method for the simultaneous determination of bleomycin A2 and B2 in human plasma</b:Title>
    <b:Year>2012</b:Year>
    <b:Author>
      <b:Author>
        <b:NameList>
          <b:Person>
            <b:Last>P</b:Last>
            <b:First>Mabeta</b:First>
          </b:Person>
          <b:Person>
            <b:Last>N</b:Last>
            <b:First>Dippenaar</b:First>
          </b:Person>
          <b:Person>
            <b:Last>G</b:Last>
            <b:First>Shelver</b:First>
          </b:Person>
        </b:NameList>
      </b:Author>
    </b:Author>
    <b:JournalName>International Journal of Pharmaceutical and Biomedical Research</b:JournalName>
    <b:Pages>191-194</b:Pages>
    <b:RefOrder>12</b:RefOrder>
  </b:Source>
  <b:Source>
    <b:Tag>Fie91</b:Tag>
    <b:SourceType>JournalArticle</b:SourceType>
    <b:Guid>{9967B88E-5DAA-4CFF-851D-F1CA20FFF38A}</b:Guid>
    <b:Title>High-performance liquid chromatographic determination of bleomycins</b:Title>
    <b:JournalName>Journal of Chromatography</b:JournalName>
    <b:Year>1991</b:Year>
    <b:Pages>343-347</b:Pages>
    <b:Volume>536</b:Volume>
    <b:Author>
      <b:Author>
        <b:NameList>
          <b:Person>
            <b:Last>Fiedler H P</b:Last>
            <b:First>Wachter</b:First>
            <b:Middle>J</b:Middle>
          </b:Person>
        </b:NameList>
      </b:Author>
    </b:Author>
    <b:RefOrder>30</b:RefOrder>
  </b:Source>
  <b:Source>
    <b:Tag>Asz</b:Tag>
    <b:SourceType>JournalArticle</b:SourceType>
    <b:Guid>{410C593B-31D7-48FA-AD2F-852E5DC96D74}</b:Guid>
    <b:Author>
      <b:Author>
        <b:NameList>
          <b:Person>
            <b:Last>Aszalos</b:Last>
          </b:Person>
        </b:NameList>
      </b:Author>
    </b:Author>
    <b:Title>High-Performance Liquid Chromatographic Determination of Components of Bleomycin Preparations</b:Title>
    <b:RefOrder>31</b:RefOrder>
  </b:Source>
</b:Sources>
</file>

<file path=customXml/itemProps1.xml><?xml version="1.0" encoding="utf-8"?>
<ds:datastoreItem xmlns:ds="http://schemas.openxmlformats.org/officeDocument/2006/customXml" ds:itemID="{C66B763F-61F2-4D17-8655-9509D8671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1814</Words>
  <Characters>10342</Characters>
  <Application>Microsoft Office Word</Application>
  <DocSecurity>0</DocSecurity>
  <Lines>86</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IJS</Company>
  <LinksUpToDate>false</LinksUpToDate>
  <CharactersWithSpaces>12132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Kosjek</dc:creator>
  <cp:keywords/>
  <dc:description/>
  <cp:lastModifiedBy>E742638</cp:lastModifiedBy>
  <cp:revision>4</cp:revision>
  <cp:lastPrinted>2016-06-14T12:06:00Z</cp:lastPrinted>
  <dcterms:created xsi:type="dcterms:W3CDTF">2023-04-03T11:09:00Z</dcterms:created>
  <dcterms:modified xsi:type="dcterms:W3CDTF">2023-04-11T00:09:00Z</dcterms:modified>
</cp:coreProperties>
</file>