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30341" w14:textId="6D9AD0AF" w:rsidR="00707E73" w:rsidRPr="00C16F19" w:rsidRDefault="00707E73" w:rsidP="00707E73">
      <w:pPr>
        <w:pStyle w:val="Titel"/>
        <w:spacing w:before="0" w:after="0" w:line="360" w:lineRule="auto"/>
        <w:contextualSpacing/>
        <w:rPr>
          <w:sz w:val="24"/>
          <w:szCs w:val="24"/>
        </w:rPr>
      </w:pPr>
      <w:r w:rsidRPr="00C16F19">
        <w:rPr>
          <w:sz w:val="24"/>
          <w:szCs w:val="24"/>
        </w:rPr>
        <w:t xml:space="preserve">Automated </w:t>
      </w:r>
      <w:proofErr w:type="spellStart"/>
      <w:r w:rsidRPr="00C16F19">
        <w:rPr>
          <w:sz w:val="24"/>
          <w:szCs w:val="24"/>
        </w:rPr>
        <w:t>Silylation</w:t>
      </w:r>
      <w:proofErr w:type="spellEnd"/>
      <w:r w:rsidRPr="00C16F19">
        <w:rPr>
          <w:sz w:val="24"/>
          <w:szCs w:val="24"/>
        </w:rPr>
        <w:t xml:space="preserve"> of Flavonoids using 3D Printed Microfluidics prior to Chromatographic Analysis: System Development</w:t>
      </w:r>
    </w:p>
    <w:p w14:paraId="1480DAE3" w14:textId="77777777" w:rsidR="00707E73" w:rsidRPr="00C16F19" w:rsidRDefault="00707E73" w:rsidP="00707E73">
      <w:pPr>
        <w:pStyle w:val="AuthorList"/>
        <w:spacing w:before="0" w:after="0" w:line="360" w:lineRule="auto"/>
        <w:contextualSpacing/>
        <w:rPr>
          <w:sz w:val="20"/>
          <w:szCs w:val="20"/>
        </w:rPr>
      </w:pPr>
    </w:p>
    <w:p w14:paraId="2E59FD20" w14:textId="77777777" w:rsidR="00707E73" w:rsidRPr="00C16F19" w:rsidRDefault="00707E73" w:rsidP="00707E73">
      <w:pPr>
        <w:pStyle w:val="AuthorList"/>
        <w:spacing w:before="0" w:after="0" w:line="360" w:lineRule="auto"/>
        <w:contextualSpacing/>
        <w:rPr>
          <w:sz w:val="20"/>
          <w:szCs w:val="20"/>
        </w:rPr>
      </w:pPr>
      <w:r w:rsidRPr="00C16F19">
        <w:rPr>
          <w:sz w:val="20"/>
          <w:szCs w:val="20"/>
        </w:rPr>
        <w:t>Thabang Bernette Ncongwane</w:t>
      </w:r>
      <w:r w:rsidRPr="00C16F19">
        <w:rPr>
          <w:sz w:val="20"/>
          <w:szCs w:val="20"/>
          <w:vertAlign w:val="superscript"/>
        </w:rPr>
        <w:t>1</w:t>
      </w:r>
      <w:r w:rsidRPr="00C16F19">
        <w:rPr>
          <w:sz w:val="20"/>
          <w:szCs w:val="20"/>
        </w:rPr>
        <w:t>, Derek Tantoh Ndinteh</w:t>
      </w:r>
      <w:r w:rsidRPr="00C16F19">
        <w:rPr>
          <w:sz w:val="20"/>
          <w:szCs w:val="20"/>
          <w:vertAlign w:val="superscript"/>
        </w:rPr>
        <w:t>1</w:t>
      </w:r>
      <w:r w:rsidRPr="00C16F19">
        <w:rPr>
          <w:sz w:val="20"/>
          <w:szCs w:val="20"/>
        </w:rPr>
        <w:t>, Elize Smit</w:t>
      </w:r>
      <w:r w:rsidRPr="00C16F19">
        <w:rPr>
          <w:sz w:val="20"/>
          <w:szCs w:val="20"/>
          <w:vertAlign w:val="superscript"/>
        </w:rPr>
        <w:t>1*</w:t>
      </w:r>
    </w:p>
    <w:p w14:paraId="4D50731D" w14:textId="77777777" w:rsidR="00707E73" w:rsidRPr="00C16F19" w:rsidRDefault="00707E73" w:rsidP="00707E73">
      <w:pPr>
        <w:spacing w:before="0" w:after="0" w:line="360" w:lineRule="auto"/>
        <w:contextualSpacing/>
        <w:rPr>
          <w:rFonts w:cs="Times New Roman"/>
          <w:b/>
          <w:sz w:val="20"/>
          <w:szCs w:val="20"/>
        </w:rPr>
      </w:pPr>
      <w:r w:rsidRPr="00C16F19">
        <w:rPr>
          <w:rFonts w:cs="Times New Roman"/>
          <w:sz w:val="20"/>
          <w:szCs w:val="20"/>
          <w:vertAlign w:val="superscript"/>
        </w:rPr>
        <w:t>1</w:t>
      </w:r>
      <w:r w:rsidRPr="00C16F19">
        <w:rPr>
          <w:rFonts w:cs="Times New Roman"/>
          <w:sz w:val="20"/>
          <w:szCs w:val="20"/>
        </w:rPr>
        <w:t xml:space="preserve"> Center for Natural Products Research, Department of Chemical Sciences, University of Johannesburg, PO Box 524, Auckland Park, Johannesburg, South Africa</w:t>
      </w:r>
    </w:p>
    <w:p w14:paraId="225D0C1C" w14:textId="77777777" w:rsidR="00707E73" w:rsidRPr="00C16F19" w:rsidRDefault="00707E73" w:rsidP="00707E73">
      <w:pPr>
        <w:spacing w:before="0" w:after="0" w:line="360" w:lineRule="auto"/>
        <w:contextualSpacing/>
        <w:rPr>
          <w:rStyle w:val="Hyperlink"/>
          <w:rFonts w:cs="Times New Roman"/>
          <w:bCs/>
          <w:sz w:val="20"/>
          <w:szCs w:val="20"/>
        </w:rPr>
      </w:pPr>
      <w:r w:rsidRPr="00C16F19">
        <w:rPr>
          <w:rFonts w:cs="Times New Roman"/>
          <w:bCs/>
          <w:sz w:val="20"/>
          <w:szCs w:val="20"/>
        </w:rPr>
        <w:t xml:space="preserve">* Corresponding author: </w:t>
      </w:r>
      <w:hyperlink r:id="rId8" w:history="1">
        <w:r w:rsidRPr="00C16F19">
          <w:rPr>
            <w:rStyle w:val="Hyperlink"/>
            <w:rFonts w:cs="Times New Roman"/>
            <w:bCs/>
            <w:sz w:val="20"/>
            <w:szCs w:val="20"/>
          </w:rPr>
          <w:t>esmit@uj.ac.za</w:t>
        </w:r>
      </w:hyperlink>
    </w:p>
    <w:p w14:paraId="6B3D6C71" w14:textId="77777777" w:rsidR="00B722D7" w:rsidRPr="00C16F19" w:rsidRDefault="00B722D7" w:rsidP="00B722D7">
      <w:pPr>
        <w:spacing w:before="0" w:after="0" w:line="360" w:lineRule="auto"/>
        <w:contextualSpacing/>
        <w:jc w:val="both"/>
        <w:rPr>
          <w:rFonts w:cs="Times New Roman"/>
          <w:sz w:val="20"/>
          <w:szCs w:val="20"/>
        </w:rPr>
      </w:pPr>
    </w:p>
    <w:p w14:paraId="2E762A5B" w14:textId="45932148" w:rsidR="00B722D7" w:rsidRPr="00C16F19" w:rsidRDefault="00ED6C94" w:rsidP="007051C2">
      <w:pPr>
        <w:spacing w:before="0" w:after="0" w:line="360" w:lineRule="auto"/>
        <w:contextualSpacing/>
        <w:jc w:val="both"/>
        <w:rPr>
          <w:rFonts w:cs="Times New Roman"/>
          <w:bCs/>
          <w:szCs w:val="24"/>
        </w:rPr>
      </w:pPr>
      <w:r w:rsidRPr="00C16F19">
        <w:rPr>
          <w:rFonts w:cs="Times New Roman"/>
          <w:b/>
          <w:bCs/>
          <w:szCs w:val="24"/>
        </w:rPr>
        <w:t xml:space="preserve">Method development: </w:t>
      </w:r>
      <w:r w:rsidR="00B722D7" w:rsidRPr="00C16F19">
        <w:rPr>
          <w:rFonts w:cs="Times New Roman"/>
          <w:b/>
          <w:bCs/>
          <w:szCs w:val="24"/>
        </w:rPr>
        <w:t>Translation of batch to flow</w:t>
      </w:r>
    </w:p>
    <w:p w14:paraId="2C86C03F" w14:textId="77777777" w:rsidR="00F72174" w:rsidRPr="00C16F19" w:rsidRDefault="00F72174" w:rsidP="00B722D7">
      <w:pPr>
        <w:spacing w:before="0" w:after="0" w:line="360" w:lineRule="auto"/>
        <w:contextualSpacing/>
        <w:jc w:val="both"/>
        <w:rPr>
          <w:rFonts w:cs="Times New Roman"/>
          <w:sz w:val="20"/>
          <w:szCs w:val="20"/>
        </w:rPr>
      </w:pPr>
    </w:p>
    <w:p w14:paraId="4F3ECBF1" w14:textId="6213BCF1" w:rsidR="00885215" w:rsidRPr="00C16F19" w:rsidRDefault="00B722D7" w:rsidP="00F72174">
      <w:pPr>
        <w:spacing w:before="0" w:after="0" w:line="360" w:lineRule="auto"/>
        <w:contextualSpacing/>
        <w:jc w:val="both"/>
        <w:rPr>
          <w:rFonts w:cs="Times New Roman"/>
          <w:sz w:val="20"/>
          <w:szCs w:val="20"/>
        </w:rPr>
      </w:pPr>
      <w:r w:rsidRPr="00C16F19">
        <w:rPr>
          <w:rFonts w:cs="Times New Roman"/>
          <w:sz w:val="20"/>
          <w:szCs w:val="20"/>
        </w:rPr>
        <w:t xml:space="preserve">In this study, the translation of batch reactions into flow reactions was implemented using a two-step approach that provided for a smoother transition. The batch reactions were first translated into flow using continually stirred tank reactors (CSTRs). CSTRs originally developed by Neumaier et al. and later modified by du Preez et al. were adopted </w:t>
      </w:r>
      <w:r w:rsidR="002D72A2" w:rsidRPr="00C16F19">
        <w:rPr>
          <w:rFonts w:cs="Times New Roman"/>
          <w:sz w:val="20"/>
          <w:szCs w:val="20"/>
        </w:rPr>
        <w:fldChar w:fldCharType="begin" w:fldLock="1"/>
      </w:r>
      <w:r w:rsidR="00B00BC9" w:rsidRPr="00C16F19">
        <w:rPr>
          <w:rFonts w:cs="Times New Roman"/>
          <w:sz w:val="20"/>
          <w:szCs w:val="20"/>
        </w:rPr>
        <w:instrText>ADDIN CSL_CITATION {"citationItems":[{"id":"ITEM-1","itemData":{"DOI":"10.3762/bjoc.15.50","ISSN":"18605397","abstract":"This article describes the development and manufacturing of lab equipment, which is needed for the use in flow chemistry. We developed a rack of four syringe pumps controlled by one Arduino computer, which can be manufactured with a commonly available 3D printer and readily available parts. Also, we printed various flow reactor cells, which are fully customizable for each individual reaction. With this equipment we performed some multistep glycosylation reactions, where multiple 3D-printed flow reactors were used in series.","author":[{"dropping-particle":"","family":"Neumaier","given":"Jochen M.","non-dropping-particle":"","parse-names":false,"suffix":""},{"dropping-particle":"","family":"Madani","given":"Amiera","non-dropping-particle":"","parse-names":false,"suffix":""},{"dropping-particle":"","family":"Klein","given":"Thomas","non-dropping-particle":"","parse-names":false,"suffix":""},{"dropping-particle":"","family":"Ziegler","given":"Thomas","non-dropping-particle":"","parse-names":false,"suffix":""}],"container-title":"Beilstein Journal of Organic Chemistry","id":"ITEM-1","issue":"1","issued":{"date-parts":[["2019","2","26"]]},"page":"558-566","publisher":"Beilstein-Institut Zur Forderung der Chemischen Wissenschaften","title":"Low-budget 3D-printed equipment for continuous flow reactions","type":"article-journal","volume":"15"},"uris":["http://www.mendeley.com/documents/?uuid=b223c381-dde1-4901-b2a1-860f4799e889"]},{"id":"ITEM-2","itemData":{"DOI":"10.1007/S12161-022-02233-2/FIGURES/8","ISSN":"1936976X","abstract":"A low-cost flow system was designed, manufactured, and tested to perform automated base-catalyzed transesterification of triacylglycerols to determine the fatty acid content in edible oils. In combination with traditional gas chromatographic analysis (GC-FID), this approach provides a semi-automated process that requires minimal manual intervention. The main flow system components, namely syringe pumps, connectors (i.e., flangeless fittings), and reactors, were manufactured using 3D-printing technology, specifically fused deposition modeling (FDM). By fine-tuning 3D-printer settings, high-quality leak-tight fittings with standard threading were manufactured in polypropylene (PP), which reduced the overall cost of the flow system significantly. Due to the enhanced reactivity in flow, lower catalyst concentrations (≤ 1.5 wt.%) were needed compared to traditional batch reactions (5 wt.%). The suitability of the automated flow method was determined by comparing results with the certified fatty acid content in sunflower seed oil from Helianthus annuus. Acceptable levels of accuracy (relative errors &lt; 5%) and precision (RSD values ≤ 0.02%) were achieved. The mostly 3D-printed flow system was successfully used to determine the fatty acid content of sunflower and other commercial edible oils, namely avocado oil, canola oil, extra virgin olive oil, and a canola and olive oil blend. Linoleic acid (C18:2) was the major component in sunflower oil, whereas all other oils consisted mainly of oleic acid (C18:1). The fatty acid content of the edible oils was comparable to certified and literature values.","author":[{"dropping-particle":"","family":"Preez","given":"A.","non-dropping-particle":"du","parse-names":false,"suffix":""},{"dropping-particle":"","family":"Meijboom","given":"R.","non-dropping-particle":"","parse-names":false,"suffix":""},{"dropping-particle":"","family":"Smit","given":"E.","non-dropping-particle":"","parse-names":false,"suffix":""}],"container-title":"Food Analytical Methods","id":"ITEM-2","issue":"7","issued":{"date-parts":[["2022","7","1"]]},"page":"1816-1825","publisher":"Springer","title":"Low-Cost 3D-Printed Reactionware for the Determination of Fatty Acid Content in Edible Oils using a Base-Catalyzed Transesterification Method in Continuous Flow","type":"article-journal","volume":"15"},"uris":["http://www.mendeley.com/documents/?uuid=28fb355b-9276-3845-8916-b98b4037b3b9"]}],"mendeley":{"formattedCitation":"[1, 2]","plainTextFormattedCitation":"[1, 2]","previouslyFormattedCitation":"[1, 2]"},"properties":{"noteIndex":0},"schema":"https://github.com/citation-style-language/schema/raw/master/csl-citation.json"}</w:instrText>
      </w:r>
      <w:r w:rsidR="002D72A2" w:rsidRPr="00C16F19">
        <w:rPr>
          <w:rFonts w:cs="Times New Roman"/>
          <w:sz w:val="20"/>
          <w:szCs w:val="20"/>
        </w:rPr>
        <w:fldChar w:fldCharType="separate"/>
      </w:r>
      <w:r w:rsidR="002D72A2" w:rsidRPr="00C16F19">
        <w:rPr>
          <w:rFonts w:cs="Times New Roman"/>
          <w:noProof/>
          <w:sz w:val="20"/>
          <w:szCs w:val="20"/>
        </w:rPr>
        <w:t>[1, 2]</w:t>
      </w:r>
      <w:r w:rsidR="002D72A2" w:rsidRPr="00C16F19">
        <w:rPr>
          <w:rFonts w:cs="Times New Roman"/>
          <w:sz w:val="20"/>
          <w:szCs w:val="20"/>
        </w:rPr>
        <w:fldChar w:fldCharType="end"/>
      </w:r>
      <w:r w:rsidR="002D72A2" w:rsidRPr="00C16F19">
        <w:rPr>
          <w:rFonts w:cs="Times New Roman"/>
          <w:sz w:val="20"/>
          <w:szCs w:val="20"/>
        </w:rPr>
        <w:t>.</w:t>
      </w:r>
      <w:r w:rsidRPr="00C16F19">
        <w:rPr>
          <w:rFonts w:cs="Times New Roman"/>
          <w:sz w:val="20"/>
          <w:szCs w:val="20"/>
        </w:rPr>
        <w:t xml:space="preserve"> These reactors can be classified as a “batch in flow” system since the tank volume is relatively large (≈ 1.2 mL), representative of in-vial reactions. However, unlike batch reactions, CTSRs consists of a constant flow in and out of the tank. The prepared 0.5 mg/mL quercetin sample was added into a 5 mL syringe, and a 1 mL syringe was filled with MTBSTFA, of which both were respectively fitted to the open-source syringe pump system originally developed by the Pachter group </w:t>
      </w:r>
      <w:r w:rsidR="00B00BC9" w:rsidRPr="00C16F19">
        <w:rPr>
          <w:rFonts w:cs="Times New Roman"/>
          <w:sz w:val="20"/>
          <w:szCs w:val="20"/>
        </w:rPr>
        <w:fldChar w:fldCharType="begin" w:fldLock="1"/>
      </w:r>
      <w:r w:rsidR="00D575BA" w:rsidRPr="00C16F19">
        <w:rPr>
          <w:rFonts w:cs="Times New Roman"/>
          <w:sz w:val="20"/>
          <w:szCs w:val="20"/>
        </w:rPr>
        <w:instrText>ADDIN CSL_CITATION {"citationItems":[{"id":"ITEM-1","itemData":{"DOI":"10.1038/s41598-019-48815-9","ISSN":"20452322","PMID":"31455877","abstract":"The poseidon syringe pump and microscope system is an open source alternative to commercial systems. It costs less than $400 and can be assembled in under an hour using the instructions and source files available at https://pachterlab.github.io/poseidon. We describe the poseidon system and use it to illustrate design principles that can facilitate the adoption and development of open source bioinstruments. The principles are functionality, robustness, safety, simplicity, modularity, benchmarking, and documentation.","author":[{"dropping-particle":"","family":"Booeshaghi","given":"A. Sina","non-dropping-particle":"","parse-names":false,"suffix":""},{"dropping-particle":"","family":"Beltrame","given":"Eduardo da Veiga","non-dropping-particle":"","parse-names":false,"suffix":""},{"dropping-particle":"","family":"Bannon","given":"Dylan","non-dropping-particle":"","parse-names":false,"suffix":""},{"dropping-particle":"","family":"Gehring","given":"Jase","non-dropping-particle":"","parse-names":false,"suffix":""},{"dropping-particle":"","family":"Pachter","given":"Lior","non-dropping-particle":"","parse-names":false,"suffix":""}],"container-title":"Scientific Reports","id":"ITEM-1","issue":"1","issued":{"date-parts":[["2019","8","27"]]},"page":"12385","publisher":"Nature Publishing Group","title":"Principles of open source bioinstrumentation applied to the poseidon syringe pump system","type":"article-journal","volume":"9"},"uris":["http://www.mendeley.com/documents/?uuid=d30424b9-74fd-30f0-adfe-a5197738ae2c"]}],"mendeley":{"formattedCitation":"[3]","plainTextFormattedCitation":"[3]","previouslyFormattedCitation":"[3]"},"properties":{"noteIndex":0},"schema":"https://github.com/citation-style-language/schema/raw/master/csl-citation.json"}</w:instrText>
      </w:r>
      <w:r w:rsidR="00B00BC9" w:rsidRPr="00C16F19">
        <w:rPr>
          <w:rFonts w:cs="Times New Roman"/>
          <w:sz w:val="20"/>
          <w:szCs w:val="20"/>
        </w:rPr>
        <w:fldChar w:fldCharType="separate"/>
      </w:r>
      <w:r w:rsidR="00B00BC9" w:rsidRPr="00C16F19">
        <w:rPr>
          <w:rFonts w:cs="Times New Roman"/>
          <w:noProof/>
          <w:sz w:val="20"/>
          <w:szCs w:val="20"/>
        </w:rPr>
        <w:t>[3]</w:t>
      </w:r>
      <w:r w:rsidR="00B00BC9" w:rsidRPr="00C16F19">
        <w:rPr>
          <w:rFonts w:cs="Times New Roman"/>
          <w:sz w:val="20"/>
          <w:szCs w:val="20"/>
        </w:rPr>
        <w:fldChar w:fldCharType="end"/>
      </w:r>
      <w:r w:rsidRPr="00C16F19">
        <w:rPr>
          <w:rFonts w:cs="Times New Roman"/>
          <w:sz w:val="20"/>
          <w:szCs w:val="20"/>
        </w:rPr>
        <w:t xml:space="preserve">. The syringe pumps were connected to the CSTRs via threaded flangeless nuts and </w:t>
      </w:r>
      <w:proofErr w:type="spellStart"/>
      <w:r w:rsidRPr="00C16F19">
        <w:rPr>
          <w:rFonts w:cs="Times New Roman"/>
          <w:sz w:val="20"/>
          <w:szCs w:val="20"/>
        </w:rPr>
        <w:t>Teflon</w:t>
      </w:r>
      <w:r w:rsidRPr="00C16F19">
        <w:rPr>
          <w:rFonts w:cs="Times New Roman"/>
          <w:sz w:val="20"/>
          <w:szCs w:val="20"/>
          <w:vertAlign w:val="superscript"/>
        </w:rPr>
        <w:t>TM</w:t>
      </w:r>
      <w:proofErr w:type="spellEnd"/>
      <w:r w:rsidRPr="00C16F19">
        <w:rPr>
          <w:rFonts w:cs="Times New Roman"/>
          <w:sz w:val="20"/>
          <w:szCs w:val="20"/>
        </w:rPr>
        <w:t xml:space="preserve"> tubing. During trial reactions and optimizations, the total flow rate was varied between 100 - 500 µL/min, and 200 µL/min was found to be an optimal flow rate. Both the sample and the reagent (MTBSTFA) in the syringes were delivered at 100</w:t>
      </w:r>
      <w:r w:rsidR="00653721" w:rsidRPr="00C16F19">
        <w:rPr>
          <w:rFonts w:cs="Times New Roman"/>
          <w:sz w:val="20"/>
          <w:szCs w:val="20"/>
        </w:rPr>
        <w:t> </w:t>
      </w:r>
      <w:r w:rsidRPr="00C16F19">
        <w:rPr>
          <w:rFonts w:cs="Times New Roman"/>
          <w:sz w:val="20"/>
          <w:szCs w:val="20"/>
        </w:rPr>
        <w:t>µL/min each. The CSTRs had a residence time of ± 10 minutes, and three fractions were collected and analyzed similar to the samples prepared in batch.</w:t>
      </w:r>
      <w:r w:rsidR="00F72174" w:rsidRPr="00C16F19">
        <w:rPr>
          <w:rFonts w:cs="Times New Roman"/>
          <w:sz w:val="20"/>
          <w:szCs w:val="20"/>
        </w:rPr>
        <w:t xml:space="preserve"> </w:t>
      </w:r>
      <w:r w:rsidRPr="00C16F19">
        <w:rPr>
          <w:rFonts w:cs="Times New Roman"/>
          <w:sz w:val="20"/>
          <w:szCs w:val="20"/>
        </w:rPr>
        <w:t>Once the flow rates were optimized for the CSTRs, the reactions were further translated to a channel-based device.</w:t>
      </w:r>
    </w:p>
    <w:p w14:paraId="29B9E403" w14:textId="77777777" w:rsidR="00C61ABA" w:rsidRPr="00C16F19" w:rsidRDefault="00C61ABA" w:rsidP="00B722D7">
      <w:pPr>
        <w:spacing w:before="0" w:after="0" w:line="360" w:lineRule="auto"/>
        <w:contextualSpacing/>
        <w:rPr>
          <w:rStyle w:val="Hyperlink"/>
          <w:rFonts w:cs="Times New Roman"/>
          <w:bCs/>
          <w:color w:val="auto"/>
          <w:sz w:val="20"/>
          <w:szCs w:val="20"/>
        </w:rPr>
      </w:pPr>
    </w:p>
    <w:p w14:paraId="0803E5C2" w14:textId="22DB4EE7" w:rsidR="009527B1" w:rsidRPr="00C16F19" w:rsidRDefault="009527B1" w:rsidP="009527B1">
      <w:pPr>
        <w:spacing w:before="0" w:after="0" w:line="360" w:lineRule="auto"/>
        <w:contextualSpacing/>
        <w:jc w:val="both"/>
        <w:rPr>
          <w:rFonts w:cs="Times New Roman"/>
          <w:sz w:val="20"/>
          <w:szCs w:val="20"/>
        </w:rPr>
      </w:pPr>
      <w:r w:rsidRPr="00C16F19">
        <w:rPr>
          <w:rFonts w:cs="Times New Roman"/>
          <w:sz w:val="20"/>
          <w:szCs w:val="20"/>
        </w:rPr>
        <w:t>Different designs for the flow channel-based devices were considered. Factors such as print quality, channel internal diameter (ID), device size (which influences residence time) and connection ports need to be considered for a successful working microfluidic device. For this application, the first design</w:t>
      </w:r>
      <w:r w:rsidR="00296D78" w:rsidRPr="00C16F19">
        <w:rPr>
          <w:rFonts w:cs="Times New Roman"/>
          <w:sz w:val="20"/>
          <w:szCs w:val="20"/>
        </w:rPr>
        <w:t xml:space="preserve"> (Fig. S1)</w:t>
      </w:r>
      <w:r w:rsidRPr="00C16F19">
        <w:rPr>
          <w:rFonts w:cs="Times New Roman"/>
          <w:sz w:val="20"/>
          <w:szCs w:val="20"/>
        </w:rPr>
        <w:t xml:space="preserve"> involved a larger device of 40 × 40 mm (</w:t>
      </w:r>
      <w:r w:rsidRPr="00C16F19">
        <w:rPr>
          <w:rFonts w:cs="Times New Roman"/>
          <w:i/>
          <w:iCs/>
          <w:sz w:val="20"/>
          <w:szCs w:val="20"/>
        </w:rPr>
        <w:t>l</w:t>
      </w:r>
      <w:r w:rsidR="00C16F19" w:rsidRPr="00C16F19">
        <w:rPr>
          <w:rFonts w:cs="Times New Roman"/>
          <w:i/>
          <w:iCs/>
          <w:sz w:val="20"/>
          <w:szCs w:val="20"/>
        </w:rPr>
        <w:t> </w:t>
      </w:r>
      <w:r w:rsidRPr="00C16F19">
        <w:rPr>
          <w:rFonts w:cs="Times New Roman"/>
          <w:i/>
          <w:iCs/>
          <w:sz w:val="20"/>
          <w:szCs w:val="20"/>
        </w:rPr>
        <w:t>×</w:t>
      </w:r>
      <w:r w:rsidR="00C16F19" w:rsidRPr="00C16F19">
        <w:rPr>
          <w:rFonts w:cs="Times New Roman"/>
          <w:i/>
          <w:iCs/>
          <w:sz w:val="20"/>
          <w:szCs w:val="20"/>
        </w:rPr>
        <w:t> </w:t>
      </w:r>
      <w:r w:rsidRPr="00C16F19">
        <w:rPr>
          <w:rFonts w:cs="Times New Roman"/>
          <w:i/>
          <w:iCs/>
          <w:sz w:val="20"/>
          <w:szCs w:val="20"/>
        </w:rPr>
        <w:t>b</w:t>
      </w:r>
      <w:r w:rsidRPr="00C16F19">
        <w:rPr>
          <w:rFonts w:cs="Times New Roman"/>
          <w:sz w:val="20"/>
          <w:szCs w:val="20"/>
        </w:rPr>
        <w:t>), with ± 1 mm ID channels, the threaded connection ports were also designed to fit commercial flangeless nuts (¼</w:t>
      </w:r>
      <w:r w:rsidR="00C16F19" w:rsidRPr="00C16F19">
        <w:rPr>
          <w:rFonts w:cs="Times New Roman"/>
          <w:sz w:val="20"/>
          <w:szCs w:val="20"/>
        </w:rPr>
        <w:t> </w:t>
      </w:r>
      <w:r w:rsidRPr="00C16F19">
        <w:rPr>
          <w:rFonts w:cs="Times New Roman"/>
          <w:sz w:val="20"/>
          <w:szCs w:val="20"/>
        </w:rPr>
        <w:t>-</w:t>
      </w:r>
      <w:r w:rsidR="00C16F19" w:rsidRPr="00C16F19">
        <w:rPr>
          <w:rFonts w:cs="Times New Roman"/>
          <w:sz w:val="20"/>
          <w:szCs w:val="20"/>
        </w:rPr>
        <w:t> </w:t>
      </w:r>
      <w:r w:rsidRPr="00C16F19">
        <w:rPr>
          <w:rFonts w:cs="Times New Roman"/>
          <w:sz w:val="20"/>
          <w:szCs w:val="20"/>
        </w:rPr>
        <w:t>28</w:t>
      </w:r>
      <w:r w:rsidR="00C16F19" w:rsidRPr="00C16F19">
        <w:rPr>
          <w:rFonts w:cs="Times New Roman"/>
          <w:sz w:val="20"/>
          <w:szCs w:val="20"/>
        </w:rPr>
        <w:t> </w:t>
      </w:r>
      <w:r w:rsidRPr="00C16F19">
        <w:rPr>
          <w:rFonts w:cs="Times New Roman"/>
          <w:sz w:val="20"/>
          <w:szCs w:val="20"/>
        </w:rPr>
        <w:t xml:space="preserve">UNF), as shown in Fig. </w:t>
      </w:r>
      <w:r w:rsidR="00C96BA4" w:rsidRPr="00C16F19">
        <w:rPr>
          <w:rFonts w:cs="Times New Roman"/>
          <w:sz w:val="20"/>
          <w:szCs w:val="20"/>
        </w:rPr>
        <w:t>S1</w:t>
      </w:r>
      <w:r w:rsidRPr="00C16F19">
        <w:rPr>
          <w:rFonts w:cs="Times New Roman"/>
          <w:sz w:val="20"/>
          <w:szCs w:val="20"/>
        </w:rPr>
        <w:t>. The device offered a residence time of ≈ 5 minutes at a 200 µL/min combined flow rate.</w:t>
      </w:r>
      <w:r w:rsidR="00ED6C94" w:rsidRPr="00C16F19">
        <w:rPr>
          <w:rFonts w:cs="Times New Roman"/>
          <w:sz w:val="20"/>
          <w:szCs w:val="20"/>
        </w:rPr>
        <w:t xml:space="preserve"> It was observed that the derivatization reaction occurs more rapidly in the flow device compared to the CSTRs and the batch reactions, indicating that the residence (reaction) time could be reduced. Hence, an even smaller device was designed, where both device and channel sizes were reduced (Fig 2).</w:t>
      </w:r>
    </w:p>
    <w:p w14:paraId="7D538435" w14:textId="77777777" w:rsidR="009527B1" w:rsidRPr="00C16F19" w:rsidRDefault="009527B1" w:rsidP="00B722D7">
      <w:pPr>
        <w:spacing w:before="0" w:after="0" w:line="360" w:lineRule="auto"/>
        <w:contextualSpacing/>
        <w:rPr>
          <w:rStyle w:val="Hyperlink"/>
          <w:rFonts w:cs="Times New Roman"/>
          <w:bCs/>
          <w:color w:val="auto"/>
          <w:sz w:val="20"/>
          <w:szCs w:val="20"/>
        </w:rPr>
      </w:pPr>
    </w:p>
    <w:p w14:paraId="594AEDAE" w14:textId="77777777" w:rsidR="008617A3" w:rsidRPr="00C16F19" w:rsidRDefault="008617A3" w:rsidP="008617A3">
      <w:pPr>
        <w:keepNext/>
        <w:spacing w:before="0" w:after="0" w:line="360" w:lineRule="auto"/>
        <w:contextualSpacing/>
        <w:jc w:val="center"/>
        <w:rPr>
          <w:rFonts w:cs="Times New Roman"/>
          <w:sz w:val="20"/>
          <w:szCs w:val="20"/>
        </w:rPr>
      </w:pPr>
      <w:r w:rsidRPr="00C16F19">
        <w:rPr>
          <w:rFonts w:cs="Times New Roman"/>
          <w:noProof/>
          <w:sz w:val="20"/>
          <w:szCs w:val="20"/>
        </w:rPr>
        <w:lastRenderedPageBreak/>
        <w:drawing>
          <wp:inline distT="0" distB="0" distL="0" distR="0" wp14:anchorId="0305062B" wp14:editId="72CA5CAF">
            <wp:extent cx="3024000" cy="227180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4000" cy="2271803"/>
                    </a:xfrm>
                    <a:prstGeom prst="rect">
                      <a:avLst/>
                    </a:prstGeom>
                    <a:noFill/>
                  </pic:spPr>
                </pic:pic>
              </a:graphicData>
            </a:graphic>
          </wp:inline>
        </w:drawing>
      </w:r>
    </w:p>
    <w:p w14:paraId="2A8D1FAD" w14:textId="5B8C923A" w:rsidR="008617A3" w:rsidRPr="00C16F19" w:rsidRDefault="008617A3" w:rsidP="008617A3">
      <w:pPr>
        <w:pStyle w:val="Beschriftung"/>
        <w:spacing w:before="0" w:after="0" w:line="360" w:lineRule="auto"/>
        <w:contextualSpacing/>
        <w:jc w:val="both"/>
        <w:rPr>
          <w:b w:val="0"/>
          <w:bCs w:val="0"/>
          <w:sz w:val="20"/>
          <w:szCs w:val="20"/>
        </w:rPr>
      </w:pPr>
      <w:r w:rsidRPr="00C16F19">
        <w:rPr>
          <w:sz w:val="20"/>
          <w:szCs w:val="20"/>
        </w:rPr>
        <w:t xml:space="preserve">Fig. </w:t>
      </w:r>
      <w:r w:rsidR="00A966B5" w:rsidRPr="00C16F19">
        <w:rPr>
          <w:sz w:val="20"/>
          <w:szCs w:val="20"/>
        </w:rPr>
        <w:t>S1</w:t>
      </w:r>
      <w:r w:rsidRPr="00C16F19">
        <w:rPr>
          <w:sz w:val="20"/>
          <w:szCs w:val="20"/>
        </w:rPr>
        <w:t xml:space="preserve"> </w:t>
      </w:r>
      <w:r w:rsidRPr="00C16F19">
        <w:rPr>
          <w:b w:val="0"/>
          <w:bCs w:val="0"/>
          <w:sz w:val="20"/>
          <w:szCs w:val="20"/>
        </w:rPr>
        <w:t>CAD model of the channel device (microfluidics) with 40 × 40 mm dimensions. The channels are ±1 mm in internal diameter (ID), and the enclosed device has two threaded inlets and one outlet for tube connection via flangeless nuts.</w:t>
      </w:r>
    </w:p>
    <w:p w14:paraId="11789E3D" w14:textId="77777777" w:rsidR="006A5FFD" w:rsidRDefault="006A5FFD" w:rsidP="006A5FFD">
      <w:pPr>
        <w:pStyle w:val="KeinLeerraum"/>
        <w:rPr>
          <w:rFonts w:cs="Times New Roman"/>
          <w:sz w:val="20"/>
          <w:szCs w:val="20"/>
        </w:rPr>
      </w:pPr>
    </w:p>
    <w:p w14:paraId="0CF41D9B" w14:textId="77777777" w:rsidR="008A0856" w:rsidRPr="00C16F19" w:rsidRDefault="008A0856" w:rsidP="006A5FFD">
      <w:pPr>
        <w:pStyle w:val="KeinLeerraum"/>
        <w:rPr>
          <w:rFonts w:cs="Times New Roman"/>
          <w:sz w:val="20"/>
          <w:szCs w:val="20"/>
        </w:rPr>
      </w:pPr>
    </w:p>
    <w:p w14:paraId="5B5B480D" w14:textId="64E5CFAF" w:rsidR="006A5FFD" w:rsidRPr="00C16F19" w:rsidRDefault="00F72174" w:rsidP="006A5FFD">
      <w:pPr>
        <w:spacing w:before="0" w:after="0" w:line="360" w:lineRule="auto"/>
        <w:contextualSpacing/>
        <w:jc w:val="both"/>
        <w:rPr>
          <w:rFonts w:cs="Times New Roman"/>
          <w:b/>
          <w:bCs/>
          <w:szCs w:val="24"/>
        </w:rPr>
      </w:pPr>
      <w:bookmarkStart w:id="0" w:name="_Hlk137538450"/>
      <w:r w:rsidRPr="00C16F19">
        <w:rPr>
          <w:rFonts w:cs="Times New Roman"/>
          <w:b/>
          <w:bCs/>
          <w:szCs w:val="24"/>
        </w:rPr>
        <w:t>Results: Supplementary Chromatograms and Spectra</w:t>
      </w:r>
      <w:bookmarkEnd w:id="0"/>
    </w:p>
    <w:p w14:paraId="4F6CCA9F" w14:textId="21C158F3" w:rsidR="00ED6C94" w:rsidRDefault="00ED6C94" w:rsidP="00C16F19">
      <w:pPr>
        <w:spacing w:before="0" w:after="0"/>
        <w:contextualSpacing/>
        <w:rPr>
          <w:rStyle w:val="Hyperlink"/>
          <w:rFonts w:cs="Times New Roman"/>
          <w:bCs/>
          <w:color w:val="auto"/>
          <w:sz w:val="20"/>
          <w:szCs w:val="20"/>
        </w:rPr>
      </w:pPr>
    </w:p>
    <w:p w14:paraId="482BACDD" w14:textId="77777777" w:rsidR="008A0856" w:rsidRPr="00C16F19" w:rsidRDefault="008A0856" w:rsidP="00C16F19">
      <w:pPr>
        <w:spacing w:before="0" w:after="0"/>
        <w:contextualSpacing/>
        <w:rPr>
          <w:rStyle w:val="Hyperlink"/>
          <w:rFonts w:cs="Times New Roman"/>
          <w:bCs/>
          <w:color w:val="auto"/>
          <w:sz w:val="20"/>
          <w:szCs w:val="20"/>
        </w:rPr>
      </w:pPr>
    </w:p>
    <w:p w14:paraId="7C965381" w14:textId="77777777" w:rsidR="00707E73" w:rsidRPr="00C16F19" w:rsidRDefault="00707E73" w:rsidP="00C16F19">
      <w:pPr>
        <w:spacing w:before="0" w:after="0"/>
        <w:contextualSpacing/>
        <w:jc w:val="center"/>
        <w:rPr>
          <w:rFonts w:cs="Times New Roman"/>
          <w:b/>
          <w:sz w:val="20"/>
          <w:szCs w:val="20"/>
        </w:rPr>
      </w:pPr>
      <w:r w:rsidRPr="00C16F19">
        <w:rPr>
          <w:rFonts w:cs="Times New Roman"/>
          <w:noProof/>
          <w:sz w:val="20"/>
          <w:szCs w:val="20"/>
        </w:rPr>
        <w:drawing>
          <wp:inline distT="0" distB="0" distL="0" distR="0" wp14:anchorId="3A4F08B8" wp14:editId="137B0BD1">
            <wp:extent cx="3240000" cy="1860546"/>
            <wp:effectExtent l="0" t="0" r="0" b="6985"/>
            <wp:docPr id="45" name="Picture 4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40000" cy="1860546"/>
                    </a:xfrm>
                    <a:prstGeom prst="rect">
                      <a:avLst/>
                    </a:prstGeom>
                    <a:noFill/>
                  </pic:spPr>
                </pic:pic>
              </a:graphicData>
            </a:graphic>
          </wp:inline>
        </w:drawing>
      </w:r>
    </w:p>
    <w:p w14:paraId="3DB1D79B" w14:textId="6744C37B" w:rsidR="00707E73" w:rsidRPr="00C16F19" w:rsidRDefault="00707E73" w:rsidP="00C16F19">
      <w:pPr>
        <w:spacing w:before="0" w:after="0"/>
        <w:contextualSpacing/>
        <w:jc w:val="both"/>
        <w:rPr>
          <w:rFonts w:cs="Times New Roman"/>
          <w:sz w:val="20"/>
          <w:szCs w:val="20"/>
        </w:rPr>
      </w:pPr>
      <w:r w:rsidRPr="00C16F19">
        <w:rPr>
          <w:rFonts w:cs="Times New Roman"/>
          <w:b/>
          <w:sz w:val="20"/>
          <w:szCs w:val="20"/>
        </w:rPr>
        <w:t xml:space="preserve">Fig. </w:t>
      </w:r>
      <w:r w:rsidR="00F4278B" w:rsidRPr="00C16F19">
        <w:rPr>
          <w:rFonts w:cs="Times New Roman"/>
          <w:b/>
          <w:sz w:val="20"/>
          <w:szCs w:val="20"/>
        </w:rPr>
        <w:t>S2</w:t>
      </w:r>
      <w:r w:rsidRPr="00C16F19">
        <w:rPr>
          <w:rFonts w:cs="Times New Roman"/>
          <w:sz w:val="20"/>
          <w:szCs w:val="20"/>
        </w:rPr>
        <w:t xml:space="preserve"> GC-MS total ion chromatogram (TIC) of underivatized quercetin (blue), quercetin derivatized in batch (magenta), and in flow (black) using MTBSTFA.</w:t>
      </w:r>
    </w:p>
    <w:p w14:paraId="03ED1FA3" w14:textId="77777777" w:rsidR="00707E73" w:rsidRDefault="00707E73" w:rsidP="00C16F19">
      <w:pPr>
        <w:spacing w:before="0" w:after="0"/>
        <w:contextualSpacing/>
        <w:rPr>
          <w:rFonts w:cs="Times New Roman"/>
          <w:sz w:val="20"/>
          <w:szCs w:val="20"/>
        </w:rPr>
      </w:pPr>
    </w:p>
    <w:p w14:paraId="66E8268A" w14:textId="77777777" w:rsidR="00C16F19" w:rsidRDefault="00C16F19" w:rsidP="00C16F19">
      <w:pPr>
        <w:spacing w:before="0" w:after="0"/>
        <w:contextualSpacing/>
        <w:rPr>
          <w:rFonts w:cs="Times New Roman"/>
          <w:sz w:val="20"/>
          <w:szCs w:val="20"/>
        </w:rPr>
      </w:pPr>
    </w:p>
    <w:p w14:paraId="7D89C2EC" w14:textId="77777777" w:rsidR="00C16F19" w:rsidRPr="00C16F19" w:rsidRDefault="00C16F19" w:rsidP="00C16F19">
      <w:pPr>
        <w:spacing w:before="0" w:after="0"/>
        <w:contextualSpacing/>
        <w:rPr>
          <w:rFonts w:cs="Times New Roman"/>
          <w:sz w:val="20"/>
          <w:szCs w:val="20"/>
        </w:rPr>
      </w:pPr>
    </w:p>
    <w:p w14:paraId="596D4FD0" w14:textId="1296CE78" w:rsidR="00707E73" w:rsidRPr="00C16F19" w:rsidRDefault="004405A2" w:rsidP="00C16F19">
      <w:pPr>
        <w:spacing w:before="0" w:after="0"/>
        <w:contextualSpacing/>
        <w:jc w:val="center"/>
        <w:rPr>
          <w:rFonts w:cs="Times New Roman"/>
          <w:sz w:val="20"/>
          <w:szCs w:val="20"/>
        </w:rPr>
      </w:pPr>
      <w:r>
        <w:rPr>
          <w:rFonts w:cs="Times New Roman"/>
          <w:noProof/>
          <w:sz w:val="20"/>
          <w:szCs w:val="20"/>
        </w:rPr>
        <w:drawing>
          <wp:inline distT="0" distB="0" distL="0" distR="0" wp14:anchorId="19F20C4B" wp14:editId="4025CCFB">
            <wp:extent cx="2802076" cy="1548000"/>
            <wp:effectExtent l="0" t="0" r="0" b="0"/>
            <wp:docPr id="6957500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2076" cy="1548000"/>
                    </a:xfrm>
                    <a:prstGeom prst="rect">
                      <a:avLst/>
                    </a:prstGeom>
                    <a:noFill/>
                  </pic:spPr>
                </pic:pic>
              </a:graphicData>
            </a:graphic>
          </wp:inline>
        </w:drawing>
      </w:r>
      <w:r w:rsidR="00684A46">
        <w:rPr>
          <w:rFonts w:cs="Times New Roman"/>
          <w:noProof/>
          <w:sz w:val="20"/>
          <w:szCs w:val="20"/>
        </w:rPr>
        <w:drawing>
          <wp:inline distT="0" distB="0" distL="0" distR="0" wp14:anchorId="2758A809" wp14:editId="745A1D5F">
            <wp:extent cx="2843265" cy="1548000"/>
            <wp:effectExtent l="0" t="0" r="0" b="0"/>
            <wp:docPr id="8086028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3265" cy="1548000"/>
                    </a:xfrm>
                    <a:prstGeom prst="rect">
                      <a:avLst/>
                    </a:prstGeom>
                    <a:noFill/>
                  </pic:spPr>
                </pic:pic>
              </a:graphicData>
            </a:graphic>
          </wp:inline>
        </w:drawing>
      </w:r>
    </w:p>
    <w:p w14:paraId="2DB7A3C0" w14:textId="4D3A7D81" w:rsidR="00707E73" w:rsidRPr="00C16F19" w:rsidRDefault="00707E73" w:rsidP="00C16F19">
      <w:pPr>
        <w:spacing w:before="0" w:after="0"/>
        <w:contextualSpacing/>
        <w:jc w:val="both"/>
        <w:rPr>
          <w:rFonts w:cs="Times New Roman"/>
          <w:sz w:val="20"/>
          <w:szCs w:val="20"/>
        </w:rPr>
      </w:pPr>
      <w:r w:rsidRPr="00C16F19">
        <w:rPr>
          <w:rFonts w:cs="Times New Roman"/>
          <w:b/>
          <w:sz w:val="20"/>
          <w:szCs w:val="20"/>
        </w:rPr>
        <w:t xml:space="preserve">Fig. </w:t>
      </w:r>
      <w:r w:rsidR="00F4278B" w:rsidRPr="00C16F19">
        <w:rPr>
          <w:rFonts w:cs="Times New Roman"/>
          <w:b/>
          <w:bCs/>
          <w:sz w:val="20"/>
          <w:szCs w:val="20"/>
        </w:rPr>
        <w:t>S3</w:t>
      </w:r>
      <w:r w:rsidR="00F4278B" w:rsidRPr="00C16F19">
        <w:rPr>
          <w:rFonts w:cs="Times New Roman"/>
          <w:sz w:val="20"/>
          <w:szCs w:val="20"/>
        </w:rPr>
        <w:t xml:space="preserve"> </w:t>
      </w:r>
      <w:r w:rsidRPr="00C16F19">
        <w:rPr>
          <w:rFonts w:cs="Times New Roman"/>
          <w:sz w:val="20"/>
          <w:szCs w:val="20"/>
        </w:rPr>
        <w:t>GC-MS extracted ion chromatograms (EIC) of ions with m/z of 53</w:t>
      </w:r>
      <w:r w:rsidR="00AC5C0D">
        <w:rPr>
          <w:rFonts w:cs="Times New Roman"/>
          <w:sz w:val="20"/>
          <w:szCs w:val="20"/>
        </w:rPr>
        <w:t>0</w:t>
      </w:r>
      <w:r w:rsidRPr="00C16F19">
        <w:rPr>
          <w:rFonts w:cs="Times New Roman"/>
          <w:sz w:val="20"/>
          <w:szCs w:val="20"/>
        </w:rPr>
        <w:t>, 64</w:t>
      </w:r>
      <w:r w:rsidR="00AC5C0D">
        <w:rPr>
          <w:rFonts w:cs="Times New Roman"/>
          <w:sz w:val="20"/>
          <w:szCs w:val="20"/>
        </w:rPr>
        <w:t>4</w:t>
      </w:r>
      <w:r w:rsidRPr="00C16F19">
        <w:rPr>
          <w:rFonts w:cs="Times New Roman"/>
          <w:sz w:val="20"/>
          <w:szCs w:val="20"/>
        </w:rPr>
        <w:t>, 75</w:t>
      </w:r>
      <w:r w:rsidR="00AC5C0D">
        <w:rPr>
          <w:rFonts w:cs="Times New Roman"/>
          <w:sz w:val="20"/>
          <w:szCs w:val="20"/>
        </w:rPr>
        <w:t>8</w:t>
      </w:r>
      <w:r w:rsidRPr="00C16F19">
        <w:rPr>
          <w:rFonts w:cs="Times New Roman"/>
          <w:sz w:val="20"/>
          <w:szCs w:val="20"/>
        </w:rPr>
        <w:t>, and 87</w:t>
      </w:r>
      <w:r w:rsidR="00AC5C0D">
        <w:rPr>
          <w:rFonts w:cs="Times New Roman"/>
          <w:sz w:val="20"/>
          <w:szCs w:val="20"/>
        </w:rPr>
        <w:t>2</w:t>
      </w:r>
      <w:r w:rsidRPr="00C16F19">
        <w:rPr>
          <w:rFonts w:cs="Times New Roman"/>
          <w:sz w:val="20"/>
          <w:szCs w:val="20"/>
        </w:rPr>
        <w:t xml:space="preserve"> for a quercetin sample</w:t>
      </w:r>
      <w:r w:rsidR="004478D8">
        <w:rPr>
          <w:rFonts w:cs="Times New Roman"/>
          <w:sz w:val="20"/>
          <w:szCs w:val="20"/>
        </w:rPr>
        <w:t xml:space="preserve"> derivatized in batch and flow</w:t>
      </w:r>
      <w:r w:rsidRPr="00C16F19">
        <w:rPr>
          <w:rFonts w:cs="Times New Roman"/>
          <w:sz w:val="20"/>
          <w:szCs w:val="20"/>
        </w:rPr>
        <w:t>. These ions correspond to the expected masses of quercetin that has been derivatized up to five times.</w:t>
      </w:r>
    </w:p>
    <w:p w14:paraId="0A91546F" w14:textId="77777777" w:rsidR="00C16F19" w:rsidRDefault="00C16F19" w:rsidP="00C16F19">
      <w:pPr>
        <w:spacing w:before="0" w:after="0"/>
        <w:contextualSpacing/>
        <w:jc w:val="both"/>
        <w:rPr>
          <w:rFonts w:cs="Times New Roman"/>
          <w:sz w:val="20"/>
          <w:szCs w:val="20"/>
        </w:rPr>
      </w:pPr>
    </w:p>
    <w:p w14:paraId="56F884A4" w14:textId="77777777" w:rsidR="008A0856" w:rsidRPr="00C16F19" w:rsidRDefault="008A0856" w:rsidP="00C16F19">
      <w:pPr>
        <w:spacing w:before="0" w:after="0"/>
        <w:contextualSpacing/>
        <w:jc w:val="both"/>
        <w:rPr>
          <w:rFonts w:cs="Times New Roman"/>
          <w:sz w:val="20"/>
          <w:szCs w:val="20"/>
        </w:rPr>
      </w:pPr>
    </w:p>
    <w:p w14:paraId="1C194950" w14:textId="77777777" w:rsidR="00BB2EB5" w:rsidRPr="00C16F19" w:rsidRDefault="00BB2EB5" w:rsidP="00C16F19">
      <w:pPr>
        <w:keepNext/>
        <w:spacing w:before="0" w:after="0"/>
        <w:contextualSpacing/>
        <w:jc w:val="both"/>
        <w:rPr>
          <w:rFonts w:cs="Times New Roman"/>
          <w:sz w:val="20"/>
          <w:szCs w:val="20"/>
        </w:rPr>
      </w:pPr>
      <w:r w:rsidRPr="00C16F19">
        <w:rPr>
          <w:rFonts w:cs="Times New Roman"/>
          <w:noProof/>
          <w:sz w:val="20"/>
          <w:szCs w:val="20"/>
        </w:rPr>
        <w:lastRenderedPageBreak/>
        <w:drawing>
          <wp:inline distT="0" distB="0" distL="0" distR="0" wp14:anchorId="50C78BFC" wp14:editId="04C4BA6F">
            <wp:extent cx="6264000" cy="2584638"/>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64000" cy="2584638"/>
                    </a:xfrm>
                    <a:prstGeom prst="rect">
                      <a:avLst/>
                    </a:prstGeom>
                    <a:noFill/>
                  </pic:spPr>
                </pic:pic>
              </a:graphicData>
            </a:graphic>
          </wp:inline>
        </w:drawing>
      </w:r>
    </w:p>
    <w:p w14:paraId="5965D2E6" w14:textId="3ECEC5D6" w:rsidR="00707E73" w:rsidRPr="00C16F19" w:rsidRDefault="00BB2EB5" w:rsidP="00C16F19">
      <w:pPr>
        <w:pStyle w:val="Beschriftung"/>
        <w:spacing w:before="0" w:after="0"/>
        <w:contextualSpacing/>
        <w:jc w:val="both"/>
        <w:rPr>
          <w:b w:val="0"/>
          <w:bCs w:val="0"/>
          <w:sz w:val="20"/>
          <w:szCs w:val="20"/>
        </w:rPr>
      </w:pPr>
      <w:r w:rsidRPr="00C16F19">
        <w:rPr>
          <w:sz w:val="20"/>
          <w:szCs w:val="20"/>
        </w:rPr>
        <w:t xml:space="preserve">Fig. </w:t>
      </w:r>
      <w:r w:rsidR="00A67F83" w:rsidRPr="00C16F19">
        <w:rPr>
          <w:sz w:val="20"/>
          <w:szCs w:val="20"/>
        </w:rPr>
        <w:t>S4</w:t>
      </w:r>
      <w:r w:rsidR="00B32855" w:rsidRPr="00C16F19">
        <w:rPr>
          <w:b w:val="0"/>
          <w:bCs w:val="0"/>
          <w:sz w:val="20"/>
          <w:szCs w:val="20"/>
        </w:rPr>
        <w:t xml:space="preserve"> </w:t>
      </w:r>
      <w:r w:rsidRPr="00C16F19">
        <w:rPr>
          <w:b w:val="0"/>
          <w:bCs w:val="0"/>
          <w:sz w:val="20"/>
          <w:szCs w:val="20"/>
        </w:rPr>
        <w:t xml:space="preserve">Positive ion </w:t>
      </w:r>
      <w:r w:rsidR="004478D8">
        <w:rPr>
          <w:b w:val="0"/>
          <w:bCs w:val="0"/>
          <w:sz w:val="20"/>
          <w:szCs w:val="20"/>
        </w:rPr>
        <w:t xml:space="preserve">ESI </w:t>
      </w:r>
      <w:r w:rsidRPr="00C16F19">
        <w:rPr>
          <w:b w:val="0"/>
          <w:bCs w:val="0"/>
          <w:sz w:val="20"/>
          <w:szCs w:val="20"/>
        </w:rPr>
        <w:t>HR-MS spectrum of targeted species obtained from analysis of quercetin derivatized in flow. Similar results were observed for quercetin derivatized in batch (not shown). *Targeted (derivatized) peaks.</w:t>
      </w:r>
    </w:p>
    <w:p w14:paraId="290E8918" w14:textId="77777777" w:rsidR="00C16F19" w:rsidRPr="00C16F19" w:rsidRDefault="00C16F19" w:rsidP="00C16F19">
      <w:pPr>
        <w:pStyle w:val="KeinLeerraum"/>
        <w:rPr>
          <w:rFonts w:cs="Times New Roman"/>
          <w:sz w:val="20"/>
          <w:szCs w:val="20"/>
        </w:rPr>
      </w:pPr>
    </w:p>
    <w:p w14:paraId="2451614A" w14:textId="77777777" w:rsidR="00707E73" w:rsidRPr="00C16F19" w:rsidRDefault="00707E73" w:rsidP="00C16F19">
      <w:pPr>
        <w:keepNext/>
        <w:jc w:val="center"/>
        <w:rPr>
          <w:rFonts w:cs="Times New Roman"/>
          <w:sz w:val="20"/>
          <w:szCs w:val="20"/>
        </w:rPr>
      </w:pPr>
      <w:r w:rsidRPr="00C16F19">
        <w:rPr>
          <w:rFonts w:cs="Times New Roman"/>
          <w:noProof/>
          <w:sz w:val="20"/>
          <w:szCs w:val="20"/>
        </w:rPr>
        <w:drawing>
          <wp:inline distT="0" distB="0" distL="0" distR="0" wp14:anchorId="739BD650" wp14:editId="60FDFAD3">
            <wp:extent cx="6120000" cy="285840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000" cy="2858400"/>
                    </a:xfrm>
                    <a:prstGeom prst="rect">
                      <a:avLst/>
                    </a:prstGeom>
                    <a:noFill/>
                  </pic:spPr>
                </pic:pic>
              </a:graphicData>
            </a:graphic>
          </wp:inline>
        </w:drawing>
      </w:r>
    </w:p>
    <w:p w14:paraId="0F8A1E1F" w14:textId="16DC6D0F" w:rsidR="00707E73" w:rsidRPr="00C16F19" w:rsidRDefault="00707E73" w:rsidP="00C16F19">
      <w:pPr>
        <w:spacing w:before="0" w:after="0"/>
        <w:contextualSpacing/>
        <w:rPr>
          <w:rFonts w:cs="Times New Roman"/>
          <w:sz w:val="20"/>
          <w:szCs w:val="20"/>
        </w:rPr>
      </w:pPr>
      <w:r w:rsidRPr="00C16F19">
        <w:rPr>
          <w:rFonts w:cs="Times New Roman"/>
          <w:b/>
          <w:sz w:val="20"/>
          <w:szCs w:val="20"/>
        </w:rPr>
        <w:t xml:space="preserve">Fig. </w:t>
      </w:r>
      <w:r w:rsidR="005E1208" w:rsidRPr="00C16F19">
        <w:rPr>
          <w:rFonts w:cs="Times New Roman"/>
          <w:b/>
          <w:sz w:val="20"/>
          <w:szCs w:val="20"/>
        </w:rPr>
        <w:t>S5</w:t>
      </w:r>
      <w:r w:rsidR="005E1208" w:rsidRPr="00C16F19">
        <w:rPr>
          <w:rFonts w:cs="Times New Roman"/>
          <w:sz w:val="20"/>
          <w:szCs w:val="20"/>
        </w:rPr>
        <w:t xml:space="preserve"> </w:t>
      </w:r>
      <w:r w:rsidRPr="00C16F19">
        <w:rPr>
          <w:rFonts w:cs="Times New Roman"/>
          <w:sz w:val="20"/>
          <w:szCs w:val="20"/>
        </w:rPr>
        <w:t>Infrared spectrum of TED 13 dissolved in 1:1 (v/v) acetonitrile and dioxane mixture (left) and derivatiz</w:t>
      </w:r>
      <w:r w:rsidR="00605795" w:rsidRPr="00C16F19">
        <w:rPr>
          <w:rFonts w:cs="Times New Roman"/>
          <w:sz w:val="20"/>
          <w:szCs w:val="20"/>
        </w:rPr>
        <w:t xml:space="preserve">ed </w:t>
      </w:r>
      <w:r w:rsidRPr="00C16F19">
        <w:rPr>
          <w:rFonts w:cs="Times New Roman"/>
          <w:sz w:val="20"/>
          <w:szCs w:val="20"/>
        </w:rPr>
        <w:t>in flow using MTBSTFA (right).</w:t>
      </w:r>
    </w:p>
    <w:p w14:paraId="6656F4C7" w14:textId="77777777" w:rsidR="00707E73" w:rsidRDefault="00707E73" w:rsidP="00C16F19">
      <w:pPr>
        <w:spacing w:before="0" w:after="0"/>
        <w:contextualSpacing/>
        <w:rPr>
          <w:rFonts w:cs="Times New Roman"/>
          <w:sz w:val="20"/>
          <w:szCs w:val="20"/>
        </w:rPr>
      </w:pPr>
    </w:p>
    <w:p w14:paraId="566DF830" w14:textId="77777777" w:rsidR="008A0856" w:rsidRPr="00C16F19" w:rsidRDefault="008A0856" w:rsidP="00C16F19">
      <w:pPr>
        <w:spacing w:before="0" w:after="0"/>
        <w:contextualSpacing/>
        <w:rPr>
          <w:rFonts w:cs="Times New Roman"/>
          <w:sz w:val="20"/>
          <w:szCs w:val="20"/>
        </w:rPr>
      </w:pPr>
    </w:p>
    <w:p w14:paraId="6A5299B1" w14:textId="1834FCC9" w:rsidR="00707E73" w:rsidRPr="00C16F19" w:rsidRDefault="00056B6D" w:rsidP="00C16F19">
      <w:pPr>
        <w:spacing w:before="0" w:after="0"/>
        <w:contextualSpacing/>
        <w:jc w:val="center"/>
        <w:rPr>
          <w:rFonts w:cs="Times New Roman"/>
          <w:sz w:val="20"/>
          <w:szCs w:val="20"/>
        </w:rPr>
      </w:pPr>
      <w:r>
        <w:rPr>
          <w:rFonts w:cs="Times New Roman"/>
          <w:noProof/>
          <w:sz w:val="20"/>
          <w:szCs w:val="20"/>
        </w:rPr>
        <w:drawing>
          <wp:inline distT="0" distB="0" distL="0" distR="0" wp14:anchorId="2DE91EFB" wp14:editId="7ACA9137">
            <wp:extent cx="3042793" cy="1609090"/>
            <wp:effectExtent l="0" t="0" r="5715" b="0"/>
            <wp:docPr id="10451827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78"/>
                    <a:stretch/>
                  </pic:blipFill>
                  <pic:spPr bwMode="auto">
                    <a:xfrm>
                      <a:off x="0" y="0"/>
                      <a:ext cx="3043001" cy="1609200"/>
                    </a:xfrm>
                    <a:prstGeom prst="rect">
                      <a:avLst/>
                    </a:prstGeom>
                    <a:noFill/>
                    <a:ln>
                      <a:noFill/>
                    </a:ln>
                    <a:extLst>
                      <a:ext uri="{53640926-AAD7-44D8-BBD7-CCE9431645EC}">
                        <a14:shadowObscured xmlns:a14="http://schemas.microsoft.com/office/drawing/2010/main"/>
                      </a:ext>
                    </a:extLst>
                  </pic:spPr>
                </pic:pic>
              </a:graphicData>
            </a:graphic>
          </wp:inline>
        </w:drawing>
      </w:r>
      <w:r w:rsidR="00330E51">
        <w:rPr>
          <w:rFonts w:cs="Times New Roman"/>
          <w:noProof/>
          <w:sz w:val="20"/>
          <w:szCs w:val="20"/>
        </w:rPr>
        <w:drawing>
          <wp:inline distT="0" distB="0" distL="0" distR="0" wp14:anchorId="4470CAD1" wp14:editId="3BF902E9">
            <wp:extent cx="3009899" cy="1548000"/>
            <wp:effectExtent l="0" t="0" r="635" b="0"/>
            <wp:docPr id="14319535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66"/>
                    <a:stretch/>
                  </pic:blipFill>
                  <pic:spPr bwMode="auto">
                    <a:xfrm>
                      <a:off x="0" y="0"/>
                      <a:ext cx="3009899" cy="1548000"/>
                    </a:xfrm>
                    <a:prstGeom prst="rect">
                      <a:avLst/>
                    </a:prstGeom>
                    <a:noFill/>
                    <a:ln>
                      <a:noFill/>
                    </a:ln>
                    <a:extLst>
                      <a:ext uri="{53640926-AAD7-44D8-BBD7-CCE9431645EC}">
                        <a14:shadowObscured xmlns:a14="http://schemas.microsoft.com/office/drawing/2010/main"/>
                      </a:ext>
                    </a:extLst>
                  </pic:spPr>
                </pic:pic>
              </a:graphicData>
            </a:graphic>
          </wp:inline>
        </w:drawing>
      </w:r>
    </w:p>
    <w:p w14:paraId="44247F39" w14:textId="1339EC9D" w:rsidR="00707E73" w:rsidRPr="00C16F19" w:rsidRDefault="00707E73" w:rsidP="00C16F19">
      <w:pPr>
        <w:spacing w:before="0" w:after="0"/>
        <w:contextualSpacing/>
        <w:rPr>
          <w:rFonts w:cs="Times New Roman"/>
          <w:sz w:val="20"/>
          <w:szCs w:val="20"/>
        </w:rPr>
      </w:pPr>
      <w:r w:rsidRPr="00C16F19">
        <w:rPr>
          <w:rFonts w:cs="Times New Roman"/>
          <w:b/>
          <w:sz w:val="20"/>
          <w:szCs w:val="20"/>
        </w:rPr>
        <w:t xml:space="preserve">Fig. </w:t>
      </w:r>
      <w:r w:rsidR="005E1208" w:rsidRPr="00C16F19">
        <w:rPr>
          <w:rFonts w:cs="Times New Roman"/>
          <w:b/>
          <w:sz w:val="20"/>
          <w:szCs w:val="20"/>
        </w:rPr>
        <w:t>S6</w:t>
      </w:r>
      <w:r w:rsidR="005E1208" w:rsidRPr="00C16F19">
        <w:rPr>
          <w:rFonts w:cs="Times New Roman"/>
          <w:sz w:val="20"/>
          <w:szCs w:val="20"/>
        </w:rPr>
        <w:t xml:space="preserve"> </w:t>
      </w:r>
      <w:r w:rsidRPr="00C16F19">
        <w:rPr>
          <w:rFonts w:cs="Times New Roman"/>
          <w:sz w:val="20"/>
          <w:szCs w:val="20"/>
        </w:rPr>
        <w:t>GC-MS total ion chromatogram (TIC</w:t>
      </w:r>
      <w:r w:rsidR="00912492">
        <w:rPr>
          <w:rFonts w:cs="Times New Roman"/>
          <w:sz w:val="20"/>
          <w:szCs w:val="20"/>
        </w:rPr>
        <w:t>, left) and extracted ion chromatogram (EIC, right)</w:t>
      </w:r>
      <w:r w:rsidRPr="00C16F19">
        <w:rPr>
          <w:rFonts w:cs="Times New Roman"/>
          <w:sz w:val="20"/>
          <w:szCs w:val="20"/>
        </w:rPr>
        <w:t xml:space="preserve"> </w:t>
      </w:r>
      <w:r w:rsidR="00823BB7">
        <w:rPr>
          <w:rFonts w:cs="Times New Roman"/>
          <w:sz w:val="20"/>
          <w:szCs w:val="20"/>
        </w:rPr>
        <w:t>of the blank sample (</w:t>
      </w:r>
      <w:r w:rsidR="00F767F6">
        <w:rPr>
          <w:rFonts w:cs="Times New Roman"/>
          <w:sz w:val="20"/>
          <w:szCs w:val="20"/>
        </w:rPr>
        <w:t>blue),</w:t>
      </w:r>
      <w:r w:rsidRPr="00C16F19">
        <w:rPr>
          <w:rFonts w:cs="Times New Roman"/>
          <w:sz w:val="20"/>
          <w:szCs w:val="20"/>
        </w:rPr>
        <w:t xml:space="preserve"> TED 13 derivatized in batch (magenta), and in flow (black) using MTBSTFA.</w:t>
      </w:r>
      <w:r w:rsidR="003A3501">
        <w:rPr>
          <w:rFonts w:cs="Times New Roman"/>
          <w:sz w:val="20"/>
          <w:szCs w:val="20"/>
        </w:rPr>
        <w:t xml:space="preserve"> The EIC represents a m/z of 559 which corresponds to</w:t>
      </w:r>
      <w:r w:rsidR="002C5CF7">
        <w:rPr>
          <w:rFonts w:cs="Times New Roman"/>
          <w:sz w:val="20"/>
          <w:szCs w:val="20"/>
        </w:rPr>
        <w:t xml:space="preserve"> the</w:t>
      </w:r>
      <w:r w:rsidR="002C5CF7" w:rsidRPr="009C2C6C">
        <w:rPr>
          <w:rFonts w:cs="Times New Roman"/>
          <w:sz w:val="20"/>
          <w:szCs w:val="20"/>
        </w:rPr>
        <w:t xml:space="preserve"> loss of a t-butyl group</w:t>
      </w:r>
      <w:r w:rsidR="004478D8">
        <w:rPr>
          <w:rFonts w:cs="Times New Roman"/>
          <w:sz w:val="20"/>
          <w:szCs w:val="20"/>
        </w:rPr>
        <w:t xml:space="preserve"> (M-57) from TED 13 that was derivatized 3 times (M = 616)</w:t>
      </w:r>
      <w:r w:rsidR="00341584">
        <w:rPr>
          <w:rFonts w:cs="Times New Roman"/>
          <w:sz w:val="20"/>
          <w:szCs w:val="20"/>
        </w:rPr>
        <w:t>.</w:t>
      </w:r>
    </w:p>
    <w:p w14:paraId="08366A63" w14:textId="77777777" w:rsidR="00C4668C" w:rsidRDefault="00C4668C" w:rsidP="00C16F19">
      <w:pPr>
        <w:spacing w:before="0" w:after="0"/>
        <w:contextualSpacing/>
        <w:rPr>
          <w:rFonts w:cs="Times New Roman"/>
          <w:sz w:val="20"/>
          <w:szCs w:val="20"/>
        </w:rPr>
      </w:pPr>
    </w:p>
    <w:p w14:paraId="69C502CE" w14:textId="77777777" w:rsidR="008A0856" w:rsidRPr="00C16F19" w:rsidRDefault="008A0856" w:rsidP="00C16F19">
      <w:pPr>
        <w:spacing w:before="0" w:after="0"/>
        <w:contextualSpacing/>
        <w:rPr>
          <w:rFonts w:cs="Times New Roman"/>
          <w:sz w:val="20"/>
          <w:szCs w:val="20"/>
        </w:rPr>
      </w:pPr>
    </w:p>
    <w:p w14:paraId="0071C020" w14:textId="430ADD0B" w:rsidR="00C4668C" w:rsidRPr="00C16F19" w:rsidRDefault="00E72E9E" w:rsidP="00C16F19">
      <w:pPr>
        <w:keepNext/>
        <w:spacing w:before="0" w:after="0"/>
        <w:contextualSpacing/>
        <w:jc w:val="center"/>
        <w:rPr>
          <w:rFonts w:cs="Times New Roman"/>
          <w:sz w:val="20"/>
          <w:szCs w:val="20"/>
        </w:rPr>
      </w:pPr>
      <w:r>
        <w:rPr>
          <w:rFonts w:cs="Times New Roman"/>
          <w:noProof/>
          <w:sz w:val="20"/>
          <w:szCs w:val="20"/>
        </w:rPr>
        <w:lastRenderedPageBreak/>
        <w:drawing>
          <wp:inline distT="0" distB="0" distL="0" distR="0" wp14:anchorId="55BD0630" wp14:editId="50A82F1C">
            <wp:extent cx="3324225" cy="1908809"/>
            <wp:effectExtent l="0" t="0" r="0" b="0"/>
            <wp:docPr id="15042742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l="2780" t="2515" b="3730"/>
                    <a:stretch/>
                  </pic:blipFill>
                  <pic:spPr bwMode="auto">
                    <a:xfrm>
                      <a:off x="0" y="0"/>
                      <a:ext cx="3325001" cy="1909255"/>
                    </a:xfrm>
                    <a:prstGeom prst="rect">
                      <a:avLst/>
                    </a:prstGeom>
                    <a:noFill/>
                    <a:ln>
                      <a:noFill/>
                    </a:ln>
                    <a:extLst>
                      <a:ext uri="{53640926-AAD7-44D8-BBD7-CCE9431645EC}">
                        <a14:shadowObscured xmlns:a14="http://schemas.microsoft.com/office/drawing/2010/main"/>
                      </a:ext>
                    </a:extLst>
                  </pic:spPr>
                </pic:pic>
              </a:graphicData>
            </a:graphic>
          </wp:inline>
        </w:drawing>
      </w:r>
    </w:p>
    <w:p w14:paraId="26E4330A" w14:textId="220ABAA0" w:rsidR="00C4668C" w:rsidRPr="00C16F19" w:rsidRDefault="003E33A9" w:rsidP="00C16F19">
      <w:pPr>
        <w:keepNext/>
        <w:spacing w:before="0" w:after="0"/>
        <w:contextualSpacing/>
        <w:jc w:val="center"/>
        <w:rPr>
          <w:rFonts w:cs="Times New Roman"/>
          <w:sz w:val="20"/>
          <w:szCs w:val="20"/>
        </w:rPr>
      </w:pPr>
      <w:r>
        <w:rPr>
          <w:rFonts w:cs="Times New Roman"/>
          <w:noProof/>
          <w:sz w:val="20"/>
          <w:szCs w:val="20"/>
        </w:rPr>
        <w:drawing>
          <wp:inline distT="0" distB="0" distL="0" distR="0" wp14:anchorId="25603D06" wp14:editId="09C761EE">
            <wp:extent cx="3335313" cy="2011680"/>
            <wp:effectExtent l="0" t="0" r="0" b="7620"/>
            <wp:docPr id="18932824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a:extLst>
                        <a:ext uri="{28A0092B-C50C-407E-A947-70E740481C1C}">
                          <a14:useLocalDpi xmlns:a14="http://schemas.microsoft.com/office/drawing/2010/main" val="0"/>
                        </a:ext>
                      </a:extLst>
                    </a:blip>
                    <a:srcRect l="2979" t="3400" b="3099"/>
                    <a:stretch/>
                  </pic:blipFill>
                  <pic:spPr bwMode="auto">
                    <a:xfrm>
                      <a:off x="0" y="0"/>
                      <a:ext cx="3336112" cy="2012162"/>
                    </a:xfrm>
                    <a:prstGeom prst="rect">
                      <a:avLst/>
                    </a:prstGeom>
                    <a:noFill/>
                    <a:ln>
                      <a:noFill/>
                    </a:ln>
                    <a:extLst>
                      <a:ext uri="{53640926-AAD7-44D8-BBD7-CCE9431645EC}">
                        <a14:shadowObscured xmlns:a14="http://schemas.microsoft.com/office/drawing/2010/main"/>
                      </a:ext>
                    </a:extLst>
                  </pic:spPr>
                </pic:pic>
              </a:graphicData>
            </a:graphic>
          </wp:inline>
        </w:drawing>
      </w:r>
    </w:p>
    <w:p w14:paraId="1B86CEF1" w14:textId="763DC903" w:rsidR="00C4668C" w:rsidRPr="00C16F19" w:rsidRDefault="00C4668C" w:rsidP="00C16F19">
      <w:pPr>
        <w:pStyle w:val="Beschriftung"/>
        <w:spacing w:before="0" w:after="0"/>
        <w:contextualSpacing/>
        <w:jc w:val="both"/>
        <w:rPr>
          <w:b w:val="0"/>
          <w:bCs w:val="0"/>
          <w:sz w:val="20"/>
          <w:szCs w:val="20"/>
        </w:rPr>
      </w:pPr>
      <w:r w:rsidRPr="00C16F19">
        <w:rPr>
          <w:sz w:val="20"/>
          <w:szCs w:val="20"/>
        </w:rPr>
        <w:t xml:space="preserve">Fig. </w:t>
      </w:r>
      <w:r w:rsidR="006D18FC" w:rsidRPr="00C16F19">
        <w:rPr>
          <w:sz w:val="20"/>
          <w:szCs w:val="20"/>
        </w:rPr>
        <w:t>S7</w:t>
      </w:r>
      <w:r w:rsidR="00F61F7B" w:rsidRPr="00C16F19">
        <w:rPr>
          <w:sz w:val="20"/>
          <w:szCs w:val="20"/>
        </w:rPr>
        <w:t xml:space="preserve"> </w:t>
      </w:r>
      <w:r w:rsidRPr="00C16F19">
        <w:rPr>
          <w:b w:val="0"/>
          <w:bCs w:val="0"/>
          <w:sz w:val="20"/>
          <w:szCs w:val="20"/>
        </w:rPr>
        <w:t>EI-mass spectrum of TED 13 derivatized in batch (top) and flow (bottom) using MTBSTFA.</w:t>
      </w:r>
    </w:p>
    <w:p w14:paraId="0F5D8208" w14:textId="77777777" w:rsidR="007066A9" w:rsidRPr="00C16F19" w:rsidRDefault="007066A9" w:rsidP="00C16F19">
      <w:pPr>
        <w:pStyle w:val="KeinLeerraum"/>
        <w:rPr>
          <w:rFonts w:cs="Times New Roman"/>
          <w:sz w:val="20"/>
          <w:szCs w:val="20"/>
        </w:rPr>
      </w:pPr>
    </w:p>
    <w:p w14:paraId="6EEB5746" w14:textId="627DFE07" w:rsidR="007066A9" w:rsidRPr="00C16F19" w:rsidRDefault="00A31300" w:rsidP="00C16F19">
      <w:pPr>
        <w:keepNext/>
        <w:spacing w:before="0" w:after="0"/>
        <w:contextualSpacing/>
        <w:jc w:val="center"/>
        <w:rPr>
          <w:rFonts w:cs="Times New Roman"/>
          <w:sz w:val="20"/>
          <w:szCs w:val="20"/>
        </w:rPr>
      </w:pPr>
      <w:r>
        <w:rPr>
          <w:rFonts w:cs="Times New Roman"/>
          <w:noProof/>
          <w:sz w:val="20"/>
          <w:szCs w:val="20"/>
        </w:rPr>
        <w:lastRenderedPageBreak/>
        <w:drawing>
          <wp:inline distT="0" distB="0" distL="0" distR="0" wp14:anchorId="5A7315D0" wp14:editId="77A07A3A">
            <wp:extent cx="5962650" cy="7913370"/>
            <wp:effectExtent l="0" t="0" r="0" b="0"/>
            <wp:docPr id="139236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62650" cy="7913370"/>
                    </a:xfrm>
                    <a:prstGeom prst="rect">
                      <a:avLst/>
                    </a:prstGeom>
                    <a:noFill/>
                  </pic:spPr>
                </pic:pic>
              </a:graphicData>
            </a:graphic>
          </wp:inline>
        </w:drawing>
      </w:r>
    </w:p>
    <w:p w14:paraId="5580187B" w14:textId="45BAFBD5" w:rsidR="007066A9" w:rsidRPr="00C16F19" w:rsidRDefault="007066A9" w:rsidP="00C16F19">
      <w:pPr>
        <w:pStyle w:val="Beschriftung"/>
        <w:spacing w:before="0" w:after="0"/>
        <w:contextualSpacing/>
        <w:jc w:val="both"/>
        <w:rPr>
          <w:b w:val="0"/>
          <w:bCs w:val="0"/>
          <w:sz w:val="20"/>
          <w:szCs w:val="20"/>
        </w:rPr>
      </w:pPr>
      <w:r w:rsidRPr="00C16F19">
        <w:rPr>
          <w:sz w:val="20"/>
          <w:szCs w:val="20"/>
        </w:rPr>
        <w:t xml:space="preserve">Fig. </w:t>
      </w:r>
      <w:r w:rsidR="006D18FC" w:rsidRPr="00C16F19">
        <w:rPr>
          <w:sz w:val="20"/>
          <w:szCs w:val="20"/>
        </w:rPr>
        <w:t xml:space="preserve">S8 </w:t>
      </w:r>
      <w:r w:rsidRPr="00C16F19">
        <w:rPr>
          <w:b w:val="0"/>
          <w:bCs w:val="0"/>
          <w:sz w:val="20"/>
          <w:szCs w:val="20"/>
        </w:rPr>
        <w:t>Negative ion</w:t>
      </w:r>
      <w:r w:rsidRPr="00C16F19">
        <w:rPr>
          <w:sz w:val="20"/>
          <w:szCs w:val="20"/>
        </w:rPr>
        <w:t xml:space="preserve"> </w:t>
      </w:r>
      <w:r w:rsidR="004478D8">
        <w:rPr>
          <w:sz w:val="20"/>
          <w:szCs w:val="20"/>
        </w:rPr>
        <w:t xml:space="preserve">ESI </w:t>
      </w:r>
      <w:r w:rsidRPr="00C16F19">
        <w:rPr>
          <w:b w:val="0"/>
          <w:bCs w:val="0"/>
          <w:sz w:val="20"/>
          <w:szCs w:val="20"/>
        </w:rPr>
        <w:t xml:space="preserve">HR-MS spectrum of targeted species obtained from analysis of TED 13 samples. (A) represents the underivatized </w:t>
      </w:r>
      <w:r w:rsidR="00C93AC9">
        <w:rPr>
          <w:b w:val="0"/>
          <w:bCs w:val="0"/>
          <w:sz w:val="20"/>
          <w:szCs w:val="20"/>
        </w:rPr>
        <w:t>TED 13</w:t>
      </w:r>
      <w:r w:rsidRPr="00C16F19">
        <w:rPr>
          <w:b w:val="0"/>
          <w:bCs w:val="0"/>
          <w:sz w:val="20"/>
          <w:szCs w:val="20"/>
        </w:rPr>
        <w:t xml:space="preserve">, (B) represents </w:t>
      </w:r>
      <w:r w:rsidR="00C93AC9">
        <w:rPr>
          <w:b w:val="0"/>
          <w:bCs w:val="0"/>
          <w:sz w:val="20"/>
          <w:szCs w:val="20"/>
        </w:rPr>
        <w:t>TED 13</w:t>
      </w:r>
      <w:r w:rsidRPr="00C16F19">
        <w:rPr>
          <w:b w:val="0"/>
          <w:bCs w:val="0"/>
          <w:sz w:val="20"/>
          <w:szCs w:val="20"/>
        </w:rPr>
        <w:t xml:space="preserve"> derivatized in batch and (C) </w:t>
      </w:r>
      <w:r w:rsidR="00C93AC9">
        <w:rPr>
          <w:b w:val="0"/>
          <w:bCs w:val="0"/>
          <w:sz w:val="20"/>
          <w:szCs w:val="20"/>
        </w:rPr>
        <w:t>TED 13</w:t>
      </w:r>
      <w:r w:rsidRPr="00C16F19">
        <w:rPr>
          <w:b w:val="0"/>
          <w:bCs w:val="0"/>
          <w:sz w:val="20"/>
          <w:szCs w:val="20"/>
        </w:rPr>
        <w:t xml:space="preserve"> derivatized in flow. *Targeted (derivatized) peaks.</w:t>
      </w:r>
    </w:p>
    <w:p w14:paraId="57E8A250" w14:textId="77777777" w:rsidR="00C079F5" w:rsidRPr="00C16F19" w:rsidRDefault="00C079F5" w:rsidP="00C16F19">
      <w:pPr>
        <w:keepNext/>
        <w:spacing w:before="0" w:after="0"/>
        <w:contextualSpacing/>
        <w:jc w:val="both"/>
        <w:rPr>
          <w:rFonts w:cs="Times New Roman"/>
          <w:sz w:val="20"/>
          <w:szCs w:val="20"/>
        </w:rPr>
      </w:pPr>
      <w:r w:rsidRPr="00C16F19">
        <w:rPr>
          <w:rFonts w:cs="Times New Roman"/>
          <w:noProof/>
          <w:sz w:val="20"/>
          <w:szCs w:val="20"/>
        </w:rPr>
        <w:lastRenderedPageBreak/>
        <w:drawing>
          <wp:inline distT="0" distB="0" distL="0" distR="0" wp14:anchorId="45432AB6" wp14:editId="3CCA6AA6">
            <wp:extent cx="6264000" cy="2765657"/>
            <wp:effectExtent l="0" t="0" r="3810" b="0"/>
            <wp:docPr id="2" name="Picture 2"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video game&#10;&#10;Description automatically generated with medium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64000" cy="2765657"/>
                    </a:xfrm>
                    <a:prstGeom prst="rect">
                      <a:avLst/>
                    </a:prstGeom>
                    <a:noFill/>
                  </pic:spPr>
                </pic:pic>
              </a:graphicData>
            </a:graphic>
          </wp:inline>
        </w:drawing>
      </w:r>
    </w:p>
    <w:p w14:paraId="182F7013" w14:textId="7DA15CFC" w:rsidR="007066A9" w:rsidRPr="00C16F19" w:rsidRDefault="00C079F5" w:rsidP="00C16F19">
      <w:pPr>
        <w:pStyle w:val="Beschriftung"/>
        <w:spacing w:before="0" w:after="0"/>
        <w:contextualSpacing/>
        <w:jc w:val="both"/>
        <w:rPr>
          <w:b w:val="0"/>
          <w:bCs w:val="0"/>
          <w:sz w:val="20"/>
          <w:szCs w:val="20"/>
        </w:rPr>
      </w:pPr>
      <w:r w:rsidRPr="00C16F19">
        <w:rPr>
          <w:sz w:val="20"/>
          <w:szCs w:val="20"/>
        </w:rPr>
        <w:t xml:space="preserve">Fig. </w:t>
      </w:r>
      <w:r w:rsidR="006D18FC" w:rsidRPr="00C16F19">
        <w:rPr>
          <w:sz w:val="20"/>
          <w:szCs w:val="20"/>
        </w:rPr>
        <w:t>S9</w:t>
      </w:r>
      <w:r w:rsidR="00CB01AE" w:rsidRPr="00C16F19">
        <w:rPr>
          <w:b w:val="0"/>
          <w:bCs w:val="0"/>
          <w:sz w:val="20"/>
          <w:szCs w:val="20"/>
        </w:rPr>
        <w:t xml:space="preserve"> </w:t>
      </w:r>
      <w:r w:rsidRPr="00C16F19">
        <w:rPr>
          <w:b w:val="0"/>
          <w:bCs w:val="0"/>
          <w:sz w:val="20"/>
          <w:szCs w:val="20"/>
        </w:rPr>
        <w:t>Positive ion</w:t>
      </w:r>
      <w:r w:rsidRPr="00C16F19">
        <w:rPr>
          <w:sz w:val="20"/>
          <w:szCs w:val="20"/>
        </w:rPr>
        <w:t xml:space="preserve"> </w:t>
      </w:r>
      <w:r w:rsidRPr="00C16F19">
        <w:rPr>
          <w:b w:val="0"/>
          <w:bCs w:val="0"/>
          <w:sz w:val="20"/>
          <w:szCs w:val="20"/>
        </w:rPr>
        <w:t>HR-MS spectrum of targeted species obtained from analysis of TED 13 derivatized in flow. *Target (derivatized) peaks.</w:t>
      </w:r>
    </w:p>
    <w:p w14:paraId="6D2FCEB6" w14:textId="77777777" w:rsidR="00ED6C94" w:rsidRDefault="00ED6C94" w:rsidP="00C16F19">
      <w:pPr>
        <w:spacing w:before="0" w:after="0"/>
        <w:contextualSpacing/>
        <w:rPr>
          <w:rFonts w:cs="Times New Roman"/>
          <w:sz w:val="20"/>
          <w:szCs w:val="20"/>
        </w:rPr>
      </w:pPr>
    </w:p>
    <w:p w14:paraId="7922B7B2" w14:textId="77777777" w:rsidR="008A0856" w:rsidRPr="00C16F19" w:rsidRDefault="008A0856" w:rsidP="00C16F19">
      <w:pPr>
        <w:spacing w:before="0" w:after="0"/>
        <w:contextualSpacing/>
        <w:rPr>
          <w:rFonts w:cs="Times New Roman"/>
          <w:sz w:val="20"/>
          <w:szCs w:val="20"/>
        </w:rPr>
      </w:pPr>
    </w:p>
    <w:p w14:paraId="4E34736C" w14:textId="7A67D3E3" w:rsidR="00707E73" w:rsidRPr="00C16F19" w:rsidRDefault="00707E73" w:rsidP="00C16F19">
      <w:pPr>
        <w:spacing w:before="0" w:after="0"/>
        <w:contextualSpacing/>
        <w:rPr>
          <w:rFonts w:cs="Times New Roman"/>
          <w:sz w:val="20"/>
          <w:szCs w:val="20"/>
        </w:rPr>
      </w:pPr>
      <w:r w:rsidRPr="00C16F19">
        <w:rPr>
          <w:rFonts w:cs="Times New Roman"/>
          <w:noProof/>
          <w:sz w:val="20"/>
          <w:szCs w:val="20"/>
        </w:rPr>
        <w:drawing>
          <wp:inline distT="0" distB="0" distL="0" distR="0" wp14:anchorId="7C38A359" wp14:editId="46C16B07">
            <wp:extent cx="6120000" cy="2876400"/>
            <wp:effectExtent l="0" t="0" r="0" b="635"/>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000" cy="2876400"/>
                    </a:xfrm>
                    <a:prstGeom prst="rect">
                      <a:avLst/>
                    </a:prstGeom>
                    <a:noFill/>
                  </pic:spPr>
                </pic:pic>
              </a:graphicData>
            </a:graphic>
          </wp:inline>
        </w:drawing>
      </w:r>
    </w:p>
    <w:p w14:paraId="32364F4F" w14:textId="2B7A080E" w:rsidR="00E0300A" w:rsidRPr="00C16F19" w:rsidRDefault="00707E73" w:rsidP="00C16F19">
      <w:pPr>
        <w:spacing w:before="0" w:after="0"/>
        <w:contextualSpacing/>
        <w:rPr>
          <w:rFonts w:cs="Times New Roman"/>
          <w:sz w:val="20"/>
          <w:szCs w:val="20"/>
        </w:rPr>
      </w:pPr>
      <w:r w:rsidRPr="00C16F19">
        <w:rPr>
          <w:rFonts w:cs="Times New Roman"/>
          <w:b/>
          <w:bCs/>
          <w:sz w:val="20"/>
          <w:szCs w:val="20"/>
        </w:rPr>
        <w:t xml:space="preserve">Fig. </w:t>
      </w:r>
      <w:r w:rsidR="007B1F9B" w:rsidRPr="00C16F19">
        <w:rPr>
          <w:rFonts w:cs="Times New Roman"/>
          <w:b/>
          <w:bCs/>
          <w:sz w:val="20"/>
          <w:szCs w:val="20"/>
        </w:rPr>
        <w:t>S10</w:t>
      </w:r>
      <w:r w:rsidR="00764C4F" w:rsidRPr="00C16F19">
        <w:rPr>
          <w:rFonts w:cs="Times New Roman"/>
          <w:sz w:val="20"/>
          <w:szCs w:val="20"/>
        </w:rPr>
        <w:t xml:space="preserve"> </w:t>
      </w:r>
      <w:r w:rsidRPr="00C16F19">
        <w:rPr>
          <w:rFonts w:cs="Times New Roman"/>
          <w:sz w:val="20"/>
          <w:szCs w:val="20"/>
        </w:rPr>
        <w:t>Infrared spectrum of ZTF 1016 dissolved in a 1:1 (v/v) acetonitrile and dioxane mixture</w:t>
      </w:r>
      <w:r w:rsidR="00605795" w:rsidRPr="00C16F19">
        <w:rPr>
          <w:rFonts w:cs="Times New Roman"/>
          <w:sz w:val="20"/>
          <w:szCs w:val="20"/>
        </w:rPr>
        <w:t xml:space="preserve"> (left)</w:t>
      </w:r>
      <w:r w:rsidRPr="00C16F19">
        <w:rPr>
          <w:rFonts w:cs="Times New Roman"/>
          <w:sz w:val="20"/>
          <w:szCs w:val="20"/>
        </w:rPr>
        <w:t xml:space="preserve"> and derivatized in flow using MTBSTFA</w:t>
      </w:r>
      <w:r w:rsidR="00605795" w:rsidRPr="00C16F19">
        <w:rPr>
          <w:rFonts w:cs="Times New Roman"/>
          <w:sz w:val="20"/>
          <w:szCs w:val="20"/>
        </w:rPr>
        <w:t xml:space="preserve"> (right)</w:t>
      </w:r>
      <w:r w:rsidRPr="00C16F19">
        <w:rPr>
          <w:rFonts w:cs="Times New Roman"/>
          <w:sz w:val="20"/>
          <w:szCs w:val="20"/>
        </w:rPr>
        <w:t>.</w:t>
      </w:r>
    </w:p>
    <w:p w14:paraId="59E5572F" w14:textId="77777777" w:rsidR="00605795" w:rsidRDefault="00605795" w:rsidP="00C16F19">
      <w:pPr>
        <w:spacing w:before="0" w:after="0"/>
        <w:contextualSpacing/>
        <w:rPr>
          <w:rFonts w:cs="Times New Roman"/>
          <w:sz w:val="20"/>
          <w:szCs w:val="20"/>
        </w:rPr>
      </w:pPr>
    </w:p>
    <w:p w14:paraId="7FF9EE07" w14:textId="77777777" w:rsidR="00C16F19" w:rsidRPr="00C16F19" w:rsidRDefault="00C16F19" w:rsidP="00C16F19">
      <w:pPr>
        <w:spacing w:before="0" w:after="0"/>
        <w:contextualSpacing/>
        <w:rPr>
          <w:rFonts w:cs="Times New Roman"/>
          <w:sz w:val="20"/>
          <w:szCs w:val="20"/>
        </w:rPr>
      </w:pPr>
    </w:p>
    <w:p w14:paraId="392890A8" w14:textId="203AF47A" w:rsidR="00605795" w:rsidRPr="00C16F19" w:rsidRDefault="00E96713" w:rsidP="00C16F19">
      <w:pPr>
        <w:spacing w:before="0" w:after="0"/>
        <w:contextualSpacing/>
        <w:jc w:val="center"/>
        <w:rPr>
          <w:rFonts w:cs="Times New Roman"/>
          <w:sz w:val="20"/>
          <w:szCs w:val="20"/>
        </w:rPr>
      </w:pPr>
      <w:r>
        <w:rPr>
          <w:rFonts w:cs="Times New Roman"/>
          <w:noProof/>
          <w:sz w:val="20"/>
          <w:szCs w:val="20"/>
        </w:rPr>
        <w:drawing>
          <wp:inline distT="0" distB="0" distL="0" distR="0" wp14:anchorId="14726A96" wp14:editId="57C2E6A6">
            <wp:extent cx="3265200" cy="1663919"/>
            <wp:effectExtent l="0" t="0" r="0" b="0"/>
            <wp:docPr id="9718249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65200" cy="1663919"/>
                    </a:xfrm>
                    <a:prstGeom prst="rect">
                      <a:avLst/>
                    </a:prstGeom>
                    <a:noFill/>
                  </pic:spPr>
                </pic:pic>
              </a:graphicData>
            </a:graphic>
          </wp:inline>
        </w:drawing>
      </w:r>
    </w:p>
    <w:p w14:paraId="7E4A2E04" w14:textId="60D08A04" w:rsidR="00605795" w:rsidRPr="00C16F19" w:rsidRDefault="00605795" w:rsidP="00C16F19">
      <w:pPr>
        <w:spacing w:before="0" w:after="0"/>
        <w:contextualSpacing/>
        <w:rPr>
          <w:rFonts w:cs="Times New Roman"/>
          <w:sz w:val="20"/>
          <w:szCs w:val="20"/>
        </w:rPr>
      </w:pPr>
      <w:r w:rsidRPr="00C16F19">
        <w:rPr>
          <w:rFonts w:cs="Times New Roman"/>
          <w:b/>
          <w:sz w:val="20"/>
          <w:szCs w:val="20"/>
        </w:rPr>
        <w:t xml:space="preserve">Fig. </w:t>
      </w:r>
      <w:r w:rsidR="00227036" w:rsidRPr="00C16F19">
        <w:rPr>
          <w:rFonts w:cs="Times New Roman"/>
          <w:b/>
          <w:sz w:val="20"/>
          <w:szCs w:val="20"/>
        </w:rPr>
        <w:t>S1</w:t>
      </w:r>
      <w:r w:rsidR="00464AB3" w:rsidRPr="00C16F19">
        <w:rPr>
          <w:rFonts w:cs="Times New Roman"/>
          <w:b/>
          <w:sz w:val="20"/>
          <w:szCs w:val="20"/>
        </w:rPr>
        <w:t>1</w:t>
      </w:r>
      <w:r w:rsidRPr="00C16F19">
        <w:rPr>
          <w:rFonts w:cs="Times New Roman"/>
          <w:b/>
          <w:sz w:val="20"/>
          <w:szCs w:val="20"/>
        </w:rPr>
        <w:t xml:space="preserve"> </w:t>
      </w:r>
      <w:r w:rsidRPr="00C16F19">
        <w:rPr>
          <w:rFonts w:cs="Times New Roman"/>
          <w:sz w:val="20"/>
          <w:szCs w:val="20"/>
        </w:rPr>
        <w:t>GC-MS total ion chromatogram (TIC) of ZTF 1016 derivatized in batch (magenta), and in flow (black) using MTBSTFA.</w:t>
      </w:r>
    </w:p>
    <w:p w14:paraId="15F7E587" w14:textId="77777777" w:rsidR="00605795" w:rsidRPr="00C16F19" w:rsidRDefault="00605795" w:rsidP="00C16F19">
      <w:pPr>
        <w:spacing w:before="0" w:after="0"/>
        <w:contextualSpacing/>
        <w:rPr>
          <w:rFonts w:cs="Times New Roman"/>
          <w:sz w:val="20"/>
          <w:szCs w:val="20"/>
        </w:rPr>
      </w:pPr>
    </w:p>
    <w:p w14:paraId="78CE5B19" w14:textId="04D6E05A" w:rsidR="00605795" w:rsidRPr="00C16F19" w:rsidRDefault="00051A85" w:rsidP="00C16F19">
      <w:pPr>
        <w:spacing w:before="0" w:after="0"/>
        <w:contextualSpacing/>
        <w:jc w:val="center"/>
        <w:rPr>
          <w:rFonts w:cs="Times New Roman"/>
          <w:sz w:val="20"/>
          <w:szCs w:val="20"/>
        </w:rPr>
      </w:pPr>
      <w:r>
        <w:rPr>
          <w:rFonts w:cs="Times New Roman"/>
          <w:noProof/>
          <w:sz w:val="20"/>
          <w:szCs w:val="20"/>
        </w:rPr>
        <w:lastRenderedPageBreak/>
        <w:drawing>
          <wp:inline distT="0" distB="0" distL="0" distR="0" wp14:anchorId="38CDC97F" wp14:editId="679B7144">
            <wp:extent cx="3428365" cy="1828800"/>
            <wp:effectExtent l="0" t="0" r="635" b="0"/>
            <wp:docPr id="1931171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8365" cy="1828800"/>
                    </a:xfrm>
                    <a:prstGeom prst="rect">
                      <a:avLst/>
                    </a:prstGeom>
                    <a:noFill/>
                  </pic:spPr>
                </pic:pic>
              </a:graphicData>
            </a:graphic>
          </wp:inline>
        </w:drawing>
      </w:r>
      <w:r w:rsidR="00B84F6F">
        <w:rPr>
          <w:rFonts w:cs="Times New Roman"/>
          <w:noProof/>
          <w:sz w:val="20"/>
          <w:szCs w:val="20"/>
        </w:rPr>
        <w:drawing>
          <wp:inline distT="0" distB="0" distL="0" distR="0" wp14:anchorId="650949DC" wp14:editId="426985D5">
            <wp:extent cx="3352800" cy="1749425"/>
            <wp:effectExtent l="0" t="0" r="0" b="3175"/>
            <wp:docPr id="13156964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52800" cy="1749425"/>
                    </a:xfrm>
                    <a:prstGeom prst="rect">
                      <a:avLst/>
                    </a:prstGeom>
                    <a:noFill/>
                  </pic:spPr>
                </pic:pic>
              </a:graphicData>
            </a:graphic>
          </wp:inline>
        </w:drawing>
      </w:r>
    </w:p>
    <w:p w14:paraId="7F292406" w14:textId="41973304" w:rsidR="00605795" w:rsidRPr="00C16F19" w:rsidRDefault="00605795" w:rsidP="00C16F19">
      <w:pPr>
        <w:spacing w:before="0" w:after="0"/>
        <w:contextualSpacing/>
        <w:rPr>
          <w:rFonts w:cs="Times New Roman"/>
          <w:sz w:val="20"/>
          <w:szCs w:val="20"/>
        </w:rPr>
      </w:pPr>
      <w:r w:rsidRPr="00C16F19">
        <w:rPr>
          <w:rFonts w:cs="Times New Roman"/>
          <w:b/>
          <w:sz w:val="20"/>
          <w:szCs w:val="20"/>
        </w:rPr>
        <w:t xml:space="preserve">Fig. </w:t>
      </w:r>
      <w:r w:rsidR="00227036" w:rsidRPr="00C16F19">
        <w:rPr>
          <w:rFonts w:cs="Times New Roman"/>
          <w:b/>
          <w:bCs/>
          <w:sz w:val="20"/>
          <w:szCs w:val="20"/>
        </w:rPr>
        <w:t>(S1</w:t>
      </w:r>
      <w:r w:rsidR="00D63AB6" w:rsidRPr="00C16F19">
        <w:rPr>
          <w:rFonts w:cs="Times New Roman"/>
          <w:b/>
          <w:bCs/>
          <w:sz w:val="20"/>
          <w:szCs w:val="20"/>
        </w:rPr>
        <w:t>2</w:t>
      </w:r>
      <w:r w:rsidR="00227036" w:rsidRPr="00C16F19">
        <w:rPr>
          <w:rFonts w:cs="Times New Roman"/>
          <w:b/>
          <w:bCs/>
          <w:sz w:val="20"/>
          <w:szCs w:val="20"/>
        </w:rPr>
        <w:t>)</w:t>
      </w:r>
      <w:r w:rsidR="00227036" w:rsidRPr="00C16F19">
        <w:rPr>
          <w:rFonts w:cs="Times New Roman"/>
          <w:sz w:val="20"/>
          <w:szCs w:val="20"/>
        </w:rPr>
        <w:t xml:space="preserve"> </w:t>
      </w:r>
      <w:r w:rsidRPr="00C16F19">
        <w:rPr>
          <w:rFonts w:cs="Times New Roman"/>
          <w:sz w:val="20"/>
          <w:szCs w:val="20"/>
        </w:rPr>
        <w:t>Mass spectra of chromatographic peak at 17.220 mins of ZTF 1016 derivatized in batch (</w:t>
      </w:r>
      <w:r w:rsidR="001C27EF">
        <w:rPr>
          <w:rFonts w:cs="Times New Roman"/>
          <w:sz w:val="20"/>
          <w:szCs w:val="20"/>
        </w:rPr>
        <w:t>top</w:t>
      </w:r>
      <w:r w:rsidRPr="00C16F19">
        <w:rPr>
          <w:rFonts w:cs="Times New Roman"/>
          <w:sz w:val="20"/>
          <w:szCs w:val="20"/>
        </w:rPr>
        <w:t>) and in flow (</w:t>
      </w:r>
      <w:r w:rsidR="001C27EF">
        <w:rPr>
          <w:rFonts w:cs="Times New Roman"/>
          <w:sz w:val="20"/>
          <w:szCs w:val="20"/>
        </w:rPr>
        <w:t>bottom</w:t>
      </w:r>
      <w:r w:rsidRPr="00C16F19">
        <w:rPr>
          <w:rFonts w:cs="Times New Roman"/>
          <w:sz w:val="20"/>
          <w:szCs w:val="20"/>
        </w:rPr>
        <w:t>) respectively, using MTBSTFA.</w:t>
      </w:r>
    </w:p>
    <w:p w14:paraId="017CDDB8" w14:textId="77777777" w:rsidR="00605795" w:rsidRPr="00C16F19" w:rsidRDefault="00605795" w:rsidP="00C16F19">
      <w:pPr>
        <w:spacing w:before="0" w:after="0"/>
        <w:contextualSpacing/>
        <w:rPr>
          <w:rFonts w:cs="Times New Roman"/>
          <w:sz w:val="20"/>
          <w:szCs w:val="20"/>
        </w:rPr>
      </w:pPr>
    </w:p>
    <w:p w14:paraId="1BE4B97F" w14:textId="77777777" w:rsidR="00A25B7B" w:rsidRPr="00C16F19" w:rsidRDefault="00A25B7B" w:rsidP="00C16F19">
      <w:pPr>
        <w:keepNext/>
        <w:spacing w:before="0" w:after="0"/>
        <w:contextualSpacing/>
        <w:jc w:val="center"/>
        <w:rPr>
          <w:rFonts w:cs="Times New Roman"/>
          <w:sz w:val="20"/>
          <w:szCs w:val="20"/>
        </w:rPr>
      </w:pPr>
      <w:r w:rsidRPr="00C16F19">
        <w:rPr>
          <w:rFonts w:cs="Times New Roman"/>
          <w:noProof/>
          <w:sz w:val="20"/>
          <w:szCs w:val="20"/>
        </w:rPr>
        <w:lastRenderedPageBreak/>
        <w:drawing>
          <wp:inline distT="0" distB="0" distL="0" distR="0" wp14:anchorId="755E0B4A" wp14:editId="33E41B55">
            <wp:extent cx="6345351" cy="84240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45351" cy="8424000"/>
                    </a:xfrm>
                    <a:prstGeom prst="rect">
                      <a:avLst/>
                    </a:prstGeom>
                    <a:noFill/>
                  </pic:spPr>
                </pic:pic>
              </a:graphicData>
            </a:graphic>
          </wp:inline>
        </w:drawing>
      </w:r>
    </w:p>
    <w:p w14:paraId="1B07F8E9" w14:textId="0DDABF05" w:rsidR="00A25B7B" w:rsidRPr="00C16F19" w:rsidRDefault="00A25B7B" w:rsidP="00C16F19">
      <w:pPr>
        <w:pStyle w:val="Beschriftung"/>
        <w:spacing w:before="0" w:after="0"/>
        <w:contextualSpacing/>
        <w:jc w:val="both"/>
        <w:rPr>
          <w:b w:val="0"/>
          <w:bCs w:val="0"/>
          <w:sz w:val="20"/>
          <w:szCs w:val="20"/>
        </w:rPr>
      </w:pPr>
      <w:r w:rsidRPr="00C16F19">
        <w:rPr>
          <w:sz w:val="20"/>
          <w:szCs w:val="20"/>
        </w:rPr>
        <w:t>Fig. S1</w:t>
      </w:r>
      <w:r w:rsidR="002C732E" w:rsidRPr="00C16F19">
        <w:rPr>
          <w:sz w:val="20"/>
          <w:szCs w:val="20"/>
        </w:rPr>
        <w:t>3</w:t>
      </w:r>
      <w:r w:rsidRPr="00C16F19">
        <w:rPr>
          <w:sz w:val="20"/>
          <w:szCs w:val="20"/>
        </w:rPr>
        <w:t xml:space="preserve"> </w:t>
      </w:r>
      <w:r w:rsidRPr="00C16F19">
        <w:rPr>
          <w:b w:val="0"/>
          <w:bCs w:val="0"/>
          <w:sz w:val="20"/>
          <w:szCs w:val="20"/>
        </w:rPr>
        <w:t>Positive ion</w:t>
      </w:r>
      <w:r w:rsidRPr="00C16F19">
        <w:rPr>
          <w:sz w:val="20"/>
          <w:szCs w:val="20"/>
        </w:rPr>
        <w:t xml:space="preserve"> </w:t>
      </w:r>
      <w:r w:rsidRPr="00C16F19">
        <w:rPr>
          <w:b w:val="0"/>
          <w:bCs w:val="0"/>
          <w:sz w:val="20"/>
          <w:szCs w:val="20"/>
        </w:rPr>
        <w:t>HR-MS spectrum of targeted species obtained from analysis of ZTF 1016 samples. (A) represents the underivatized ZTF 1016, where peak 1, 2 and 3 were identified as [M+</w:t>
      </w:r>
      <w:proofErr w:type="gramStart"/>
      <w:r w:rsidRPr="00C16F19">
        <w:rPr>
          <w:b w:val="0"/>
          <w:bCs w:val="0"/>
          <w:sz w:val="20"/>
          <w:szCs w:val="20"/>
        </w:rPr>
        <w:t>H]</w:t>
      </w:r>
      <w:r w:rsidRPr="00C16F19">
        <w:rPr>
          <w:b w:val="0"/>
          <w:bCs w:val="0"/>
          <w:sz w:val="20"/>
          <w:szCs w:val="20"/>
          <w:vertAlign w:val="superscript"/>
        </w:rPr>
        <w:t>+</w:t>
      </w:r>
      <w:proofErr w:type="gramEnd"/>
      <w:r w:rsidRPr="00C16F19">
        <w:rPr>
          <w:b w:val="0"/>
          <w:bCs w:val="0"/>
          <w:sz w:val="20"/>
          <w:szCs w:val="20"/>
        </w:rPr>
        <w:t>, [</w:t>
      </w:r>
      <w:proofErr w:type="spellStart"/>
      <w:r w:rsidRPr="00C16F19">
        <w:rPr>
          <w:b w:val="0"/>
          <w:bCs w:val="0"/>
          <w:sz w:val="20"/>
          <w:szCs w:val="20"/>
        </w:rPr>
        <w:t>M+Na</w:t>
      </w:r>
      <w:proofErr w:type="spellEnd"/>
      <w:r w:rsidRPr="00C16F19">
        <w:rPr>
          <w:b w:val="0"/>
          <w:bCs w:val="0"/>
          <w:sz w:val="20"/>
          <w:szCs w:val="20"/>
        </w:rPr>
        <w:t>]</w:t>
      </w:r>
      <w:r w:rsidRPr="00C16F19">
        <w:rPr>
          <w:b w:val="0"/>
          <w:bCs w:val="0"/>
          <w:sz w:val="20"/>
          <w:szCs w:val="20"/>
          <w:vertAlign w:val="superscript"/>
        </w:rPr>
        <w:t xml:space="preserve">+ </w:t>
      </w:r>
      <w:r w:rsidRPr="00C16F19">
        <w:rPr>
          <w:b w:val="0"/>
          <w:bCs w:val="0"/>
          <w:sz w:val="20"/>
          <w:szCs w:val="20"/>
        </w:rPr>
        <w:t>and [2M+Na]</w:t>
      </w:r>
      <w:r w:rsidRPr="00C16F19">
        <w:rPr>
          <w:b w:val="0"/>
          <w:bCs w:val="0"/>
          <w:sz w:val="20"/>
          <w:szCs w:val="20"/>
          <w:vertAlign w:val="superscript"/>
        </w:rPr>
        <w:t>+</w:t>
      </w:r>
      <w:r w:rsidRPr="00C16F19">
        <w:rPr>
          <w:b w:val="0"/>
          <w:bCs w:val="0"/>
          <w:sz w:val="20"/>
          <w:szCs w:val="20"/>
        </w:rPr>
        <w:t xml:space="preserve"> respectively. (B) represents ZTF 1016 derivatized in batch and (C) represents ZTF 1016 derivatized in flow. *Target (derivatized) peaks.</w:t>
      </w:r>
    </w:p>
    <w:p w14:paraId="23ACF3B0" w14:textId="77777777" w:rsidR="008A0856" w:rsidRDefault="008A0856" w:rsidP="008A3971">
      <w:pPr>
        <w:pStyle w:val="KeinLeerraum"/>
        <w:rPr>
          <w:rFonts w:cs="Times New Roman"/>
          <w:b/>
          <w:bCs/>
          <w:sz w:val="20"/>
          <w:szCs w:val="20"/>
        </w:rPr>
      </w:pPr>
    </w:p>
    <w:p w14:paraId="48D31252" w14:textId="77777777" w:rsidR="008A0856" w:rsidRDefault="008A0856" w:rsidP="008A3971">
      <w:pPr>
        <w:pStyle w:val="KeinLeerraum"/>
        <w:rPr>
          <w:rFonts w:cs="Times New Roman"/>
          <w:b/>
          <w:bCs/>
          <w:sz w:val="20"/>
          <w:szCs w:val="20"/>
        </w:rPr>
      </w:pPr>
    </w:p>
    <w:p w14:paraId="3C9BA358" w14:textId="3D0D7876" w:rsidR="008A3971" w:rsidRPr="00C16F19" w:rsidRDefault="008A3971" w:rsidP="008A3971">
      <w:pPr>
        <w:pStyle w:val="KeinLeerraum"/>
        <w:rPr>
          <w:rFonts w:cs="Times New Roman"/>
          <w:b/>
          <w:bCs/>
          <w:sz w:val="20"/>
          <w:szCs w:val="20"/>
        </w:rPr>
      </w:pPr>
      <w:r w:rsidRPr="00C16F19">
        <w:rPr>
          <w:rFonts w:cs="Times New Roman"/>
          <w:b/>
          <w:bCs/>
          <w:sz w:val="20"/>
          <w:szCs w:val="20"/>
        </w:rPr>
        <w:lastRenderedPageBreak/>
        <w:t>References</w:t>
      </w:r>
    </w:p>
    <w:p w14:paraId="7738E290" w14:textId="77777777" w:rsidR="0050759A" w:rsidRPr="00C16F19" w:rsidRDefault="0050759A" w:rsidP="008A3971">
      <w:pPr>
        <w:pStyle w:val="KeinLeerraum"/>
        <w:rPr>
          <w:rFonts w:cs="Times New Roman"/>
          <w:b/>
          <w:bCs/>
          <w:sz w:val="20"/>
          <w:szCs w:val="20"/>
        </w:rPr>
      </w:pPr>
    </w:p>
    <w:p w14:paraId="58C4EFA9" w14:textId="2E5615B9" w:rsidR="00D575BA" w:rsidRPr="00C16F19" w:rsidRDefault="007872BB" w:rsidP="00D575BA">
      <w:pPr>
        <w:widowControl w:val="0"/>
        <w:autoSpaceDE w:val="0"/>
        <w:autoSpaceDN w:val="0"/>
        <w:adjustRightInd w:val="0"/>
        <w:spacing w:before="0" w:after="0" w:line="360" w:lineRule="auto"/>
        <w:ind w:left="640" w:hanging="640"/>
        <w:rPr>
          <w:rFonts w:cs="Times New Roman"/>
          <w:noProof/>
          <w:sz w:val="20"/>
          <w:szCs w:val="20"/>
        </w:rPr>
      </w:pPr>
      <w:r w:rsidRPr="00C16F19">
        <w:rPr>
          <w:rFonts w:cs="Times New Roman"/>
          <w:sz w:val="20"/>
          <w:szCs w:val="20"/>
        </w:rPr>
        <w:fldChar w:fldCharType="begin" w:fldLock="1"/>
      </w:r>
      <w:r w:rsidRPr="00C16F19">
        <w:rPr>
          <w:rFonts w:cs="Times New Roman"/>
          <w:sz w:val="20"/>
          <w:szCs w:val="20"/>
        </w:rPr>
        <w:instrText xml:space="preserve">ADDIN Mendeley Bibliography CSL_BIBLIOGRAPHY </w:instrText>
      </w:r>
      <w:r w:rsidRPr="00C16F19">
        <w:rPr>
          <w:rFonts w:cs="Times New Roman"/>
          <w:sz w:val="20"/>
          <w:szCs w:val="20"/>
        </w:rPr>
        <w:fldChar w:fldCharType="separate"/>
      </w:r>
      <w:r w:rsidR="00D575BA" w:rsidRPr="00C16F19">
        <w:rPr>
          <w:rFonts w:cs="Times New Roman"/>
          <w:noProof/>
          <w:sz w:val="20"/>
          <w:szCs w:val="20"/>
        </w:rPr>
        <w:t xml:space="preserve">1. </w:t>
      </w:r>
      <w:r w:rsidR="00D575BA" w:rsidRPr="00C16F19">
        <w:rPr>
          <w:rFonts w:cs="Times New Roman"/>
          <w:noProof/>
          <w:sz w:val="20"/>
          <w:szCs w:val="20"/>
        </w:rPr>
        <w:tab/>
        <w:t>Neumaier JM, Madani A, Klein T, Ziegler T (2019) Low-budget 3D-printed equipment for continuous flow reactions. Beilstein J Org Chem 15:558–566. https://doi.org/10.3762/bjoc.15.50</w:t>
      </w:r>
    </w:p>
    <w:p w14:paraId="162B173D" w14:textId="77777777" w:rsidR="00D575BA" w:rsidRPr="00C16F19" w:rsidRDefault="00D575BA" w:rsidP="00D575BA">
      <w:pPr>
        <w:widowControl w:val="0"/>
        <w:autoSpaceDE w:val="0"/>
        <w:autoSpaceDN w:val="0"/>
        <w:adjustRightInd w:val="0"/>
        <w:spacing w:before="0" w:after="0" w:line="360" w:lineRule="auto"/>
        <w:ind w:left="640" w:hanging="640"/>
        <w:rPr>
          <w:rFonts w:cs="Times New Roman"/>
          <w:noProof/>
          <w:sz w:val="20"/>
          <w:szCs w:val="20"/>
        </w:rPr>
      </w:pPr>
      <w:r w:rsidRPr="00C16F19">
        <w:rPr>
          <w:rFonts w:cs="Times New Roman"/>
          <w:noProof/>
          <w:sz w:val="20"/>
          <w:szCs w:val="20"/>
        </w:rPr>
        <w:t xml:space="preserve">2. </w:t>
      </w:r>
      <w:r w:rsidRPr="00C16F19">
        <w:rPr>
          <w:rFonts w:cs="Times New Roman"/>
          <w:noProof/>
          <w:sz w:val="20"/>
          <w:szCs w:val="20"/>
        </w:rPr>
        <w:tab/>
        <w:t>du Preez A, Meijboom R, Smit E (2022) Low-Cost 3D-Printed Reactionware for the Determination of Fatty Acid Content in Edible Oils using a Base-Catalyzed Transesterification Method in Continuous Flow. Food Anal Methods 15:1816–1825. https://doi.org/10.1007/S12161-022-02233-2/FIGURES/8</w:t>
      </w:r>
    </w:p>
    <w:p w14:paraId="0E2747C5" w14:textId="77777777" w:rsidR="00D575BA" w:rsidRPr="00C16F19" w:rsidRDefault="00D575BA" w:rsidP="00D575BA">
      <w:pPr>
        <w:widowControl w:val="0"/>
        <w:autoSpaceDE w:val="0"/>
        <w:autoSpaceDN w:val="0"/>
        <w:adjustRightInd w:val="0"/>
        <w:spacing w:before="0" w:after="0" w:line="360" w:lineRule="auto"/>
        <w:ind w:left="640" w:hanging="640"/>
        <w:rPr>
          <w:rFonts w:cs="Times New Roman"/>
          <w:noProof/>
          <w:sz w:val="20"/>
          <w:szCs w:val="20"/>
        </w:rPr>
      </w:pPr>
      <w:r w:rsidRPr="00C16F19">
        <w:rPr>
          <w:rFonts w:cs="Times New Roman"/>
          <w:noProof/>
          <w:sz w:val="20"/>
          <w:szCs w:val="20"/>
        </w:rPr>
        <w:t xml:space="preserve">3. </w:t>
      </w:r>
      <w:r w:rsidRPr="00C16F19">
        <w:rPr>
          <w:rFonts w:cs="Times New Roman"/>
          <w:noProof/>
          <w:sz w:val="20"/>
          <w:szCs w:val="20"/>
        </w:rPr>
        <w:tab/>
        <w:t>Booeshaghi AS, Beltrame E da V, Bannon D, Gehring J, Pachter L (2019) Principles of open source bioinstrumentation applied to the poseidon syringe pump system. Sci Rep 9:12385. https://doi.org/10.1038/s41598-019-48815-9</w:t>
      </w:r>
    </w:p>
    <w:p w14:paraId="19C7C24F" w14:textId="160811A9" w:rsidR="008A3971" w:rsidRPr="00C16F19" w:rsidRDefault="007872BB" w:rsidP="008A3971">
      <w:pPr>
        <w:pStyle w:val="KeinLeerraum"/>
        <w:rPr>
          <w:rFonts w:cs="Times New Roman"/>
          <w:sz w:val="20"/>
          <w:szCs w:val="20"/>
        </w:rPr>
      </w:pPr>
      <w:r w:rsidRPr="00C16F19">
        <w:rPr>
          <w:rFonts w:cs="Times New Roman"/>
          <w:sz w:val="20"/>
          <w:szCs w:val="20"/>
        </w:rPr>
        <w:fldChar w:fldCharType="end"/>
      </w:r>
    </w:p>
    <w:sectPr w:rsidR="008A3971" w:rsidRPr="00C16F19" w:rsidSect="00707E73">
      <w:footerReference w:type="default" r:id="rId26"/>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2CEBB" w14:textId="77777777" w:rsidR="007242A2" w:rsidRDefault="007242A2" w:rsidP="00605795">
      <w:pPr>
        <w:spacing w:before="0" w:after="0"/>
      </w:pPr>
      <w:r>
        <w:separator/>
      </w:r>
    </w:p>
  </w:endnote>
  <w:endnote w:type="continuationSeparator" w:id="0">
    <w:p w14:paraId="62E49F1E" w14:textId="77777777" w:rsidR="007242A2" w:rsidRDefault="007242A2" w:rsidP="0060579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957798"/>
      <w:docPartObj>
        <w:docPartGallery w:val="Page Numbers (Bottom of Page)"/>
        <w:docPartUnique/>
      </w:docPartObj>
    </w:sdtPr>
    <w:sdtEndPr>
      <w:rPr>
        <w:noProof/>
      </w:rPr>
    </w:sdtEndPr>
    <w:sdtContent>
      <w:p w14:paraId="7DAD1633" w14:textId="62473020" w:rsidR="00605795" w:rsidRDefault="00605795">
        <w:pPr>
          <w:pStyle w:val="Fuzeile"/>
          <w:jc w:val="right"/>
        </w:pPr>
        <w:r>
          <w:fldChar w:fldCharType="begin"/>
        </w:r>
        <w:r>
          <w:instrText xml:space="preserve"> PAGE   \* MERGEFORMAT </w:instrText>
        </w:r>
        <w:r>
          <w:fldChar w:fldCharType="separate"/>
        </w:r>
        <w:r>
          <w:rPr>
            <w:noProof/>
          </w:rPr>
          <w:t>2</w:t>
        </w:r>
        <w:r>
          <w:rPr>
            <w:noProof/>
          </w:rPr>
          <w:fldChar w:fldCharType="end"/>
        </w:r>
      </w:p>
    </w:sdtContent>
  </w:sdt>
  <w:p w14:paraId="0E40157B" w14:textId="77777777" w:rsidR="00605795" w:rsidRDefault="0060579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94DBF" w14:textId="77777777" w:rsidR="007242A2" w:rsidRDefault="007242A2" w:rsidP="00605795">
      <w:pPr>
        <w:spacing w:before="0" w:after="0"/>
      </w:pPr>
      <w:r>
        <w:separator/>
      </w:r>
    </w:p>
  </w:footnote>
  <w:footnote w:type="continuationSeparator" w:id="0">
    <w:p w14:paraId="17F364DF" w14:textId="77777777" w:rsidR="007242A2" w:rsidRDefault="007242A2" w:rsidP="00605795">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638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C0601A"/>
    <w:multiLevelType w:val="multilevel"/>
    <w:tmpl w:val="C6A8CCEA"/>
    <w:styleLink w:val="Headings"/>
    <w:lvl w:ilvl="0">
      <w:start w:val="1"/>
      <w:numFmt w:val="decimal"/>
      <w:pStyle w:val="berschrift1"/>
      <w:lvlText w:val="%1"/>
      <w:lvlJc w:val="left"/>
      <w:pPr>
        <w:tabs>
          <w:tab w:val="num" w:pos="567"/>
        </w:tabs>
        <w:ind w:left="567" w:hanging="567"/>
      </w:pPr>
      <w:rPr>
        <w:rFonts w:hint="default"/>
      </w:rPr>
    </w:lvl>
    <w:lvl w:ilvl="1">
      <w:start w:val="1"/>
      <w:numFmt w:val="decimal"/>
      <w:pStyle w:val="berschrift2"/>
      <w:lvlText w:val="%1.%2"/>
      <w:lvlJc w:val="left"/>
      <w:pPr>
        <w:tabs>
          <w:tab w:val="num" w:pos="567"/>
        </w:tabs>
        <w:ind w:left="567" w:hanging="567"/>
      </w:pPr>
      <w:rPr>
        <w:rFonts w:hint="default"/>
      </w:rPr>
    </w:lvl>
    <w:lvl w:ilvl="2">
      <w:start w:val="1"/>
      <w:numFmt w:val="decimal"/>
      <w:pStyle w:val="berschrift3"/>
      <w:lvlText w:val="%1.%2.%3"/>
      <w:lvlJc w:val="left"/>
      <w:pPr>
        <w:tabs>
          <w:tab w:val="num" w:pos="567"/>
        </w:tabs>
        <w:ind w:left="567" w:hanging="567"/>
      </w:pPr>
      <w:rPr>
        <w:rFonts w:hint="default"/>
      </w:rPr>
    </w:lvl>
    <w:lvl w:ilvl="3">
      <w:start w:val="1"/>
      <w:numFmt w:val="decimal"/>
      <w:pStyle w:val="berschrift4"/>
      <w:lvlText w:val="%1.%2.%3.%4"/>
      <w:lvlJc w:val="left"/>
      <w:pPr>
        <w:tabs>
          <w:tab w:val="num" w:pos="2694"/>
        </w:tabs>
        <w:ind w:left="2694" w:hanging="567"/>
      </w:pPr>
      <w:rPr>
        <w:rFonts w:hint="default"/>
      </w:rPr>
    </w:lvl>
    <w:lvl w:ilvl="4">
      <w:start w:val="1"/>
      <w:numFmt w:val="decimal"/>
      <w:pStyle w:val="berschrift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831221497">
    <w:abstractNumId w:val="1"/>
  </w:num>
  <w:num w:numId="2" w16cid:durableId="606040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wNDYyNbIwMDa1NDVQ0lEKTi0uzszPAykwrgUAjgd1USwAAAA="/>
  </w:docVars>
  <w:rsids>
    <w:rsidRoot w:val="00707E73"/>
    <w:rsid w:val="000010CC"/>
    <w:rsid w:val="00016190"/>
    <w:rsid w:val="000254E2"/>
    <w:rsid w:val="000275F4"/>
    <w:rsid w:val="00051A85"/>
    <w:rsid w:val="00056B6D"/>
    <w:rsid w:val="000950D7"/>
    <w:rsid w:val="000A5ADF"/>
    <w:rsid w:val="000B77C6"/>
    <w:rsid w:val="000D37F4"/>
    <w:rsid w:val="00100636"/>
    <w:rsid w:val="0018236A"/>
    <w:rsid w:val="001A6919"/>
    <w:rsid w:val="001C27EF"/>
    <w:rsid w:val="001D2830"/>
    <w:rsid w:val="001E589E"/>
    <w:rsid w:val="00227036"/>
    <w:rsid w:val="00264F23"/>
    <w:rsid w:val="00295882"/>
    <w:rsid w:val="00296D78"/>
    <w:rsid w:val="002C5CF7"/>
    <w:rsid w:val="002C732E"/>
    <w:rsid w:val="002D72A2"/>
    <w:rsid w:val="002F6CAB"/>
    <w:rsid w:val="003038E9"/>
    <w:rsid w:val="00305EB8"/>
    <w:rsid w:val="00321D76"/>
    <w:rsid w:val="00330E51"/>
    <w:rsid w:val="00341584"/>
    <w:rsid w:val="00365140"/>
    <w:rsid w:val="00367A8C"/>
    <w:rsid w:val="00391715"/>
    <w:rsid w:val="00392DBA"/>
    <w:rsid w:val="003A3501"/>
    <w:rsid w:val="003C2F9F"/>
    <w:rsid w:val="003D0BBA"/>
    <w:rsid w:val="003E33A9"/>
    <w:rsid w:val="004076B9"/>
    <w:rsid w:val="0043000C"/>
    <w:rsid w:val="0043359B"/>
    <w:rsid w:val="00434E44"/>
    <w:rsid w:val="004405A2"/>
    <w:rsid w:val="004478D8"/>
    <w:rsid w:val="004524F7"/>
    <w:rsid w:val="00464AB3"/>
    <w:rsid w:val="00467273"/>
    <w:rsid w:val="00493692"/>
    <w:rsid w:val="004B6CF5"/>
    <w:rsid w:val="004D4057"/>
    <w:rsid w:val="004F1D99"/>
    <w:rsid w:val="004F6CE5"/>
    <w:rsid w:val="00502EBD"/>
    <w:rsid w:val="0050759A"/>
    <w:rsid w:val="00510186"/>
    <w:rsid w:val="00515969"/>
    <w:rsid w:val="00520403"/>
    <w:rsid w:val="00584543"/>
    <w:rsid w:val="005920AF"/>
    <w:rsid w:val="005B43CF"/>
    <w:rsid w:val="005B6046"/>
    <w:rsid w:val="005E1208"/>
    <w:rsid w:val="005F093C"/>
    <w:rsid w:val="00605795"/>
    <w:rsid w:val="00612531"/>
    <w:rsid w:val="006532C7"/>
    <w:rsid w:val="00653721"/>
    <w:rsid w:val="00670DC5"/>
    <w:rsid w:val="00684A46"/>
    <w:rsid w:val="006A5FFD"/>
    <w:rsid w:val="006D18FC"/>
    <w:rsid w:val="006D4166"/>
    <w:rsid w:val="006D5C23"/>
    <w:rsid w:val="006F1BB7"/>
    <w:rsid w:val="006F3491"/>
    <w:rsid w:val="007051C2"/>
    <w:rsid w:val="007066A9"/>
    <w:rsid w:val="00707E73"/>
    <w:rsid w:val="00712219"/>
    <w:rsid w:val="00713E09"/>
    <w:rsid w:val="007242A2"/>
    <w:rsid w:val="00732610"/>
    <w:rsid w:val="00737335"/>
    <w:rsid w:val="00764C4F"/>
    <w:rsid w:val="007872BB"/>
    <w:rsid w:val="00797A3C"/>
    <w:rsid w:val="007B1F9B"/>
    <w:rsid w:val="007C293D"/>
    <w:rsid w:val="007E1CE7"/>
    <w:rsid w:val="00823BB7"/>
    <w:rsid w:val="00830EB8"/>
    <w:rsid w:val="008456D8"/>
    <w:rsid w:val="008617A3"/>
    <w:rsid w:val="00885215"/>
    <w:rsid w:val="008A0856"/>
    <w:rsid w:val="008A3971"/>
    <w:rsid w:val="008C405C"/>
    <w:rsid w:val="00901613"/>
    <w:rsid w:val="00912492"/>
    <w:rsid w:val="00934E28"/>
    <w:rsid w:val="009472E6"/>
    <w:rsid w:val="009527B1"/>
    <w:rsid w:val="00963AC8"/>
    <w:rsid w:val="009761FC"/>
    <w:rsid w:val="009A6D63"/>
    <w:rsid w:val="009C79EB"/>
    <w:rsid w:val="009E58AC"/>
    <w:rsid w:val="00A20FAB"/>
    <w:rsid w:val="00A25B7B"/>
    <w:rsid w:val="00A31300"/>
    <w:rsid w:val="00A31B6F"/>
    <w:rsid w:val="00A571A9"/>
    <w:rsid w:val="00A67F83"/>
    <w:rsid w:val="00A8302B"/>
    <w:rsid w:val="00A83CCD"/>
    <w:rsid w:val="00A966B5"/>
    <w:rsid w:val="00AA7F14"/>
    <w:rsid w:val="00AB10AD"/>
    <w:rsid w:val="00AC5C0D"/>
    <w:rsid w:val="00AE6AC3"/>
    <w:rsid w:val="00AF73BA"/>
    <w:rsid w:val="00B00BC9"/>
    <w:rsid w:val="00B32855"/>
    <w:rsid w:val="00B3653A"/>
    <w:rsid w:val="00B667F4"/>
    <w:rsid w:val="00B67167"/>
    <w:rsid w:val="00B722D7"/>
    <w:rsid w:val="00B7326E"/>
    <w:rsid w:val="00B84F6F"/>
    <w:rsid w:val="00BA4268"/>
    <w:rsid w:val="00BA4CAA"/>
    <w:rsid w:val="00BB2EB5"/>
    <w:rsid w:val="00C079F5"/>
    <w:rsid w:val="00C16F19"/>
    <w:rsid w:val="00C34A0B"/>
    <w:rsid w:val="00C45A69"/>
    <w:rsid w:val="00C4668C"/>
    <w:rsid w:val="00C61ABA"/>
    <w:rsid w:val="00C66AB7"/>
    <w:rsid w:val="00C910B1"/>
    <w:rsid w:val="00C93AC9"/>
    <w:rsid w:val="00C96BA4"/>
    <w:rsid w:val="00CB01AE"/>
    <w:rsid w:val="00D01765"/>
    <w:rsid w:val="00D03D78"/>
    <w:rsid w:val="00D50639"/>
    <w:rsid w:val="00D573A7"/>
    <w:rsid w:val="00D575BA"/>
    <w:rsid w:val="00D63AB6"/>
    <w:rsid w:val="00D933EC"/>
    <w:rsid w:val="00DB2A4B"/>
    <w:rsid w:val="00DC0161"/>
    <w:rsid w:val="00DE2A06"/>
    <w:rsid w:val="00DE5194"/>
    <w:rsid w:val="00E0300A"/>
    <w:rsid w:val="00E325C4"/>
    <w:rsid w:val="00E33A0A"/>
    <w:rsid w:val="00E6187E"/>
    <w:rsid w:val="00E72E9E"/>
    <w:rsid w:val="00E96713"/>
    <w:rsid w:val="00EB51F8"/>
    <w:rsid w:val="00EC72D3"/>
    <w:rsid w:val="00ED6C94"/>
    <w:rsid w:val="00EF2829"/>
    <w:rsid w:val="00F24F10"/>
    <w:rsid w:val="00F26A13"/>
    <w:rsid w:val="00F3193D"/>
    <w:rsid w:val="00F4278B"/>
    <w:rsid w:val="00F454A1"/>
    <w:rsid w:val="00F50065"/>
    <w:rsid w:val="00F56061"/>
    <w:rsid w:val="00F61F7B"/>
    <w:rsid w:val="00F72174"/>
    <w:rsid w:val="00F767F6"/>
    <w:rsid w:val="00FB2362"/>
    <w:rsid w:val="00FC3A34"/>
    <w:rsid w:val="00FE3CAA"/>
    <w:rsid w:val="00FF7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025BC"/>
  <w15:chartTrackingRefBased/>
  <w15:docId w15:val="{D752216C-53FB-48F6-9FA2-480E8FF3A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7E73"/>
    <w:pPr>
      <w:spacing w:before="120" w:after="240" w:line="240" w:lineRule="auto"/>
    </w:pPr>
    <w:rPr>
      <w:rFonts w:ascii="Times New Roman" w:hAnsi="Times New Roman"/>
      <w:kern w:val="0"/>
      <w:sz w:val="24"/>
      <w14:ligatures w14:val="none"/>
    </w:rPr>
  </w:style>
  <w:style w:type="paragraph" w:styleId="berschrift1">
    <w:name w:val="heading 1"/>
    <w:basedOn w:val="Listenabsatz"/>
    <w:next w:val="Standard"/>
    <w:link w:val="berschrift1Zchn"/>
    <w:uiPriority w:val="2"/>
    <w:qFormat/>
    <w:rsid w:val="00B722D7"/>
    <w:pPr>
      <w:numPr>
        <w:numId w:val="1"/>
      </w:numPr>
      <w:spacing w:before="240"/>
      <w:contextualSpacing w:val="0"/>
      <w:outlineLvl w:val="0"/>
    </w:pPr>
    <w:rPr>
      <w:rFonts w:eastAsia="Cambria" w:cs="Times New Roman"/>
      <w:b/>
      <w:szCs w:val="24"/>
    </w:rPr>
  </w:style>
  <w:style w:type="paragraph" w:styleId="berschrift2">
    <w:name w:val="heading 2"/>
    <w:basedOn w:val="berschrift1"/>
    <w:next w:val="Standard"/>
    <w:link w:val="berschrift2Zchn"/>
    <w:uiPriority w:val="2"/>
    <w:qFormat/>
    <w:rsid w:val="00B722D7"/>
    <w:pPr>
      <w:numPr>
        <w:ilvl w:val="1"/>
      </w:numPr>
      <w:spacing w:after="200"/>
      <w:outlineLvl w:val="1"/>
    </w:pPr>
  </w:style>
  <w:style w:type="paragraph" w:styleId="berschrift3">
    <w:name w:val="heading 3"/>
    <w:basedOn w:val="Standard"/>
    <w:next w:val="Standard"/>
    <w:link w:val="berschrift3Zchn"/>
    <w:uiPriority w:val="2"/>
    <w:qFormat/>
    <w:rsid w:val="00B722D7"/>
    <w:pPr>
      <w:keepNext/>
      <w:keepLines/>
      <w:numPr>
        <w:ilvl w:val="2"/>
        <w:numId w:val="1"/>
      </w:numPr>
      <w:spacing w:before="40" w:after="120"/>
      <w:outlineLvl w:val="2"/>
    </w:pPr>
    <w:rPr>
      <w:rFonts w:eastAsiaTheme="majorEastAsia" w:cstheme="majorBidi"/>
      <w:b/>
      <w:szCs w:val="24"/>
    </w:rPr>
  </w:style>
  <w:style w:type="paragraph" w:styleId="berschrift4">
    <w:name w:val="heading 4"/>
    <w:basedOn w:val="berschrift3"/>
    <w:next w:val="Standard"/>
    <w:link w:val="berschrift4Zchn"/>
    <w:uiPriority w:val="2"/>
    <w:qFormat/>
    <w:rsid w:val="00B722D7"/>
    <w:pPr>
      <w:numPr>
        <w:ilvl w:val="3"/>
      </w:numPr>
      <w:tabs>
        <w:tab w:val="clear" w:pos="2694"/>
        <w:tab w:val="num" w:pos="567"/>
      </w:tabs>
      <w:ind w:left="567"/>
      <w:outlineLvl w:val="3"/>
    </w:pPr>
    <w:rPr>
      <w:iCs/>
    </w:rPr>
  </w:style>
  <w:style w:type="paragraph" w:styleId="berschrift5">
    <w:name w:val="heading 5"/>
    <w:basedOn w:val="berschrift4"/>
    <w:next w:val="Standard"/>
    <w:link w:val="berschrift5Zchn"/>
    <w:uiPriority w:val="2"/>
    <w:qFormat/>
    <w:rsid w:val="00B722D7"/>
    <w:pPr>
      <w:numPr>
        <w:ilvl w:val="4"/>
      </w:numPr>
      <w:outlineLvl w:val="4"/>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07E73"/>
    <w:rPr>
      <w:color w:val="0000FF"/>
      <w:u w:val="single"/>
    </w:rPr>
  </w:style>
  <w:style w:type="paragraph" w:styleId="Titel">
    <w:name w:val="Title"/>
    <w:basedOn w:val="Standard"/>
    <w:next w:val="Standard"/>
    <w:link w:val="TitelZchn"/>
    <w:qFormat/>
    <w:rsid w:val="00707E73"/>
    <w:pPr>
      <w:suppressLineNumbers/>
      <w:spacing w:before="240" w:after="360"/>
      <w:jc w:val="center"/>
    </w:pPr>
    <w:rPr>
      <w:rFonts w:cs="Times New Roman"/>
      <w:b/>
      <w:sz w:val="32"/>
      <w:szCs w:val="32"/>
    </w:rPr>
  </w:style>
  <w:style w:type="character" w:customStyle="1" w:styleId="TitelZchn">
    <w:name w:val="Titel Zchn"/>
    <w:basedOn w:val="Absatz-Standardschriftart"/>
    <w:link w:val="Titel"/>
    <w:rsid w:val="00707E73"/>
    <w:rPr>
      <w:rFonts w:ascii="Times New Roman" w:hAnsi="Times New Roman" w:cs="Times New Roman"/>
      <w:b/>
      <w:kern w:val="0"/>
      <w:sz w:val="32"/>
      <w:szCs w:val="32"/>
      <w14:ligatures w14:val="none"/>
    </w:rPr>
  </w:style>
  <w:style w:type="paragraph" w:customStyle="1" w:styleId="AuthorList">
    <w:name w:val="Author List"/>
    <w:aliases w:val="Keywords,Abstract"/>
    <w:basedOn w:val="Untertitel"/>
    <w:next w:val="Standard"/>
    <w:uiPriority w:val="1"/>
    <w:qFormat/>
    <w:rsid w:val="00707E73"/>
    <w:pPr>
      <w:numPr>
        <w:ilvl w:val="0"/>
      </w:numPr>
      <w:spacing w:before="240" w:after="240"/>
    </w:pPr>
    <w:rPr>
      <w:rFonts w:ascii="Times New Roman" w:eastAsiaTheme="minorHAnsi" w:hAnsi="Times New Roman" w:cs="Times New Roman"/>
      <w:b/>
      <w:color w:val="auto"/>
      <w:spacing w:val="0"/>
      <w:sz w:val="24"/>
      <w:szCs w:val="24"/>
    </w:rPr>
  </w:style>
  <w:style w:type="paragraph" w:styleId="Untertitel">
    <w:name w:val="Subtitle"/>
    <w:basedOn w:val="Standard"/>
    <w:next w:val="Standard"/>
    <w:link w:val="UntertitelZchn"/>
    <w:uiPriority w:val="11"/>
    <w:qFormat/>
    <w:rsid w:val="00707E73"/>
    <w:pPr>
      <w:numPr>
        <w:ilvl w:val="1"/>
      </w:numPr>
      <w:spacing w:after="160"/>
    </w:pPr>
    <w:rPr>
      <w:rFonts w:asciiTheme="minorHAnsi" w:eastAsiaTheme="minorEastAsia" w:hAnsiTheme="minorHAnsi"/>
      <w:color w:val="5A5A5A" w:themeColor="text1" w:themeTint="A5"/>
      <w:spacing w:val="15"/>
      <w:sz w:val="22"/>
    </w:rPr>
  </w:style>
  <w:style w:type="character" w:customStyle="1" w:styleId="UntertitelZchn">
    <w:name w:val="Untertitel Zchn"/>
    <w:basedOn w:val="Absatz-Standardschriftart"/>
    <w:link w:val="Untertitel"/>
    <w:uiPriority w:val="11"/>
    <w:rsid w:val="00707E73"/>
    <w:rPr>
      <w:rFonts w:eastAsiaTheme="minorEastAsia"/>
      <w:color w:val="5A5A5A" w:themeColor="text1" w:themeTint="A5"/>
      <w:spacing w:val="15"/>
      <w:kern w:val="0"/>
      <w14:ligatures w14:val="none"/>
    </w:rPr>
  </w:style>
  <w:style w:type="paragraph" w:styleId="Kopfzeile">
    <w:name w:val="header"/>
    <w:basedOn w:val="Standard"/>
    <w:link w:val="KopfzeileZchn"/>
    <w:uiPriority w:val="99"/>
    <w:unhideWhenUsed/>
    <w:rsid w:val="00605795"/>
    <w:pPr>
      <w:tabs>
        <w:tab w:val="center" w:pos="4513"/>
        <w:tab w:val="right" w:pos="9026"/>
      </w:tabs>
      <w:spacing w:before="0" w:after="0"/>
    </w:pPr>
  </w:style>
  <w:style w:type="character" w:customStyle="1" w:styleId="KopfzeileZchn">
    <w:name w:val="Kopfzeile Zchn"/>
    <w:basedOn w:val="Absatz-Standardschriftart"/>
    <w:link w:val="Kopfzeile"/>
    <w:uiPriority w:val="99"/>
    <w:rsid w:val="00605795"/>
    <w:rPr>
      <w:rFonts w:ascii="Times New Roman" w:hAnsi="Times New Roman"/>
      <w:kern w:val="0"/>
      <w:sz w:val="24"/>
      <w14:ligatures w14:val="none"/>
    </w:rPr>
  </w:style>
  <w:style w:type="paragraph" w:styleId="Fuzeile">
    <w:name w:val="footer"/>
    <w:basedOn w:val="Standard"/>
    <w:link w:val="FuzeileZchn"/>
    <w:uiPriority w:val="99"/>
    <w:unhideWhenUsed/>
    <w:rsid w:val="00605795"/>
    <w:pPr>
      <w:tabs>
        <w:tab w:val="center" w:pos="4513"/>
        <w:tab w:val="right" w:pos="9026"/>
      </w:tabs>
      <w:spacing w:before="0" w:after="0"/>
    </w:pPr>
  </w:style>
  <w:style w:type="character" w:customStyle="1" w:styleId="FuzeileZchn">
    <w:name w:val="Fußzeile Zchn"/>
    <w:basedOn w:val="Absatz-Standardschriftart"/>
    <w:link w:val="Fuzeile"/>
    <w:uiPriority w:val="99"/>
    <w:rsid w:val="00605795"/>
    <w:rPr>
      <w:rFonts w:ascii="Times New Roman" w:hAnsi="Times New Roman"/>
      <w:kern w:val="0"/>
      <w:sz w:val="24"/>
      <w14:ligatures w14:val="none"/>
    </w:rPr>
  </w:style>
  <w:style w:type="paragraph" w:styleId="Beschriftung">
    <w:name w:val="caption"/>
    <w:basedOn w:val="Standard"/>
    <w:next w:val="KeinLeerraum"/>
    <w:uiPriority w:val="35"/>
    <w:unhideWhenUsed/>
    <w:qFormat/>
    <w:rsid w:val="008617A3"/>
    <w:pPr>
      <w:keepNext/>
    </w:pPr>
    <w:rPr>
      <w:rFonts w:cs="Times New Roman"/>
      <w:b/>
      <w:bCs/>
      <w:szCs w:val="24"/>
    </w:rPr>
  </w:style>
  <w:style w:type="paragraph" w:styleId="KeinLeerraum">
    <w:name w:val="No Spacing"/>
    <w:uiPriority w:val="1"/>
    <w:qFormat/>
    <w:rsid w:val="008617A3"/>
    <w:pPr>
      <w:spacing w:line="240" w:lineRule="auto"/>
    </w:pPr>
    <w:rPr>
      <w:rFonts w:ascii="Times New Roman" w:hAnsi="Times New Roman"/>
      <w:kern w:val="0"/>
      <w:sz w:val="24"/>
      <w14:ligatures w14:val="none"/>
    </w:rPr>
  </w:style>
  <w:style w:type="character" w:customStyle="1" w:styleId="berschrift1Zchn">
    <w:name w:val="Überschrift 1 Zchn"/>
    <w:basedOn w:val="Absatz-Standardschriftart"/>
    <w:link w:val="berschrift1"/>
    <w:uiPriority w:val="2"/>
    <w:rsid w:val="00B722D7"/>
    <w:rPr>
      <w:rFonts w:ascii="Times New Roman" w:eastAsia="Cambria" w:hAnsi="Times New Roman" w:cs="Times New Roman"/>
      <w:b/>
      <w:kern w:val="0"/>
      <w:sz w:val="24"/>
      <w:szCs w:val="24"/>
      <w14:ligatures w14:val="none"/>
    </w:rPr>
  </w:style>
  <w:style w:type="character" w:customStyle="1" w:styleId="berschrift2Zchn">
    <w:name w:val="Überschrift 2 Zchn"/>
    <w:basedOn w:val="Absatz-Standardschriftart"/>
    <w:link w:val="berschrift2"/>
    <w:uiPriority w:val="2"/>
    <w:rsid w:val="00B722D7"/>
    <w:rPr>
      <w:rFonts w:ascii="Times New Roman" w:eastAsia="Cambria" w:hAnsi="Times New Roman" w:cs="Times New Roman"/>
      <w:b/>
      <w:kern w:val="0"/>
      <w:sz w:val="24"/>
      <w:szCs w:val="24"/>
      <w14:ligatures w14:val="none"/>
    </w:rPr>
  </w:style>
  <w:style w:type="character" w:customStyle="1" w:styleId="berschrift3Zchn">
    <w:name w:val="Überschrift 3 Zchn"/>
    <w:basedOn w:val="Absatz-Standardschriftart"/>
    <w:link w:val="berschrift3"/>
    <w:uiPriority w:val="2"/>
    <w:rsid w:val="00B722D7"/>
    <w:rPr>
      <w:rFonts w:ascii="Times New Roman" w:eastAsiaTheme="majorEastAsia" w:hAnsi="Times New Roman" w:cstheme="majorBidi"/>
      <w:b/>
      <w:kern w:val="0"/>
      <w:sz w:val="24"/>
      <w:szCs w:val="24"/>
      <w14:ligatures w14:val="none"/>
    </w:rPr>
  </w:style>
  <w:style w:type="character" w:customStyle="1" w:styleId="berschrift4Zchn">
    <w:name w:val="Überschrift 4 Zchn"/>
    <w:basedOn w:val="Absatz-Standardschriftart"/>
    <w:link w:val="berschrift4"/>
    <w:uiPriority w:val="2"/>
    <w:rsid w:val="00B722D7"/>
    <w:rPr>
      <w:rFonts w:ascii="Times New Roman" w:eastAsiaTheme="majorEastAsia" w:hAnsi="Times New Roman" w:cstheme="majorBidi"/>
      <w:b/>
      <w:iCs/>
      <w:kern w:val="0"/>
      <w:sz w:val="24"/>
      <w:szCs w:val="24"/>
      <w14:ligatures w14:val="none"/>
    </w:rPr>
  </w:style>
  <w:style w:type="character" w:customStyle="1" w:styleId="berschrift5Zchn">
    <w:name w:val="Überschrift 5 Zchn"/>
    <w:basedOn w:val="Absatz-Standardschriftart"/>
    <w:link w:val="berschrift5"/>
    <w:uiPriority w:val="2"/>
    <w:rsid w:val="00B722D7"/>
    <w:rPr>
      <w:rFonts w:ascii="Times New Roman" w:eastAsiaTheme="majorEastAsia" w:hAnsi="Times New Roman" w:cstheme="majorBidi"/>
      <w:b/>
      <w:iCs/>
      <w:kern w:val="0"/>
      <w:sz w:val="24"/>
      <w:szCs w:val="24"/>
      <w14:ligatures w14:val="none"/>
    </w:rPr>
  </w:style>
  <w:style w:type="numbering" w:customStyle="1" w:styleId="Headings">
    <w:name w:val="Headings"/>
    <w:uiPriority w:val="99"/>
    <w:rsid w:val="00B722D7"/>
    <w:pPr>
      <w:numPr>
        <w:numId w:val="1"/>
      </w:numPr>
    </w:pPr>
  </w:style>
  <w:style w:type="paragraph" w:styleId="Listenabsatz">
    <w:name w:val="List Paragraph"/>
    <w:basedOn w:val="Standard"/>
    <w:uiPriority w:val="34"/>
    <w:qFormat/>
    <w:rsid w:val="00B722D7"/>
    <w:pPr>
      <w:ind w:left="720"/>
      <w:contextualSpacing/>
    </w:pPr>
  </w:style>
  <w:style w:type="character" w:styleId="Kommentarzeichen">
    <w:name w:val="annotation reference"/>
    <w:basedOn w:val="Absatz-Standardschriftart"/>
    <w:uiPriority w:val="99"/>
    <w:semiHidden/>
    <w:unhideWhenUsed/>
    <w:rsid w:val="00296D78"/>
    <w:rPr>
      <w:sz w:val="16"/>
      <w:szCs w:val="16"/>
    </w:rPr>
  </w:style>
  <w:style w:type="paragraph" w:styleId="Kommentartext">
    <w:name w:val="annotation text"/>
    <w:basedOn w:val="Standard"/>
    <w:link w:val="KommentartextZchn"/>
    <w:uiPriority w:val="99"/>
    <w:unhideWhenUsed/>
    <w:rsid w:val="00296D78"/>
    <w:rPr>
      <w:sz w:val="20"/>
      <w:szCs w:val="20"/>
    </w:rPr>
  </w:style>
  <w:style w:type="character" w:customStyle="1" w:styleId="KommentartextZchn">
    <w:name w:val="Kommentartext Zchn"/>
    <w:basedOn w:val="Absatz-Standardschriftart"/>
    <w:link w:val="Kommentartext"/>
    <w:uiPriority w:val="99"/>
    <w:rsid w:val="00296D78"/>
    <w:rPr>
      <w:rFonts w:ascii="Times New Roman" w:hAnsi="Times New Roman"/>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296D78"/>
    <w:rPr>
      <w:b/>
      <w:bCs/>
    </w:rPr>
  </w:style>
  <w:style w:type="character" w:customStyle="1" w:styleId="KommentarthemaZchn">
    <w:name w:val="Kommentarthema Zchn"/>
    <w:basedOn w:val="KommentartextZchn"/>
    <w:link w:val="Kommentarthema"/>
    <w:uiPriority w:val="99"/>
    <w:semiHidden/>
    <w:rsid w:val="00296D78"/>
    <w:rPr>
      <w:rFonts w:ascii="Times New Roman" w:hAnsi="Times New Roman"/>
      <w:b/>
      <w:bCs/>
      <w:kern w:val="0"/>
      <w:sz w:val="20"/>
      <w:szCs w:val="20"/>
      <w14:ligatures w14:val="none"/>
    </w:rPr>
  </w:style>
  <w:style w:type="paragraph" w:styleId="berarbeitung">
    <w:name w:val="Revision"/>
    <w:hidden/>
    <w:uiPriority w:val="99"/>
    <w:semiHidden/>
    <w:rsid w:val="00296D78"/>
    <w:pPr>
      <w:spacing w:line="240" w:lineRule="auto"/>
    </w:pPr>
    <w:rPr>
      <w:rFonts w:ascii="Times New Roman" w:hAnsi="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mit@uj.ac.za"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813F6-4337-405D-A513-7E8635A46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1715</Words>
  <Characters>10811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University of Johannesburg</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 Elize</dc:creator>
  <cp:keywords/>
  <dc:description/>
  <cp:lastModifiedBy>Elke Schindler</cp:lastModifiedBy>
  <cp:revision>3</cp:revision>
  <dcterms:created xsi:type="dcterms:W3CDTF">2023-09-22T09:22:00Z</dcterms:created>
  <dcterms:modified xsi:type="dcterms:W3CDTF">2023-09-22T09:23:00Z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3422aaea22465af20620d8b32a2faac1f1a81af68f421dd137cc9eba0c9d6ac5</vt:lpwstr>
  </property>
  <property fmtid="{D5CDD505-2E9C-101B-9397-08002B2CF9AE}" pid="3" name="Mendeley Recent Style Id 0_1">
    <vt:lpwstr>http://www.zotero.org/styles/apa</vt:lpwstr>
  </property>
  <property fmtid="{D5CDD505-2E9C-101B-9397-08002B2CF9AE}" pid="4" name="Mendeley Recent Style Name 0_1">
    <vt:lpwstr>American Psychological Association 7th edition</vt:lpwstr>
  </property>
  <property fmtid="{D5CDD505-2E9C-101B-9397-08002B2CF9AE}" pid="5" name="Mendeley Recent Style Id 1_1">
    <vt:lpwstr>http://www.zotero.org/styles/analytical-and-bioanalytical-chemistry</vt:lpwstr>
  </property>
  <property fmtid="{D5CDD505-2E9C-101B-9397-08002B2CF9AE}" pid="6" name="Mendeley Recent Style Name 1_1">
    <vt:lpwstr>Analytical and Bioanalytical Chemistry</vt:lpwstr>
  </property>
  <property fmtid="{D5CDD505-2E9C-101B-9397-08002B2CF9AE}" pid="7" name="Mendeley Recent Style Id 2_1">
    <vt:lpwstr>http://www.zotero.org/styles/elsevier-american-chemical-society</vt:lpwstr>
  </property>
  <property fmtid="{D5CDD505-2E9C-101B-9397-08002B2CF9AE}" pid="8" name="Mendeley Recent Style Name 2_1">
    <vt:lpwstr>Elsevier - American Chemical Society</vt:lpwstr>
  </property>
  <property fmtid="{D5CDD505-2E9C-101B-9397-08002B2CF9AE}" pid="9" name="Mendeley Recent Style Id 3_1">
    <vt:lpwstr>http://www.zotero.org/styles/ieee</vt:lpwstr>
  </property>
  <property fmtid="{D5CDD505-2E9C-101B-9397-08002B2CF9AE}" pid="10" name="Mendeley Recent Style Name 3_1">
    <vt:lpwstr>IEEE</vt:lpwstr>
  </property>
  <property fmtid="{D5CDD505-2E9C-101B-9397-08002B2CF9AE}" pid="11" name="Mendeley Recent Style Id 4_1">
    <vt:lpwstr>http://www.zotero.org/styles/modern-humanities-research-association</vt:lpwstr>
  </property>
  <property fmtid="{D5CDD505-2E9C-101B-9397-08002B2CF9AE}" pid="12" name="Mendeley Recent Style Name 4_1">
    <vt:lpwstr>Modern Humanities Research Association 3rd edition (note with bibliography)</vt:lpwstr>
  </property>
  <property fmtid="{D5CDD505-2E9C-101B-9397-08002B2CF9AE}" pid="13" name="Mendeley Recent Style Id 5_1">
    <vt:lpwstr>http://www.zotero.org/styles/modern-language-association</vt:lpwstr>
  </property>
  <property fmtid="{D5CDD505-2E9C-101B-9397-08002B2CF9AE}" pid="14" name="Mendeley Recent Style Name 5_1">
    <vt:lpwstr>Modern Language Association 9th edition</vt:lpwstr>
  </property>
  <property fmtid="{D5CDD505-2E9C-101B-9397-08002B2CF9AE}" pid="15" name="Mendeley Recent Style Id 6_1">
    <vt:lpwstr>http://www.zotero.org/styles/nature</vt:lpwstr>
  </property>
  <property fmtid="{D5CDD505-2E9C-101B-9397-08002B2CF9AE}" pid="16" name="Mendeley Recent Style Name 6_1">
    <vt:lpwstr>Nature</vt:lpwstr>
  </property>
  <property fmtid="{D5CDD505-2E9C-101B-9397-08002B2CF9AE}" pid="17" name="Mendeley Recent Style Id 7_1">
    <vt:lpwstr>http://www.zotero.org/styles/royal-society-of-chemistry</vt:lpwstr>
  </property>
  <property fmtid="{D5CDD505-2E9C-101B-9397-08002B2CF9AE}" pid="18" name="Mendeley Recent Style Name 7_1">
    <vt:lpwstr>Royal Society of Chemistry</vt:lpwstr>
  </property>
  <property fmtid="{D5CDD505-2E9C-101B-9397-08002B2CF9AE}" pid="19" name="Mendeley Recent Style Id 8_1">
    <vt:lpwstr>http://www.zotero.org/styles/springer-vancouver-brackets</vt:lpwstr>
  </property>
  <property fmtid="{D5CDD505-2E9C-101B-9397-08002B2CF9AE}" pid="20" name="Mendeley Recent Style Name 8_1">
    <vt:lpwstr>Springer - Vancouver (brackets)</vt:lpwstr>
  </property>
  <property fmtid="{D5CDD505-2E9C-101B-9397-08002B2CF9AE}" pid="21" name="Mendeley Recent Style Id 9_1">
    <vt:lpwstr>http://www.zotero.org/styles/taylor-and-francis-acs</vt:lpwstr>
  </property>
  <property fmtid="{D5CDD505-2E9C-101B-9397-08002B2CF9AE}" pid="22" name="Mendeley Recent Style Name 9_1">
    <vt:lpwstr>Taylor &amp; Francis - American Chemical Society</vt:lpwstr>
  </property>
  <property fmtid="{D5CDD505-2E9C-101B-9397-08002B2CF9AE}" pid="23" name="Mendeley Document_1">
    <vt:lpwstr>True</vt:lpwstr>
  </property>
  <property fmtid="{D5CDD505-2E9C-101B-9397-08002B2CF9AE}" pid="24" name="Mendeley Unique User Id_1">
    <vt:lpwstr>428606c2-ffdc-3107-998d-3e90159717da</vt:lpwstr>
  </property>
  <property fmtid="{D5CDD505-2E9C-101B-9397-08002B2CF9AE}" pid="25" name="Mendeley Citation Style_1">
    <vt:lpwstr>http://www.zotero.org/styles/analytical-and-bioanalytical-chemistry</vt:lpwstr>
  </property>
</Properties>
</file>