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787" w:rsidRPr="00FA2E24" w:rsidRDefault="003B0787" w:rsidP="003B0787">
      <w:pPr>
        <w:jc w:val="center"/>
        <w:rPr>
          <w:rFonts w:ascii="Times New Roman" w:hAnsi="Times New Roman" w:cs="Times New Roman"/>
          <w:b/>
          <w:sz w:val="20"/>
          <w:szCs w:val="20"/>
          <w:lang w:val="en-GB"/>
        </w:rPr>
      </w:pPr>
      <w:r w:rsidRPr="00FA2E24">
        <w:rPr>
          <w:rFonts w:ascii="Times New Roman" w:hAnsi="Times New Roman" w:cs="Times New Roman"/>
          <w:b/>
          <w:sz w:val="20"/>
          <w:szCs w:val="20"/>
          <w:lang w:val="en-GB"/>
        </w:rPr>
        <w:t xml:space="preserve">Plant-based meat substitutes analysis using </w:t>
      </w:r>
      <w:proofErr w:type="spellStart"/>
      <w:r w:rsidRPr="00FA2E24">
        <w:rPr>
          <w:rFonts w:ascii="Times New Roman" w:hAnsi="Times New Roman" w:cs="Times New Roman"/>
          <w:b/>
          <w:sz w:val="20"/>
          <w:szCs w:val="20"/>
          <w:lang w:val="en-GB"/>
        </w:rPr>
        <w:t>microextraction</w:t>
      </w:r>
      <w:proofErr w:type="spellEnd"/>
      <w:r w:rsidRPr="00FA2E24">
        <w:rPr>
          <w:rFonts w:ascii="Times New Roman" w:hAnsi="Times New Roman" w:cs="Times New Roman"/>
          <w:b/>
          <w:sz w:val="20"/>
          <w:szCs w:val="20"/>
          <w:lang w:val="en-GB"/>
        </w:rPr>
        <w:t xml:space="preserve"> with deep eutectic solvent followed by LC-MS/MS to</w:t>
      </w:r>
      <w:r w:rsidR="005F35B4" w:rsidRPr="00FA2E24">
        <w:rPr>
          <w:rFonts w:ascii="Times New Roman" w:hAnsi="Times New Roman" w:cs="Times New Roman"/>
          <w:b/>
          <w:sz w:val="20"/>
          <w:szCs w:val="20"/>
          <w:lang w:val="en-GB"/>
        </w:rPr>
        <w:t xml:space="preserve"> determine acrylamide, 5-hydroxy</w:t>
      </w:r>
      <w:r w:rsidRPr="00FA2E24">
        <w:rPr>
          <w:rFonts w:ascii="Times New Roman" w:hAnsi="Times New Roman" w:cs="Times New Roman"/>
          <w:b/>
          <w:sz w:val="20"/>
          <w:szCs w:val="20"/>
          <w:lang w:val="en-GB"/>
        </w:rPr>
        <w:t xml:space="preserve">methylfurfural and </w:t>
      </w:r>
      <w:proofErr w:type="spellStart"/>
      <w:r w:rsidRPr="00FA2E24">
        <w:rPr>
          <w:rFonts w:ascii="Times New Roman" w:hAnsi="Times New Roman" w:cs="Times New Roman"/>
          <w:b/>
          <w:sz w:val="20"/>
          <w:szCs w:val="20"/>
          <w:lang w:val="en-GB"/>
        </w:rPr>
        <w:t>furaneol</w:t>
      </w:r>
      <w:proofErr w:type="spellEnd"/>
    </w:p>
    <w:p w:rsidR="003B0787" w:rsidRPr="00FA2E24" w:rsidRDefault="003B0787" w:rsidP="003B0787">
      <w:pPr>
        <w:pStyle w:val="Bezodstpw"/>
        <w:spacing w:line="276" w:lineRule="auto"/>
        <w:jc w:val="center"/>
        <w:rPr>
          <w:rFonts w:ascii="Times New Roman" w:hAnsi="Times New Roman" w:cs="Times New Roman"/>
          <w:sz w:val="20"/>
          <w:szCs w:val="20"/>
        </w:rPr>
      </w:pPr>
      <w:r w:rsidRPr="00FA2E24">
        <w:rPr>
          <w:rFonts w:ascii="Times New Roman" w:hAnsi="Times New Roman" w:cs="Times New Roman"/>
          <w:sz w:val="20"/>
          <w:szCs w:val="20"/>
        </w:rPr>
        <w:t>Dominika Osiecka</w:t>
      </w:r>
      <w:r w:rsidRPr="00FA2E24">
        <w:rPr>
          <w:rFonts w:ascii="Times New Roman" w:hAnsi="Times New Roman" w:cs="Times New Roman"/>
          <w:sz w:val="20"/>
          <w:szCs w:val="20"/>
          <w:vertAlign w:val="superscript"/>
        </w:rPr>
        <w:t>1</w:t>
      </w:r>
      <w:r w:rsidRPr="00FA2E24">
        <w:rPr>
          <w:rFonts w:ascii="Times New Roman" w:hAnsi="Times New Roman" w:cs="Times New Roman"/>
          <w:sz w:val="20"/>
          <w:szCs w:val="20"/>
        </w:rPr>
        <w:t>, Christina Vakh</w:t>
      </w:r>
      <w:r w:rsidRPr="00FA2E24">
        <w:rPr>
          <w:rFonts w:ascii="Times New Roman" w:hAnsi="Times New Roman" w:cs="Times New Roman"/>
          <w:sz w:val="20"/>
          <w:szCs w:val="20"/>
          <w:vertAlign w:val="superscript"/>
        </w:rPr>
        <w:t xml:space="preserve">1,2 </w:t>
      </w:r>
      <w:r w:rsidRPr="00FA2E24">
        <w:rPr>
          <w:rFonts w:ascii="Times New Roman" w:hAnsi="Times New Roman" w:cs="Times New Roman"/>
          <w:sz w:val="20"/>
          <w:szCs w:val="20"/>
        </w:rPr>
        <w:t>, Patrycja Makoś-Chełstowska</w:t>
      </w:r>
      <w:r w:rsidRPr="00FA2E24">
        <w:rPr>
          <w:rFonts w:ascii="Times New Roman" w:hAnsi="Times New Roman" w:cs="Times New Roman"/>
          <w:sz w:val="20"/>
          <w:szCs w:val="20"/>
          <w:vertAlign w:val="superscript"/>
        </w:rPr>
        <w:t>3</w:t>
      </w:r>
      <w:r w:rsidRPr="00FA2E24">
        <w:rPr>
          <w:rFonts w:ascii="Times New Roman" w:hAnsi="Times New Roman" w:cs="Times New Roman"/>
          <w:sz w:val="20"/>
          <w:szCs w:val="20"/>
        </w:rPr>
        <w:t>, Paweł Kubica</w:t>
      </w:r>
      <w:r w:rsidRPr="00FA2E24">
        <w:rPr>
          <w:rFonts w:ascii="Times New Roman" w:hAnsi="Times New Roman" w:cs="Times New Roman"/>
          <w:sz w:val="20"/>
          <w:szCs w:val="20"/>
          <w:vertAlign w:val="superscript"/>
        </w:rPr>
        <w:t>1,</w:t>
      </w:r>
      <w:r w:rsidRPr="00FA2E24">
        <w:rPr>
          <w:rFonts w:ascii="Times New Roman" w:hAnsi="Times New Roman" w:cs="Times New Roman"/>
          <w:sz w:val="20"/>
          <w:szCs w:val="20"/>
        </w:rPr>
        <w:t>*</w:t>
      </w:r>
    </w:p>
    <w:p w:rsidR="00DB4BF8" w:rsidRPr="00FA2E24" w:rsidRDefault="00DB4BF8" w:rsidP="003B0787">
      <w:pPr>
        <w:pStyle w:val="Bezodstpw"/>
        <w:spacing w:line="276" w:lineRule="auto"/>
        <w:jc w:val="center"/>
        <w:rPr>
          <w:rFonts w:ascii="Times New Roman" w:hAnsi="Times New Roman" w:cs="Times New Roman"/>
          <w:sz w:val="20"/>
          <w:szCs w:val="20"/>
        </w:rPr>
      </w:pPr>
    </w:p>
    <w:p w:rsidR="00DB4BF8" w:rsidRPr="00FA2E24" w:rsidRDefault="00DB4BF8" w:rsidP="00DB4BF8">
      <w:pPr>
        <w:pStyle w:val="Iauiue2"/>
        <w:tabs>
          <w:tab w:val="left" w:pos="567"/>
        </w:tabs>
        <w:spacing w:line="360" w:lineRule="auto"/>
        <w:jc w:val="center"/>
        <w:rPr>
          <w:bCs/>
          <w:i/>
          <w:iCs/>
          <w:color w:val="000000"/>
          <w:lang w:val="en-GB"/>
        </w:rPr>
      </w:pPr>
      <w:r w:rsidRPr="00FA2E24">
        <w:rPr>
          <w:bCs/>
          <w:i/>
          <w:iCs/>
          <w:color w:val="000000"/>
          <w:vertAlign w:val="superscript"/>
          <w:lang w:val="en-GB"/>
        </w:rPr>
        <w:t>1</w:t>
      </w:r>
      <w:r w:rsidRPr="00FA2E24">
        <w:rPr>
          <w:bCs/>
          <w:i/>
          <w:iCs/>
          <w:color w:val="000000"/>
          <w:lang w:val="en-GB"/>
        </w:rPr>
        <w:t>Department</w:t>
      </w:r>
      <w:r w:rsidRPr="00FA2E24">
        <w:rPr>
          <w:i/>
          <w:color w:val="000000"/>
          <w:lang w:val="en-GB"/>
        </w:rPr>
        <w:t xml:space="preserve"> of Analytical Chemistry, Faculty of Chemistry, Gdańsk University of Technology, 11/12</w:t>
      </w:r>
    </w:p>
    <w:p w:rsidR="00DB4BF8" w:rsidRPr="00FA2E24" w:rsidRDefault="00DB4BF8" w:rsidP="00DB4BF8">
      <w:pPr>
        <w:pStyle w:val="Iauiue2"/>
        <w:tabs>
          <w:tab w:val="left" w:pos="567"/>
        </w:tabs>
        <w:spacing w:line="360" w:lineRule="auto"/>
        <w:jc w:val="center"/>
        <w:rPr>
          <w:i/>
          <w:color w:val="000000"/>
          <w:lang w:val="en-GB"/>
        </w:rPr>
      </w:pPr>
      <w:r w:rsidRPr="00FA2E24">
        <w:rPr>
          <w:bCs/>
          <w:i/>
          <w:iCs/>
          <w:color w:val="000000"/>
          <w:lang w:val="en-GB"/>
        </w:rPr>
        <w:t>G.</w:t>
      </w:r>
      <w:r w:rsidRPr="00FA2E24">
        <w:rPr>
          <w:i/>
          <w:color w:val="000000"/>
          <w:lang w:val="en-GB"/>
        </w:rPr>
        <w:t xml:space="preserve"> </w:t>
      </w:r>
      <w:proofErr w:type="spellStart"/>
      <w:r w:rsidRPr="00FA2E24">
        <w:rPr>
          <w:i/>
          <w:color w:val="000000"/>
          <w:lang w:val="en-GB"/>
        </w:rPr>
        <w:t>Narutowicza</w:t>
      </w:r>
      <w:proofErr w:type="spellEnd"/>
      <w:r w:rsidRPr="00FA2E24">
        <w:rPr>
          <w:i/>
          <w:color w:val="000000"/>
          <w:lang w:val="en-GB"/>
        </w:rPr>
        <w:t xml:space="preserve"> Street, </w:t>
      </w:r>
      <w:r w:rsidRPr="00FA2E24">
        <w:rPr>
          <w:bCs/>
          <w:i/>
          <w:iCs/>
          <w:color w:val="000000"/>
          <w:lang w:val="en-GB"/>
        </w:rPr>
        <w:t xml:space="preserve">80-233 </w:t>
      </w:r>
      <w:r w:rsidRPr="00FA2E24">
        <w:rPr>
          <w:i/>
          <w:color w:val="000000"/>
          <w:lang w:val="en-GB"/>
        </w:rPr>
        <w:t>Gdańsk, Poland</w:t>
      </w:r>
    </w:p>
    <w:p w:rsidR="00DB4BF8" w:rsidRPr="00FA2E24" w:rsidRDefault="00DB4BF8" w:rsidP="00DB4BF8">
      <w:pPr>
        <w:autoSpaceDE w:val="0"/>
        <w:autoSpaceDN w:val="0"/>
        <w:adjustRightInd w:val="0"/>
        <w:spacing w:after="0" w:line="360" w:lineRule="auto"/>
        <w:jc w:val="center"/>
        <w:rPr>
          <w:rFonts w:ascii="Times New Roman" w:hAnsi="Times New Roman" w:cs="Times New Roman"/>
          <w:i/>
          <w:iCs/>
          <w:sz w:val="20"/>
          <w:szCs w:val="20"/>
          <w:lang w:val="en-GB"/>
        </w:rPr>
      </w:pPr>
      <w:r w:rsidRPr="00FA2E24">
        <w:rPr>
          <w:rFonts w:ascii="Times New Roman" w:hAnsi="Times New Roman" w:cs="Times New Roman"/>
          <w:i/>
          <w:iCs/>
          <w:sz w:val="20"/>
          <w:szCs w:val="20"/>
          <w:vertAlign w:val="superscript"/>
          <w:lang w:val="en-GB"/>
        </w:rPr>
        <w:t>2</w:t>
      </w:r>
      <w:proofErr w:type="spellStart"/>
      <w:r w:rsidRPr="00FA2E24">
        <w:rPr>
          <w:rFonts w:ascii="Times New Roman" w:hAnsi="Times New Roman" w:cs="Times New Roman"/>
          <w:i/>
          <w:iCs/>
          <w:sz w:val="20"/>
          <w:szCs w:val="20"/>
          <w:lang w:val="en-US"/>
        </w:rPr>
        <w:t>EcoTech</w:t>
      </w:r>
      <w:proofErr w:type="spellEnd"/>
      <w:r w:rsidRPr="00FA2E24">
        <w:rPr>
          <w:rFonts w:ascii="Times New Roman" w:hAnsi="Times New Roman" w:cs="Times New Roman"/>
          <w:i/>
          <w:iCs/>
          <w:sz w:val="20"/>
          <w:szCs w:val="20"/>
          <w:lang w:val="en-US"/>
        </w:rPr>
        <w:t xml:space="preserve"> Center</w:t>
      </w:r>
      <w:r w:rsidRPr="00FA2E24">
        <w:rPr>
          <w:rFonts w:ascii="Times New Roman" w:hAnsi="Times New Roman" w:cs="Times New Roman"/>
          <w:i/>
          <w:iCs/>
          <w:sz w:val="20"/>
          <w:szCs w:val="20"/>
          <w:lang w:val="en-GB"/>
        </w:rPr>
        <w:t xml:space="preserve">, </w:t>
      </w:r>
      <w:proofErr w:type="spellStart"/>
      <w:r w:rsidRPr="00FA2E24">
        <w:rPr>
          <w:rFonts w:ascii="Times New Roman" w:hAnsi="Times New Roman" w:cs="Times New Roman"/>
          <w:i/>
          <w:iCs/>
          <w:sz w:val="20"/>
          <w:szCs w:val="20"/>
          <w:lang w:val="en-GB"/>
        </w:rPr>
        <w:t>Gdan</w:t>
      </w:r>
      <w:r w:rsidRPr="00FA2E24">
        <w:rPr>
          <w:rFonts w:ascii="Times New Roman" w:eastAsia="AdvOT8608a8d1+03" w:hAnsi="Times New Roman" w:cs="Times New Roman"/>
          <w:i/>
          <w:iCs/>
          <w:sz w:val="20"/>
          <w:szCs w:val="20"/>
          <w:lang w:val="en-GB"/>
        </w:rPr>
        <w:t>́</w:t>
      </w:r>
      <w:r w:rsidRPr="00FA2E24">
        <w:rPr>
          <w:rFonts w:ascii="Times New Roman" w:hAnsi="Times New Roman" w:cs="Times New Roman"/>
          <w:i/>
          <w:iCs/>
          <w:sz w:val="20"/>
          <w:szCs w:val="20"/>
          <w:lang w:val="en-GB"/>
        </w:rPr>
        <w:t>sk</w:t>
      </w:r>
      <w:proofErr w:type="spellEnd"/>
      <w:r w:rsidRPr="00FA2E24">
        <w:rPr>
          <w:rFonts w:ascii="Times New Roman" w:hAnsi="Times New Roman" w:cs="Times New Roman"/>
          <w:i/>
          <w:iCs/>
          <w:sz w:val="20"/>
          <w:szCs w:val="20"/>
          <w:lang w:val="en-GB"/>
        </w:rPr>
        <w:t xml:space="preserve"> University of Technology, 11/12 G. </w:t>
      </w:r>
      <w:proofErr w:type="spellStart"/>
      <w:r w:rsidRPr="00FA2E24">
        <w:rPr>
          <w:rFonts w:ascii="Times New Roman" w:hAnsi="Times New Roman" w:cs="Times New Roman"/>
          <w:i/>
          <w:iCs/>
          <w:sz w:val="20"/>
          <w:szCs w:val="20"/>
          <w:lang w:val="en-GB"/>
        </w:rPr>
        <w:t>Narutowicza</w:t>
      </w:r>
      <w:proofErr w:type="spellEnd"/>
      <w:r w:rsidRPr="00FA2E24">
        <w:rPr>
          <w:rFonts w:ascii="Times New Roman" w:hAnsi="Times New Roman" w:cs="Times New Roman"/>
          <w:i/>
          <w:iCs/>
          <w:sz w:val="20"/>
          <w:szCs w:val="20"/>
          <w:lang w:val="en-GB"/>
        </w:rPr>
        <w:t xml:space="preserve"> Street, 80-233 </w:t>
      </w:r>
      <w:proofErr w:type="spellStart"/>
      <w:r w:rsidRPr="00FA2E24">
        <w:rPr>
          <w:rFonts w:ascii="Times New Roman" w:hAnsi="Times New Roman" w:cs="Times New Roman"/>
          <w:i/>
          <w:iCs/>
          <w:sz w:val="20"/>
          <w:szCs w:val="20"/>
          <w:lang w:val="en-GB"/>
        </w:rPr>
        <w:t>Gdan</w:t>
      </w:r>
      <w:r w:rsidRPr="00FA2E24">
        <w:rPr>
          <w:rFonts w:ascii="Times New Roman" w:eastAsia="AdvOT8608a8d1+03" w:hAnsi="Times New Roman" w:cs="Times New Roman"/>
          <w:i/>
          <w:iCs/>
          <w:sz w:val="20"/>
          <w:szCs w:val="20"/>
          <w:lang w:val="en-GB"/>
        </w:rPr>
        <w:t>́</w:t>
      </w:r>
      <w:r w:rsidRPr="00FA2E24">
        <w:rPr>
          <w:rFonts w:ascii="Times New Roman" w:hAnsi="Times New Roman" w:cs="Times New Roman"/>
          <w:i/>
          <w:iCs/>
          <w:sz w:val="20"/>
          <w:szCs w:val="20"/>
          <w:lang w:val="en-GB"/>
        </w:rPr>
        <w:t>sk</w:t>
      </w:r>
      <w:proofErr w:type="spellEnd"/>
      <w:r w:rsidRPr="00FA2E24">
        <w:rPr>
          <w:rFonts w:ascii="Times New Roman" w:hAnsi="Times New Roman" w:cs="Times New Roman"/>
          <w:i/>
          <w:iCs/>
          <w:sz w:val="20"/>
          <w:szCs w:val="20"/>
          <w:lang w:val="en-GB"/>
        </w:rPr>
        <w:t>, Poland</w:t>
      </w:r>
    </w:p>
    <w:p w:rsidR="00DB4BF8" w:rsidRPr="00FA2E24" w:rsidRDefault="00DB4BF8" w:rsidP="00DB4BF8">
      <w:pPr>
        <w:autoSpaceDE w:val="0"/>
        <w:autoSpaceDN w:val="0"/>
        <w:adjustRightInd w:val="0"/>
        <w:spacing w:after="0" w:line="360" w:lineRule="auto"/>
        <w:jc w:val="center"/>
        <w:rPr>
          <w:rFonts w:ascii="Times New Roman" w:hAnsi="Times New Roman" w:cs="Times New Roman"/>
          <w:i/>
          <w:sz w:val="20"/>
          <w:szCs w:val="20"/>
          <w:vertAlign w:val="superscript"/>
          <w:lang w:val="en-GB"/>
        </w:rPr>
      </w:pPr>
      <w:r w:rsidRPr="00FA2E24">
        <w:rPr>
          <w:rFonts w:ascii="Times New Roman" w:hAnsi="Times New Roman" w:cs="Times New Roman"/>
          <w:i/>
          <w:iCs/>
          <w:sz w:val="20"/>
          <w:szCs w:val="20"/>
          <w:vertAlign w:val="superscript"/>
          <w:lang w:val="en-GB"/>
        </w:rPr>
        <w:t>3</w:t>
      </w:r>
      <w:r w:rsidRPr="00FA2E24">
        <w:rPr>
          <w:rFonts w:ascii="Times New Roman" w:hAnsi="Times New Roman" w:cs="Times New Roman"/>
          <w:i/>
          <w:iCs/>
          <w:sz w:val="20"/>
          <w:szCs w:val="20"/>
          <w:lang w:val="en-GB"/>
        </w:rPr>
        <w:t>Department</w:t>
      </w:r>
      <w:r w:rsidRPr="00FA2E24">
        <w:rPr>
          <w:rFonts w:ascii="Times New Roman" w:hAnsi="Times New Roman" w:cs="Times New Roman"/>
          <w:i/>
          <w:sz w:val="20"/>
          <w:szCs w:val="20"/>
          <w:lang w:val="en-GB"/>
        </w:rPr>
        <w:t xml:space="preserve"> of Process Engineering and Chemical Technology, Faculty of Chemistry, Gdańsk University of Technology, 11/12 </w:t>
      </w:r>
      <w:r w:rsidRPr="00FA2E24">
        <w:rPr>
          <w:rFonts w:ascii="Times New Roman" w:hAnsi="Times New Roman" w:cs="Times New Roman"/>
          <w:i/>
          <w:iCs/>
          <w:sz w:val="20"/>
          <w:szCs w:val="20"/>
          <w:lang w:val="en-GB"/>
        </w:rPr>
        <w:t xml:space="preserve">G. </w:t>
      </w:r>
      <w:proofErr w:type="spellStart"/>
      <w:r w:rsidRPr="00FA2E24">
        <w:rPr>
          <w:rFonts w:ascii="Times New Roman" w:hAnsi="Times New Roman" w:cs="Times New Roman"/>
          <w:i/>
          <w:sz w:val="20"/>
          <w:szCs w:val="20"/>
          <w:lang w:val="en-GB"/>
        </w:rPr>
        <w:t>Narutowicza</w:t>
      </w:r>
      <w:proofErr w:type="spellEnd"/>
      <w:r w:rsidRPr="00FA2E24">
        <w:rPr>
          <w:rFonts w:ascii="Times New Roman" w:hAnsi="Times New Roman" w:cs="Times New Roman"/>
          <w:i/>
          <w:sz w:val="20"/>
          <w:szCs w:val="20"/>
          <w:lang w:val="en-GB"/>
        </w:rPr>
        <w:t xml:space="preserve"> Street, </w:t>
      </w:r>
      <w:r w:rsidRPr="00FA2E24">
        <w:rPr>
          <w:rFonts w:ascii="Times New Roman" w:hAnsi="Times New Roman" w:cs="Times New Roman"/>
          <w:i/>
          <w:iCs/>
          <w:sz w:val="20"/>
          <w:szCs w:val="20"/>
          <w:lang w:val="en-GB"/>
        </w:rPr>
        <w:t xml:space="preserve">80-233 </w:t>
      </w:r>
      <w:r w:rsidRPr="00FA2E24">
        <w:rPr>
          <w:rFonts w:ascii="Times New Roman" w:hAnsi="Times New Roman" w:cs="Times New Roman"/>
          <w:i/>
          <w:sz w:val="20"/>
          <w:szCs w:val="20"/>
          <w:lang w:val="en-GB"/>
        </w:rPr>
        <w:t>Gdańsk, Poland</w:t>
      </w:r>
    </w:p>
    <w:p w:rsidR="00DB4BF8" w:rsidRPr="00FA2E24" w:rsidRDefault="00DB4BF8" w:rsidP="00DB4BF8">
      <w:pPr>
        <w:rPr>
          <w:rFonts w:ascii="Times New Roman" w:hAnsi="Times New Roman" w:cs="Times New Roman"/>
          <w:sz w:val="20"/>
          <w:szCs w:val="20"/>
          <w:lang w:val="en-GB"/>
        </w:rPr>
      </w:pPr>
      <w:r w:rsidRPr="00FA2E24">
        <w:rPr>
          <w:rFonts w:ascii="Times New Roman" w:hAnsi="Times New Roman" w:cs="Times New Roman"/>
          <w:b/>
          <w:sz w:val="20"/>
          <w:szCs w:val="20"/>
          <w:lang w:val="en-GB"/>
        </w:rPr>
        <w:t>Corresponding author’s e-mail:</w:t>
      </w:r>
      <w:r w:rsidRPr="00FA2E24">
        <w:rPr>
          <w:rFonts w:ascii="Times New Roman" w:hAnsi="Times New Roman" w:cs="Times New Roman"/>
          <w:sz w:val="20"/>
          <w:szCs w:val="20"/>
          <w:lang w:val="en-GB"/>
        </w:rPr>
        <w:t xml:space="preserve"> pawel.kubica@pg.edu.pl</w:t>
      </w:r>
    </w:p>
    <w:p w:rsidR="00DB4BF8" w:rsidRPr="00FA2E24" w:rsidRDefault="00DB4BF8" w:rsidP="003B0787">
      <w:pPr>
        <w:pStyle w:val="Bezodstpw"/>
        <w:spacing w:line="276" w:lineRule="auto"/>
        <w:jc w:val="center"/>
        <w:rPr>
          <w:rFonts w:ascii="Times New Roman" w:hAnsi="Times New Roman" w:cs="Times New Roman"/>
          <w:sz w:val="20"/>
          <w:szCs w:val="20"/>
          <w:lang w:val="en-GB"/>
        </w:rPr>
      </w:pPr>
    </w:p>
    <w:p w:rsidR="003B0787" w:rsidRPr="00FA2E24" w:rsidRDefault="006E6116" w:rsidP="003B0787">
      <w:pPr>
        <w:pStyle w:val="Bezodstpw"/>
        <w:spacing w:before="240" w:after="240" w:line="276" w:lineRule="auto"/>
        <w:jc w:val="center"/>
        <w:rPr>
          <w:rFonts w:ascii="Times New Roman" w:hAnsi="Times New Roman" w:cs="Times New Roman"/>
          <w:b/>
          <w:color w:val="000000" w:themeColor="text1"/>
          <w:sz w:val="20"/>
          <w:szCs w:val="20"/>
          <w:lang w:val="en-GB"/>
        </w:rPr>
      </w:pPr>
      <w:r w:rsidRPr="00FA2E24">
        <w:rPr>
          <w:rFonts w:ascii="Times New Roman" w:hAnsi="Times New Roman" w:cs="Times New Roman"/>
          <w:b/>
          <w:color w:val="000000" w:themeColor="text1"/>
          <w:sz w:val="20"/>
          <w:szCs w:val="20"/>
          <w:lang w:val="en-GB"/>
        </w:rPr>
        <w:t>Supplementary</w:t>
      </w:r>
      <w:r w:rsidR="003B0787" w:rsidRPr="00FA2E24">
        <w:rPr>
          <w:rFonts w:ascii="Times New Roman" w:hAnsi="Times New Roman" w:cs="Times New Roman"/>
          <w:b/>
          <w:color w:val="000000" w:themeColor="text1"/>
          <w:sz w:val="20"/>
          <w:szCs w:val="20"/>
          <w:lang w:val="en-GB"/>
        </w:rPr>
        <w:t xml:space="preserve"> Materials</w:t>
      </w:r>
    </w:p>
    <w:p w:rsidR="00825890" w:rsidRPr="00FA2E24" w:rsidRDefault="00825890" w:rsidP="00825890">
      <w:pPr>
        <w:pStyle w:val="Bezodstpw"/>
        <w:spacing w:line="276" w:lineRule="auto"/>
        <w:rPr>
          <w:rFonts w:ascii="Times New Roman" w:hAnsi="Times New Roman" w:cs="Times New Roman"/>
          <w:b/>
          <w:color w:val="000000" w:themeColor="text1"/>
          <w:sz w:val="20"/>
          <w:szCs w:val="20"/>
          <w:lang w:val="en-US"/>
        </w:rPr>
      </w:pPr>
      <w:r w:rsidRPr="00FA2E24">
        <w:rPr>
          <w:rFonts w:ascii="Times New Roman" w:hAnsi="Times New Roman" w:cs="Times New Roman"/>
          <w:b/>
          <w:color w:val="000000" w:themeColor="text1"/>
          <w:sz w:val="20"/>
          <w:szCs w:val="20"/>
          <w:lang w:val="en-US"/>
        </w:rPr>
        <w:t>Structural and physical properties of DES</w:t>
      </w:r>
    </w:p>
    <w:p w:rsidR="00825890" w:rsidRPr="00FA2E24" w:rsidRDefault="00825890" w:rsidP="00825890">
      <w:pPr>
        <w:pStyle w:val="Bezodstpw"/>
        <w:spacing w:line="276" w:lineRule="auto"/>
        <w:ind w:firstLine="708"/>
        <w:jc w:val="both"/>
        <w:rPr>
          <w:rFonts w:ascii="Times New Roman" w:hAnsi="Times New Roman" w:cs="Times New Roman"/>
          <w:color w:val="000000" w:themeColor="text1"/>
          <w:sz w:val="20"/>
          <w:szCs w:val="20"/>
          <w:lang w:val="en-US"/>
        </w:rPr>
      </w:pPr>
      <w:r w:rsidRPr="00FA2E24">
        <w:rPr>
          <w:rFonts w:ascii="Times New Roman" w:hAnsi="Times New Roman" w:cs="Times New Roman"/>
          <w:color w:val="000000" w:themeColor="text1"/>
          <w:sz w:val="20"/>
          <w:szCs w:val="20"/>
          <w:lang w:val="en-US"/>
        </w:rPr>
        <w:t>Structural characterization of DES was studied using ATR-FTIR spectroscopy based on Bruker Tensor 27 spectrometer (Bruker, USA) equipped with an ATR accessory and OPUS software (Bruker, USA). The experimental parameters employed were as follows: a spectral range spanning from 4000 to 600 cm</w:t>
      </w:r>
      <w:r w:rsidRPr="00FA2E24">
        <w:rPr>
          <w:rFonts w:ascii="Times New Roman" w:hAnsi="Times New Roman" w:cs="Times New Roman"/>
          <w:color w:val="000000" w:themeColor="text1"/>
          <w:sz w:val="20"/>
          <w:szCs w:val="20"/>
          <w:vertAlign w:val="superscript"/>
          <w:lang w:val="en-US"/>
        </w:rPr>
        <w:t>−1</w:t>
      </w:r>
      <w:r w:rsidRPr="00FA2E24">
        <w:rPr>
          <w:rFonts w:ascii="Times New Roman" w:hAnsi="Times New Roman" w:cs="Times New Roman"/>
          <w:color w:val="000000" w:themeColor="text1"/>
          <w:sz w:val="20"/>
          <w:szCs w:val="20"/>
          <w:lang w:val="en-US"/>
        </w:rPr>
        <w:t>, 256 scans each for background and sample, a resolution of 4.5 cm</w:t>
      </w:r>
      <w:r w:rsidRPr="00FA2E24">
        <w:rPr>
          <w:rFonts w:ascii="Times New Roman" w:hAnsi="Times New Roman" w:cs="Times New Roman"/>
          <w:color w:val="000000" w:themeColor="text1"/>
          <w:sz w:val="20"/>
          <w:szCs w:val="20"/>
          <w:vertAlign w:val="superscript"/>
          <w:lang w:val="en-US"/>
        </w:rPr>
        <w:t>−1</w:t>
      </w:r>
      <w:r w:rsidRPr="00FA2E24">
        <w:rPr>
          <w:rFonts w:ascii="Times New Roman" w:hAnsi="Times New Roman" w:cs="Times New Roman"/>
          <w:color w:val="000000" w:themeColor="text1"/>
          <w:sz w:val="20"/>
          <w:szCs w:val="20"/>
          <w:lang w:val="en-US"/>
        </w:rPr>
        <w:t xml:space="preserve">, and a slit width of 0.5 cm. To acquire the </w:t>
      </w:r>
      <w:r w:rsidRPr="00FA2E24">
        <w:rPr>
          <w:rFonts w:ascii="Times New Roman" w:hAnsi="Times New Roman" w:cs="Times New Roman"/>
          <w:color w:val="000000" w:themeColor="text1"/>
          <w:sz w:val="20"/>
          <w:szCs w:val="20"/>
          <w:vertAlign w:val="superscript"/>
          <w:lang w:val="en-US"/>
        </w:rPr>
        <w:t>1</w:t>
      </w:r>
      <w:r w:rsidRPr="00FA2E24">
        <w:rPr>
          <w:rFonts w:ascii="Times New Roman" w:hAnsi="Times New Roman" w:cs="Times New Roman"/>
          <w:color w:val="000000" w:themeColor="text1"/>
          <w:sz w:val="20"/>
          <w:szCs w:val="20"/>
          <w:lang w:val="en-US"/>
        </w:rPr>
        <w:t xml:space="preserve">H NMR and </w:t>
      </w:r>
      <w:r w:rsidRPr="00FA2E24">
        <w:rPr>
          <w:rFonts w:ascii="Times New Roman" w:hAnsi="Times New Roman" w:cs="Times New Roman"/>
          <w:color w:val="000000" w:themeColor="text1"/>
          <w:sz w:val="20"/>
          <w:szCs w:val="20"/>
          <w:vertAlign w:val="superscript"/>
          <w:lang w:val="en-US"/>
        </w:rPr>
        <w:t>13</w:t>
      </w:r>
      <w:r w:rsidRPr="00FA2E24">
        <w:rPr>
          <w:rFonts w:ascii="Times New Roman" w:hAnsi="Times New Roman" w:cs="Times New Roman"/>
          <w:color w:val="000000" w:themeColor="text1"/>
          <w:sz w:val="20"/>
          <w:szCs w:val="20"/>
          <w:lang w:val="en-US"/>
        </w:rPr>
        <w:t xml:space="preserve">C NMR spectra of the DES, we weighed 20 mg of the DES and mixed it with 0.7 mL of chloroform-d1. The measurements were conducted at a temperature of 20 °C using the Bruker </w:t>
      </w:r>
      <w:proofErr w:type="spellStart"/>
      <w:r w:rsidRPr="00FA2E24">
        <w:rPr>
          <w:rFonts w:ascii="Times New Roman" w:hAnsi="Times New Roman" w:cs="Times New Roman"/>
          <w:color w:val="000000" w:themeColor="text1"/>
          <w:sz w:val="20"/>
          <w:szCs w:val="20"/>
          <w:lang w:val="en-US"/>
        </w:rPr>
        <w:t>Avance</w:t>
      </w:r>
      <w:proofErr w:type="spellEnd"/>
      <w:r w:rsidRPr="00FA2E24">
        <w:rPr>
          <w:rFonts w:ascii="Times New Roman" w:hAnsi="Times New Roman" w:cs="Times New Roman"/>
          <w:color w:val="000000" w:themeColor="text1"/>
          <w:sz w:val="20"/>
          <w:szCs w:val="20"/>
          <w:lang w:val="en-US"/>
        </w:rPr>
        <w:t xml:space="preserve"> III HD 400 MHz instrument (Bruker, Billerica, MA, USA). The dynamic viscosity and density of the DES were assessed over a temperature range spanning from 20 to 50°C. These measurements were carried out using a BROOKFIELD LVDV-II+ viscometer (</w:t>
      </w:r>
      <w:proofErr w:type="spellStart"/>
      <w:r w:rsidRPr="00FA2E24">
        <w:rPr>
          <w:rFonts w:ascii="Times New Roman" w:hAnsi="Times New Roman" w:cs="Times New Roman"/>
          <w:color w:val="000000" w:themeColor="text1"/>
          <w:sz w:val="20"/>
          <w:szCs w:val="20"/>
          <w:lang w:val="en-US"/>
        </w:rPr>
        <w:t>Labo</w:t>
      </w:r>
      <w:proofErr w:type="spellEnd"/>
      <w:r w:rsidRPr="00FA2E24">
        <w:rPr>
          <w:rFonts w:ascii="Times New Roman" w:hAnsi="Times New Roman" w:cs="Times New Roman"/>
          <w:color w:val="000000" w:themeColor="text1"/>
          <w:sz w:val="20"/>
          <w:szCs w:val="20"/>
          <w:lang w:val="en-US"/>
        </w:rPr>
        <w:t xml:space="preserve">-Plus, Poland) and a DMA 4500 M density meter (Anton </w:t>
      </w:r>
      <w:proofErr w:type="spellStart"/>
      <w:r w:rsidRPr="00FA2E24">
        <w:rPr>
          <w:rFonts w:ascii="Times New Roman" w:hAnsi="Times New Roman" w:cs="Times New Roman"/>
          <w:color w:val="000000" w:themeColor="text1"/>
          <w:sz w:val="20"/>
          <w:szCs w:val="20"/>
          <w:lang w:val="en-US"/>
        </w:rPr>
        <w:t>Paar</w:t>
      </w:r>
      <w:proofErr w:type="spellEnd"/>
      <w:r w:rsidRPr="00FA2E24">
        <w:rPr>
          <w:rFonts w:ascii="Times New Roman" w:hAnsi="Times New Roman" w:cs="Times New Roman"/>
          <w:color w:val="000000" w:themeColor="text1"/>
          <w:sz w:val="20"/>
          <w:szCs w:val="20"/>
          <w:lang w:val="en-US"/>
        </w:rPr>
        <w:t>, Poland), respectively.</w:t>
      </w:r>
    </w:p>
    <w:p w:rsidR="00825890" w:rsidRPr="00FA2E24" w:rsidRDefault="00825890" w:rsidP="00825890">
      <w:pPr>
        <w:pStyle w:val="Bezodstpw"/>
        <w:spacing w:line="276" w:lineRule="auto"/>
        <w:ind w:firstLine="708"/>
        <w:jc w:val="both"/>
        <w:rPr>
          <w:rFonts w:ascii="Times New Roman" w:hAnsi="Times New Roman" w:cs="Times New Roman"/>
          <w:color w:val="000000" w:themeColor="text1"/>
          <w:sz w:val="20"/>
          <w:szCs w:val="20"/>
          <w:lang w:val="en-US"/>
        </w:rPr>
      </w:pPr>
    </w:p>
    <w:p w:rsidR="00825890" w:rsidRPr="00FA2E24" w:rsidRDefault="00825890" w:rsidP="00825890">
      <w:pPr>
        <w:spacing w:after="0"/>
        <w:rPr>
          <w:rFonts w:ascii="Times New Roman" w:hAnsi="Times New Roman" w:cs="Times New Roman"/>
          <w:b/>
          <w:sz w:val="20"/>
          <w:szCs w:val="20"/>
          <w:lang w:val="en-US"/>
        </w:rPr>
      </w:pPr>
      <w:r w:rsidRPr="00FA2E24">
        <w:rPr>
          <w:rFonts w:ascii="Times New Roman" w:hAnsi="Times New Roman" w:cs="Times New Roman"/>
          <w:b/>
          <w:sz w:val="20"/>
          <w:szCs w:val="20"/>
          <w:lang w:val="en-US"/>
        </w:rPr>
        <w:t>COSMO-RS calculation</w:t>
      </w:r>
    </w:p>
    <w:p w:rsidR="00825890" w:rsidRPr="00FA2E24" w:rsidRDefault="00825890" w:rsidP="00825890">
      <w:pPr>
        <w:spacing w:after="0"/>
        <w:ind w:firstLine="708"/>
        <w:jc w:val="both"/>
        <w:rPr>
          <w:rFonts w:ascii="Times New Roman" w:hAnsi="Times New Roman" w:cs="Times New Roman"/>
          <w:sz w:val="20"/>
          <w:szCs w:val="20"/>
          <w:lang w:val="en-US"/>
        </w:rPr>
      </w:pPr>
      <w:r w:rsidRPr="00FA2E24">
        <w:rPr>
          <w:rFonts w:ascii="Times New Roman" w:hAnsi="Times New Roman" w:cs="Times New Roman"/>
          <w:sz w:val="20"/>
          <w:szCs w:val="20"/>
          <w:lang w:val="en-US"/>
        </w:rPr>
        <w:t xml:space="preserve">Screening of 45 Deep Eutectic Solvents (DESs) was conducted owing to the potentially infinite number of possible combinations of HBA and HBD. The primary objective was to identify DESs with the greatest ability to dissolve substances, such as AA, HDMF, and HMF, thereby enhancing their extraction efficiency. Binary eutectic complexes with 1:1 molar ratios were employed for  calculations. To ensure the environmentally friendly nature of the novel extraction solvents, substances such as monoterpenes and carboxylic acids, which can be derived from natural sources such as plants or biomass, were utilized as key ingredients in DES preparation. The logarithmic activity coefficient (ln γ) at infinite dilution for all analytes was calculated using COSMO-RS model to assess the suitability of these DESs. The results are depicted in Figure S1, with lower values (more negative values) indicating a stronger affinity of the DESs for the analytes. The results indicate that the highest affinity of DESs for all analytes was observed in eutectic complexes containing </w:t>
      </w:r>
      <w:proofErr w:type="spellStart"/>
      <w:r w:rsidRPr="00FA2E24">
        <w:rPr>
          <w:rFonts w:ascii="Times New Roman" w:hAnsi="Times New Roman" w:cs="Times New Roman"/>
          <w:sz w:val="20"/>
          <w:szCs w:val="20"/>
          <w:lang w:val="en-US"/>
        </w:rPr>
        <w:t>thymol</w:t>
      </w:r>
      <w:proofErr w:type="spellEnd"/>
      <w:r w:rsidRPr="00FA2E24">
        <w:rPr>
          <w:rFonts w:ascii="Times New Roman" w:hAnsi="Times New Roman" w:cs="Times New Roman"/>
          <w:sz w:val="20"/>
          <w:szCs w:val="20"/>
          <w:lang w:val="en-US"/>
        </w:rPr>
        <w:t xml:space="preserve"> and eugenol in their structure. Both substances, when combined with carboxylic acids, exhibited high affinities for all analytes. Nevertheless, the greatest </w:t>
      </w:r>
      <w:proofErr w:type="spellStart"/>
      <w:r w:rsidRPr="00FA2E24">
        <w:rPr>
          <w:rFonts w:ascii="Times New Roman" w:hAnsi="Times New Roman" w:cs="Times New Roman"/>
          <w:sz w:val="20"/>
          <w:szCs w:val="20"/>
          <w:lang w:val="en-US"/>
        </w:rPr>
        <w:t>solubilization</w:t>
      </w:r>
      <w:proofErr w:type="spellEnd"/>
      <w:r w:rsidRPr="00FA2E24">
        <w:rPr>
          <w:rFonts w:ascii="Times New Roman" w:hAnsi="Times New Roman" w:cs="Times New Roman"/>
          <w:sz w:val="20"/>
          <w:szCs w:val="20"/>
          <w:lang w:val="en-US"/>
        </w:rPr>
        <w:t xml:space="preserve"> capacities for AA, HDMF, and HMF were demonstrated by the DES formed from the combination of eugenol and </w:t>
      </w:r>
      <w:proofErr w:type="spellStart"/>
      <w:r w:rsidRPr="00FA2E24">
        <w:rPr>
          <w:rFonts w:ascii="Times New Roman" w:hAnsi="Times New Roman" w:cs="Times New Roman"/>
          <w:sz w:val="20"/>
          <w:szCs w:val="20"/>
          <w:lang w:val="en-US"/>
        </w:rPr>
        <w:t>thymol</w:t>
      </w:r>
      <w:proofErr w:type="spellEnd"/>
      <w:r w:rsidRPr="00FA2E24">
        <w:rPr>
          <w:rFonts w:ascii="Times New Roman" w:hAnsi="Times New Roman" w:cs="Times New Roman"/>
          <w:sz w:val="20"/>
          <w:szCs w:val="20"/>
          <w:lang w:val="en-US"/>
        </w:rPr>
        <w:t xml:space="preserve">. DESs composed of eucalyptol, </w:t>
      </w:r>
      <w:proofErr w:type="spellStart"/>
      <w:r w:rsidRPr="00FA2E24">
        <w:rPr>
          <w:rFonts w:ascii="Times New Roman" w:hAnsi="Times New Roman" w:cs="Times New Roman"/>
          <w:sz w:val="20"/>
          <w:szCs w:val="20"/>
          <w:lang w:val="en-US"/>
        </w:rPr>
        <w:t>carvone</w:t>
      </w:r>
      <w:proofErr w:type="spellEnd"/>
      <w:r w:rsidRPr="00FA2E24">
        <w:rPr>
          <w:rFonts w:ascii="Times New Roman" w:hAnsi="Times New Roman" w:cs="Times New Roman"/>
          <w:sz w:val="20"/>
          <w:szCs w:val="20"/>
          <w:lang w:val="en-US"/>
        </w:rPr>
        <w:t xml:space="preserve">, camphor, and menthol, either in combination with carboxylic acids or other monoterpenes, displayed the lowest affinities for all analytes. This reduced affinity can be attributed to the limited number of hydrogen bond donor groups capable of forming strong noncovalent bonds with the analytes. In the case of </w:t>
      </w:r>
      <w:proofErr w:type="spellStart"/>
      <w:r w:rsidR="006E6116" w:rsidRPr="00FA2E24">
        <w:rPr>
          <w:rFonts w:ascii="Times New Roman" w:hAnsi="Times New Roman" w:cs="Times New Roman"/>
          <w:sz w:val="20"/>
          <w:szCs w:val="20"/>
          <w:lang w:val="en-US"/>
        </w:rPr>
        <w:t>e</w:t>
      </w:r>
      <w:r w:rsidRPr="00FA2E24">
        <w:rPr>
          <w:rFonts w:ascii="Times New Roman" w:hAnsi="Times New Roman" w:cs="Times New Roman"/>
          <w:sz w:val="20"/>
          <w:szCs w:val="20"/>
          <w:lang w:val="en-US"/>
        </w:rPr>
        <w:t>ugenol:thymol</w:t>
      </w:r>
      <w:proofErr w:type="spellEnd"/>
      <w:r w:rsidRPr="00FA2E24">
        <w:rPr>
          <w:rFonts w:ascii="Times New Roman" w:hAnsi="Times New Roman" w:cs="Times New Roman"/>
          <w:sz w:val="20"/>
          <w:szCs w:val="20"/>
          <w:lang w:val="en-US"/>
        </w:rPr>
        <w:t xml:space="preserve"> (1:1), both components contain an -OH group, which can engage in strong hydrogen bonds with the carbonyl group (=O) and oxygen atom in the furan ring (-O-). For AA, HDMF, and HMF, the logarithmic activity coefficients were -1.3, -0.96, -5.1, and -1.7 for AA, HDMF, and HMF, respectively. Encouraged by these favorable results, additional calculations were performed for </w:t>
      </w:r>
      <w:proofErr w:type="spellStart"/>
      <w:r w:rsidR="006E6116" w:rsidRPr="00FA2E24">
        <w:rPr>
          <w:rFonts w:ascii="Times New Roman" w:hAnsi="Times New Roman" w:cs="Times New Roman"/>
          <w:sz w:val="20"/>
          <w:szCs w:val="20"/>
          <w:lang w:val="en-US"/>
        </w:rPr>
        <w:t>e</w:t>
      </w:r>
      <w:r w:rsidRPr="00FA2E24">
        <w:rPr>
          <w:rFonts w:ascii="Times New Roman" w:hAnsi="Times New Roman" w:cs="Times New Roman"/>
          <w:sz w:val="20"/>
          <w:szCs w:val="20"/>
          <w:lang w:val="en-US"/>
        </w:rPr>
        <w:t>ugenol:thymol</w:t>
      </w:r>
      <w:proofErr w:type="spellEnd"/>
      <w:r w:rsidRPr="00FA2E24">
        <w:rPr>
          <w:rFonts w:ascii="Times New Roman" w:hAnsi="Times New Roman" w:cs="Times New Roman"/>
          <w:sz w:val="20"/>
          <w:szCs w:val="20"/>
          <w:lang w:val="en-US"/>
        </w:rPr>
        <w:t xml:space="preserve"> at different molar ratios (1:2, 2:1, 3:2, and 2:3) in the subsequent stages of the study. The results revealed that as the eugenol content in DES increased, the analyte attachment capacity also increased. At a molar ratio of 2:1, the ln γ values were -1.7, -1.1, -5.8, and -2.0 for AA, HDMF, and HMF, respectively. This phenomenon can be attributed to the presence of a </w:t>
      </w:r>
      <w:proofErr w:type="spellStart"/>
      <w:r w:rsidRPr="00FA2E24">
        <w:rPr>
          <w:rFonts w:ascii="Times New Roman" w:hAnsi="Times New Roman" w:cs="Times New Roman"/>
          <w:sz w:val="20"/>
          <w:szCs w:val="20"/>
          <w:lang w:val="en-US"/>
        </w:rPr>
        <w:t>methoxy</w:t>
      </w:r>
      <w:proofErr w:type="spellEnd"/>
      <w:r w:rsidRPr="00FA2E24">
        <w:rPr>
          <w:rFonts w:ascii="Times New Roman" w:hAnsi="Times New Roman" w:cs="Times New Roman"/>
          <w:sz w:val="20"/>
          <w:szCs w:val="20"/>
          <w:lang w:val="en-US"/>
        </w:rPr>
        <w:t xml:space="preserve"> group (-O-</w:t>
      </w:r>
      <w:r w:rsidRPr="00FA2E24">
        <w:rPr>
          <w:rFonts w:ascii="Times New Roman" w:hAnsi="Times New Roman" w:cs="Times New Roman"/>
          <w:sz w:val="20"/>
          <w:szCs w:val="20"/>
          <w:lang w:val="en-US"/>
        </w:rPr>
        <w:lastRenderedPageBreak/>
        <w:t>CH₃), which can form additional noncovalent bonds with the amine, hydroxyl, and alkyl groups present in the structure of the analytes.</w:t>
      </w:r>
    </w:p>
    <w:p w:rsidR="00825890" w:rsidRPr="00FA2E24" w:rsidRDefault="00825890" w:rsidP="00825890">
      <w:pPr>
        <w:pStyle w:val="NormalnyWeb"/>
        <w:spacing w:before="0" w:beforeAutospacing="0" w:after="0" w:afterAutospacing="0" w:line="276" w:lineRule="auto"/>
        <w:ind w:firstLine="708"/>
        <w:jc w:val="both"/>
        <w:rPr>
          <w:sz w:val="20"/>
          <w:szCs w:val="20"/>
          <w:lang w:val="en-US"/>
        </w:rPr>
      </w:pPr>
      <w:r w:rsidRPr="00FA2E24">
        <w:rPr>
          <w:rStyle w:val="c-pjlv"/>
          <w:sz w:val="20"/>
          <w:szCs w:val="20"/>
          <w:lang w:val="en-US"/>
        </w:rPr>
        <w:t xml:space="preserve">To gain a more comprehensive understanding and validate the previously mentioned assumptions regarding the interaction between </w:t>
      </w:r>
      <w:proofErr w:type="spellStart"/>
      <w:r w:rsidRPr="00FA2E24">
        <w:rPr>
          <w:rStyle w:val="c-pjlv"/>
          <w:sz w:val="20"/>
          <w:szCs w:val="20"/>
          <w:lang w:val="en-US"/>
        </w:rPr>
        <w:t>eugenol:thymol</w:t>
      </w:r>
      <w:proofErr w:type="spellEnd"/>
      <w:r w:rsidRPr="00FA2E24">
        <w:rPr>
          <w:rStyle w:val="c-pjlv"/>
          <w:sz w:val="20"/>
          <w:szCs w:val="20"/>
          <w:lang w:val="en-US"/>
        </w:rPr>
        <w:t xml:space="preserve"> (2:1) and the analytes, the charge distribution and </w:t>
      </w:r>
      <w:r w:rsidRPr="00FA2E24">
        <w:rPr>
          <w:rStyle w:val="c-pjlv"/>
          <w:sz w:val="20"/>
          <w:szCs w:val="20"/>
        </w:rPr>
        <w:t>σ</w:t>
      </w:r>
      <w:r w:rsidRPr="00FA2E24">
        <w:rPr>
          <w:rStyle w:val="c-pjlv"/>
          <w:sz w:val="20"/>
          <w:szCs w:val="20"/>
          <w:lang w:val="en-US"/>
        </w:rPr>
        <w:t xml:space="preserve">-profile were calculated using 3D surface charge densities </w:t>
      </w:r>
      <w:r w:rsidRPr="00FA2E24">
        <w:rPr>
          <w:rStyle w:val="c-pjlv"/>
          <w:sz w:val="20"/>
          <w:szCs w:val="20"/>
          <w:lang w:val="en-US"/>
        </w:rPr>
        <w:fldChar w:fldCharType="begin" w:fldLock="1"/>
      </w:r>
      <w:r w:rsidR="00E02FB1" w:rsidRPr="00FA2E24">
        <w:rPr>
          <w:rStyle w:val="c-pjlv"/>
          <w:sz w:val="20"/>
          <w:szCs w:val="20"/>
          <w:lang w:val="en-US"/>
        </w:rPr>
        <w:instrText xml:space="preserve"> ADDIN ZOTERO_ITEM CSL_CITATION {"citationID":"8pZ9fUII","properties":{"formattedCitation":"[1]","plainCitation":"[1]","noteIndex":0},"citationItems":[{"id":"iW0Wwj9Y/fjmHlafH","uris":["http://www.mendeley.com/documents/?uuid=4a99ac8e-4825-33f8-b921-cd6735911081"],"itemData":{"DOI":"10.1016/J.SEPPUR.2019.115707","ISSN":"1383-5866","abstract":"Current liquid-liquid extraction techniques for fractionation of essential oils rely on hazardous volatile organic compounds to concentrate target solutes for further food, fine chemical and medical applications. Herein, bio-renewable deep eutectic solvents based on various alkanediols were assessed as environmentally friendly alternatives to separate bioactive terpenoids from terpenes for essential oil downstream processing. In particular, DES composed of choline chloride as hydrogen bond acceptor and alkanediols including 1,3-butanediol, 2,3-butanediol, 1,2-propanediol or 1,3-propanediol as hydrogen bond donors at 1:2 ratio were used for fractionation of citrus essential oil model mixtures and real crude orange essential oil at mild conditions. The effect of the structure of alkanediols (i.e. length of hydrocarbon chain and the position of hydroxyl group) on the essential oil extraction performance provided by the different DES was explored in terms of experimental liquid-liquid equilibrium, distribution coefficients and selectivities. Additionally, the experimentally measured thermodynamic parameters were compared against those estimated using COnductor-like Screening MOdel for Real Solvents as a tool for solvent selection. Lastly, a further thermodynamic understanding of the behavior of the systems was performed by analysis of the computed sigma profiles, activity coefficients, excess enthalpies and molecular interactions between the terpenic hydrocarbon solutes and the solvents. Overall, the proposed alkanediol-based DES are feasible solvents for essential oil fractionation, arising as promising candidates to develop sustainable essential oil purification processes through selective isolation of terpenoid compounds.","author":[{"dropping-particle":"","family":"Ozturk","given":"Baranse","non-dropping-particle":"","parse-names":false,"suffix":""},{"dropping-particle":"","family":"Gonzalez-Miquel","given":"Maria","non-dropping-particle":"","parse-names":false,"suffix":""}],"container-title":"Separation and Purification Technology","id":"ITEM-1","issued":{"date-parts":[["2019","11","15"]]},"page":"115707","publisher":"Elsevier","title":"Alkanediol-based deep eutectic solvents for isolation of terpenoids from citrus essential oil: Experimental evaluation and COSMO-RS studies","type":"article-journal","volume":"227"}}],"schema":"https://github.com/citation-style-language/schema/raw/master/csl-citation.json"} </w:instrText>
      </w:r>
      <w:r w:rsidRPr="00FA2E24">
        <w:rPr>
          <w:rStyle w:val="c-pjlv"/>
          <w:sz w:val="20"/>
          <w:szCs w:val="20"/>
          <w:lang w:val="en-US"/>
        </w:rPr>
        <w:fldChar w:fldCharType="separate"/>
      </w:r>
      <w:r w:rsidR="00E02FB1" w:rsidRPr="00FA2E24">
        <w:rPr>
          <w:sz w:val="20"/>
          <w:szCs w:val="20"/>
          <w:lang w:val="en-GB"/>
        </w:rPr>
        <w:t>[1]</w:t>
      </w:r>
      <w:r w:rsidRPr="00FA2E24">
        <w:rPr>
          <w:rStyle w:val="c-pjlv"/>
          <w:sz w:val="20"/>
          <w:szCs w:val="20"/>
          <w:lang w:val="en-US"/>
        </w:rPr>
        <w:fldChar w:fldCharType="end"/>
      </w:r>
      <w:r w:rsidRPr="00FA2E24">
        <w:rPr>
          <w:rStyle w:val="c-pjlv"/>
          <w:sz w:val="20"/>
          <w:szCs w:val="20"/>
          <w:lang w:val="en-US"/>
        </w:rPr>
        <w:t xml:space="preserve">. The resulting </w:t>
      </w:r>
      <w:r w:rsidRPr="00FA2E24">
        <w:rPr>
          <w:rStyle w:val="c-pjlv"/>
          <w:sz w:val="20"/>
          <w:szCs w:val="20"/>
        </w:rPr>
        <w:t>σ</w:t>
      </w:r>
      <w:r w:rsidRPr="00FA2E24">
        <w:rPr>
          <w:rStyle w:val="c-pjlv"/>
          <w:sz w:val="20"/>
          <w:szCs w:val="20"/>
          <w:lang w:val="en-US"/>
        </w:rPr>
        <w:t xml:space="preserve">-profiles for both DES and analytes are illustrated in Figure </w:t>
      </w:r>
      <w:r w:rsidR="00485ABD" w:rsidRPr="00FA2E24">
        <w:rPr>
          <w:rStyle w:val="c-pjlv"/>
          <w:sz w:val="20"/>
          <w:szCs w:val="20"/>
          <w:lang w:val="en-US"/>
        </w:rPr>
        <w:t>S</w:t>
      </w:r>
      <w:r w:rsidRPr="00FA2E24">
        <w:rPr>
          <w:rStyle w:val="c-pjlv"/>
          <w:sz w:val="20"/>
          <w:szCs w:val="20"/>
          <w:lang w:val="en-US"/>
        </w:rPr>
        <w:t xml:space="preserve">2. The </w:t>
      </w:r>
      <w:r w:rsidRPr="00FA2E24">
        <w:rPr>
          <w:rStyle w:val="c-pjlv"/>
          <w:sz w:val="20"/>
          <w:szCs w:val="20"/>
        </w:rPr>
        <w:t>σ</w:t>
      </w:r>
      <w:r w:rsidRPr="00FA2E24">
        <w:rPr>
          <w:rStyle w:val="c-pjlv"/>
          <w:sz w:val="20"/>
          <w:szCs w:val="20"/>
          <w:lang w:val="en-US"/>
        </w:rPr>
        <w:t xml:space="preserve">-profile graph was segmented into three distinct interaction regions: a non-polar region encompassing the range of −0.0084 e/A2 &gt; </w:t>
      </w:r>
      <w:r w:rsidRPr="00FA2E24">
        <w:rPr>
          <w:rStyle w:val="c-pjlv"/>
          <w:sz w:val="20"/>
          <w:szCs w:val="20"/>
        </w:rPr>
        <w:t>σ</w:t>
      </w:r>
      <w:r w:rsidRPr="00FA2E24">
        <w:rPr>
          <w:rStyle w:val="c-pjlv"/>
          <w:sz w:val="20"/>
          <w:szCs w:val="20"/>
          <w:lang w:val="en-US"/>
        </w:rPr>
        <w:t xml:space="preserve"> &lt; 0.0084 e/A2, a hydrogen bond donor region (</w:t>
      </w:r>
      <w:r w:rsidRPr="00FA2E24">
        <w:rPr>
          <w:rStyle w:val="c-pjlv"/>
          <w:sz w:val="20"/>
          <w:szCs w:val="20"/>
        </w:rPr>
        <w:t>σ</w:t>
      </w:r>
      <w:r w:rsidRPr="00FA2E24">
        <w:rPr>
          <w:rStyle w:val="c-pjlv"/>
          <w:sz w:val="20"/>
          <w:szCs w:val="20"/>
          <w:lang w:val="en-US"/>
        </w:rPr>
        <w:t xml:space="preserve"> &lt; −0.0084 e/A2), and a hydrogen bond acceptor region (</w:t>
      </w:r>
      <w:r w:rsidRPr="00FA2E24">
        <w:rPr>
          <w:rStyle w:val="c-pjlv"/>
          <w:sz w:val="20"/>
          <w:szCs w:val="20"/>
        </w:rPr>
        <w:t>σ</w:t>
      </w:r>
      <w:r w:rsidRPr="00FA2E24">
        <w:rPr>
          <w:rStyle w:val="c-pjlv"/>
          <w:sz w:val="20"/>
          <w:szCs w:val="20"/>
          <w:lang w:val="en-US"/>
        </w:rPr>
        <w:t xml:space="preserve"> &gt; 0.0084 e/A2) </w:t>
      </w:r>
      <w:r w:rsidRPr="00FA2E24">
        <w:rPr>
          <w:rStyle w:val="c-pjlv"/>
          <w:sz w:val="20"/>
          <w:szCs w:val="20"/>
          <w:lang w:val="en-US"/>
        </w:rPr>
        <w:fldChar w:fldCharType="begin" w:fldLock="1"/>
      </w:r>
      <w:r w:rsidR="00E02FB1" w:rsidRPr="00FA2E24">
        <w:rPr>
          <w:rStyle w:val="c-pjlv"/>
          <w:sz w:val="20"/>
          <w:szCs w:val="20"/>
          <w:lang w:val="en-US"/>
        </w:rPr>
        <w:instrText xml:space="preserve"> ADDIN ZOTERO_ITEM CSL_CITATION {"citationID":"QnPLyKVp","properties":{"formattedCitation":"[2\\uc0\\u8211{}5]","plainCitation":"[2–5]","noteIndex":0},"citationItems":[{"id":"iW0Wwj9Y/XYDnu8k7","uris":["http://www.mendeley.com/documents/?uuid=be86357e-2e0a-4492-8f2a-426ab33512c4"],"itemData":{"DOI":"10.3390/ma14020241","ISSN":"19961944","abstract":"The paper presents the screening of 20 deep eutectic solvents (DESs) composed of tetrapropylammonium bromide (TPABr) and glycols in various molar ratios, and 6 conventional solvents as absorbents for removal of siloxanes from model biogas stream. The screening was achieved using the conductor-like screening model for real solvents (COSMO-RS) based on the comparison of siloxane solubility in DESs. For the DES which was characterized by the highest solubility of siloxanes, studies of physicochemical properties, i.e., viscosity, density, and melting point, were performed. DES composed of tetrapropylammonium bromide (TPABr) and tetraethylene glycol (TEG) in a 1:3 molar ratio was used as an absorbent in experimental studies in which several parameters were optimized, i.e., the temperature, absorbent volume, and model biogas flow rate. The mechanism of siloxanes removal was evaluated by means of an experimental FT-IR analysis as well as by theoretical studies based on σ-profile and σ-potential. On the basis of the obtained results, it can be concluded that TPABr:TEG (1:3) is a very effective absorption solvent for the removal of siloxanes from model biogas, and the main driving force of the absorption process is the formation of the hydrogen bonds between DES and siloxanes.","author":[{"dropping-particle":"","family":"Słupek","given":"Edyta","non-dropping-particle":"","parse-names":false,"suffix":""},{"dropping-particle":"","family":"Makoś-Chełstowska","given":"Patrycja","non-dropping-particle":"","parse-names":false,"suffix":""},{"dropping-particle":"","family":"Gębicki","given":"Jacek","non-dropping-particle":"","parse-names":false,"suffix":""}],"container-title":"Materials","id":"ITEM-1","issue":"2","issued":{"date-parts":[["2021"]]},"page":"1-20","title":"Removal of siloxanes from model biogas by means of deep eutectic solvents in absorption process","type":"article-journal","volume":"14"}},{"id":"iW0Wwj9Y/t9YQ7kRa","uris":["http://www.mendeley.com/documents/?uuid=b373a63e-f45e-4b11-80f4-515fe4f0f323"],"itemData":{"DOI":"10.1016/j.jhazmat.2021.127972","ISSN":"18733336","PMID":"34891017","abstract":"The paper described a new method for crude oil-water separation by means of superhydrophobic melamine sponges impregnated by deep eutectic solvents (MS-DES). Due to the numerous potential of two-component DES formation, simple and quick screening of 156 non-ionic deep eutectic solvents using COSMO-RS (Conductor-like Screening Model for Real Solvents) computational model was used. DES which were characterized by high solubility of hydrocarbons and the lowest water solubility were synthesized and embedded on melamine sponges. The new sponges were characterized by Fourier transform infrared spectroscopy (FT-IR), scanning electron microscopy (SEM), X-ray diffraction (XRD), and goniometer. Several parameters affecting the crude oil-water separation (i.e. type and amount of DES, density and porosity of sponges, water contact eagle) were thoroughly studied. In order to studies of MS-DES affinity to the selected groups of crude oil i.e. Saturated, Aromatic, Resins, Asphaltenes (SARA) the thin layer liquid chromatography-flame ionization detection (TLC-FID) was used. The obtained results indicate that the melamine sponges impregnated by DES composed of eucalyptol and menthol in 1:5 molar ratio have high real crude oil absorption capacity in the range of 96.1 – 132.2 g/g and slightly depends on crude oil compositions, superhydrophobic properties (water contact angle 152°), low density of 9.23 mg/cm3, high porosity of 99.39%, and excellent reusability which was almost not changing even after 80 cycles. The outcomes indicate that new MS-DES materials could be excellent alternatives as absorbents for the cleanup of crude oil-polluted water.","author":[{"dropping-particle":"","family":"Makoś-Chełstowska","given":"Patrycja","non-dropping-particle":"","parse-names":false,"suffix":""},{"dropping-particle":"","family":"Słupek","given":"Edyta","non-dropping-particle":"","parse-names":false,"suffix":""},{"dropping-particle":"","family":"Małachowska","given":"Aleksandra","non-dropping-particle":"","parse-names":false,"suffix":""}],"container-title":"Journal of Hazardous Materials","id":"ITEM-2","issue":"October 2021","issued":{"date-parts":[["2022"]]},"title":"Superhydrophobic sponges based on green deep eutectic solvents for spill oil removal from water","type":"article-journal","volume":"425"}},{"id":"iW0Wwj9Y/SK7wD3SD","uris":["http://www.mendeley.com/documents/?uuid=2a55312f-ad22-4d52-ac4b-5ae8cbffdb2b"],"itemData":{"DOI":"10.1021/acs.jced.7b01103","ISSN":"15205134","abstract":"Research on new sustainable technologies focused on carbon capture is a priority in most industrial processes, particularly in the combustion of fossil fuels. One challenging option is the replacement of corrosive, volatile, and nonbiodegradable amine-based solvents by the more tunable, greener, and less expensive deep eutectic solvents (DESs). However, the large amount of eutectic mixture combinations requires an intense experimental characterization. The implementation of semipredictive theoretical models to describe the physicochemical properties is a useful tool to reduce the amount of experimental work. In this contribution, the well-established soft-SAFT equation of state is applied to develop consistent molecular models of different eutectic ammonium chloride and bromide salt-based DESs with ethylene glycol and levulinic acid to describe their density and the solubility of CO2 and SO2 in them. In all cases, DESs are modeled as a mixture of two independent entities, overcoming the limitations of the one-compound approach. The choice of the number of association sites is assessed combining previous experience with the analysis of the molecules charge density using the COSMO-RS software. The results obtained show an accurate description of the density and gas solubility, while presenting a set of transferable molecular parameters that can be used to screen new DESs mixtures.","author":[{"dropping-particle":"","family":"Ojeda","given":"R. M.","non-dropping-particle":"","parse-names":false,"suffix":""},{"dropping-particle":"","family":"Llovell","given":"F.","non-dropping-particle":"","parse-names":false,"suffix":""}],"container-title":"Journal of Chemical and Engineering Data","id":"ITEM-3","issue":"7","issued":{"date-parts":[["2018"]]},"page":"2599-2612","title":"Soft-SAFT Transferable Molecular Models for the Description of Gas Solubility in Eutectic Ammonium Salt-Based Solvents","type":"article-journal","volume":"63"}},{"id":"iW0Wwj9Y/XSfOigXH","uris":["http://www.mendeley.com/documents/?uuid=22966854-ba03-46e6-b390-8ef534366cd0"],"itemData":{"DOI":"10.1021/acsomega.8b03255","ISSN":"24701343","abstract":"An automated computational framework (MoDoop) was developed to predict the biopolymer solubilities in ionic liquids (ILs) on the basis of conductor-like screening model for real solvents calculations of two thermodynamic properties: logarithmic activity coefficient (ln γ) at infinite dilution and excess enthalpy (HE) of mixture. The calculation was based on the optimized two-dimensional structures of biopolymer models and ILs by searching the lowest-energy conformer and optimizing molecular geometry. Three lignin models together with one IL dataset were used to evaluate the prediction ability of the developed method. The evaluation results show that ln γ is a more reliable property to predict lignin solubilities in ILs and the p-coumaryl alcohol model is considered as the best model to represent lignin molecules. The developed MoDoop approach is efficient for rapid in silico screening of suitable ionic liquids to dissolve biopolymers.","author":[{"dropping-particle":"","family":"Chu","given":"Yunhan","non-dropping-particle":"","parse-names":false,"suffix":""},{"dropping-particle":"","family":"He","given":"Xuezhong","non-dropping-particle":"","parse-names":false,"suffix":""}],"container-title":"ACS Omega","id":"ITEM-4","issue":"1","issued":{"date-parts":[["2019"]]},"page":"2337-2343","title":"MoDoop: An Automated Computational Approach for COSMO-RS Prediction of Biopolymer Solubilities in Ionic Liquids","type":"article-journal","volume":"4"}}],"schema":"https://github.com/citation-style-language/schema/raw/master/csl-citation.json"} </w:instrText>
      </w:r>
      <w:r w:rsidRPr="00FA2E24">
        <w:rPr>
          <w:rStyle w:val="c-pjlv"/>
          <w:sz w:val="20"/>
          <w:szCs w:val="20"/>
          <w:lang w:val="en-US"/>
        </w:rPr>
        <w:fldChar w:fldCharType="separate"/>
      </w:r>
      <w:r w:rsidR="00E02FB1" w:rsidRPr="00FA2E24">
        <w:rPr>
          <w:sz w:val="20"/>
          <w:szCs w:val="20"/>
          <w:lang w:val="en-GB"/>
        </w:rPr>
        <w:t>[2–5]</w:t>
      </w:r>
      <w:r w:rsidRPr="00FA2E24">
        <w:rPr>
          <w:rStyle w:val="c-pjlv"/>
          <w:sz w:val="20"/>
          <w:szCs w:val="20"/>
          <w:lang w:val="en-US"/>
        </w:rPr>
        <w:fldChar w:fldCharType="end"/>
      </w:r>
      <w:r w:rsidRPr="00FA2E24">
        <w:rPr>
          <w:rStyle w:val="c-pjlv"/>
          <w:sz w:val="20"/>
          <w:szCs w:val="20"/>
          <w:lang w:val="en-US"/>
        </w:rPr>
        <w:t xml:space="preserve">. The potential of the studied components to engage in robust hydrogen bonding is underscored by both the hydrogen bond donor and acceptor regions. Remarkably, similar results were observed for all analytes and DES. The most prominent peak was found in the nonpolar region, whereas smaller peaks were evident in the hydrogen bond donor and acceptor regions. This suggests that both the analytes and DES components can be classified as hydrogen bond donors and acceptors. Furthermore, the significance of compatible </w:t>
      </w:r>
      <w:r w:rsidRPr="00FA2E24">
        <w:rPr>
          <w:rStyle w:val="c-pjlv"/>
          <w:sz w:val="20"/>
          <w:szCs w:val="20"/>
        </w:rPr>
        <w:t>σ</w:t>
      </w:r>
      <w:r w:rsidRPr="00FA2E24">
        <w:rPr>
          <w:rStyle w:val="c-pjlv"/>
          <w:sz w:val="20"/>
          <w:szCs w:val="20"/>
          <w:lang w:val="en-US"/>
        </w:rPr>
        <w:t xml:space="preserve">-profiles between the solvent and extracted compounds has been underscored in prior research. This encompassed the presence of analogous regions, an increase in the </w:t>
      </w:r>
      <w:r w:rsidRPr="00FA2E24">
        <w:rPr>
          <w:rStyle w:val="c-pjlv"/>
          <w:sz w:val="20"/>
          <w:szCs w:val="20"/>
        </w:rPr>
        <w:t>σ</w:t>
      </w:r>
      <w:r w:rsidRPr="00FA2E24">
        <w:rPr>
          <w:rStyle w:val="c-pjlv"/>
          <w:sz w:val="20"/>
          <w:szCs w:val="20"/>
          <w:lang w:val="en-US"/>
        </w:rPr>
        <w:t xml:space="preserve">-profile for one compound, and a corresponding decrease for the other, all of which were pivotal for the establishment of strong molecular interactions </w:t>
      </w:r>
      <w:r w:rsidRPr="00FA2E24">
        <w:rPr>
          <w:rStyle w:val="c-pjlv"/>
          <w:sz w:val="20"/>
          <w:szCs w:val="20"/>
          <w:lang w:val="en-US"/>
        </w:rPr>
        <w:fldChar w:fldCharType="begin" w:fldLock="1"/>
      </w:r>
      <w:r w:rsidR="00E02FB1" w:rsidRPr="00FA2E24">
        <w:rPr>
          <w:rStyle w:val="c-pjlv"/>
          <w:sz w:val="20"/>
          <w:szCs w:val="20"/>
          <w:lang w:val="en-US"/>
        </w:rPr>
        <w:instrText xml:space="preserve"> ADDIN ZOTERO_ITEM CSL_CITATION {"citationID":"2F7xOL7t","properties":{"formattedCitation":"[6]","plainCitation":"[6]","noteIndex":0},"citationItems":[{"id":"iW0Wwj9Y/nD19Imxj","uris":["http://www.mendeley.com/documents/?uuid=c7ef4b4f-2c08-3374-88d7-db6537498f2c"],"itemData":{"DOI":"10.1016/J.MOLLIQ.2016.02.062","ISSN":"0167-7322","abstract":"In the present work, a common amino acid, l-arginine (0.05, 0.10, 0.15 and 0.20 mol) was added to (Choline chloride + urea) to form ternary deep eutectic solvents. The thermal properties namely, melting point, glass transition temperature, thermal decomposition temperature, and molar heat capacity and the physical properties namely, density, viscosity (298.15-353.15) K and refractive index (298.15-333.15) K were measured. Addition of l-arginine increases the thermal stability, molar heat capacities and glass transition temperatures of the eutectic solvents, and on the other hand it reduces the thermal expansion coefficients. The physical properties namely, density, viscosity and refractive index were also found to increase with increasing molar ratio of l-arginine. The physical properties were correlated as a function of temperature to represent the present data.","author":[{"dropping-particle":"","family":"Chemat","given":"Fareeda","non-dropping-particle":"","parse-names":false,"suffix":""},{"dropping-particle":"","family":"Anjum","given":"Hirra","non-dropping-particle":"","parse-names":false,"suffix":""},{"dropping-particle":"","family":"Shariff","given":"Azmi Md","non-dropping-particle":"","parse-names":false,"suffix":""},{"dropping-particle":"","family":"Kumar","given":"Perumal","non-dropping-particle":"","parse-names":false,"suffix":""},{"dropping-particle":"","family":"Murugesan","given":"Thanabalan","non-dropping-particle":"","parse-names":false,"suffix":""}],"container-title":"Journal of Molecular Liquids","id":"ITEM-1","issued":{"date-parts":[["2016","6","1"]]},"page":"301-308","publisher":"Elsevier","title":"Thermal and physical properties of (Choline chloride + urea + l-arginine) deep eutectic solvents","type":"article-journal","volume":"218"}}],"schema":"https://github.com/citation-style-language/schema/raw/master/csl-citation.json"} </w:instrText>
      </w:r>
      <w:r w:rsidRPr="00FA2E24">
        <w:rPr>
          <w:rStyle w:val="c-pjlv"/>
          <w:sz w:val="20"/>
          <w:szCs w:val="20"/>
          <w:lang w:val="en-US"/>
        </w:rPr>
        <w:fldChar w:fldCharType="separate"/>
      </w:r>
      <w:r w:rsidR="00E02FB1" w:rsidRPr="00FA2E24">
        <w:rPr>
          <w:sz w:val="20"/>
          <w:szCs w:val="20"/>
          <w:lang w:val="en-GB"/>
        </w:rPr>
        <w:t>[6]</w:t>
      </w:r>
      <w:r w:rsidRPr="00FA2E24">
        <w:rPr>
          <w:rStyle w:val="c-pjlv"/>
          <w:sz w:val="20"/>
          <w:szCs w:val="20"/>
          <w:lang w:val="en-US"/>
        </w:rPr>
        <w:fldChar w:fldCharType="end"/>
      </w:r>
      <w:r w:rsidRPr="00FA2E24">
        <w:rPr>
          <w:rStyle w:val="c-pjlv"/>
          <w:sz w:val="20"/>
          <w:szCs w:val="20"/>
          <w:lang w:val="en-US"/>
        </w:rPr>
        <w:t xml:space="preserve">. These findings strongly indicate that there is substantial potential for the extraction of AA, HDMF, and HMF using a deep eutectic solvent composed of eugenol and </w:t>
      </w:r>
      <w:proofErr w:type="spellStart"/>
      <w:r w:rsidRPr="00FA2E24">
        <w:rPr>
          <w:rStyle w:val="c-pjlv"/>
          <w:sz w:val="20"/>
          <w:szCs w:val="20"/>
          <w:lang w:val="en-US"/>
        </w:rPr>
        <w:t>thymol</w:t>
      </w:r>
      <w:proofErr w:type="spellEnd"/>
      <w:r w:rsidRPr="00FA2E24">
        <w:rPr>
          <w:rStyle w:val="c-pjlv"/>
          <w:sz w:val="20"/>
          <w:szCs w:val="20"/>
          <w:lang w:val="en-US"/>
        </w:rPr>
        <w:t xml:space="preserve"> in a 2:1 molar ratio.</w:t>
      </w:r>
    </w:p>
    <w:p w:rsidR="00825890" w:rsidRPr="00FA2E24" w:rsidRDefault="00825890" w:rsidP="00825890">
      <w:pPr>
        <w:keepNext/>
        <w:jc w:val="center"/>
        <w:rPr>
          <w:rFonts w:ascii="Times New Roman" w:hAnsi="Times New Roman" w:cs="Times New Roman"/>
          <w:sz w:val="20"/>
          <w:szCs w:val="20"/>
        </w:rPr>
      </w:pPr>
      <w:r w:rsidRPr="00FA2E24">
        <w:rPr>
          <w:rFonts w:ascii="Times New Roman" w:hAnsi="Times New Roman" w:cs="Times New Roman"/>
          <w:noProof/>
          <w:sz w:val="20"/>
          <w:szCs w:val="20"/>
          <w:lang w:val="en-GB" w:eastAsia="en-GB"/>
        </w:rPr>
        <w:lastRenderedPageBreak/>
        <w:drawing>
          <wp:inline distT="0" distB="0" distL="0" distR="0" wp14:anchorId="47908474" wp14:editId="0E363E5F">
            <wp:extent cx="5284382" cy="7593489"/>
            <wp:effectExtent l="0" t="0" r="0"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289723" cy="7601164"/>
                    </a:xfrm>
                    <a:prstGeom prst="rect">
                      <a:avLst/>
                    </a:prstGeom>
                  </pic:spPr>
                </pic:pic>
              </a:graphicData>
            </a:graphic>
          </wp:inline>
        </w:drawing>
      </w:r>
    </w:p>
    <w:p w:rsidR="00825890" w:rsidRPr="00FA2E24" w:rsidRDefault="00825890" w:rsidP="00825890">
      <w:pPr>
        <w:pStyle w:val="Legenda"/>
        <w:rPr>
          <w:rFonts w:ascii="Times New Roman" w:hAnsi="Times New Roman" w:cs="Times New Roman"/>
          <w:b w:val="0"/>
          <w:color w:val="000000" w:themeColor="text1"/>
          <w:sz w:val="20"/>
          <w:szCs w:val="20"/>
          <w:lang w:val="en-US"/>
        </w:rPr>
      </w:pPr>
      <w:r w:rsidRPr="00FA2E24">
        <w:rPr>
          <w:rFonts w:ascii="Times New Roman" w:hAnsi="Times New Roman" w:cs="Times New Roman"/>
          <w:color w:val="000000" w:themeColor="text1"/>
          <w:sz w:val="20"/>
          <w:szCs w:val="20"/>
          <w:lang w:val="en-US"/>
        </w:rPr>
        <w:t>Figure S</w:t>
      </w:r>
      <w:r w:rsidRPr="00FA2E24">
        <w:rPr>
          <w:rFonts w:ascii="Times New Roman" w:hAnsi="Times New Roman" w:cs="Times New Roman"/>
          <w:color w:val="000000" w:themeColor="text1"/>
          <w:sz w:val="20"/>
          <w:szCs w:val="20"/>
        </w:rPr>
        <w:fldChar w:fldCharType="begin"/>
      </w:r>
      <w:r w:rsidRPr="00FA2E24">
        <w:rPr>
          <w:rFonts w:ascii="Times New Roman" w:hAnsi="Times New Roman" w:cs="Times New Roman"/>
          <w:color w:val="000000" w:themeColor="text1"/>
          <w:sz w:val="20"/>
          <w:szCs w:val="20"/>
          <w:lang w:val="en-US"/>
        </w:rPr>
        <w:instrText xml:space="preserve"> SEQ Figure \* ARABIC </w:instrText>
      </w:r>
      <w:r w:rsidRPr="00FA2E24">
        <w:rPr>
          <w:rFonts w:ascii="Times New Roman" w:hAnsi="Times New Roman" w:cs="Times New Roman"/>
          <w:color w:val="000000" w:themeColor="text1"/>
          <w:sz w:val="20"/>
          <w:szCs w:val="20"/>
        </w:rPr>
        <w:fldChar w:fldCharType="separate"/>
      </w:r>
      <w:r w:rsidR="00461417" w:rsidRPr="00FA2E24">
        <w:rPr>
          <w:rFonts w:ascii="Times New Roman" w:hAnsi="Times New Roman" w:cs="Times New Roman"/>
          <w:noProof/>
          <w:color w:val="000000" w:themeColor="text1"/>
          <w:sz w:val="20"/>
          <w:szCs w:val="20"/>
          <w:lang w:val="en-US"/>
        </w:rPr>
        <w:t>1</w:t>
      </w:r>
      <w:r w:rsidRPr="00FA2E24">
        <w:rPr>
          <w:rFonts w:ascii="Times New Roman" w:hAnsi="Times New Roman" w:cs="Times New Roman"/>
          <w:color w:val="000000" w:themeColor="text1"/>
          <w:sz w:val="20"/>
          <w:szCs w:val="20"/>
        </w:rPr>
        <w:fldChar w:fldCharType="end"/>
      </w:r>
      <w:r w:rsidRPr="00FA2E24">
        <w:rPr>
          <w:rFonts w:ascii="Times New Roman" w:hAnsi="Times New Roman" w:cs="Times New Roman"/>
          <w:color w:val="000000" w:themeColor="text1"/>
          <w:sz w:val="20"/>
          <w:szCs w:val="20"/>
          <w:lang w:val="en-US"/>
        </w:rPr>
        <w:t xml:space="preserve"> </w:t>
      </w:r>
      <w:r w:rsidRPr="00FA2E24">
        <w:rPr>
          <w:rFonts w:ascii="Times New Roman" w:hAnsi="Times New Roman" w:cs="Times New Roman"/>
          <w:b w:val="0"/>
          <w:color w:val="000000" w:themeColor="text1"/>
          <w:sz w:val="20"/>
          <w:szCs w:val="20"/>
          <w:lang w:val="en-US"/>
        </w:rPr>
        <w:t>Matrix of calculated activity coefficients at infinite dilution of analytes in various DESs</w:t>
      </w:r>
    </w:p>
    <w:p w:rsidR="00485ABD" w:rsidRPr="00FA2E24" w:rsidRDefault="00485ABD" w:rsidP="00485ABD">
      <w:pPr>
        <w:pStyle w:val="Akapitzlist"/>
        <w:keepNext/>
        <w:ind w:left="709"/>
        <w:contextualSpacing w:val="0"/>
        <w:jc w:val="center"/>
        <w:rPr>
          <w:rFonts w:ascii="Times New Roman" w:hAnsi="Times New Roman" w:cs="Times New Roman"/>
          <w:sz w:val="20"/>
          <w:szCs w:val="20"/>
        </w:rPr>
      </w:pPr>
      <w:r w:rsidRPr="00FA2E24">
        <w:rPr>
          <w:rFonts w:ascii="Times New Roman" w:hAnsi="Times New Roman" w:cs="Times New Roman"/>
          <w:noProof/>
          <w:sz w:val="20"/>
          <w:szCs w:val="20"/>
          <w:lang w:val="en-GB" w:eastAsia="en-GB"/>
        </w:rPr>
        <w:lastRenderedPageBreak/>
        <w:drawing>
          <wp:inline distT="0" distB="0" distL="0" distR="0" wp14:anchorId="53932C6F" wp14:editId="501C7FF5">
            <wp:extent cx="3962400" cy="3647507"/>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64031" cy="3649008"/>
                    </a:xfrm>
                    <a:prstGeom prst="rect">
                      <a:avLst/>
                    </a:prstGeom>
                    <a:noFill/>
                    <a:ln>
                      <a:noFill/>
                    </a:ln>
                  </pic:spPr>
                </pic:pic>
              </a:graphicData>
            </a:graphic>
          </wp:inline>
        </w:drawing>
      </w:r>
    </w:p>
    <w:p w:rsidR="00825890" w:rsidRPr="00FA2E24" w:rsidRDefault="00485ABD" w:rsidP="003B0787">
      <w:pPr>
        <w:pStyle w:val="Legenda"/>
        <w:ind w:left="709"/>
        <w:jc w:val="both"/>
        <w:rPr>
          <w:rFonts w:ascii="Times New Roman" w:hAnsi="Times New Roman" w:cs="Times New Roman"/>
          <w:color w:val="auto"/>
          <w:sz w:val="20"/>
          <w:szCs w:val="20"/>
          <w:lang w:val="en-GB"/>
        </w:rPr>
      </w:pPr>
      <w:r w:rsidRPr="00FA2E24">
        <w:rPr>
          <w:rFonts w:ascii="Times New Roman" w:hAnsi="Times New Roman" w:cs="Times New Roman"/>
          <w:color w:val="auto"/>
          <w:sz w:val="20"/>
          <w:szCs w:val="20"/>
          <w:lang w:val="en-GB"/>
        </w:rPr>
        <w:t>Figure S</w:t>
      </w:r>
      <w:r w:rsidRPr="00FA2E24">
        <w:rPr>
          <w:rFonts w:ascii="Times New Roman" w:hAnsi="Times New Roman" w:cs="Times New Roman"/>
          <w:color w:val="auto"/>
          <w:sz w:val="20"/>
          <w:szCs w:val="20"/>
        </w:rPr>
        <w:fldChar w:fldCharType="begin"/>
      </w:r>
      <w:r w:rsidRPr="00FA2E24">
        <w:rPr>
          <w:rFonts w:ascii="Times New Roman" w:hAnsi="Times New Roman" w:cs="Times New Roman"/>
          <w:color w:val="auto"/>
          <w:sz w:val="20"/>
          <w:szCs w:val="20"/>
          <w:lang w:val="en-GB"/>
        </w:rPr>
        <w:instrText xml:space="preserve"> SEQ Figure \* ARABIC </w:instrText>
      </w:r>
      <w:r w:rsidRPr="00FA2E24">
        <w:rPr>
          <w:rFonts w:ascii="Times New Roman" w:hAnsi="Times New Roman" w:cs="Times New Roman"/>
          <w:color w:val="auto"/>
          <w:sz w:val="20"/>
          <w:szCs w:val="20"/>
        </w:rPr>
        <w:fldChar w:fldCharType="separate"/>
      </w:r>
      <w:r w:rsidR="00461417" w:rsidRPr="00FA2E24">
        <w:rPr>
          <w:rFonts w:ascii="Times New Roman" w:hAnsi="Times New Roman" w:cs="Times New Roman"/>
          <w:noProof/>
          <w:color w:val="auto"/>
          <w:sz w:val="20"/>
          <w:szCs w:val="20"/>
          <w:lang w:val="en-GB"/>
        </w:rPr>
        <w:t>2</w:t>
      </w:r>
      <w:r w:rsidRPr="00FA2E24">
        <w:rPr>
          <w:rFonts w:ascii="Times New Roman" w:hAnsi="Times New Roman" w:cs="Times New Roman"/>
          <w:color w:val="auto"/>
          <w:sz w:val="20"/>
          <w:szCs w:val="20"/>
        </w:rPr>
        <w:fldChar w:fldCharType="end"/>
      </w:r>
      <w:r w:rsidRPr="00FA2E24">
        <w:rPr>
          <w:rFonts w:ascii="Times New Roman" w:hAnsi="Times New Roman" w:cs="Times New Roman"/>
          <w:color w:val="auto"/>
          <w:sz w:val="20"/>
          <w:szCs w:val="20"/>
          <w:lang w:val="en-GB"/>
        </w:rPr>
        <w:t xml:space="preserve"> </w:t>
      </w:r>
      <w:r w:rsidRPr="00FA2E24">
        <w:rPr>
          <w:rFonts w:ascii="Times New Roman" w:hAnsi="Times New Roman" w:cs="Times New Roman"/>
          <w:b w:val="0"/>
          <w:color w:val="auto"/>
          <w:sz w:val="20"/>
          <w:szCs w:val="20"/>
        </w:rPr>
        <w:t>σ</w:t>
      </w:r>
      <w:r w:rsidRPr="00FA2E24">
        <w:rPr>
          <w:rFonts w:ascii="Times New Roman" w:hAnsi="Times New Roman" w:cs="Times New Roman"/>
          <w:b w:val="0"/>
          <w:color w:val="auto"/>
          <w:sz w:val="20"/>
          <w:szCs w:val="20"/>
          <w:lang w:val="en-GB"/>
        </w:rPr>
        <w:t>-profiles of DES (</w:t>
      </w:r>
      <w:proofErr w:type="spellStart"/>
      <w:r w:rsidR="006E6116" w:rsidRPr="00FA2E24">
        <w:rPr>
          <w:rFonts w:ascii="Times New Roman" w:hAnsi="Times New Roman" w:cs="Times New Roman"/>
          <w:b w:val="0"/>
          <w:color w:val="auto"/>
          <w:sz w:val="20"/>
          <w:szCs w:val="20"/>
          <w:lang w:val="en-GB"/>
        </w:rPr>
        <w:t>e</w:t>
      </w:r>
      <w:r w:rsidRPr="00FA2E24">
        <w:rPr>
          <w:rFonts w:ascii="Times New Roman" w:hAnsi="Times New Roman" w:cs="Times New Roman"/>
          <w:b w:val="0"/>
          <w:color w:val="auto"/>
          <w:sz w:val="20"/>
          <w:szCs w:val="20"/>
          <w:lang w:val="en-GB"/>
        </w:rPr>
        <w:t>ugenol:</w:t>
      </w:r>
      <w:r w:rsidR="006E6116" w:rsidRPr="00FA2E24">
        <w:rPr>
          <w:rFonts w:ascii="Times New Roman" w:hAnsi="Times New Roman" w:cs="Times New Roman"/>
          <w:b w:val="0"/>
          <w:color w:val="auto"/>
          <w:sz w:val="20"/>
          <w:szCs w:val="20"/>
          <w:lang w:val="en-GB"/>
        </w:rPr>
        <w:t>t</w:t>
      </w:r>
      <w:r w:rsidRPr="00FA2E24">
        <w:rPr>
          <w:rFonts w:ascii="Times New Roman" w:hAnsi="Times New Roman" w:cs="Times New Roman"/>
          <w:b w:val="0"/>
          <w:color w:val="auto"/>
          <w:sz w:val="20"/>
          <w:szCs w:val="20"/>
          <w:lang w:val="en-GB"/>
        </w:rPr>
        <w:t>hymol</w:t>
      </w:r>
      <w:proofErr w:type="spellEnd"/>
      <w:r w:rsidRPr="00FA2E24">
        <w:rPr>
          <w:rFonts w:ascii="Times New Roman" w:hAnsi="Times New Roman" w:cs="Times New Roman"/>
          <w:b w:val="0"/>
          <w:color w:val="auto"/>
          <w:sz w:val="20"/>
          <w:szCs w:val="20"/>
          <w:lang w:val="en-GB"/>
        </w:rPr>
        <w:t xml:space="preserve"> 2:1), and </w:t>
      </w:r>
      <w:proofErr w:type="spellStart"/>
      <w:r w:rsidRPr="00FA2E24">
        <w:rPr>
          <w:rFonts w:ascii="Times New Roman" w:hAnsi="Times New Roman" w:cs="Times New Roman"/>
          <w:b w:val="0"/>
          <w:color w:val="auto"/>
          <w:sz w:val="20"/>
          <w:szCs w:val="20"/>
          <w:lang w:val="en-GB"/>
        </w:rPr>
        <w:t>anlaytes</w:t>
      </w:r>
      <w:proofErr w:type="spellEnd"/>
      <w:r w:rsidRPr="00FA2E24">
        <w:rPr>
          <w:rFonts w:ascii="Times New Roman" w:hAnsi="Times New Roman" w:cs="Times New Roman"/>
          <w:b w:val="0"/>
          <w:color w:val="auto"/>
          <w:sz w:val="20"/>
          <w:szCs w:val="20"/>
          <w:lang w:val="en-GB"/>
        </w:rPr>
        <w:t xml:space="preserve"> (AA, HDMF and HMF)</w:t>
      </w:r>
    </w:p>
    <w:p w:rsidR="003B0787" w:rsidRPr="00FA2E24" w:rsidRDefault="003B0787" w:rsidP="003B0787">
      <w:pPr>
        <w:rPr>
          <w:rFonts w:ascii="Times New Roman" w:hAnsi="Times New Roman" w:cs="Times New Roman"/>
          <w:sz w:val="20"/>
          <w:szCs w:val="20"/>
          <w:lang w:val="en-GB"/>
        </w:rPr>
      </w:pPr>
      <w:bookmarkStart w:id="0" w:name="_GoBack"/>
      <w:bookmarkEnd w:id="0"/>
    </w:p>
    <w:p w:rsidR="00A93226" w:rsidRPr="00FA2E24" w:rsidRDefault="00A93226" w:rsidP="00A93226">
      <w:pPr>
        <w:pStyle w:val="Legenda"/>
        <w:keepNext/>
        <w:rPr>
          <w:rFonts w:ascii="Times New Roman" w:hAnsi="Times New Roman" w:cs="Times New Roman"/>
          <w:b w:val="0"/>
          <w:color w:val="auto"/>
          <w:sz w:val="20"/>
          <w:szCs w:val="20"/>
          <w:lang w:val="en-GB"/>
        </w:rPr>
      </w:pPr>
      <w:r w:rsidRPr="00FA2E24">
        <w:rPr>
          <w:rFonts w:ascii="Times New Roman" w:hAnsi="Times New Roman" w:cs="Times New Roman"/>
          <w:color w:val="auto"/>
          <w:sz w:val="20"/>
          <w:szCs w:val="20"/>
          <w:lang w:val="en-GB"/>
        </w:rPr>
        <w:t>Table S</w:t>
      </w:r>
      <w:r w:rsidRPr="00FA2E24">
        <w:rPr>
          <w:rFonts w:ascii="Times New Roman" w:hAnsi="Times New Roman" w:cs="Times New Roman"/>
          <w:color w:val="auto"/>
          <w:sz w:val="20"/>
          <w:szCs w:val="20"/>
        </w:rPr>
        <w:fldChar w:fldCharType="begin"/>
      </w:r>
      <w:r w:rsidRPr="00FA2E24">
        <w:rPr>
          <w:rFonts w:ascii="Times New Roman" w:hAnsi="Times New Roman" w:cs="Times New Roman"/>
          <w:color w:val="auto"/>
          <w:sz w:val="20"/>
          <w:szCs w:val="20"/>
          <w:lang w:val="en-GB"/>
        </w:rPr>
        <w:instrText xml:space="preserve"> SEQ Table \* ARABIC </w:instrText>
      </w:r>
      <w:r w:rsidRPr="00FA2E24">
        <w:rPr>
          <w:rFonts w:ascii="Times New Roman" w:hAnsi="Times New Roman" w:cs="Times New Roman"/>
          <w:color w:val="auto"/>
          <w:sz w:val="20"/>
          <w:szCs w:val="20"/>
        </w:rPr>
        <w:fldChar w:fldCharType="separate"/>
      </w:r>
      <w:r w:rsidRPr="00FA2E24">
        <w:rPr>
          <w:rFonts w:ascii="Times New Roman" w:hAnsi="Times New Roman" w:cs="Times New Roman"/>
          <w:noProof/>
          <w:color w:val="auto"/>
          <w:sz w:val="20"/>
          <w:szCs w:val="20"/>
          <w:lang w:val="en-GB"/>
        </w:rPr>
        <w:t>1</w:t>
      </w:r>
      <w:r w:rsidRPr="00FA2E24">
        <w:rPr>
          <w:rFonts w:ascii="Times New Roman" w:hAnsi="Times New Roman" w:cs="Times New Roman"/>
          <w:color w:val="auto"/>
          <w:sz w:val="20"/>
          <w:szCs w:val="20"/>
        </w:rPr>
        <w:fldChar w:fldCharType="end"/>
      </w:r>
      <w:r w:rsidRPr="00FA2E24">
        <w:rPr>
          <w:rFonts w:ascii="Times New Roman" w:hAnsi="Times New Roman" w:cs="Times New Roman"/>
          <w:color w:val="auto"/>
          <w:sz w:val="20"/>
          <w:szCs w:val="20"/>
          <w:lang w:val="en-GB"/>
        </w:rPr>
        <w:t xml:space="preserve"> </w:t>
      </w:r>
      <w:r w:rsidRPr="00FA2E24">
        <w:rPr>
          <w:rFonts w:ascii="Times New Roman" w:hAnsi="Times New Roman" w:cs="Times New Roman"/>
          <w:b w:val="0"/>
          <w:color w:val="auto"/>
          <w:sz w:val="20"/>
          <w:szCs w:val="20"/>
          <w:lang w:val="en-GB"/>
        </w:rPr>
        <w:t>Types and</w:t>
      </w:r>
      <w:r w:rsidR="002B37AA" w:rsidRPr="00FA2E24">
        <w:rPr>
          <w:rFonts w:ascii="Times New Roman" w:hAnsi="Times New Roman" w:cs="Times New Roman"/>
          <w:b w:val="0"/>
          <w:color w:val="auto"/>
          <w:sz w:val="20"/>
          <w:szCs w:val="20"/>
          <w:lang w:val="en-GB"/>
        </w:rPr>
        <w:t xml:space="preserve"> compositions of</w:t>
      </w:r>
      <w:r w:rsidRPr="00FA2E24">
        <w:rPr>
          <w:rFonts w:ascii="Times New Roman" w:hAnsi="Times New Roman" w:cs="Times New Roman"/>
          <w:b w:val="0"/>
          <w:color w:val="auto"/>
          <w:sz w:val="20"/>
          <w:szCs w:val="20"/>
          <w:lang w:val="en-GB"/>
        </w:rPr>
        <w:t xml:space="preserve"> ingredients of analysed real samples</w:t>
      </w:r>
    </w:p>
    <w:tbl>
      <w:tblPr>
        <w:tblStyle w:val="Jasnecieniowanie"/>
        <w:tblW w:w="0" w:type="auto"/>
        <w:tblLook w:val="04A0" w:firstRow="1" w:lastRow="0" w:firstColumn="1" w:lastColumn="0" w:noHBand="0" w:noVBand="1"/>
      </w:tblPr>
      <w:tblGrid>
        <w:gridCol w:w="1384"/>
        <w:gridCol w:w="2268"/>
        <w:gridCol w:w="5636"/>
      </w:tblGrid>
      <w:tr w:rsidR="00963ECD" w:rsidRPr="00FA2E24" w:rsidTr="00AE58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12" w:space="0" w:color="auto"/>
              <w:bottom w:val="single" w:sz="12" w:space="0" w:color="auto"/>
            </w:tcBorders>
          </w:tcPr>
          <w:p w:rsidR="00963ECD" w:rsidRPr="00FA2E24" w:rsidRDefault="00963ECD" w:rsidP="00963ECD">
            <w:pPr>
              <w:jc w:val="center"/>
              <w:rPr>
                <w:rFonts w:ascii="Times New Roman" w:hAnsi="Times New Roman" w:cs="Times New Roman"/>
                <w:sz w:val="20"/>
                <w:szCs w:val="20"/>
                <w:lang w:val="en-US"/>
              </w:rPr>
            </w:pPr>
            <w:r w:rsidRPr="00FA2E24">
              <w:rPr>
                <w:rFonts w:ascii="Times New Roman" w:hAnsi="Times New Roman" w:cs="Times New Roman"/>
                <w:sz w:val="20"/>
                <w:szCs w:val="20"/>
                <w:lang w:val="en-US"/>
              </w:rPr>
              <w:t>Number of sample</w:t>
            </w:r>
          </w:p>
        </w:tc>
        <w:tc>
          <w:tcPr>
            <w:tcW w:w="2268" w:type="dxa"/>
            <w:tcBorders>
              <w:top w:val="single" w:sz="12" w:space="0" w:color="auto"/>
              <w:bottom w:val="single" w:sz="12" w:space="0" w:color="auto"/>
            </w:tcBorders>
          </w:tcPr>
          <w:p w:rsidR="00963ECD" w:rsidRPr="00FA2E24" w:rsidRDefault="00963ECD" w:rsidP="00963EC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Type</w:t>
            </w:r>
          </w:p>
        </w:tc>
        <w:tc>
          <w:tcPr>
            <w:tcW w:w="5636" w:type="dxa"/>
            <w:tcBorders>
              <w:top w:val="single" w:sz="12" w:space="0" w:color="auto"/>
              <w:bottom w:val="single" w:sz="12" w:space="0" w:color="auto"/>
            </w:tcBorders>
          </w:tcPr>
          <w:p w:rsidR="00963ECD" w:rsidRPr="00FA2E24" w:rsidRDefault="00963ECD" w:rsidP="00963EC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Ingredients</w:t>
            </w:r>
          </w:p>
        </w:tc>
      </w:tr>
      <w:tr w:rsidR="00963ECD" w:rsidRPr="00FA2E24" w:rsidTr="00AE5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12" w:space="0" w:color="auto"/>
            </w:tcBorders>
            <w:shd w:val="clear" w:color="auto" w:fill="auto"/>
          </w:tcPr>
          <w:p w:rsidR="00963ECD" w:rsidRPr="00FA2E24" w:rsidRDefault="00963ECD" w:rsidP="00963ECD">
            <w:pPr>
              <w:jc w:val="center"/>
              <w:rPr>
                <w:rFonts w:ascii="Times New Roman" w:hAnsi="Times New Roman" w:cs="Times New Roman"/>
                <w:sz w:val="20"/>
                <w:szCs w:val="20"/>
                <w:lang w:val="en-US"/>
              </w:rPr>
            </w:pPr>
            <w:r w:rsidRPr="00FA2E24">
              <w:rPr>
                <w:rFonts w:ascii="Times New Roman" w:hAnsi="Times New Roman" w:cs="Times New Roman"/>
                <w:sz w:val="20"/>
                <w:szCs w:val="20"/>
                <w:lang w:val="en-US"/>
              </w:rPr>
              <w:t>1</w:t>
            </w:r>
          </w:p>
        </w:tc>
        <w:tc>
          <w:tcPr>
            <w:tcW w:w="2268" w:type="dxa"/>
            <w:tcBorders>
              <w:top w:val="single" w:sz="12" w:space="0" w:color="auto"/>
            </w:tcBorders>
            <w:shd w:val="clear" w:color="auto" w:fill="auto"/>
          </w:tcPr>
          <w:p w:rsidR="00963ECD" w:rsidRPr="00FA2E24" w:rsidRDefault="00963ECD" w:rsidP="00963EC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Beef-like Burger</w:t>
            </w:r>
          </w:p>
        </w:tc>
        <w:tc>
          <w:tcPr>
            <w:tcW w:w="5636" w:type="dxa"/>
            <w:tcBorders>
              <w:top w:val="single" w:sz="12" w:space="0" w:color="auto"/>
            </w:tcBorders>
            <w:shd w:val="clear" w:color="auto" w:fill="auto"/>
          </w:tcPr>
          <w:p w:rsidR="00963ECD" w:rsidRPr="00FA2E24" w:rsidRDefault="00963ECD" w:rsidP="00963EC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 xml:space="preserve">Water, pea protein (22%), canola oil, </w:t>
            </w:r>
            <w:r w:rsidR="0020740A" w:rsidRPr="00FA2E24">
              <w:rPr>
                <w:rFonts w:ascii="Times New Roman" w:hAnsi="Times New Roman" w:cs="Times New Roman"/>
                <w:sz w:val="20"/>
                <w:szCs w:val="20"/>
                <w:lang w:val="en-US"/>
              </w:rPr>
              <w:t>natural aromas, potato starch, stabilizer: methylcellulose, bamboo fiber, dried spirit vinegar, barley malt extract, dried onion, dried garlic, dried beetroot, salt, iron, B</w:t>
            </w:r>
            <w:r w:rsidR="0020740A" w:rsidRPr="00FA2E24">
              <w:rPr>
                <w:rFonts w:ascii="Times New Roman" w:hAnsi="Times New Roman" w:cs="Times New Roman"/>
                <w:sz w:val="20"/>
                <w:szCs w:val="20"/>
                <w:vertAlign w:val="subscript"/>
                <w:lang w:val="en-US"/>
              </w:rPr>
              <w:t>12</w:t>
            </w:r>
            <w:r w:rsidR="0020740A" w:rsidRPr="00FA2E24">
              <w:rPr>
                <w:rFonts w:ascii="Times New Roman" w:hAnsi="Times New Roman" w:cs="Times New Roman"/>
                <w:sz w:val="20"/>
                <w:szCs w:val="20"/>
                <w:lang w:val="en-US"/>
              </w:rPr>
              <w:t xml:space="preserve"> vitamin</w:t>
            </w:r>
          </w:p>
        </w:tc>
      </w:tr>
      <w:tr w:rsidR="00963ECD" w:rsidRPr="00FA2E24" w:rsidTr="00A44AA0">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rsidR="00963ECD" w:rsidRPr="00FA2E24" w:rsidRDefault="00A44AA0" w:rsidP="00963ECD">
            <w:pPr>
              <w:jc w:val="center"/>
              <w:rPr>
                <w:rFonts w:ascii="Times New Roman" w:hAnsi="Times New Roman" w:cs="Times New Roman"/>
                <w:sz w:val="20"/>
                <w:szCs w:val="20"/>
                <w:lang w:val="en-US"/>
              </w:rPr>
            </w:pPr>
            <w:r w:rsidRPr="00FA2E24">
              <w:rPr>
                <w:rFonts w:ascii="Times New Roman" w:hAnsi="Times New Roman" w:cs="Times New Roman"/>
                <w:sz w:val="20"/>
                <w:szCs w:val="20"/>
                <w:lang w:val="en-US"/>
              </w:rPr>
              <w:t>2</w:t>
            </w:r>
          </w:p>
        </w:tc>
        <w:tc>
          <w:tcPr>
            <w:tcW w:w="2268" w:type="dxa"/>
            <w:shd w:val="clear" w:color="auto" w:fill="auto"/>
          </w:tcPr>
          <w:p w:rsidR="00963ECD" w:rsidRPr="00FA2E24" w:rsidRDefault="00963ECD" w:rsidP="00963E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Salmon-like burger</w:t>
            </w:r>
          </w:p>
        </w:tc>
        <w:tc>
          <w:tcPr>
            <w:tcW w:w="5636" w:type="dxa"/>
            <w:shd w:val="clear" w:color="auto" w:fill="auto"/>
          </w:tcPr>
          <w:p w:rsidR="00963ECD" w:rsidRPr="00FA2E24" w:rsidRDefault="0020740A" w:rsidP="00963E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Water, pea protein (23%), canola oil, natural aromas</w:t>
            </w:r>
            <w:r w:rsidR="003E7071" w:rsidRPr="00FA2E24">
              <w:rPr>
                <w:rFonts w:ascii="Times New Roman" w:hAnsi="Times New Roman" w:cs="Times New Roman"/>
                <w:sz w:val="20"/>
                <w:szCs w:val="20"/>
                <w:lang w:val="en-US"/>
              </w:rPr>
              <w:t>, rice starch</w:t>
            </w:r>
            <w:r w:rsidRPr="00FA2E24">
              <w:rPr>
                <w:rFonts w:ascii="Times New Roman" w:hAnsi="Times New Roman" w:cs="Times New Roman"/>
                <w:sz w:val="20"/>
                <w:szCs w:val="20"/>
                <w:lang w:val="en-US"/>
              </w:rPr>
              <w:t xml:space="preserve">, stabilizer: methylcellulose, dried garlic, bamboo fiber, spices, dried spirit vinegar, dried beetroot, salt, </w:t>
            </w:r>
            <w:r w:rsidR="003E7071" w:rsidRPr="00FA2E24">
              <w:rPr>
                <w:rFonts w:ascii="Times New Roman" w:hAnsi="Times New Roman" w:cs="Times New Roman"/>
                <w:sz w:val="20"/>
                <w:szCs w:val="20"/>
                <w:lang w:val="en-US"/>
              </w:rPr>
              <w:t xml:space="preserve">dried </w:t>
            </w:r>
            <w:proofErr w:type="spellStart"/>
            <w:r w:rsidR="003E7071" w:rsidRPr="00FA2E24">
              <w:rPr>
                <w:rFonts w:ascii="Times New Roman" w:hAnsi="Times New Roman" w:cs="Times New Roman"/>
                <w:sz w:val="20"/>
                <w:szCs w:val="20"/>
                <w:lang w:val="en-US"/>
              </w:rPr>
              <w:t>ramson</w:t>
            </w:r>
            <w:proofErr w:type="spellEnd"/>
            <w:r w:rsidR="003E7071" w:rsidRPr="00FA2E24">
              <w:rPr>
                <w:rFonts w:ascii="Times New Roman" w:hAnsi="Times New Roman" w:cs="Times New Roman"/>
                <w:sz w:val="20"/>
                <w:szCs w:val="20"/>
                <w:lang w:val="en-US"/>
              </w:rPr>
              <w:t xml:space="preserve"> (0.04%), barley malt extract, iron, B</w:t>
            </w:r>
            <w:r w:rsidR="003E7071" w:rsidRPr="00FA2E24">
              <w:rPr>
                <w:rFonts w:ascii="Times New Roman" w:hAnsi="Times New Roman" w:cs="Times New Roman"/>
                <w:sz w:val="20"/>
                <w:szCs w:val="20"/>
                <w:vertAlign w:val="subscript"/>
                <w:lang w:val="en-US"/>
              </w:rPr>
              <w:t>12</w:t>
            </w:r>
            <w:r w:rsidR="003E7071" w:rsidRPr="00FA2E24">
              <w:rPr>
                <w:rFonts w:ascii="Times New Roman" w:hAnsi="Times New Roman" w:cs="Times New Roman"/>
                <w:sz w:val="20"/>
                <w:szCs w:val="20"/>
                <w:lang w:val="en-US"/>
              </w:rPr>
              <w:t xml:space="preserve"> vitamin, smoke aroma</w:t>
            </w:r>
          </w:p>
        </w:tc>
      </w:tr>
      <w:tr w:rsidR="00963ECD" w:rsidRPr="00FA2E24" w:rsidTr="00A4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rsidR="00963ECD" w:rsidRPr="00FA2E24" w:rsidRDefault="00A44AA0" w:rsidP="00963ECD">
            <w:pPr>
              <w:jc w:val="center"/>
              <w:rPr>
                <w:rFonts w:ascii="Times New Roman" w:hAnsi="Times New Roman" w:cs="Times New Roman"/>
                <w:sz w:val="20"/>
                <w:szCs w:val="20"/>
                <w:lang w:val="en-US"/>
              </w:rPr>
            </w:pPr>
            <w:r w:rsidRPr="00FA2E24">
              <w:rPr>
                <w:rFonts w:ascii="Times New Roman" w:hAnsi="Times New Roman" w:cs="Times New Roman"/>
                <w:sz w:val="20"/>
                <w:szCs w:val="20"/>
                <w:lang w:val="en-US"/>
              </w:rPr>
              <w:t>3</w:t>
            </w:r>
          </w:p>
        </w:tc>
        <w:tc>
          <w:tcPr>
            <w:tcW w:w="2268" w:type="dxa"/>
            <w:shd w:val="clear" w:color="auto" w:fill="auto"/>
          </w:tcPr>
          <w:p w:rsidR="00963ECD" w:rsidRPr="00FA2E24" w:rsidRDefault="00963ECD" w:rsidP="00963EC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Plant-based meatballs</w:t>
            </w:r>
          </w:p>
        </w:tc>
        <w:tc>
          <w:tcPr>
            <w:tcW w:w="5636" w:type="dxa"/>
            <w:shd w:val="clear" w:color="auto" w:fill="auto"/>
          </w:tcPr>
          <w:p w:rsidR="00963ECD" w:rsidRPr="00FA2E24" w:rsidRDefault="003E7071" w:rsidP="00963EC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Water, pea protein (23%), canola oil, natural aromas, pumpkin seeds protein,  stabilizer: methylcellulose, potato starch, dried red onion (0.9%), dried white onion, dried spirit vinegar, dried thyme (0.5%), salt, barley malt extract, dried beetroot, iron, B</w:t>
            </w:r>
            <w:r w:rsidRPr="00FA2E24">
              <w:rPr>
                <w:rFonts w:ascii="Times New Roman" w:hAnsi="Times New Roman" w:cs="Times New Roman"/>
                <w:sz w:val="20"/>
                <w:szCs w:val="20"/>
                <w:vertAlign w:val="subscript"/>
                <w:lang w:val="en-US"/>
              </w:rPr>
              <w:t>12</w:t>
            </w:r>
            <w:r w:rsidRPr="00FA2E24">
              <w:rPr>
                <w:rFonts w:ascii="Times New Roman" w:hAnsi="Times New Roman" w:cs="Times New Roman"/>
                <w:sz w:val="20"/>
                <w:szCs w:val="20"/>
                <w:lang w:val="en-US"/>
              </w:rPr>
              <w:t xml:space="preserve"> vitamin</w:t>
            </w:r>
          </w:p>
        </w:tc>
      </w:tr>
      <w:tr w:rsidR="00963ECD" w:rsidRPr="00FA2E24" w:rsidTr="00A44AA0">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rsidR="00963ECD" w:rsidRPr="00FA2E24" w:rsidRDefault="00A44AA0" w:rsidP="00963ECD">
            <w:pPr>
              <w:jc w:val="center"/>
              <w:rPr>
                <w:rFonts w:ascii="Times New Roman" w:hAnsi="Times New Roman" w:cs="Times New Roman"/>
                <w:sz w:val="20"/>
                <w:szCs w:val="20"/>
                <w:lang w:val="en-US"/>
              </w:rPr>
            </w:pPr>
            <w:r w:rsidRPr="00FA2E24">
              <w:rPr>
                <w:rFonts w:ascii="Times New Roman" w:hAnsi="Times New Roman" w:cs="Times New Roman"/>
                <w:sz w:val="20"/>
                <w:szCs w:val="20"/>
                <w:lang w:val="en-US"/>
              </w:rPr>
              <w:t>4</w:t>
            </w:r>
          </w:p>
        </w:tc>
        <w:tc>
          <w:tcPr>
            <w:tcW w:w="2268" w:type="dxa"/>
            <w:shd w:val="clear" w:color="auto" w:fill="auto"/>
          </w:tcPr>
          <w:p w:rsidR="00963ECD" w:rsidRPr="00FA2E24" w:rsidRDefault="00963ECD" w:rsidP="00963E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Plant-based meatballs</w:t>
            </w:r>
          </w:p>
        </w:tc>
        <w:tc>
          <w:tcPr>
            <w:tcW w:w="5636" w:type="dxa"/>
            <w:shd w:val="clear" w:color="auto" w:fill="auto"/>
          </w:tcPr>
          <w:p w:rsidR="00963ECD" w:rsidRPr="00FA2E24" w:rsidRDefault="003E7071" w:rsidP="00963E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 xml:space="preserve">Water, fried onion (onion 22%, canola oil), texturized pea protein (23%), canola oil, spices mixture [aromas, spices (including onion, garlic), sugar, salt], thickening agent: methylcellulose, cellulose; </w:t>
            </w:r>
            <w:r w:rsidR="00A44AA0" w:rsidRPr="00FA2E24">
              <w:rPr>
                <w:rFonts w:ascii="Times New Roman" w:hAnsi="Times New Roman" w:cs="Times New Roman"/>
                <w:sz w:val="20"/>
                <w:szCs w:val="20"/>
                <w:lang w:val="en-US"/>
              </w:rPr>
              <w:t>caramelized</w:t>
            </w:r>
            <w:r w:rsidRPr="00FA2E24">
              <w:rPr>
                <w:rFonts w:ascii="Times New Roman" w:hAnsi="Times New Roman" w:cs="Times New Roman"/>
                <w:sz w:val="20"/>
                <w:szCs w:val="20"/>
                <w:lang w:val="en-US"/>
              </w:rPr>
              <w:t xml:space="preserve"> sugar, </w:t>
            </w:r>
            <w:r w:rsidR="00A44AA0" w:rsidRPr="00FA2E24">
              <w:rPr>
                <w:rFonts w:ascii="Times New Roman" w:hAnsi="Times New Roman" w:cs="Times New Roman"/>
                <w:sz w:val="20"/>
                <w:szCs w:val="20"/>
                <w:lang w:val="en-US"/>
              </w:rPr>
              <w:t>dried milled beetroot, spices extract, aroma, salt, pepper</w:t>
            </w:r>
          </w:p>
        </w:tc>
      </w:tr>
      <w:tr w:rsidR="00963ECD" w:rsidRPr="00FA2E24" w:rsidTr="00A4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rsidR="00963ECD" w:rsidRPr="00FA2E24" w:rsidRDefault="00A44AA0" w:rsidP="00963ECD">
            <w:pPr>
              <w:jc w:val="center"/>
              <w:rPr>
                <w:rFonts w:ascii="Times New Roman" w:hAnsi="Times New Roman" w:cs="Times New Roman"/>
                <w:sz w:val="20"/>
                <w:szCs w:val="20"/>
                <w:lang w:val="en-US"/>
              </w:rPr>
            </w:pPr>
            <w:r w:rsidRPr="00FA2E24">
              <w:rPr>
                <w:rFonts w:ascii="Times New Roman" w:hAnsi="Times New Roman" w:cs="Times New Roman"/>
                <w:sz w:val="20"/>
                <w:szCs w:val="20"/>
                <w:lang w:val="en-US"/>
              </w:rPr>
              <w:t>5</w:t>
            </w:r>
          </w:p>
        </w:tc>
        <w:tc>
          <w:tcPr>
            <w:tcW w:w="2268" w:type="dxa"/>
            <w:shd w:val="clear" w:color="auto" w:fill="auto"/>
          </w:tcPr>
          <w:p w:rsidR="00963ECD" w:rsidRPr="00FA2E24" w:rsidRDefault="00963ECD" w:rsidP="00963EC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Plant-based gyros</w:t>
            </w:r>
          </w:p>
        </w:tc>
        <w:tc>
          <w:tcPr>
            <w:tcW w:w="5636" w:type="dxa"/>
            <w:shd w:val="clear" w:color="auto" w:fill="auto"/>
          </w:tcPr>
          <w:p w:rsidR="00963ECD" w:rsidRPr="00FA2E24" w:rsidRDefault="00A44AA0" w:rsidP="00963EC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Water, extruded pea protein 33.2%, canola oil, wheat protein 5.5%, spices, salt, sugars (sugar, caramelized sugar), aromas</w:t>
            </w:r>
          </w:p>
        </w:tc>
      </w:tr>
      <w:tr w:rsidR="00963ECD" w:rsidRPr="00FA2E24" w:rsidTr="00A44AA0">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rsidR="00963ECD" w:rsidRPr="00FA2E24" w:rsidRDefault="00A44AA0" w:rsidP="00963ECD">
            <w:pPr>
              <w:jc w:val="center"/>
              <w:rPr>
                <w:rFonts w:ascii="Times New Roman" w:hAnsi="Times New Roman" w:cs="Times New Roman"/>
                <w:sz w:val="20"/>
                <w:szCs w:val="20"/>
                <w:lang w:val="en-US"/>
              </w:rPr>
            </w:pPr>
            <w:r w:rsidRPr="00FA2E24">
              <w:rPr>
                <w:rFonts w:ascii="Times New Roman" w:hAnsi="Times New Roman" w:cs="Times New Roman"/>
                <w:sz w:val="20"/>
                <w:szCs w:val="20"/>
                <w:lang w:val="en-US"/>
              </w:rPr>
              <w:t>6</w:t>
            </w:r>
          </w:p>
        </w:tc>
        <w:tc>
          <w:tcPr>
            <w:tcW w:w="2268" w:type="dxa"/>
            <w:shd w:val="clear" w:color="auto" w:fill="auto"/>
          </w:tcPr>
          <w:p w:rsidR="00963ECD" w:rsidRPr="00FA2E24" w:rsidRDefault="00963ECD" w:rsidP="00963E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Plant-based gyros</w:t>
            </w:r>
          </w:p>
        </w:tc>
        <w:tc>
          <w:tcPr>
            <w:tcW w:w="5636" w:type="dxa"/>
            <w:shd w:val="clear" w:color="auto" w:fill="auto"/>
          </w:tcPr>
          <w:p w:rsidR="00963ECD" w:rsidRPr="00FA2E24" w:rsidRDefault="00A44AA0" w:rsidP="00963E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Water, texturized pea protein, canola oil, natural aromas, spices, dried red sweet pepper, salt</w:t>
            </w:r>
          </w:p>
        </w:tc>
      </w:tr>
      <w:tr w:rsidR="00963ECD" w:rsidRPr="00FA2E24" w:rsidTr="00AE5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bottom w:val="single" w:sz="12" w:space="0" w:color="auto"/>
            </w:tcBorders>
            <w:shd w:val="clear" w:color="auto" w:fill="auto"/>
          </w:tcPr>
          <w:p w:rsidR="00963ECD" w:rsidRPr="00FA2E24" w:rsidRDefault="00A44AA0" w:rsidP="00963ECD">
            <w:pPr>
              <w:jc w:val="center"/>
              <w:rPr>
                <w:rFonts w:ascii="Times New Roman" w:hAnsi="Times New Roman" w:cs="Times New Roman"/>
                <w:sz w:val="20"/>
                <w:szCs w:val="20"/>
                <w:lang w:val="en-US"/>
              </w:rPr>
            </w:pPr>
            <w:r w:rsidRPr="00FA2E24">
              <w:rPr>
                <w:rFonts w:ascii="Times New Roman" w:hAnsi="Times New Roman" w:cs="Times New Roman"/>
                <w:sz w:val="20"/>
                <w:szCs w:val="20"/>
                <w:lang w:val="en-US"/>
              </w:rPr>
              <w:t>7</w:t>
            </w:r>
          </w:p>
        </w:tc>
        <w:tc>
          <w:tcPr>
            <w:tcW w:w="2268" w:type="dxa"/>
            <w:tcBorders>
              <w:bottom w:val="single" w:sz="12" w:space="0" w:color="auto"/>
            </w:tcBorders>
            <w:shd w:val="clear" w:color="auto" w:fill="auto"/>
          </w:tcPr>
          <w:p w:rsidR="00963ECD" w:rsidRPr="00FA2E24" w:rsidRDefault="00963ECD" w:rsidP="00963EC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Chicken-like pieces</w:t>
            </w:r>
          </w:p>
        </w:tc>
        <w:tc>
          <w:tcPr>
            <w:tcW w:w="5636" w:type="dxa"/>
            <w:tcBorders>
              <w:bottom w:val="single" w:sz="12" w:space="0" w:color="auto"/>
            </w:tcBorders>
            <w:shd w:val="clear" w:color="auto" w:fill="auto"/>
          </w:tcPr>
          <w:p w:rsidR="00963ECD" w:rsidRPr="00FA2E24" w:rsidRDefault="00A44AA0" w:rsidP="00963EC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A2E24">
              <w:rPr>
                <w:rFonts w:ascii="Times New Roman" w:hAnsi="Times New Roman" w:cs="Times New Roman"/>
                <w:sz w:val="20"/>
                <w:szCs w:val="20"/>
                <w:lang w:val="en-US"/>
              </w:rPr>
              <w:t>Water, pea protein 33%, canola oil, pea fiber, spices, salt, marjoram, natural aromas, B</w:t>
            </w:r>
            <w:r w:rsidRPr="00FA2E24">
              <w:rPr>
                <w:rFonts w:ascii="Times New Roman" w:hAnsi="Times New Roman" w:cs="Times New Roman"/>
                <w:sz w:val="20"/>
                <w:szCs w:val="20"/>
                <w:vertAlign w:val="subscript"/>
                <w:lang w:val="en-US"/>
              </w:rPr>
              <w:t>12</w:t>
            </w:r>
            <w:r w:rsidRPr="00FA2E24">
              <w:rPr>
                <w:rFonts w:ascii="Times New Roman" w:hAnsi="Times New Roman" w:cs="Times New Roman"/>
                <w:sz w:val="20"/>
                <w:szCs w:val="20"/>
                <w:lang w:val="en-US"/>
              </w:rPr>
              <w:t xml:space="preserve"> vitamin</w:t>
            </w:r>
          </w:p>
        </w:tc>
      </w:tr>
    </w:tbl>
    <w:p w:rsidR="00963ECD" w:rsidRPr="00FA2E24" w:rsidRDefault="00963ECD" w:rsidP="00963ECD">
      <w:pPr>
        <w:rPr>
          <w:rFonts w:ascii="Times New Roman" w:hAnsi="Times New Roman" w:cs="Times New Roman"/>
          <w:sz w:val="20"/>
          <w:szCs w:val="20"/>
          <w:lang w:val="en-US"/>
        </w:rPr>
      </w:pPr>
    </w:p>
    <w:p w:rsidR="00461417" w:rsidRPr="00FA2E24" w:rsidRDefault="00461417" w:rsidP="00461417">
      <w:pPr>
        <w:keepNext/>
        <w:jc w:val="center"/>
        <w:rPr>
          <w:rFonts w:ascii="Times New Roman" w:hAnsi="Times New Roman" w:cs="Times New Roman"/>
          <w:sz w:val="20"/>
          <w:szCs w:val="20"/>
        </w:rPr>
      </w:pPr>
      <w:r w:rsidRPr="00FA2E24">
        <w:rPr>
          <w:rFonts w:ascii="Times New Roman" w:hAnsi="Times New Roman" w:cs="Times New Roman"/>
          <w:noProof/>
          <w:sz w:val="20"/>
          <w:szCs w:val="20"/>
          <w:lang w:val="en-GB" w:eastAsia="en-GB"/>
        </w:rPr>
        <w:lastRenderedPageBreak/>
        <w:drawing>
          <wp:inline distT="0" distB="0" distL="0" distR="0" wp14:anchorId="312F166E" wp14:editId="767C4064">
            <wp:extent cx="2570019" cy="2458797"/>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9895" cy="2468245"/>
                    </a:xfrm>
                    <a:prstGeom prst="rect">
                      <a:avLst/>
                    </a:prstGeom>
                    <a:noFill/>
                    <a:ln>
                      <a:noFill/>
                    </a:ln>
                  </pic:spPr>
                </pic:pic>
              </a:graphicData>
            </a:graphic>
          </wp:inline>
        </w:drawing>
      </w:r>
    </w:p>
    <w:p w:rsidR="00825890" w:rsidRPr="00FA2E24" w:rsidRDefault="00461417" w:rsidP="00461417">
      <w:pPr>
        <w:pStyle w:val="Legenda"/>
        <w:rPr>
          <w:rFonts w:ascii="Times New Roman" w:hAnsi="Times New Roman" w:cs="Times New Roman"/>
          <w:color w:val="auto"/>
          <w:sz w:val="20"/>
          <w:szCs w:val="20"/>
          <w:lang w:val="en-US"/>
        </w:rPr>
      </w:pPr>
      <w:r w:rsidRPr="00FA2E24">
        <w:rPr>
          <w:rFonts w:ascii="Times New Roman" w:hAnsi="Times New Roman" w:cs="Times New Roman"/>
          <w:color w:val="auto"/>
          <w:sz w:val="20"/>
          <w:szCs w:val="20"/>
          <w:lang w:val="en-GB"/>
        </w:rPr>
        <w:t>Figure S</w:t>
      </w:r>
      <w:r w:rsidRPr="00FA2E24">
        <w:rPr>
          <w:rFonts w:ascii="Times New Roman" w:hAnsi="Times New Roman" w:cs="Times New Roman"/>
          <w:color w:val="auto"/>
          <w:sz w:val="20"/>
          <w:szCs w:val="20"/>
        </w:rPr>
        <w:fldChar w:fldCharType="begin"/>
      </w:r>
      <w:r w:rsidRPr="00FA2E24">
        <w:rPr>
          <w:rFonts w:ascii="Times New Roman" w:hAnsi="Times New Roman" w:cs="Times New Roman"/>
          <w:color w:val="auto"/>
          <w:sz w:val="20"/>
          <w:szCs w:val="20"/>
          <w:lang w:val="en-GB"/>
        </w:rPr>
        <w:instrText xml:space="preserve"> SEQ Figure \* ARABIC </w:instrText>
      </w:r>
      <w:r w:rsidRPr="00FA2E24">
        <w:rPr>
          <w:rFonts w:ascii="Times New Roman" w:hAnsi="Times New Roman" w:cs="Times New Roman"/>
          <w:color w:val="auto"/>
          <w:sz w:val="20"/>
          <w:szCs w:val="20"/>
        </w:rPr>
        <w:fldChar w:fldCharType="separate"/>
      </w:r>
      <w:r w:rsidRPr="00FA2E24">
        <w:rPr>
          <w:rFonts w:ascii="Times New Roman" w:hAnsi="Times New Roman" w:cs="Times New Roman"/>
          <w:noProof/>
          <w:color w:val="auto"/>
          <w:sz w:val="20"/>
          <w:szCs w:val="20"/>
          <w:lang w:val="en-GB"/>
        </w:rPr>
        <w:t>3</w:t>
      </w:r>
      <w:r w:rsidRPr="00FA2E24">
        <w:rPr>
          <w:rFonts w:ascii="Times New Roman" w:hAnsi="Times New Roman" w:cs="Times New Roman"/>
          <w:color w:val="auto"/>
          <w:sz w:val="20"/>
          <w:szCs w:val="20"/>
        </w:rPr>
        <w:fldChar w:fldCharType="end"/>
      </w:r>
      <w:r w:rsidRPr="00FA2E24">
        <w:rPr>
          <w:rFonts w:ascii="Times New Roman" w:hAnsi="Times New Roman" w:cs="Times New Roman"/>
          <w:color w:val="auto"/>
          <w:sz w:val="20"/>
          <w:szCs w:val="20"/>
          <w:lang w:val="en-GB"/>
        </w:rPr>
        <w:t xml:space="preserve"> </w:t>
      </w:r>
      <w:r w:rsidRPr="00FA2E24">
        <w:rPr>
          <w:rFonts w:ascii="Times New Roman" w:hAnsi="Times New Roman" w:cs="Times New Roman"/>
          <w:b w:val="0"/>
          <w:color w:val="auto"/>
          <w:sz w:val="20"/>
          <w:szCs w:val="20"/>
          <w:lang w:val="en-GB"/>
        </w:rPr>
        <w:t>The BAGI index pictogram for the developed procedure</w:t>
      </w:r>
    </w:p>
    <w:p w:rsidR="00461417" w:rsidRPr="00FA2E24" w:rsidRDefault="00461417" w:rsidP="00461417">
      <w:pPr>
        <w:rPr>
          <w:rFonts w:ascii="Times New Roman" w:hAnsi="Times New Roman" w:cs="Times New Roman"/>
          <w:sz w:val="20"/>
          <w:szCs w:val="20"/>
          <w:lang w:val="en-US"/>
        </w:rPr>
      </w:pPr>
    </w:p>
    <w:p w:rsidR="00825890" w:rsidRPr="00FA2E24" w:rsidRDefault="00825890" w:rsidP="00461417">
      <w:pPr>
        <w:pStyle w:val="Legenda"/>
        <w:jc w:val="both"/>
        <w:rPr>
          <w:rFonts w:ascii="Times New Roman" w:hAnsi="Times New Roman" w:cs="Times New Roman"/>
          <w:color w:val="000000" w:themeColor="text1"/>
          <w:sz w:val="20"/>
          <w:szCs w:val="20"/>
          <w:lang w:val="en-US"/>
        </w:rPr>
      </w:pPr>
      <w:r w:rsidRPr="00FA2E24">
        <w:rPr>
          <w:rFonts w:ascii="Times New Roman" w:hAnsi="Times New Roman" w:cs="Times New Roman"/>
          <w:color w:val="000000" w:themeColor="text1"/>
          <w:sz w:val="20"/>
          <w:szCs w:val="20"/>
          <w:lang w:val="en-US"/>
        </w:rPr>
        <w:t>References</w:t>
      </w:r>
    </w:p>
    <w:p w:rsidR="00E02FB1" w:rsidRPr="00FA2E24" w:rsidRDefault="003B0787" w:rsidP="00E02FB1">
      <w:pPr>
        <w:pStyle w:val="Bibliografia"/>
        <w:rPr>
          <w:rFonts w:ascii="Times New Roman" w:hAnsi="Times New Roman" w:cs="Times New Roman"/>
          <w:sz w:val="20"/>
          <w:szCs w:val="20"/>
          <w:lang w:val="en-GB"/>
        </w:rPr>
      </w:pPr>
      <w:r w:rsidRPr="00FA2E24">
        <w:rPr>
          <w:rFonts w:ascii="Times New Roman" w:hAnsi="Times New Roman" w:cs="Times New Roman"/>
          <w:sz w:val="20"/>
          <w:szCs w:val="20"/>
        </w:rPr>
        <w:fldChar w:fldCharType="begin" w:fldLock="1"/>
      </w:r>
      <w:r w:rsidR="00E02FB1" w:rsidRPr="00FA2E24">
        <w:rPr>
          <w:rFonts w:ascii="Times New Roman" w:hAnsi="Times New Roman" w:cs="Times New Roman"/>
          <w:sz w:val="20"/>
          <w:szCs w:val="20"/>
          <w:lang w:val="en-US"/>
        </w:rPr>
        <w:instrText xml:space="preserve"> ADDIN ZOTERO_BIBL {"uncited":[],"omitted":[],"custom":[]} CSL_BIBLIOGRAPHY </w:instrText>
      </w:r>
      <w:r w:rsidRPr="00FA2E24">
        <w:rPr>
          <w:rFonts w:ascii="Times New Roman" w:hAnsi="Times New Roman" w:cs="Times New Roman"/>
          <w:sz w:val="20"/>
          <w:szCs w:val="20"/>
        </w:rPr>
        <w:fldChar w:fldCharType="separate"/>
      </w:r>
      <w:r w:rsidR="00E02FB1" w:rsidRPr="00FA2E24">
        <w:rPr>
          <w:rFonts w:ascii="Times New Roman" w:hAnsi="Times New Roman" w:cs="Times New Roman"/>
          <w:sz w:val="20"/>
          <w:szCs w:val="20"/>
          <w:lang w:val="en-GB"/>
        </w:rPr>
        <w:t xml:space="preserve">1. </w:t>
      </w:r>
      <w:r w:rsidR="00E02FB1" w:rsidRPr="00FA2E24">
        <w:rPr>
          <w:rFonts w:ascii="Times New Roman" w:hAnsi="Times New Roman" w:cs="Times New Roman"/>
          <w:sz w:val="20"/>
          <w:szCs w:val="20"/>
          <w:lang w:val="en-GB"/>
        </w:rPr>
        <w:tab/>
        <w:t>Ozturk B, Gonzalez-Miquel M (2019) Alkanediol-based deep eutectic solvents for isolation of terpenoids from citrus essential oil: Experimental evaluation and COSMO-RS studies. Sep Purif Technol 227:115707. https://doi.org/10.1016/J.SEPPUR.2019.115707</w:t>
      </w:r>
    </w:p>
    <w:p w:rsidR="00E02FB1" w:rsidRPr="00FA2E24" w:rsidRDefault="00E02FB1" w:rsidP="00E02FB1">
      <w:pPr>
        <w:pStyle w:val="Bibliografia"/>
        <w:rPr>
          <w:rFonts w:ascii="Times New Roman" w:hAnsi="Times New Roman" w:cs="Times New Roman"/>
          <w:sz w:val="20"/>
          <w:szCs w:val="20"/>
          <w:lang w:val="en-GB"/>
        </w:rPr>
      </w:pPr>
      <w:r w:rsidRPr="00FA2E24">
        <w:rPr>
          <w:rFonts w:ascii="Times New Roman" w:hAnsi="Times New Roman" w:cs="Times New Roman"/>
          <w:sz w:val="20"/>
          <w:szCs w:val="20"/>
          <w:lang w:val="en-GB"/>
        </w:rPr>
        <w:t xml:space="preserve">2. </w:t>
      </w:r>
      <w:r w:rsidRPr="00FA2E24">
        <w:rPr>
          <w:rFonts w:ascii="Times New Roman" w:hAnsi="Times New Roman" w:cs="Times New Roman"/>
          <w:sz w:val="20"/>
          <w:szCs w:val="20"/>
          <w:lang w:val="en-GB"/>
        </w:rPr>
        <w:tab/>
        <w:t>Słupek E, Makoś-Chełstowska P, Gębicki J (2021) Removal of siloxanes from model biogas by means of deep eutectic solvents in absorption process. Materials 14:1–20. https://doi.org/10.3390/ma14020241</w:t>
      </w:r>
    </w:p>
    <w:p w:rsidR="00E02FB1" w:rsidRPr="00FA2E24" w:rsidRDefault="00E02FB1" w:rsidP="00E02FB1">
      <w:pPr>
        <w:pStyle w:val="Bibliografia"/>
        <w:rPr>
          <w:rFonts w:ascii="Times New Roman" w:hAnsi="Times New Roman" w:cs="Times New Roman"/>
          <w:sz w:val="20"/>
          <w:szCs w:val="20"/>
          <w:lang w:val="en-GB"/>
        </w:rPr>
      </w:pPr>
      <w:r w:rsidRPr="00FA2E24">
        <w:rPr>
          <w:rFonts w:ascii="Times New Roman" w:hAnsi="Times New Roman" w:cs="Times New Roman"/>
          <w:sz w:val="20"/>
          <w:szCs w:val="20"/>
          <w:lang w:val="en-GB"/>
        </w:rPr>
        <w:t xml:space="preserve">3. </w:t>
      </w:r>
      <w:r w:rsidRPr="00FA2E24">
        <w:rPr>
          <w:rFonts w:ascii="Times New Roman" w:hAnsi="Times New Roman" w:cs="Times New Roman"/>
          <w:sz w:val="20"/>
          <w:szCs w:val="20"/>
          <w:lang w:val="en-GB"/>
        </w:rPr>
        <w:tab/>
        <w:t>Makoś-Chełstowska P, Słupek E, Małachowska A (2022) Superhydrophobic sponges based on green deep eutectic solvents for spill oil removal from water. J Hazard Mater 425:. https://doi.org/10.1016/j.jhazmat.2021.127972</w:t>
      </w:r>
    </w:p>
    <w:p w:rsidR="00E02FB1" w:rsidRPr="00FA2E24" w:rsidRDefault="00E02FB1" w:rsidP="00E02FB1">
      <w:pPr>
        <w:pStyle w:val="Bibliografia"/>
        <w:rPr>
          <w:rFonts w:ascii="Times New Roman" w:hAnsi="Times New Roman" w:cs="Times New Roman"/>
          <w:sz w:val="20"/>
          <w:szCs w:val="20"/>
          <w:lang w:val="en-GB"/>
        </w:rPr>
      </w:pPr>
      <w:r w:rsidRPr="00FA2E24">
        <w:rPr>
          <w:rFonts w:ascii="Times New Roman" w:hAnsi="Times New Roman" w:cs="Times New Roman"/>
          <w:sz w:val="20"/>
          <w:szCs w:val="20"/>
          <w:lang w:val="en-GB"/>
        </w:rPr>
        <w:t xml:space="preserve">4. </w:t>
      </w:r>
      <w:r w:rsidRPr="00FA2E24">
        <w:rPr>
          <w:rFonts w:ascii="Times New Roman" w:hAnsi="Times New Roman" w:cs="Times New Roman"/>
          <w:sz w:val="20"/>
          <w:szCs w:val="20"/>
          <w:lang w:val="en-GB"/>
        </w:rPr>
        <w:tab/>
        <w:t>Ojeda RM, Llovell F (2018) Soft-SAFT Transferable Molecular Models for the Description of Gas Solubility in Eutectic Ammonium Salt-Based Solvents. J Chem Eng Data 63:2599–2612. https://doi.org/10.1021/acs.jced.7b01103</w:t>
      </w:r>
    </w:p>
    <w:p w:rsidR="00E02FB1" w:rsidRPr="00FA2E24" w:rsidRDefault="00E02FB1" w:rsidP="00E02FB1">
      <w:pPr>
        <w:pStyle w:val="Bibliografia"/>
        <w:rPr>
          <w:rFonts w:ascii="Times New Roman" w:hAnsi="Times New Roman" w:cs="Times New Roman"/>
          <w:sz w:val="20"/>
          <w:szCs w:val="20"/>
          <w:lang w:val="en-GB"/>
        </w:rPr>
      </w:pPr>
      <w:r w:rsidRPr="00FA2E24">
        <w:rPr>
          <w:rFonts w:ascii="Times New Roman" w:hAnsi="Times New Roman" w:cs="Times New Roman"/>
          <w:sz w:val="20"/>
          <w:szCs w:val="20"/>
          <w:lang w:val="en-GB"/>
        </w:rPr>
        <w:t xml:space="preserve">5. </w:t>
      </w:r>
      <w:r w:rsidRPr="00FA2E24">
        <w:rPr>
          <w:rFonts w:ascii="Times New Roman" w:hAnsi="Times New Roman" w:cs="Times New Roman"/>
          <w:sz w:val="20"/>
          <w:szCs w:val="20"/>
          <w:lang w:val="en-GB"/>
        </w:rPr>
        <w:tab/>
        <w:t>Chu Y, He X (2019) MoDoop: An Automated Computational Approach for COSMO-RS Prediction of Biopolymer Solubilities in Ionic Liquids. ACS Omega 4:2337–2343. https://doi.org/10.1021/acsomega.8b03255</w:t>
      </w:r>
    </w:p>
    <w:p w:rsidR="00E02FB1" w:rsidRPr="00FA2E24" w:rsidRDefault="00E02FB1" w:rsidP="00E02FB1">
      <w:pPr>
        <w:pStyle w:val="Bibliografia"/>
        <w:rPr>
          <w:rFonts w:ascii="Times New Roman" w:hAnsi="Times New Roman" w:cs="Times New Roman"/>
          <w:sz w:val="20"/>
          <w:szCs w:val="20"/>
        </w:rPr>
      </w:pPr>
      <w:r w:rsidRPr="00FA2E24">
        <w:rPr>
          <w:rFonts w:ascii="Times New Roman" w:hAnsi="Times New Roman" w:cs="Times New Roman"/>
          <w:sz w:val="20"/>
          <w:szCs w:val="20"/>
          <w:lang w:val="en-GB"/>
        </w:rPr>
        <w:t xml:space="preserve">6. </w:t>
      </w:r>
      <w:r w:rsidRPr="00FA2E24">
        <w:rPr>
          <w:rFonts w:ascii="Times New Roman" w:hAnsi="Times New Roman" w:cs="Times New Roman"/>
          <w:sz w:val="20"/>
          <w:szCs w:val="20"/>
          <w:lang w:val="en-GB"/>
        </w:rPr>
        <w:tab/>
        <w:t xml:space="preserve">Chemat F, Anjum H, Shariff AM, Kumar P, Murugesan T (2016) Thermal and physical properties of (Choline chloride + urea + l-arginine) deep eutectic solvents. </w:t>
      </w:r>
      <w:r w:rsidRPr="00FA2E24">
        <w:rPr>
          <w:rFonts w:ascii="Times New Roman" w:hAnsi="Times New Roman" w:cs="Times New Roman"/>
          <w:sz w:val="20"/>
          <w:szCs w:val="20"/>
        </w:rPr>
        <w:t>J Mol Liq 218:301–308. https://doi.org/10.1016/J.MOLLIQ.2016.02.062</w:t>
      </w:r>
    </w:p>
    <w:p w:rsidR="00457062" w:rsidRPr="00FA2E24" w:rsidRDefault="003B0787" w:rsidP="00461417">
      <w:pPr>
        <w:jc w:val="both"/>
        <w:rPr>
          <w:rFonts w:ascii="Times New Roman" w:hAnsi="Times New Roman" w:cs="Times New Roman"/>
          <w:sz w:val="20"/>
          <w:szCs w:val="20"/>
          <w:lang w:val="en-US"/>
        </w:rPr>
      </w:pPr>
      <w:r w:rsidRPr="00FA2E24">
        <w:rPr>
          <w:rFonts w:ascii="Times New Roman" w:hAnsi="Times New Roman" w:cs="Times New Roman"/>
          <w:sz w:val="20"/>
          <w:szCs w:val="20"/>
        </w:rPr>
        <w:fldChar w:fldCharType="end"/>
      </w:r>
    </w:p>
    <w:sectPr w:rsidR="00457062" w:rsidRPr="00FA2E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dvOT8608a8d1+03">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57F"/>
    <w:rsid w:val="0011619E"/>
    <w:rsid w:val="00192661"/>
    <w:rsid w:val="0020740A"/>
    <w:rsid w:val="002B37AA"/>
    <w:rsid w:val="00362D90"/>
    <w:rsid w:val="003B0787"/>
    <w:rsid w:val="003E7071"/>
    <w:rsid w:val="00441747"/>
    <w:rsid w:val="00457062"/>
    <w:rsid w:val="00461417"/>
    <w:rsid w:val="00485ABD"/>
    <w:rsid w:val="005C557F"/>
    <w:rsid w:val="005F35B4"/>
    <w:rsid w:val="006E6116"/>
    <w:rsid w:val="00766474"/>
    <w:rsid w:val="00825890"/>
    <w:rsid w:val="00963ECD"/>
    <w:rsid w:val="00A44AA0"/>
    <w:rsid w:val="00A93226"/>
    <w:rsid w:val="00AE5883"/>
    <w:rsid w:val="00B9102A"/>
    <w:rsid w:val="00DB4BF8"/>
    <w:rsid w:val="00E02FB1"/>
    <w:rsid w:val="00F50CA4"/>
    <w:rsid w:val="00FA2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727C89-660E-4A60-AB90-10C49FFB0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25890"/>
    <w:rPr>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825890"/>
    <w:pPr>
      <w:spacing w:after="0" w:line="240" w:lineRule="auto"/>
    </w:pPr>
    <w:rPr>
      <w:lang w:val="pl-PL"/>
    </w:rPr>
  </w:style>
  <w:style w:type="paragraph" w:styleId="Legenda">
    <w:name w:val="caption"/>
    <w:basedOn w:val="Normalny"/>
    <w:next w:val="Normalny"/>
    <w:uiPriority w:val="35"/>
    <w:unhideWhenUsed/>
    <w:qFormat/>
    <w:rsid w:val="00825890"/>
    <w:pPr>
      <w:spacing w:line="240" w:lineRule="auto"/>
    </w:pPr>
    <w:rPr>
      <w:b/>
      <w:bCs/>
      <w:color w:val="4F81BD" w:themeColor="accent1"/>
      <w:sz w:val="18"/>
      <w:szCs w:val="18"/>
    </w:rPr>
  </w:style>
  <w:style w:type="paragraph" w:styleId="NormalnyWeb">
    <w:name w:val="Normal (Web)"/>
    <w:basedOn w:val="Normalny"/>
    <w:uiPriority w:val="99"/>
    <w:unhideWhenUsed/>
    <w:rsid w:val="0082589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pjlv">
    <w:name w:val="c-pjlv"/>
    <w:basedOn w:val="Domylnaczcionkaakapitu"/>
    <w:rsid w:val="00825890"/>
  </w:style>
  <w:style w:type="paragraph" w:styleId="Tekstdymka">
    <w:name w:val="Balloon Text"/>
    <w:basedOn w:val="Normalny"/>
    <w:link w:val="TekstdymkaZnak"/>
    <w:uiPriority w:val="99"/>
    <w:semiHidden/>
    <w:unhideWhenUsed/>
    <w:rsid w:val="0082589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25890"/>
    <w:rPr>
      <w:rFonts w:ascii="Tahoma" w:hAnsi="Tahoma" w:cs="Tahoma"/>
      <w:sz w:val="16"/>
      <w:szCs w:val="16"/>
      <w:lang w:val="pl-PL"/>
    </w:rPr>
  </w:style>
  <w:style w:type="table" w:styleId="Tabela-Siatka">
    <w:name w:val="Table Grid"/>
    <w:basedOn w:val="Standardowy"/>
    <w:uiPriority w:val="59"/>
    <w:rsid w:val="00825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82589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Odwoaniedokomentarza">
    <w:name w:val="annotation reference"/>
    <w:basedOn w:val="Domylnaczcionkaakapitu"/>
    <w:uiPriority w:val="99"/>
    <w:semiHidden/>
    <w:unhideWhenUsed/>
    <w:rsid w:val="00963ECD"/>
    <w:rPr>
      <w:sz w:val="16"/>
      <w:szCs w:val="16"/>
    </w:rPr>
  </w:style>
  <w:style w:type="paragraph" w:styleId="Tekstkomentarza">
    <w:name w:val="annotation text"/>
    <w:basedOn w:val="Normalny"/>
    <w:link w:val="TekstkomentarzaZnak"/>
    <w:uiPriority w:val="99"/>
    <w:semiHidden/>
    <w:unhideWhenUsed/>
    <w:rsid w:val="00963EC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63ECD"/>
    <w:rPr>
      <w:sz w:val="20"/>
      <w:szCs w:val="20"/>
      <w:lang w:val="pl-PL"/>
    </w:rPr>
  </w:style>
  <w:style w:type="paragraph" w:styleId="Tematkomentarza">
    <w:name w:val="annotation subject"/>
    <w:basedOn w:val="Tekstkomentarza"/>
    <w:next w:val="Tekstkomentarza"/>
    <w:link w:val="TematkomentarzaZnak"/>
    <w:uiPriority w:val="99"/>
    <w:semiHidden/>
    <w:unhideWhenUsed/>
    <w:rsid w:val="00963ECD"/>
    <w:rPr>
      <w:b/>
      <w:bCs/>
    </w:rPr>
  </w:style>
  <w:style w:type="character" w:customStyle="1" w:styleId="TematkomentarzaZnak">
    <w:name w:val="Temat komentarza Znak"/>
    <w:basedOn w:val="TekstkomentarzaZnak"/>
    <w:link w:val="Tematkomentarza"/>
    <w:uiPriority w:val="99"/>
    <w:semiHidden/>
    <w:rsid w:val="00963ECD"/>
    <w:rPr>
      <w:b/>
      <w:bCs/>
      <w:sz w:val="20"/>
      <w:szCs w:val="20"/>
      <w:lang w:val="pl-PL"/>
    </w:rPr>
  </w:style>
  <w:style w:type="paragraph" w:styleId="Akapitzlist">
    <w:name w:val="List Paragraph"/>
    <w:basedOn w:val="Normalny"/>
    <w:uiPriority w:val="34"/>
    <w:qFormat/>
    <w:rsid w:val="00485ABD"/>
    <w:pPr>
      <w:ind w:left="720"/>
      <w:contextualSpacing/>
    </w:pPr>
  </w:style>
  <w:style w:type="paragraph" w:customStyle="1" w:styleId="Iauiue2">
    <w:name w:val="Iau?iue2"/>
    <w:rsid w:val="00DB4BF8"/>
    <w:pPr>
      <w:widowControl w:val="0"/>
      <w:suppressAutoHyphens/>
      <w:spacing w:after="0" w:line="240" w:lineRule="auto"/>
    </w:pPr>
    <w:rPr>
      <w:rFonts w:ascii="Times New Roman" w:eastAsia="Times New Roman" w:hAnsi="Times New Roman" w:cs="Times New Roman"/>
      <w:sz w:val="20"/>
      <w:szCs w:val="20"/>
      <w:lang w:val="ru-RU" w:eastAsia="ar-SA"/>
    </w:rPr>
  </w:style>
  <w:style w:type="paragraph" w:styleId="Bibliografia">
    <w:name w:val="Bibliography"/>
    <w:basedOn w:val="Normalny"/>
    <w:next w:val="Normalny"/>
    <w:uiPriority w:val="37"/>
    <w:unhideWhenUsed/>
    <w:rsid w:val="00E02FB1"/>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0D98B-61EB-4D3F-9B7F-5E4D828BE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5</Pages>
  <Words>3447</Words>
  <Characters>19649</Characters>
  <Application>Microsoft Office Word</Application>
  <DocSecurity>0</DocSecurity>
  <Lines>163</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dc:creator>
  <cp:keywords/>
  <dc:description/>
  <cp:lastModifiedBy>Review</cp:lastModifiedBy>
  <cp:revision>14</cp:revision>
  <dcterms:created xsi:type="dcterms:W3CDTF">2023-10-22T17:09:00Z</dcterms:created>
  <dcterms:modified xsi:type="dcterms:W3CDTF">2023-11-09T11:33:00Z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zotero-version="6.0.27"&gt;&lt;session id="iW0Wwj9Y"/&gt;&lt;style id="http://www.zotero.org/styles/analytical-and-bioanalytical-chemistry" hasBibliography="1" bibliographyStyleHasBeenSet="1"/&gt;&lt;prefs&gt;&lt;pref name="fieldType" value="Field"/&gt;&lt;pref </vt:lpwstr>
  </property>
  <property fmtid="{D5CDD505-2E9C-101B-9397-08002B2CF9AE}" pid="3" name="ZOTERO_PREF_2">
    <vt:lpwstr>name="automaticJournalAbbreviations" value="true"/&gt;&lt;/prefs&gt;&lt;/data&gt;</vt:lpwstr>
  </property>
</Properties>
</file>