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A006F" w14:textId="77777777" w:rsidR="005C7BD4" w:rsidRDefault="005C7BD4" w:rsidP="005C7BD4">
      <w:pPr>
        <w:jc w:val="center"/>
      </w:pPr>
    </w:p>
    <w:p w14:paraId="273F95DE" w14:textId="77777777" w:rsidR="005C7BD4" w:rsidRDefault="005C7BD4" w:rsidP="005C7BD4">
      <w:pPr>
        <w:jc w:val="center"/>
      </w:pPr>
      <w:r>
        <w:t xml:space="preserve">Supporting Information for </w:t>
      </w:r>
    </w:p>
    <w:p w14:paraId="50A8198B" w14:textId="77777777" w:rsidR="00C94228" w:rsidRDefault="00C94228" w:rsidP="00C94228">
      <w:pPr>
        <w:jc w:val="center"/>
      </w:pPr>
      <w:r>
        <w:t>Quantitative Proteome-wide O-Glycoproteomics Analysis with FragPipe</w:t>
      </w:r>
    </w:p>
    <w:p w14:paraId="2980B7E3" w14:textId="77777777" w:rsidR="00C94228" w:rsidRDefault="00C94228" w:rsidP="00C94228">
      <w:pPr>
        <w:jc w:val="center"/>
      </w:pPr>
    </w:p>
    <w:p w14:paraId="110AF2E4" w14:textId="77777777" w:rsidR="00C94228" w:rsidRDefault="00C94228" w:rsidP="00C94228">
      <w:pPr>
        <w:jc w:val="center"/>
      </w:pPr>
    </w:p>
    <w:p w14:paraId="0E3B2DA8" w14:textId="77777777" w:rsidR="00C94228" w:rsidRDefault="00C94228" w:rsidP="00C94228">
      <w:pPr>
        <w:jc w:val="center"/>
        <w:rPr>
          <w:vertAlign w:val="superscript"/>
        </w:rPr>
      </w:pPr>
      <w:r>
        <w:t>Daniel A. Polasky</w:t>
      </w:r>
      <w:r>
        <w:rPr>
          <w:vertAlign w:val="superscript"/>
        </w:rPr>
        <w:t>1</w:t>
      </w:r>
      <w:r>
        <w:t>, Lei Lu</w:t>
      </w:r>
      <w:r>
        <w:rPr>
          <w:vertAlign w:val="superscript"/>
        </w:rPr>
        <w:t>2,3</w:t>
      </w:r>
      <w:r>
        <w:t>, Fengchao Yu</w:t>
      </w:r>
      <w:r>
        <w:rPr>
          <w:vertAlign w:val="superscript"/>
        </w:rPr>
        <w:t>1</w:t>
      </w:r>
      <w:r>
        <w:t>, Kai Li</w:t>
      </w:r>
      <w:r>
        <w:rPr>
          <w:vertAlign w:val="superscript"/>
        </w:rPr>
        <w:t>4</w:t>
      </w:r>
      <w:r>
        <w:t>, Michael R. Shortreed</w:t>
      </w:r>
      <w:r>
        <w:rPr>
          <w:vertAlign w:val="superscript"/>
        </w:rPr>
        <w:t>2</w:t>
      </w:r>
      <w:r>
        <w:t>, Lloyd M. Smith</w:t>
      </w:r>
      <w:r>
        <w:rPr>
          <w:vertAlign w:val="superscript"/>
        </w:rPr>
        <w:t>2</w:t>
      </w:r>
      <w:r>
        <w:t>, and Alexey I. Nesvizhskii</w:t>
      </w:r>
      <w:r>
        <w:rPr>
          <w:vertAlign w:val="superscript"/>
        </w:rPr>
        <w:t>1,4</w:t>
      </w:r>
    </w:p>
    <w:p w14:paraId="72BFDC3D" w14:textId="77777777" w:rsidR="00C94228" w:rsidRPr="005B222A" w:rsidRDefault="00C94228" w:rsidP="00C94228">
      <w:pPr>
        <w:jc w:val="center"/>
        <w:rPr>
          <w:vertAlign w:val="superscript"/>
        </w:rPr>
      </w:pPr>
    </w:p>
    <w:p w14:paraId="0F5333D1" w14:textId="77777777" w:rsidR="00C94228" w:rsidRDefault="00C94228" w:rsidP="00C94228">
      <w:pPr>
        <w:spacing w:after="0"/>
        <w:jc w:val="center"/>
      </w:pPr>
      <w:r>
        <w:rPr>
          <w:vertAlign w:val="superscript"/>
        </w:rPr>
        <w:t>1</w:t>
      </w:r>
      <w:r>
        <w:t>Department of Pathology, University of Michigan</w:t>
      </w:r>
    </w:p>
    <w:p w14:paraId="05F78BBB" w14:textId="77777777" w:rsidR="00C94228" w:rsidRDefault="00C94228" w:rsidP="00C94228">
      <w:pPr>
        <w:spacing w:after="0"/>
        <w:jc w:val="center"/>
      </w:pPr>
      <w:r>
        <w:rPr>
          <w:vertAlign w:val="superscript"/>
        </w:rPr>
        <w:t>2</w:t>
      </w:r>
      <w:r>
        <w:t>Department of Chemistry, University of Wisconsin-Madison</w:t>
      </w:r>
    </w:p>
    <w:p w14:paraId="04B83E42" w14:textId="77777777" w:rsidR="00C94228" w:rsidRDefault="00C94228" w:rsidP="00C94228">
      <w:pPr>
        <w:spacing w:after="0"/>
        <w:jc w:val="center"/>
      </w:pPr>
      <w:r>
        <w:rPr>
          <w:vertAlign w:val="superscript"/>
        </w:rPr>
        <w:t>3</w:t>
      </w:r>
      <w:r>
        <w:t xml:space="preserve">Department of </w:t>
      </w:r>
      <w:r w:rsidRPr="005B222A">
        <w:t>Pharmaceutical Chemistry</w:t>
      </w:r>
      <w:r>
        <w:t>, University of San Francisco</w:t>
      </w:r>
    </w:p>
    <w:p w14:paraId="4B959C07" w14:textId="2B391BBB" w:rsidR="005C7BD4" w:rsidRDefault="00C94228" w:rsidP="00C94228">
      <w:r>
        <w:rPr>
          <w:vertAlign w:val="superscript"/>
        </w:rPr>
        <w:t>4</w:t>
      </w:r>
      <w:r>
        <w:t>Department of Computational Medicine and Bioinformatics, University of Michigan</w:t>
      </w:r>
    </w:p>
    <w:p w14:paraId="458F942E" w14:textId="77777777" w:rsidR="005C7BD4" w:rsidRDefault="005C7BD4" w:rsidP="005C7BD4"/>
    <w:p w14:paraId="3034882C" w14:textId="77777777" w:rsidR="005C7BD4" w:rsidRDefault="005C7BD4" w:rsidP="005C7BD4"/>
    <w:p w14:paraId="1E56C87B" w14:textId="77777777" w:rsidR="00C94228" w:rsidRDefault="00C94228" w:rsidP="005C7BD4"/>
    <w:p w14:paraId="33F68D80" w14:textId="77777777" w:rsidR="00C94228" w:rsidRDefault="00C94228" w:rsidP="005C7BD4"/>
    <w:p w14:paraId="6A58C331" w14:textId="77777777" w:rsidR="005C7BD4" w:rsidRDefault="005C7BD4" w:rsidP="005C7BD4">
      <w:r>
        <w:t>Contents</w:t>
      </w:r>
    </w:p>
    <w:p w14:paraId="6A452C61" w14:textId="702B993B" w:rsidR="005C7BD4" w:rsidRDefault="00623B5B" w:rsidP="005C7BD4">
      <w:pPr>
        <w:pStyle w:val="ListParagraph"/>
        <w:numPr>
          <w:ilvl w:val="0"/>
          <w:numId w:val="1"/>
        </w:numPr>
      </w:pPr>
      <w:r>
        <w:t>Table</w:t>
      </w:r>
      <w:r w:rsidR="005C7BD4">
        <w:t xml:space="preserve"> S1. </w:t>
      </w:r>
      <w:r>
        <w:t xml:space="preserve">12 glycan </w:t>
      </w:r>
      <w:proofErr w:type="gramStart"/>
      <w:r>
        <w:t>database</w:t>
      </w:r>
      <w:proofErr w:type="gramEnd"/>
      <w:r>
        <w:t xml:space="preserve"> used for searches</w:t>
      </w:r>
      <w:r w:rsidR="005C7BD4">
        <w:t>.</w:t>
      </w:r>
    </w:p>
    <w:p w14:paraId="7AC46F8F" w14:textId="7D9D4154" w:rsidR="005C7BD4" w:rsidRDefault="00623B5B" w:rsidP="005C7BD4">
      <w:pPr>
        <w:pStyle w:val="ListParagraph"/>
        <w:numPr>
          <w:ilvl w:val="0"/>
          <w:numId w:val="1"/>
        </w:numPr>
      </w:pPr>
      <w:r>
        <w:t>Table</w:t>
      </w:r>
      <w:r w:rsidR="005C7BD4">
        <w:t xml:space="preserve"> S2. </w:t>
      </w:r>
      <w:r>
        <w:t xml:space="preserve">32 glycan </w:t>
      </w:r>
      <w:proofErr w:type="gramStart"/>
      <w:r>
        <w:t>database</w:t>
      </w:r>
      <w:proofErr w:type="gramEnd"/>
      <w:r>
        <w:t xml:space="preserve"> used for searches</w:t>
      </w:r>
      <w:r w:rsidR="005C7BD4">
        <w:t>.</w:t>
      </w:r>
    </w:p>
    <w:p w14:paraId="006B679C" w14:textId="5D722BC2" w:rsidR="004D7513" w:rsidRDefault="004D7513" w:rsidP="005C7BD4">
      <w:pPr>
        <w:pStyle w:val="ListParagraph"/>
        <w:numPr>
          <w:ilvl w:val="0"/>
          <w:numId w:val="1"/>
        </w:numPr>
      </w:pPr>
      <w:r>
        <w:t>Figure S</w:t>
      </w:r>
      <w:r w:rsidR="0062204F">
        <w:t>1</w:t>
      </w:r>
      <w:r>
        <w:t xml:space="preserve">. Analysis of </w:t>
      </w:r>
      <w:proofErr w:type="spellStart"/>
      <w:r>
        <w:t>EThcD</w:t>
      </w:r>
      <w:proofErr w:type="spellEnd"/>
      <w:r>
        <w:t>-only data with FragPipe</w:t>
      </w:r>
    </w:p>
    <w:p w14:paraId="0181C590" w14:textId="7442001B" w:rsidR="00972011" w:rsidRDefault="00972011" w:rsidP="005C7BD4">
      <w:pPr>
        <w:pStyle w:val="ListParagraph"/>
        <w:numPr>
          <w:ilvl w:val="0"/>
          <w:numId w:val="1"/>
        </w:numPr>
      </w:pPr>
      <w:r>
        <w:t>Figure S</w:t>
      </w:r>
      <w:r w:rsidR="0062204F">
        <w:t>2</w:t>
      </w:r>
      <w:r>
        <w:t xml:space="preserve">. Example of glycopeptide identification via paired scan search in FragPipe. </w:t>
      </w:r>
    </w:p>
    <w:p w14:paraId="09B00060" w14:textId="78B93B8E" w:rsidR="005A2DB4" w:rsidRDefault="005A2DB4" w:rsidP="005C7BD4">
      <w:pPr>
        <w:pStyle w:val="ListParagraph"/>
        <w:numPr>
          <w:ilvl w:val="0"/>
          <w:numId w:val="1"/>
        </w:numPr>
      </w:pPr>
      <w:r>
        <w:t>Figure S</w:t>
      </w:r>
      <w:r w:rsidR="0062204F">
        <w:t>3</w:t>
      </w:r>
      <w:r>
        <w:t xml:space="preserve">. </w:t>
      </w:r>
      <w:proofErr w:type="spellStart"/>
      <w:r>
        <w:t>MetaMorpheus</w:t>
      </w:r>
      <w:proofErr w:type="spellEnd"/>
      <w:r>
        <w:t xml:space="preserve"> annotation of the same scan pair as in Figure S3.</w:t>
      </w:r>
    </w:p>
    <w:p w14:paraId="13E0918E" w14:textId="1853014F" w:rsidR="005A2DB4" w:rsidRDefault="005A2DB4" w:rsidP="005C7BD4">
      <w:pPr>
        <w:pStyle w:val="ListParagraph"/>
        <w:numPr>
          <w:ilvl w:val="0"/>
          <w:numId w:val="1"/>
        </w:numPr>
      </w:pPr>
      <w:r>
        <w:t>Figure S</w:t>
      </w:r>
      <w:r w:rsidR="0062204F">
        <w:t>4</w:t>
      </w:r>
      <w:r>
        <w:t xml:space="preserve">. Example of a Level 3 glycopeptide identified only by FragPipe. </w:t>
      </w:r>
    </w:p>
    <w:p w14:paraId="43E23919" w14:textId="374B7C0E" w:rsidR="0062204F" w:rsidRDefault="0062204F" w:rsidP="0062204F">
      <w:pPr>
        <w:pStyle w:val="ListParagraph"/>
        <w:numPr>
          <w:ilvl w:val="0"/>
          <w:numId w:val="1"/>
        </w:numPr>
      </w:pPr>
      <w:r>
        <w:t>Figure S5. Comparison of Y ion frequencies in mucin and urine datasets.</w:t>
      </w:r>
    </w:p>
    <w:p w14:paraId="7B91C94B" w14:textId="77777777" w:rsidR="008C7E99" w:rsidRDefault="008C7E99"/>
    <w:p w14:paraId="28017C88" w14:textId="77777777" w:rsidR="008C7E99" w:rsidRDefault="008C7E99"/>
    <w:p w14:paraId="67BE4ECB" w14:textId="0AE1B271" w:rsidR="008C7E99" w:rsidRDefault="008C7E99">
      <w:r>
        <w:br w:type="page"/>
      </w:r>
    </w:p>
    <w:p w14:paraId="131E8D71" w14:textId="66A01AD9" w:rsidR="00E65AC6" w:rsidRDefault="00E65AC6">
      <w:r>
        <w:lastRenderedPageBreak/>
        <w:t xml:space="preserve">Supplementary Table 1. </w:t>
      </w:r>
      <w:r w:rsidR="00923A0B">
        <w:t>12 g</w:t>
      </w:r>
      <w:r>
        <w:t xml:space="preserve">lycan </w:t>
      </w:r>
      <w:proofErr w:type="gramStart"/>
      <w:r>
        <w:t>database</w:t>
      </w:r>
      <w:proofErr w:type="gramEnd"/>
      <w:r>
        <w:t xml:space="preserve"> used for searches. </w:t>
      </w:r>
    </w:p>
    <w:tbl>
      <w:tblPr>
        <w:tblStyle w:val="TableGrid"/>
        <w:tblW w:w="4362" w:type="dxa"/>
        <w:tblLook w:val="04A0" w:firstRow="1" w:lastRow="0" w:firstColumn="1" w:lastColumn="0" w:noHBand="0" w:noVBand="1"/>
      </w:tblPr>
      <w:tblGrid>
        <w:gridCol w:w="3309"/>
        <w:gridCol w:w="1053"/>
      </w:tblGrid>
      <w:tr w:rsidR="00923A0B" w:rsidRPr="00923A0B" w14:paraId="272D6AE5" w14:textId="77777777" w:rsidTr="00435209">
        <w:trPr>
          <w:trHeight w:val="300"/>
        </w:trPr>
        <w:tc>
          <w:tcPr>
            <w:tcW w:w="3309" w:type="dxa"/>
            <w:noWrap/>
            <w:hideMark/>
          </w:tcPr>
          <w:p w14:paraId="75318421" w14:textId="77777777" w:rsidR="00923A0B" w:rsidRPr="00923A0B" w:rsidRDefault="00923A0B" w:rsidP="00435209">
            <w:pPr>
              <w:jc w:val="cente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Composition</w:t>
            </w:r>
          </w:p>
        </w:tc>
        <w:tc>
          <w:tcPr>
            <w:tcW w:w="1053" w:type="dxa"/>
            <w:noWrap/>
            <w:hideMark/>
          </w:tcPr>
          <w:p w14:paraId="07A6DB08" w14:textId="77777777" w:rsidR="00923A0B" w:rsidRPr="00923A0B" w:rsidRDefault="00923A0B" w:rsidP="00435209">
            <w:pPr>
              <w:jc w:val="cente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Mass</w:t>
            </w:r>
          </w:p>
        </w:tc>
      </w:tr>
      <w:tr w:rsidR="00923A0B" w:rsidRPr="00923A0B" w14:paraId="27CF3A21" w14:textId="77777777" w:rsidTr="00435209">
        <w:trPr>
          <w:trHeight w:val="300"/>
        </w:trPr>
        <w:tc>
          <w:tcPr>
            <w:tcW w:w="3309" w:type="dxa"/>
            <w:noWrap/>
            <w:hideMark/>
          </w:tcPr>
          <w:p w14:paraId="146A9462" w14:textId="77777777" w:rsidR="00923A0B" w:rsidRPr="00923A0B" w:rsidRDefault="00923A0B" w:rsidP="00923A0B">
            <w:pPr>
              <w:rPr>
                <w:rFonts w:ascii="Calibri" w:eastAsia="Times New Roman" w:hAnsi="Calibri" w:cs="Calibri"/>
                <w:color w:val="000000"/>
                <w:kern w:val="0"/>
                <w14:ligatures w14:val="none"/>
              </w:rPr>
            </w:pPr>
            <w:proofErr w:type="gramStart"/>
            <w:r w:rsidRPr="00923A0B">
              <w:rPr>
                <w:rFonts w:ascii="Calibri" w:eastAsia="Times New Roman" w:hAnsi="Calibri" w:cs="Calibri"/>
                <w:color w:val="000000"/>
                <w:kern w:val="0"/>
                <w14:ligatures w14:val="none"/>
              </w:rPr>
              <w:t>HexNAc(</w:t>
            </w:r>
            <w:proofErr w:type="gramEnd"/>
            <w:r w:rsidRPr="00923A0B">
              <w:rPr>
                <w:rFonts w:ascii="Calibri" w:eastAsia="Times New Roman" w:hAnsi="Calibri" w:cs="Calibri"/>
                <w:color w:val="000000"/>
                <w:kern w:val="0"/>
                <w14:ligatures w14:val="none"/>
              </w:rPr>
              <w:t xml:space="preserve">1) </w:t>
            </w:r>
          </w:p>
        </w:tc>
        <w:tc>
          <w:tcPr>
            <w:tcW w:w="1053" w:type="dxa"/>
            <w:noWrap/>
            <w:hideMark/>
          </w:tcPr>
          <w:p w14:paraId="57CB2820"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203.0794</w:t>
            </w:r>
          </w:p>
        </w:tc>
      </w:tr>
      <w:tr w:rsidR="00923A0B" w:rsidRPr="00923A0B" w14:paraId="33340931" w14:textId="77777777" w:rsidTr="00435209">
        <w:trPr>
          <w:trHeight w:val="300"/>
        </w:trPr>
        <w:tc>
          <w:tcPr>
            <w:tcW w:w="3309" w:type="dxa"/>
            <w:noWrap/>
            <w:hideMark/>
          </w:tcPr>
          <w:p w14:paraId="53F5CA0C"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 xml:space="preserve">(1) </w:t>
            </w:r>
          </w:p>
        </w:tc>
        <w:tc>
          <w:tcPr>
            <w:tcW w:w="1053" w:type="dxa"/>
            <w:noWrap/>
            <w:hideMark/>
          </w:tcPr>
          <w:p w14:paraId="175501D5"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365.1322</w:t>
            </w:r>
          </w:p>
        </w:tc>
      </w:tr>
      <w:tr w:rsidR="00923A0B" w:rsidRPr="00923A0B" w14:paraId="1785030C" w14:textId="77777777" w:rsidTr="00435209">
        <w:trPr>
          <w:trHeight w:val="300"/>
        </w:trPr>
        <w:tc>
          <w:tcPr>
            <w:tcW w:w="3309" w:type="dxa"/>
            <w:noWrap/>
            <w:hideMark/>
          </w:tcPr>
          <w:p w14:paraId="6E517B35"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1)NeuAc</w:t>
            </w:r>
            <w:proofErr w:type="gramEnd"/>
            <w:r w:rsidRPr="00923A0B">
              <w:rPr>
                <w:rFonts w:ascii="Calibri" w:eastAsia="Times New Roman" w:hAnsi="Calibri" w:cs="Calibri"/>
                <w:color w:val="000000"/>
                <w:kern w:val="0"/>
                <w14:ligatures w14:val="none"/>
              </w:rPr>
              <w:t xml:space="preserve">(1) </w:t>
            </w:r>
          </w:p>
        </w:tc>
        <w:tc>
          <w:tcPr>
            <w:tcW w:w="1053" w:type="dxa"/>
            <w:noWrap/>
            <w:hideMark/>
          </w:tcPr>
          <w:p w14:paraId="46F09B5C"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494.175</w:t>
            </w:r>
          </w:p>
        </w:tc>
      </w:tr>
      <w:tr w:rsidR="00923A0B" w:rsidRPr="00923A0B" w14:paraId="5D097C54" w14:textId="77777777" w:rsidTr="00435209">
        <w:trPr>
          <w:trHeight w:val="300"/>
        </w:trPr>
        <w:tc>
          <w:tcPr>
            <w:tcW w:w="3309" w:type="dxa"/>
            <w:noWrap/>
            <w:hideMark/>
          </w:tcPr>
          <w:p w14:paraId="64D2A90A"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 xml:space="preserve">(1) </w:t>
            </w:r>
          </w:p>
        </w:tc>
        <w:tc>
          <w:tcPr>
            <w:tcW w:w="1053" w:type="dxa"/>
            <w:noWrap/>
            <w:hideMark/>
          </w:tcPr>
          <w:p w14:paraId="00ABE1FE"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568.2116</w:t>
            </w:r>
          </w:p>
        </w:tc>
      </w:tr>
      <w:tr w:rsidR="00923A0B" w:rsidRPr="00923A0B" w14:paraId="71540F99" w14:textId="77777777" w:rsidTr="00435209">
        <w:trPr>
          <w:trHeight w:val="300"/>
        </w:trPr>
        <w:tc>
          <w:tcPr>
            <w:tcW w:w="3309" w:type="dxa"/>
            <w:noWrap/>
            <w:hideMark/>
          </w:tcPr>
          <w:p w14:paraId="4FF37F0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 xml:space="preserve">(1)NeuAc(1) </w:t>
            </w:r>
          </w:p>
        </w:tc>
        <w:tc>
          <w:tcPr>
            <w:tcW w:w="1053" w:type="dxa"/>
            <w:noWrap/>
            <w:hideMark/>
          </w:tcPr>
          <w:p w14:paraId="4B5E078A"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656.2276</w:t>
            </w:r>
          </w:p>
        </w:tc>
      </w:tr>
      <w:tr w:rsidR="00923A0B" w:rsidRPr="00923A0B" w14:paraId="7677E935" w14:textId="77777777" w:rsidTr="00435209">
        <w:trPr>
          <w:trHeight w:val="300"/>
        </w:trPr>
        <w:tc>
          <w:tcPr>
            <w:tcW w:w="3309" w:type="dxa"/>
            <w:noWrap/>
            <w:hideMark/>
          </w:tcPr>
          <w:p w14:paraId="40E751F3"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 xml:space="preserve">(1)NeuAc(2) </w:t>
            </w:r>
          </w:p>
        </w:tc>
        <w:tc>
          <w:tcPr>
            <w:tcW w:w="1053" w:type="dxa"/>
            <w:noWrap/>
            <w:hideMark/>
          </w:tcPr>
          <w:p w14:paraId="053FAA60"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947.323</w:t>
            </w:r>
          </w:p>
        </w:tc>
      </w:tr>
      <w:tr w:rsidR="00923A0B" w:rsidRPr="00923A0B" w14:paraId="37CE22ED" w14:textId="77777777" w:rsidTr="00435209">
        <w:trPr>
          <w:trHeight w:val="300"/>
        </w:trPr>
        <w:tc>
          <w:tcPr>
            <w:tcW w:w="3309" w:type="dxa"/>
            <w:noWrap/>
            <w:hideMark/>
          </w:tcPr>
          <w:p w14:paraId="713A8944"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 xml:space="preserve">(2)NeuAc(1)  </w:t>
            </w:r>
          </w:p>
        </w:tc>
        <w:tc>
          <w:tcPr>
            <w:tcW w:w="1053" w:type="dxa"/>
            <w:noWrap/>
            <w:hideMark/>
          </w:tcPr>
          <w:p w14:paraId="6DB0EF02"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1021.36</w:t>
            </w:r>
          </w:p>
        </w:tc>
      </w:tr>
      <w:tr w:rsidR="00923A0B" w:rsidRPr="00923A0B" w14:paraId="6182BD66" w14:textId="77777777" w:rsidTr="00435209">
        <w:trPr>
          <w:trHeight w:val="300"/>
        </w:trPr>
        <w:tc>
          <w:tcPr>
            <w:tcW w:w="3309" w:type="dxa"/>
            <w:noWrap/>
            <w:hideMark/>
          </w:tcPr>
          <w:p w14:paraId="7A1EBA08"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 xml:space="preserve">(2)NeuAc(2)  </w:t>
            </w:r>
          </w:p>
        </w:tc>
        <w:tc>
          <w:tcPr>
            <w:tcW w:w="1053" w:type="dxa"/>
            <w:noWrap/>
            <w:hideMark/>
          </w:tcPr>
          <w:p w14:paraId="07D3C03E"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1312.455</w:t>
            </w:r>
          </w:p>
        </w:tc>
      </w:tr>
      <w:tr w:rsidR="00923A0B" w:rsidRPr="00923A0B" w14:paraId="61C8700D" w14:textId="77777777" w:rsidTr="00435209">
        <w:trPr>
          <w:trHeight w:val="300"/>
        </w:trPr>
        <w:tc>
          <w:tcPr>
            <w:tcW w:w="3309" w:type="dxa"/>
            <w:noWrap/>
            <w:hideMark/>
          </w:tcPr>
          <w:p w14:paraId="6FA8D8B4"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 xml:space="preserve">(2) </w:t>
            </w:r>
          </w:p>
        </w:tc>
        <w:tc>
          <w:tcPr>
            <w:tcW w:w="1053" w:type="dxa"/>
            <w:noWrap/>
            <w:hideMark/>
          </w:tcPr>
          <w:p w14:paraId="3B8E6BC0"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730.2644</w:t>
            </w:r>
          </w:p>
        </w:tc>
      </w:tr>
      <w:tr w:rsidR="00923A0B" w:rsidRPr="00923A0B" w14:paraId="4C9DE536" w14:textId="77777777" w:rsidTr="00435209">
        <w:trPr>
          <w:trHeight w:val="300"/>
        </w:trPr>
        <w:tc>
          <w:tcPr>
            <w:tcW w:w="3309" w:type="dxa"/>
            <w:noWrap/>
            <w:hideMark/>
          </w:tcPr>
          <w:p w14:paraId="617F919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 xml:space="preserve">(1)NeuAc(1) </w:t>
            </w:r>
          </w:p>
        </w:tc>
        <w:tc>
          <w:tcPr>
            <w:tcW w:w="1053" w:type="dxa"/>
            <w:noWrap/>
            <w:hideMark/>
          </w:tcPr>
          <w:p w14:paraId="76022DA4"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859.307</w:t>
            </w:r>
          </w:p>
        </w:tc>
      </w:tr>
      <w:tr w:rsidR="00923A0B" w:rsidRPr="00923A0B" w14:paraId="4E884ACF" w14:textId="77777777" w:rsidTr="00435209">
        <w:trPr>
          <w:trHeight w:val="300"/>
        </w:trPr>
        <w:tc>
          <w:tcPr>
            <w:tcW w:w="3309" w:type="dxa"/>
            <w:noWrap/>
            <w:hideMark/>
          </w:tcPr>
          <w:p w14:paraId="606F338A"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 xml:space="preserve">(1)NeuAc(1)  </w:t>
            </w:r>
          </w:p>
        </w:tc>
        <w:tc>
          <w:tcPr>
            <w:tcW w:w="1053" w:type="dxa"/>
            <w:noWrap/>
            <w:hideMark/>
          </w:tcPr>
          <w:p w14:paraId="251916B1"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1167.418</w:t>
            </w:r>
          </w:p>
        </w:tc>
      </w:tr>
      <w:tr w:rsidR="00923A0B" w:rsidRPr="00923A0B" w14:paraId="5D265DFD" w14:textId="77777777" w:rsidTr="00435209">
        <w:trPr>
          <w:trHeight w:val="300"/>
        </w:trPr>
        <w:tc>
          <w:tcPr>
            <w:tcW w:w="3309" w:type="dxa"/>
            <w:noWrap/>
            <w:hideMark/>
          </w:tcPr>
          <w:p w14:paraId="5DAABE1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 xml:space="preserve">(1)NeuAc(2)  </w:t>
            </w:r>
          </w:p>
        </w:tc>
        <w:tc>
          <w:tcPr>
            <w:tcW w:w="1053" w:type="dxa"/>
            <w:noWrap/>
            <w:hideMark/>
          </w:tcPr>
          <w:p w14:paraId="7A4C5358"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1458.513</w:t>
            </w:r>
          </w:p>
        </w:tc>
      </w:tr>
    </w:tbl>
    <w:p w14:paraId="6F9CAA70" w14:textId="77777777" w:rsidR="00435209" w:rsidRDefault="00435209"/>
    <w:p w14:paraId="19BEB313" w14:textId="3FAB3544" w:rsidR="00E65AC6" w:rsidRDefault="00923A0B">
      <w:r>
        <w:t xml:space="preserve">Supplementary Table 2. 32 glycan </w:t>
      </w:r>
      <w:proofErr w:type="gramStart"/>
      <w:r>
        <w:t>database</w:t>
      </w:r>
      <w:proofErr w:type="gramEnd"/>
      <w:r>
        <w:t xml:space="preserve"> used for searches. </w:t>
      </w:r>
    </w:p>
    <w:tbl>
      <w:tblPr>
        <w:tblStyle w:val="TableGrid"/>
        <w:tblW w:w="4284" w:type="dxa"/>
        <w:tblLook w:val="04A0" w:firstRow="1" w:lastRow="0" w:firstColumn="1" w:lastColumn="0" w:noHBand="0" w:noVBand="1"/>
      </w:tblPr>
      <w:tblGrid>
        <w:gridCol w:w="3231"/>
        <w:gridCol w:w="1053"/>
      </w:tblGrid>
      <w:tr w:rsidR="00923A0B" w:rsidRPr="00923A0B" w14:paraId="049A6CD7" w14:textId="77777777" w:rsidTr="003C683D">
        <w:trPr>
          <w:trHeight w:val="300"/>
        </w:trPr>
        <w:tc>
          <w:tcPr>
            <w:tcW w:w="3231" w:type="dxa"/>
            <w:noWrap/>
            <w:hideMark/>
          </w:tcPr>
          <w:p w14:paraId="41EB7445" w14:textId="77777777" w:rsidR="00923A0B" w:rsidRPr="00923A0B" w:rsidRDefault="00923A0B" w:rsidP="003C683D">
            <w:pPr>
              <w:jc w:val="cente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Composition</w:t>
            </w:r>
          </w:p>
        </w:tc>
        <w:tc>
          <w:tcPr>
            <w:tcW w:w="1053" w:type="dxa"/>
            <w:noWrap/>
            <w:hideMark/>
          </w:tcPr>
          <w:p w14:paraId="00D849F8" w14:textId="77777777" w:rsidR="00923A0B" w:rsidRPr="00923A0B" w:rsidRDefault="00923A0B" w:rsidP="003C683D">
            <w:pPr>
              <w:jc w:val="cente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Mass</w:t>
            </w:r>
          </w:p>
        </w:tc>
      </w:tr>
      <w:tr w:rsidR="00923A0B" w:rsidRPr="00923A0B" w14:paraId="6619325F" w14:textId="77777777" w:rsidTr="003C683D">
        <w:trPr>
          <w:trHeight w:val="300"/>
        </w:trPr>
        <w:tc>
          <w:tcPr>
            <w:tcW w:w="3231" w:type="dxa"/>
            <w:noWrap/>
            <w:hideMark/>
          </w:tcPr>
          <w:p w14:paraId="334E1AFF" w14:textId="77777777" w:rsidR="00923A0B" w:rsidRPr="00923A0B" w:rsidRDefault="00923A0B" w:rsidP="00923A0B">
            <w:pPr>
              <w:rPr>
                <w:rFonts w:ascii="Calibri" w:eastAsia="Times New Roman" w:hAnsi="Calibri" w:cs="Calibri"/>
                <w:color w:val="000000"/>
                <w:kern w:val="0"/>
                <w14:ligatures w14:val="none"/>
              </w:rPr>
            </w:pPr>
            <w:proofErr w:type="gramStart"/>
            <w:r w:rsidRPr="00923A0B">
              <w:rPr>
                <w:rFonts w:ascii="Calibri" w:eastAsia="Times New Roman" w:hAnsi="Calibri" w:cs="Calibri"/>
                <w:color w:val="000000"/>
                <w:kern w:val="0"/>
                <w14:ligatures w14:val="none"/>
              </w:rPr>
              <w:t>HexNAc(</w:t>
            </w:r>
            <w:proofErr w:type="gramEnd"/>
            <w:r w:rsidRPr="00923A0B">
              <w:rPr>
                <w:rFonts w:ascii="Calibri" w:eastAsia="Times New Roman" w:hAnsi="Calibri" w:cs="Calibri"/>
                <w:color w:val="000000"/>
                <w:kern w:val="0"/>
                <w14:ligatures w14:val="none"/>
              </w:rPr>
              <w:t>1)</w:t>
            </w:r>
          </w:p>
        </w:tc>
        <w:tc>
          <w:tcPr>
            <w:tcW w:w="1053" w:type="dxa"/>
            <w:noWrap/>
            <w:hideMark/>
          </w:tcPr>
          <w:p w14:paraId="566E7206"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203.0794</w:t>
            </w:r>
          </w:p>
        </w:tc>
      </w:tr>
      <w:tr w:rsidR="00923A0B" w:rsidRPr="00923A0B" w14:paraId="427E1954" w14:textId="77777777" w:rsidTr="003C683D">
        <w:trPr>
          <w:trHeight w:val="300"/>
        </w:trPr>
        <w:tc>
          <w:tcPr>
            <w:tcW w:w="3231" w:type="dxa"/>
            <w:noWrap/>
            <w:hideMark/>
          </w:tcPr>
          <w:p w14:paraId="6FAE551A"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w:t>
            </w:r>
          </w:p>
        </w:tc>
        <w:tc>
          <w:tcPr>
            <w:tcW w:w="1053" w:type="dxa"/>
            <w:noWrap/>
            <w:hideMark/>
          </w:tcPr>
          <w:p w14:paraId="0E03CA8C"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365.1322</w:t>
            </w:r>
          </w:p>
        </w:tc>
      </w:tr>
      <w:tr w:rsidR="00923A0B" w:rsidRPr="00923A0B" w14:paraId="2A0E55B0" w14:textId="77777777" w:rsidTr="003C683D">
        <w:trPr>
          <w:trHeight w:val="300"/>
        </w:trPr>
        <w:tc>
          <w:tcPr>
            <w:tcW w:w="3231" w:type="dxa"/>
            <w:noWrap/>
            <w:hideMark/>
          </w:tcPr>
          <w:p w14:paraId="7A9E7564" w14:textId="77777777" w:rsidR="00923A0B" w:rsidRPr="00923A0B" w:rsidRDefault="00923A0B" w:rsidP="00923A0B">
            <w:pPr>
              <w:rPr>
                <w:rFonts w:ascii="Calibri" w:eastAsia="Times New Roman" w:hAnsi="Calibri" w:cs="Calibri"/>
                <w:color w:val="000000"/>
                <w:kern w:val="0"/>
                <w14:ligatures w14:val="none"/>
              </w:rPr>
            </w:pPr>
            <w:proofErr w:type="gramStart"/>
            <w:r w:rsidRPr="00923A0B">
              <w:rPr>
                <w:rFonts w:ascii="Calibri" w:eastAsia="Times New Roman" w:hAnsi="Calibri" w:cs="Calibri"/>
                <w:color w:val="000000"/>
                <w:kern w:val="0"/>
                <w14:ligatures w14:val="none"/>
              </w:rPr>
              <w:t>HexNAc(</w:t>
            </w:r>
            <w:proofErr w:type="gramEnd"/>
            <w:r w:rsidRPr="00923A0B">
              <w:rPr>
                <w:rFonts w:ascii="Calibri" w:eastAsia="Times New Roman" w:hAnsi="Calibri" w:cs="Calibri"/>
                <w:color w:val="000000"/>
                <w:kern w:val="0"/>
                <w14:ligatures w14:val="none"/>
              </w:rPr>
              <w:t>2)</w:t>
            </w:r>
          </w:p>
        </w:tc>
        <w:tc>
          <w:tcPr>
            <w:tcW w:w="1053" w:type="dxa"/>
            <w:noWrap/>
            <w:hideMark/>
          </w:tcPr>
          <w:p w14:paraId="2C0A8147"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406.1588</w:t>
            </w:r>
          </w:p>
        </w:tc>
      </w:tr>
      <w:tr w:rsidR="00923A0B" w:rsidRPr="00923A0B" w14:paraId="511CE362" w14:textId="77777777" w:rsidTr="003C683D">
        <w:trPr>
          <w:trHeight w:val="300"/>
        </w:trPr>
        <w:tc>
          <w:tcPr>
            <w:tcW w:w="3231" w:type="dxa"/>
            <w:noWrap/>
            <w:hideMark/>
          </w:tcPr>
          <w:p w14:paraId="02FA1310"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1)NeuAc</w:t>
            </w:r>
            <w:proofErr w:type="gramEnd"/>
            <w:r w:rsidRPr="00923A0B">
              <w:rPr>
                <w:rFonts w:ascii="Calibri" w:eastAsia="Times New Roman" w:hAnsi="Calibri" w:cs="Calibri"/>
                <w:color w:val="000000"/>
                <w:kern w:val="0"/>
                <w14:ligatures w14:val="none"/>
              </w:rPr>
              <w:t>(1)</w:t>
            </w:r>
          </w:p>
        </w:tc>
        <w:tc>
          <w:tcPr>
            <w:tcW w:w="1053" w:type="dxa"/>
            <w:noWrap/>
            <w:hideMark/>
          </w:tcPr>
          <w:p w14:paraId="4EBA0349"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494.1748</w:t>
            </w:r>
          </w:p>
        </w:tc>
      </w:tr>
      <w:tr w:rsidR="00923A0B" w:rsidRPr="00923A0B" w14:paraId="221EF44F" w14:textId="77777777" w:rsidTr="003C683D">
        <w:trPr>
          <w:trHeight w:val="300"/>
        </w:trPr>
        <w:tc>
          <w:tcPr>
            <w:tcW w:w="3231" w:type="dxa"/>
            <w:noWrap/>
            <w:hideMark/>
          </w:tcPr>
          <w:p w14:paraId="5C4C0B9A"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w:t>
            </w:r>
          </w:p>
        </w:tc>
        <w:tc>
          <w:tcPr>
            <w:tcW w:w="1053" w:type="dxa"/>
            <w:noWrap/>
            <w:hideMark/>
          </w:tcPr>
          <w:p w14:paraId="6C660D73"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511.1901</w:t>
            </w:r>
          </w:p>
        </w:tc>
      </w:tr>
      <w:tr w:rsidR="00923A0B" w:rsidRPr="00923A0B" w14:paraId="1DEB1E76" w14:textId="77777777" w:rsidTr="003C683D">
        <w:trPr>
          <w:trHeight w:val="300"/>
        </w:trPr>
        <w:tc>
          <w:tcPr>
            <w:tcW w:w="3231" w:type="dxa"/>
            <w:noWrap/>
            <w:hideMark/>
          </w:tcPr>
          <w:p w14:paraId="188F342C"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(2)</w:t>
            </w:r>
          </w:p>
        </w:tc>
        <w:tc>
          <w:tcPr>
            <w:tcW w:w="1053" w:type="dxa"/>
            <w:noWrap/>
            <w:hideMark/>
          </w:tcPr>
          <w:p w14:paraId="48D13BAC"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527.185</w:t>
            </w:r>
          </w:p>
        </w:tc>
      </w:tr>
      <w:tr w:rsidR="00923A0B" w:rsidRPr="00923A0B" w14:paraId="2F5DA92E" w14:textId="77777777" w:rsidTr="003C683D">
        <w:trPr>
          <w:trHeight w:val="300"/>
        </w:trPr>
        <w:tc>
          <w:tcPr>
            <w:tcW w:w="3231" w:type="dxa"/>
            <w:noWrap/>
            <w:hideMark/>
          </w:tcPr>
          <w:p w14:paraId="5FFC5AB3"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w:t>
            </w:r>
          </w:p>
        </w:tc>
        <w:tc>
          <w:tcPr>
            <w:tcW w:w="1053" w:type="dxa"/>
            <w:noWrap/>
            <w:hideMark/>
          </w:tcPr>
          <w:p w14:paraId="6F3069F4"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568.2116</w:t>
            </w:r>
          </w:p>
        </w:tc>
      </w:tr>
      <w:tr w:rsidR="00923A0B" w:rsidRPr="00923A0B" w14:paraId="29466A56" w14:textId="77777777" w:rsidTr="003C683D">
        <w:trPr>
          <w:trHeight w:val="300"/>
        </w:trPr>
        <w:tc>
          <w:tcPr>
            <w:tcW w:w="3231" w:type="dxa"/>
            <w:noWrap/>
            <w:hideMark/>
          </w:tcPr>
          <w:p w14:paraId="37302726"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(1)NeuAc(1)</w:t>
            </w:r>
          </w:p>
        </w:tc>
        <w:tc>
          <w:tcPr>
            <w:tcW w:w="1053" w:type="dxa"/>
            <w:noWrap/>
            <w:hideMark/>
          </w:tcPr>
          <w:p w14:paraId="4D5AA3B0"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656.2276</w:t>
            </w:r>
          </w:p>
        </w:tc>
      </w:tr>
      <w:tr w:rsidR="00923A0B" w:rsidRPr="00923A0B" w14:paraId="590AF60C" w14:textId="77777777" w:rsidTr="003C683D">
        <w:trPr>
          <w:trHeight w:val="300"/>
        </w:trPr>
        <w:tc>
          <w:tcPr>
            <w:tcW w:w="3231" w:type="dxa"/>
            <w:noWrap/>
            <w:hideMark/>
          </w:tcPr>
          <w:p w14:paraId="0D6A1F17"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w:t>
            </w:r>
          </w:p>
        </w:tc>
        <w:tc>
          <w:tcPr>
            <w:tcW w:w="1053" w:type="dxa"/>
            <w:noWrap/>
            <w:hideMark/>
          </w:tcPr>
          <w:p w14:paraId="3B377186"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673.2429</w:t>
            </w:r>
          </w:p>
        </w:tc>
      </w:tr>
      <w:tr w:rsidR="00923A0B" w:rsidRPr="00923A0B" w14:paraId="41C02E65" w14:textId="77777777" w:rsidTr="003C683D">
        <w:trPr>
          <w:trHeight w:val="300"/>
        </w:trPr>
        <w:tc>
          <w:tcPr>
            <w:tcW w:w="3231" w:type="dxa"/>
            <w:noWrap/>
            <w:hideMark/>
          </w:tcPr>
          <w:p w14:paraId="148E186F"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w:t>
            </w:r>
          </w:p>
        </w:tc>
        <w:tc>
          <w:tcPr>
            <w:tcW w:w="1053" w:type="dxa"/>
            <w:noWrap/>
            <w:hideMark/>
          </w:tcPr>
          <w:p w14:paraId="2A4C0748"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714.2695</w:t>
            </w:r>
          </w:p>
        </w:tc>
      </w:tr>
      <w:tr w:rsidR="00923A0B" w:rsidRPr="00923A0B" w14:paraId="596FDCF5" w14:textId="77777777" w:rsidTr="003C683D">
        <w:trPr>
          <w:trHeight w:val="300"/>
        </w:trPr>
        <w:tc>
          <w:tcPr>
            <w:tcW w:w="3231" w:type="dxa"/>
            <w:noWrap/>
            <w:hideMark/>
          </w:tcPr>
          <w:p w14:paraId="04C0BF59"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
        </w:tc>
        <w:tc>
          <w:tcPr>
            <w:tcW w:w="1053" w:type="dxa"/>
            <w:noWrap/>
            <w:hideMark/>
          </w:tcPr>
          <w:p w14:paraId="717966F6"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730.2644</w:t>
            </w:r>
          </w:p>
        </w:tc>
      </w:tr>
      <w:tr w:rsidR="00923A0B" w:rsidRPr="00923A0B" w14:paraId="039BCDEB" w14:textId="77777777" w:rsidTr="003C683D">
        <w:trPr>
          <w:trHeight w:val="300"/>
        </w:trPr>
        <w:tc>
          <w:tcPr>
            <w:tcW w:w="3231" w:type="dxa"/>
            <w:noWrap/>
            <w:hideMark/>
          </w:tcPr>
          <w:p w14:paraId="337C8AEE"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(1)NeuAc(1)</w:t>
            </w:r>
          </w:p>
        </w:tc>
        <w:tc>
          <w:tcPr>
            <w:tcW w:w="1053" w:type="dxa"/>
            <w:noWrap/>
            <w:hideMark/>
          </w:tcPr>
          <w:p w14:paraId="4BEAA3D4"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802.2855</w:t>
            </w:r>
          </w:p>
        </w:tc>
      </w:tr>
      <w:tr w:rsidR="00923A0B" w:rsidRPr="00923A0B" w14:paraId="51334B62" w14:textId="77777777" w:rsidTr="003C683D">
        <w:trPr>
          <w:trHeight w:val="300"/>
        </w:trPr>
        <w:tc>
          <w:tcPr>
            <w:tcW w:w="3231" w:type="dxa"/>
            <w:noWrap/>
            <w:hideMark/>
          </w:tcPr>
          <w:p w14:paraId="0B3751F1"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(2)NeuAc(1)</w:t>
            </w:r>
          </w:p>
        </w:tc>
        <w:tc>
          <w:tcPr>
            <w:tcW w:w="1053" w:type="dxa"/>
            <w:noWrap/>
            <w:hideMark/>
          </w:tcPr>
          <w:p w14:paraId="644F4C69"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818.2804</w:t>
            </w:r>
          </w:p>
        </w:tc>
      </w:tr>
      <w:tr w:rsidR="00923A0B" w:rsidRPr="00923A0B" w14:paraId="4BFC4A42" w14:textId="77777777" w:rsidTr="003C683D">
        <w:trPr>
          <w:trHeight w:val="300"/>
        </w:trPr>
        <w:tc>
          <w:tcPr>
            <w:tcW w:w="3231" w:type="dxa"/>
            <w:noWrap/>
            <w:hideMark/>
          </w:tcPr>
          <w:p w14:paraId="37DFD661"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(1)NeuAc(1)</w:t>
            </w:r>
          </w:p>
        </w:tc>
        <w:tc>
          <w:tcPr>
            <w:tcW w:w="1053" w:type="dxa"/>
            <w:noWrap/>
            <w:hideMark/>
          </w:tcPr>
          <w:p w14:paraId="213010AC"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859.307</w:t>
            </w:r>
          </w:p>
        </w:tc>
      </w:tr>
      <w:tr w:rsidR="00923A0B" w:rsidRPr="00923A0B" w14:paraId="76D61E36" w14:textId="77777777" w:rsidTr="003C683D">
        <w:trPr>
          <w:trHeight w:val="300"/>
        </w:trPr>
        <w:tc>
          <w:tcPr>
            <w:tcW w:w="3231" w:type="dxa"/>
            <w:noWrap/>
            <w:hideMark/>
          </w:tcPr>
          <w:p w14:paraId="28B9B386"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(2)</w:t>
            </w:r>
          </w:p>
        </w:tc>
        <w:tc>
          <w:tcPr>
            <w:tcW w:w="1053" w:type="dxa"/>
            <w:noWrap/>
            <w:hideMark/>
          </w:tcPr>
          <w:p w14:paraId="7728E495"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860.3274</w:t>
            </w:r>
          </w:p>
        </w:tc>
      </w:tr>
      <w:tr w:rsidR="00923A0B" w:rsidRPr="00923A0B" w14:paraId="74B201C1" w14:textId="77777777" w:rsidTr="003C683D">
        <w:trPr>
          <w:trHeight w:val="300"/>
        </w:trPr>
        <w:tc>
          <w:tcPr>
            <w:tcW w:w="3231" w:type="dxa"/>
            <w:noWrap/>
            <w:hideMark/>
          </w:tcPr>
          <w:p w14:paraId="0F520803"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w:t>
            </w:r>
          </w:p>
        </w:tc>
        <w:tc>
          <w:tcPr>
            <w:tcW w:w="1053" w:type="dxa"/>
            <w:noWrap/>
            <w:hideMark/>
          </w:tcPr>
          <w:p w14:paraId="590A2172"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876.3223</w:t>
            </w:r>
          </w:p>
        </w:tc>
      </w:tr>
      <w:tr w:rsidR="00923A0B" w:rsidRPr="00923A0B" w14:paraId="165D6B03" w14:textId="77777777" w:rsidTr="003C683D">
        <w:trPr>
          <w:trHeight w:val="300"/>
        </w:trPr>
        <w:tc>
          <w:tcPr>
            <w:tcW w:w="3231" w:type="dxa"/>
            <w:noWrap/>
            <w:hideMark/>
          </w:tcPr>
          <w:p w14:paraId="6BFA462B"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(1)NeuAc(2)</w:t>
            </w:r>
          </w:p>
        </w:tc>
        <w:tc>
          <w:tcPr>
            <w:tcW w:w="1053" w:type="dxa"/>
            <w:noWrap/>
            <w:hideMark/>
          </w:tcPr>
          <w:p w14:paraId="7B62BF9A"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947.323</w:t>
            </w:r>
          </w:p>
        </w:tc>
      </w:tr>
      <w:tr w:rsidR="00923A0B" w:rsidRPr="00923A0B" w14:paraId="1F63E863" w14:textId="77777777" w:rsidTr="003C683D">
        <w:trPr>
          <w:trHeight w:val="300"/>
        </w:trPr>
        <w:tc>
          <w:tcPr>
            <w:tcW w:w="3231" w:type="dxa"/>
            <w:noWrap/>
            <w:hideMark/>
          </w:tcPr>
          <w:p w14:paraId="18DF1381"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(1)NeuAc(1)</w:t>
            </w:r>
          </w:p>
        </w:tc>
        <w:tc>
          <w:tcPr>
            <w:tcW w:w="1053" w:type="dxa"/>
            <w:noWrap/>
            <w:hideMark/>
          </w:tcPr>
          <w:p w14:paraId="40FC054B"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964.3383</w:t>
            </w:r>
          </w:p>
        </w:tc>
      </w:tr>
      <w:tr w:rsidR="00923A0B" w:rsidRPr="00923A0B" w14:paraId="5FC534D7" w14:textId="77777777" w:rsidTr="003C683D">
        <w:trPr>
          <w:trHeight w:val="300"/>
        </w:trPr>
        <w:tc>
          <w:tcPr>
            <w:tcW w:w="3231" w:type="dxa"/>
            <w:noWrap/>
            <w:hideMark/>
          </w:tcPr>
          <w:p w14:paraId="56D6E525"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(1)NeuAc(1)</w:t>
            </w:r>
          </w:p>
        </w:tc>
        <w:tc>
          <w:tcPr>
            <w:tcW w:w="1053" w:type="dxa"/>
            <w:noWrap/>
            <w:hideMark/>
          </w:tcPr>
          <w:p w14:paraId="0D21ABB7"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1005.365</w:t>
            </w:r>
          </w:p>
        </w:tc>
      </w:tr>
      <w:tr w:rsidR="00923A0B" w:rsidRPr="00923A0B" w14:paraId="70E79302" w14:textId="77777777" w:rsidTr="003C683D">
        <w:trPr>
          <w:trHeight w:val="300"/>
        </w:trPr>
        <w:tc>
          <w:tcPr>
            <w:tcW w:w="3231" w:type="dxa"/>
            <w:noWrap/>
            <w:hideMark/>
          </w:tcPr>
          <w:p w14:paraId="2B890023"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(2)NeuAc(1)</w:t>
            </w:r>
          </w:p>
        </w:tc>
        <w:tc>
          <w:tcPr>
            <w:tcW w:w="1053" w:type="dxa"/>
            <w:noWrap/>
            <w:hideMark/>
          </w:tcPr>
          <w:p w14:paraId="41D704FF"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1021.36</w:t>
            </w:r>
          </w:p>
        </w:tc>
      </w:tr>
      <w:tr w:rsidR="00923A0B" w:rsidRPr="00923A0B" w14:paraId="5294E965" w14:textId="77777777" w:rsidTr="003C683D">
        <w:trPr>
          <w:trHeight w:val="300"/>
        </w:trPr>
        <w:tc>
          <w:tcPr>
            <w:tcW w:w="3231" w:type="dxa"/>
            <w:noWrap/>
            <w:hideMark/>
          </w:tcPr>
          <w:p w14:paraId="7EFFB4E6"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(2)</w:t>
            </w:r>
          </w:p>
        </w:tc>
        <w:tc>
          <w:tcPr>
            <w:tcW w:w="1053" w:type="dxa"/>
            <w:noWrap/>
            <w:hideMark/>
          </w:tcPr>
          <w:p w14:paraId="32CBE174"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1022.38</w:t>
            </w:r>
          </w:p>
        </w:tc>
      </w:tr>
      <w:tr w:rsidR="00923A0B" w:rsidRPr="00923A0B" w14:paraId="227A0654" w14:textId="77777777" w:rsidTr="003C683D">
        <w:trPr>
          <w:trHeight w:val="300"/>
        </w:trPr>
        <w:tc>
          <w:tcPr>
            <w:tcW w:w="3231" w:type="dxa"/>
            <w:noWrap/>
            <w:hideMark/>
          </w:tcPr>
          <w:p w14:paraId="35CAA1C2"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3)Hex</w:t>
            </w:r>
            <w:proofErr w:type="gramEnd"/>
            <w:r w:rsidRPr="00923A0B">
              <w:rPr>
                <w:rFonts w:ascii="Calibri" w:eastAsia="Times New Roman" w:hAnsi="Calibri" w:cs="Calibri"/>
                <w:color w:val="000000"/>
                <w:kern w:val="0"/>
                <w14:ligatures w14:val="none"/>
              </w:rPr>
              <w:t>(3)</w:t>
            </w:r>
          </w:p>
        </w:tc>
        <w:tc>
          <w:tcPr>
            <w:tcW w:w="1053" w:type="dxa"/>
            <w:noWrap/>
            <w:hideMark/>
          </w:tcPr>
          <w:p w14:paraId="39AC4FB1"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1095.397</w:t>
            </w:r>
          </w:p>
        </w:tc>
      </w:tr>
      <w:tr w:rsidR="00923A0B" w:rsidRPr="00923A0B" w14:paraId="243628A2" w14:textId="77777777" w:rsidTr="003C683D">
        <w:trPr>
          <w:trHeight w:val="300"/>
        </w:trPr>
        <w:tc>
          <w:tcPr>
            <w:tcW w:w="3231" w:type="dxa"/>
            <w:noWrap/>
            <w:hideMark/>
          </w:tcPr>
          <w:p w14:paraId="3E5193D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(2)NeuAc(2)</w:t>
            </w:r>
          </w:p>
        </w:tc>
        <w:tc>
          <w:tcPr>
            <w:tcW w:w="1053" w:type="dxa"/>
            <w:noWrap/>
            <w:hideMark/>
          </w:tcPr>
          <w:p w14:paraId="5AA26CD6"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1109.376</w:t>
            </w:r>
          </w:p>
        </w:tc>
      </w:tr>
      <w:tr w:rsidR="00923A0B" w:rsidRPr="00923A0B" w14:paraId="2423CC5A" w14:textId="77777777" w:rsidTr="003C683D">
        <w:trPr>
          <w:trHeight w:val="300"/>
        </w:trPr>
        <w:tc>
          <w:tcPr>
            <w:tcW w:w="3231" w:type="dxa"/>
            <w:noWrap/>
            <w:hideMark/>
          </w:tcPr>
          <w:p w14:paraId="4CC18EF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lastRenderedPageBreak/>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(1)NeuAc(1)</w:t>
            </w:r>
          </w:p>
        </w:tc>
        <w:tc>
          <w:tcPr>
            <w:tcW w:w="1053" w:type="dxa"/>
            <w:noWrap/>
            <w:hideMark/>
          </w:tcPr>
          <w:p w14:paraId="38976C55"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1167.418</w:t>
            </w:r>
          </w:p>
        </w:tc>
      </w:tr>
      <w:tr w:rsidR="00923A0B" w:rsidRPr="00923A0B" w14:paraId="3CD177F6" w14:textId="77777777" w:rsidTr="003C683D">
        <w:trPr>
          <w:trHeight w:val="300"/>
        </w:trPr>
        <w:tc>
          <w:tcPr>
            <w:tcW w:w="3231" w:type="dxa"/>
            <w:noWrap/>
            <w:hideMark/>
          </w:tcPr>
          <w:p w14:paraId="0C635983"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1)Hex</w:t>
            </w:r>
            <w:proofErr w:type="gramEnd"/>
            <w:r w:rsidRPr="00923A0B">
              <w:rPr>
                <w:rFonts w:ascii="Calibri" w:eastAsia="Times New Roman" w:hAnsi="Calibri" w:cs="Calibri"/>
                <w:color w:val="000000"/>
                <w:kern w:val="0"/>
                <w14:ligatures w14:val="none"/>
              </w:rPr>
              <w:t>(1)NeuAc(3)</w:t>
            </w:r>
          </w:p>
        </w:tc>
        <w:tc>
          <w:tcPr>
            <w:tcW w:w="1053" w:type="dxa"/>
            <w:noWrap/>
            <w:hideMark/>
          </w:tcPr>
          <w:p w14:paraId="5A6DAEA3"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1238.418</w:t>
            </w:r>
          </w:p>
        </w:tc>
      </w:tr>
      <w:tr w:rsidR="00923A0B" w:rsidRPr="00923A0B" w14:paraId="0A3C4F17" w14:textId="77777777" w:rsidTr="003C683D">
        <w:trPr>
          <w:trHeight w:val="300"/>
        </w:trPr>
        <w:tc>
          <w:tcPr>
            <w:tcW w:w="3231" w:type="dxa"/>
            <w:noWrap/>
            <w:hideMark/>
          </w:tcPr>
          <w:p w14:paraId="4AF3DC8D"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3)Hex</w:t>
            </w:r>
            <w:proofErr w:type="gramEnd"/>
            <w:r w:rsidRPr="00923A0B">
              <w:rPr>
                <w:rFonts w:ascii="Calibri" w:eastAsia="Times New Roman" w:hAnsi="Calibri" w:cs="Calibri"/>
                <w:color w:val="000000"/>
                <w:kern w:val="0"/>
                <w14:ligatures w14:val="none"/>
              </w:rPr>
              <w:t>(3)</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w:t>
            </w:r>
          </w:p>
        </w:tc>
        <w:tc>
          <w:tcPr>
            <w:tcW w:w="1053" w:type="dxa"/>
            <w:noWrap/>
            <w:hideMark/>
          </w:tcPr>
          <w:p w14:paraId="0860F24E"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1241.455</w:t>
            </w:r>
          </w:p>
        </w:tc>
      </w:tr>
      <w:tr w:rsidR="00923A0B" w:rsidRPr="00923A0B" w14:paraId="40A6941C" w14:textId="77777777" w:rsidTr="003C683D">
        <w:trPr>
          <w:trHeight w:val="300"/>
        </w:trPr>
        <w:tc>
          <w:tcPr>
            <w:tcW w:w="3231" w:type="dxa"/>
            <w:noWrap/>
            <w:hideMark/>
          </w:tcPr>
          <w:p w14:paraId="46B2D409"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(2)NeuAc(2)</w:t>
            </w:r>
          </w:p>
        </w:tc>
        <w:tc>
          <w:tcPr>
            <w:tcW w:w="1053" w:type="dxa"/>
            <w:noWrap/>
            <w:hideMark/>
          </w:tcPr>
          <w:p w14:paraId="557D3D54"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1312.455</w:t>
            </w:r>
          </w:p>
        </w:tc>
      </w:tr>
      <w:tr w:rsidR="00923A0B" w:rsidRPr="00923A0B" w14:paraId="04606430" w14:textId="77777777" w:rsidTr="003C683D">
        <w:trPr>
          <w:trHeight w:val="300"/>
        </w:trPr>
        <w:tc>
          <w:tcPr>
            <w:tcW w:w="3231" w:type="dxa"/>
            <w:noWrap/>
            <w:hideMark/>
          </w:tcPr>
          <w:p w14:paraId="518CD2C8"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(2)NeuAc(1)</w:t>
            </w:r>
          </w:p>
        </w:tc>
        <w:tc>
          <w:tcPr>
            <w:tcW w:w="1053" w:type="dxa"/>
            <w:noWrap/>
            <w:hideMark/>
          </w:tcPr>
          <w:p w14:paraId="227F2FFB"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1313.476</w:t>
            </w:r>
          </w:p>
        </w:tc>
      </w:tr>
      <w:tr w:rsidR="00923A0B" w:rsidRPr="00923A0B" w14:paraId="614C6752" w14:textId="77777777" w:rsidTr="003C683D">
        <w:trPr>
          <w:trHeight w:val="300"/>
        </w:trPr>
        <w:tc>
          <w:tcPr>
            <w:tcW w:w="3231" w:type="dxa"/>
            <w:noWrap/>
            <w:hideMark/>
          </w:tcPr>
          <w:p w14:paraId="00F03B2A"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3)Hex</w:t>
            </w:r>
            <w:proofErr w:type="gramEnd"/>
            <w:r w:rsidRPr="00923A0B">
              <w:rPr>
                <w:rFonts w:ascii="Calibri" w:eastAsia="Times New Roman" w:hAnsi="Calibri" w:cs="Calibri"/>
                <w:color w:val="000000"/>
                <w:kern w:val="0"/>
                <w14:ligatures w14:val="none"/>
              </w:rPr>
              <w:t>(3)NeuAc(1)</w:t>
            </w:r>
          </w:p>
        </w:tc>
        <w:tc>
          <w:tcPr>
            <w:tcW w:w="1053" w:type="dxa"/>
            <w:noWrap/>
            <w:hideMark/>
          </w:tcPr>
          <w:p w14:paraId="1B1A76CD"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1386.492</w:t>
            </w:r>
          </w:p>
        </w:tc>
      </w:tr>
      <w:tr w:rsidR="00923A0B" w:rsidRPr="00923A0B" w14:paraId="59CB631C" w14:textId="77777777" w:rsidTr="003C683D">
        <w:trPr>
          <w:trHeight w:val="300"/>
        </w:trPr>
        <w:tc>
          <w:tcPr>
            <w:tcW w:w="3231" w:type="dxa"/>
            <w:noWrap/>
            <w:hideMark/>
          </w:tcPr>
          <w:p w14:paraId="4B2499C1"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3)Hex</w:t>
            </w:r>
            <w:proofErr w:type="gramEnd"/>
            <w:r w:rsidRPr="00923A0B">
              <w:rPr>
                <w:rFonts w:ascii="Calibri" w:eastAsia="Times New Roman" w:hAnsi="Calibri" w:cs="Calibri"/>
                <w:color w:val="000000"/>
                <w:kern w:val="0"/>
                <w14:ligatures w14:val="none"/>
              </w:rPr>
              <w:t>(3)</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(2)</w:t>
            </w:r>
          </w:p>
        </w:tc>
        <w:tc>
          <w:tcPr>
            <w:tcW w:w="1053" w:type="dxa"/>
            <w:noWrap/>
            <w:hideMark/>
          </w:tcPr>
          <w:p w14:paraId="562B64EB"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1387.512</w:t>
            </w:r>
          </w:p>
        </w:tc>
      </w:tr>
      <w:tr w:rsidR="00923A0B" w:rsidRPr="00923A0B" w14:paraId="15619FFB" w14:textId="77777777" w:rsidTr="003C683D">
        <w:trPr>
          <w:trHeight w:val="300"/>
        </w:trPr>
        <w:tc>
          <w:tcPr>
            <w:tcW w:w="3231" w:type="dxa"/>
            <w:noWrap/>
            <w:hideMark/>
          </w:tcPr>
          <w:p w14:paraId="6AA61DE8"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(1)NeuAc(3)</w:t>
            </w:r>
          </w:p>
        </w:tc>
        <w:tc>
          <w:tcPr>
            <w:tcW w:w="1053" w:type="dxa"/>
            <w:noWrap/>
            <w:hideMark/>
          </w:tcPr>
          <w:p w14:paraId="01D64D56"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1441.498</w:t>
            </w:r>
          </w:p>
        </w:tc>
      </w:tr>
      <w:tr w:rsidR="00923A0B" w:rsidRPr="00923A0B" w14:paraId="5D273E7D" w14:textId="77777777" w:rsidTr="003C683D">
        <w:trPr>
          <w:trHeight w:val="300"/>
        </w:trPr>
        <w:tc>
          <w:tcPr>
            <w:tcW w:w="3231" w:type="dxa"/>
            <w:noWrap/>
            <w:hideMark/>
          </w:tcPr>
          <w:p w14:paraId="5D431B74" w14:textId="77777777" w:rsidR="00923A0B" w:rsidRPr="00923A0B" w:rsidRDefault="00923A0B" w:rsidP="00923A0B">
            <w:pPr>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HexNAc(</w:t>
            </w:r>
            <w:proofErr w:type="gramStart"/>
            <w:r w:rsidRPr="00923A0B">
              <w:rPr>
                <w:rFonts w:ascii="Calibri" w:eastAsia="Times New Roman" w:hAnsi="Calibri" w:cs="Calibri"/>
                <w:color w:val="000000"/>
                <w:kern w:val="0"/>
                <w14:ligatures w14:val="none"/>
              </w:rPr>
              <w:t>2)Hex</w:t>
            </w:r>
            <w:proofErr w:type="gramEnd"/>
            <w:r w:rsidRPr="00923A0B">
              <w:rPr>
                <w:rFonts w:ascii="Calibri" w:eastAsia="Times New Roman" w:hAnsi="Calibri" w:cs="Calibri"/>
                <w:color w:val="000000"/>
                <w:kern w:val="0"/>
                <w14:ligatures w14:val="none"/>
              </w:rPr>
              <w:t>(2)</w:t>
            </w:r>
            <w:proofErr w:type="spellStart"/>
            <w:r w:rsidRPr="00923A0B">
              <w:rPr>
                <w:rFonts w:ascii="Calibri" w:eastAsia="Times New Roman" w:hAnsi="Calibri" w:cs="Calibri"/>
                <w:color w:val="000000"/>
                <w:kern w:val="0"/>
                <w14:ligatures w14:val="none"/>
              </w:rPr>
              <w:t>Fuc</w:t>
            </w:r>
            <w:proofErr w:type="spellEnd"/>
            <w:r w:rsidRPr="00923A0B">
              <w:rPr>
                <w:rFonts w:ascii="Calibri" w:eastAsia="Times New Roman" w:hAnsi="Calibri" w:cs="Calibri"/>
                <w:color w:val="000000"/>
                <w:kern w:val="0"/>
                <w14:ligatures w14:val="none"/>
              </w:rPr>
              <w:t>(1)NeuAc(2)</w:t>
            </w:r>
          </w:p>
        </w:tc>
        <w:tc>
          <w:tcPr>
            <w:tcW w:w="1053" w:type="dxa"/>
            <w:noWrap/>
            <w:hideMark/>
          </w:tcPr>
          <w:p w14:paraId="7281159E" w14:textId="77777777" w:rsidR="00923A0B" w:rsidRPr="00923A0B" w:rsidRDefault="00923A0B" w:rsidP="00923A0B">
            <w:pPr>
              <w:jc w:val="right"/>
              <w:rPr>
                <w:rFonts w:ascii="Calibri" w:eastAsia="Times New Roman" w:hAnsi="Calibri" w:cs="Calibri"/>
                <w:color w:val="000000"/>
                <w:kern w:val="0"/>
                <w14:ligatures w14:val="none"/>
              </w:rPr>
            </w:pPr>
            <w:r w:rsidRPr="00923A0B">
              <w:rPr>
                <w:rFonts w:ascii="Calibri" w:eastAsia="Times New Roman" w:hAnsi="Calibri" w:cs="Calibri"/>
                <w:color w:val="000000"/>
                <w:kern w:val="0"/>
                <w14:ligatures w14:val="none"/>
              </w:rPr>
              <w:t>1458.513</w:t>
            </w:r>
          </w:p>
        </w:tc>
      </w:tr>
    </w:tbl>
    <w:p w14:paraId="225C554F" w14:textId="77777777" w:rsidR="00E65AC6" w:rsidRDefault="00E65AC6"/>
    <w:p w14:paraId="3D19B570" w14:textId="77777777" w:rsidR="00923A0B" w:rsidRDefault="00923A0B"/>
    <w:p w14:paraId="3C2F7EF0" w14:textId="4885EFA0" w:rsidR="004D7513" w:rsidRDefault="004D7513">
      <w:pPr>
        <w:rPr>
          <w:noProof/>
        </w:rPr>
      </w:pPr>
      <w:r>
        <w:br w:type="page"/>
      </w:r>
      <w:r w:rsidR="00BC7596">
        <w:rPr>
          <w:noProof/>
        </w:rPr>
        <w:lastRenderedPageBreak/>
        <w:drawing>
          <wp:anchor distT="0" distB="0" distL="114300" distR="114300" simplePos="0" relativeHeight="251659264" behindDoc="0" locked="0" layoutInCell="1" allowOverlap="1" wp14:anchorId="0DE90FAB" wp14:editId="699ADBB0">
            <wp:simplePos x="0" y="0"/>
            <wp:positionH relativeFrom="margin">
              <wp:align>left</wp:align>
            </wp:positionH>
            <wp:positionV relativeFrom="paragraph">
              <wp:posOffset>3111500</wp:posOffset>
            </wp:positionV>
            <wp:extent cx="5262490" cy="3476625"/>
            <wp:effectExtent l="0" t="0" r="0" b="0"/>
            <wp:wrapTopAndBottom/>
            <wp:docPr id="147992661" name="Chart 1">
              <a:extLst xmlns:a="http://schemas.openxmlformats.org/drawingml/2006/main">
                <a:ext uri="{FF2B5EF4-FFF2-40B4-BE49-F238E27FC236}">
                  <a16:creationId xmlns:a16="http://schemas.microsoft.com/office/drawing/2014/main" id="{DF6B8788-42FD-B964-3A6C-34DB1769AA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89F7DA0" wp14:editId="0A6F4446">
            <wp:simplePos x="0" y="0"/>
            <wp:positionH relativeFrom="margin">
              <wp:align>left</wp:align>
            </wp:positionH>
            <wp:positionV relativeFrom="paragraph">
              <wp:posOffset>0</wp:posOffset>
            </wp:positionV>
            <wp:extent cx="5262490" cy="3476625"/>
            <wp:effectExtent l="0" t="0" r="0" b="0"/>
            <wp:wrapTopAndBottom/>
            <wp:docPr id="1099604082" name="Chart 1">
              <a:extLst xmlns:a="http://schemas.openxmlformats.org/drawingml/2006/main">
                <a:ext uri="{FF2B5EF4-FFF2-40B4-BE49-F238E27FC236}">
                  <a16:creationId xmlns:a16="http://schemas.microsoft.com/office/drawing/2014/main" id="{834BD7FD-0787-FC14-6376-539040D2A7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00FB7E28">
        <w:rPr>
          <w:noProof/>
        </w:rPr>
        <w:t xml:space="preserve">Supplementary Figure </w:t>
      </w:r>
      <w:r w:rsidR="00F82118">
        <w:rPr>
          <w:noProof/>
        </w:rPr>
        <w:t>1</w:t>
      </w:r>
      <w:r>
        <w:rPr>
          <w:noProof/>
        </w:rPr>
        <w:t xml:space="preserve">. Analysis of EThcD-only data with FragPipe. </w:t>
      </w:r>
      <w:r w:rsidR="00F82118">
        <w:rPr>
          <w:noProof/>
        </w:rPr>
        <w:t xml:space="preserve">NCE values are listed in parentheses for each activation or supplemental activation. </w:t>
      </w:r>
      <w:r w:rsidR="00BC7596">
        <w:rPr>
          <w:noProof/>
        </w:rPr>
        <w:t xml:space="preserve">Top: </w:t>
      </w:r>
      <w:r>
        <w:rPr>
          <w:noProof/>
        </w:rPr>
        <w:t xml:space="preserve">MSFragger search was performed on EThcD scans, considering </w:t>
      </w:r>
      <w:r w:rsidRPr="007427F2">
        <w:rPr>
          <w:i/>
          <w:iCs/>
          <w:noProof/>
        </w:rPr>
        <w:t>b, y, c, z,</w:t>
      </w:r>
      <w:r>
        <w:rPr>
          <w:noProof/>
        </w:rPr>
        <w:t xml:space="preserve"> and Y ions, and the 12 glycan database (max 5 per peptide) set as mass offsets. Note that this precludes identifying </w:t>
      </w:r>
      <w:r w:rsidRPr="007427F2">
        <w:rPr>
          <w:i/>
          <w:iCs/>
          <w:noProof/>
        </w:rPr>
        <w:t>c</w:t>
      </w:r>
      <w:r w:rsidR="007427F2">
        <w:rPr>
          <w:noProof/>
        </w:rPr>
        <w:t xml:space="preserve"> or </w:t>
      </w:r>
      <w:r w:rsidRPr="007427F2">
        <w:rPr>
          <w:i/>
          <w:iCs/>
          <w:noProof/>
        </w:rPr>
        <w:t>z</w:t>
      </w:r>
      <w:r>
        <w:rPr>
          <w:noProof/>
        </w:rPr>
        <w:t xml:space="preserve"> ions with intact glycans from multiply glycosylated peptides (but avoids the associated combinatorial explosion of peptide candidates). Multiply glycosylated peptides rely on </w:t>
      </w:r>
      <w:r w:rsidRPr="007427F2">
        <w:rPr>
          <w:i/>
          <w:iCs/>
          <w:noProof/>
        </w:rPr>
        <w:t>b</w:t>
      </w:r>
      <w:r>
        <w:rPr>
          <w:noProof/>
        </w:rPr>
        <w:t xml:space="preserve"> and </w:t>
      </w:r>
      <w:r w:rsidRPr="007427F2">
        <w:rPr>
          <w:i/>
          <w:iCs/>
          <w:noProof/>
        </w:rPr>
        <w:t>y</w:t>
      </w:r>
      <w:r>
        <w:rPr>
          <w:noProof/>
        </w:rPr>
        <w:t xml:space="preserve"> ions for identification by MSFragger, which is likely the reason the number of PSMs increases consistently with increasing supplemental activation. O-Pair search was performed using </w:t>
      </w:r>
      <w:r w:rsidRPr="007427F2">
        <w:rPr>
          <w:i/>
          <w:iCs/>
          <w:noProof/>
        </w:rPr>
        <w:t>c</w:t>
      </w:r>
      <w:r>
        <w:rPr>
          <w:noProof/>
        </w:rPr>
        <w:t xml:space="preserve"> and </w:t>
      </w:r>
      <w:r w:rsidRPr="007427F2">
        <w:rPr>
          <w:i/>
          <w:iCs/>
          <w:noProof/>
        </w:rPr>
        <w:t>z</w:t>
      </w:r>
      <w:r>
        <w:rPr>
          <w:noProof/>
        </w:rPr>
        <w:t xml:space="preserve"> ions, with the “single-scan” option set, which treats each scan as its own pair (i.e., the MSFragger </w:t>
      </w:r>
      <w:r>
        <w:rPr>
          <w:noProof/>
        </w:rPr>
        <w:lastRenderedPageBreak/>
        <w:t xml:space="preserve">result for a scan is passed to O-Pair, and O-Pair is told to localize the glycans using that same scan).  </w:t>
      </w:r>
      <w:r w:rsidR="00BC7596">
        <w:rPr>
          <w:noProof/>
        </w:rPr>
        <w:t xml:space="preserve">Compared to paired scan analysis of the same sample (bottom graph), EThcD only analysis yielded fewer total PSMs, but a higher proportion of Level 1 PSMs. This is expected, as the glycopeptides that generate high quality EThcD spectra for identification should generally have sufficient information to localize the glycan(s), while spectra that can be identified only from HCD are less likely to have sufficient information in the EThcD scan to confidently localize glycan(s). </w:t>
      </w:r>
    </w:p>
    <w:p w14:paraId="321D382D" w14:textId="77777777" w:rsidR="00CD4353" w:rsidRDefault="00CD4353">
      <w:pPr>
        <w:rPr>
          <w:noProof/>
        </w:rPr>
      </w:pPr>
    </w:p>
    <w:p w14:paraId="0BE04090" w14:textId="344EB77C" w:rsidR="00CD4353" w:rsidRDefault="00CD4353">
      <w:pPr>
        <w:rPr>
          <w:noProof/>
        </w:rPr>
      </w:pPr>
      <w:r>
        <w:rPr>
          <w:noProof/>
        </w:rPr>
        <w:br w:type="page"/>
      </w:r>
    </w:p>
    <w:p w14:paraId="3066D774" w14:textId="6A482495" w:rsidR="00CD4353" w:rsidRDefault="00CD4353">
      <w:r>
        <w:rPr>
          <w:noProof/>
        </w:rPr>
        <w:lastRenderedPageBreak/>
        <w:drawing>
          <wp:inline distT="0" distB="0" distL="0" distR="0" wp14:anchorId="2D936D05" wp14:editId="0BF8CA5A">
            <wp:extent cx="5943592" cy="6414769"/>
            <wp:effectExtent l="0" t="0" r="635" b="5715"/>
            <wp:docPr id="1584499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9917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592" cy="6414769"/>
                    </a:xfrm>
                    <a:prstGeom prst="rect">
                      <a:avLst/>
                    </a:prstGeom>
                  </pic:spPr>
                </pic:pic>
              </a:graphicData>
            </a:graphic>
          </wp:inline>
        </w:drawing>
      </w:r>
    </w:p>
    <w:p w14:paraId="42D98201" w14:textId="4DD3B373" w:rsidR="00AA04B0" w:rsidRDefault="00CD4353">
      <w:r>
        <w:t xml:space="preserve">Supplementary Figure </w:t>
      </w:r>
      <w:r w:rsidR="0068031B">
        <w:t>2</w:t>
      </w:r>
      <w:r>
        <w:t xml:space="preserve">. </w:t>
      </w:r>
      <w:r w:rsidR="00972011">
        <w:t>Example of glycopeptide identification via paired scan search in FragPipe</w:t>
      </w:r>
      <w:r>
        <w:t xml:space="preserve">. A) HCD spectrum, with </w:t>
      </w:r>
      <w:r w:rsidR="001E3B32">
        <w:rPr>
          <w:i/>
          <w:iCs/>
        </w:rPr>
        <w:t>b</w:t>
      </w:r>
      <w:r w:rsidR="001E3B32">
        <w:t xml:space="preserve"> and </w:t>
      </w:r>
      <w:r w:rsidR="001E3B32">
        <w:rPr>
          <w:i/>
          <w:iCs/>
        </w:rPr>
        <w:t>y</w:t>
      </w:r>
      <w:r>
        <w:t xml:space="preserve"> ions annotated after complete loss of glycans.</w:t>
      </w:r>
      <w:r w:rsidR="001E3B32">
        <w:t xml:space="preserve"> Oxonium ions (blue) and glycopeptide Y ions (red) are also shown.</w:t>
      </w:r>
      <w:r>
        <w:t xml:space="preserve"> Note that if glycans are left intact (</w:t>
      </w:r>
      <w:r w:rsidR="000A7E73">
        <w:t>as in a</w:t>
      </w:r>
      <w:r>
        <w:t xml:space="preserve"> conventional search) no </w:t>
      </w:r>
      <w:r w:rsidR="001E3B32">
        <w:rPr>
          <w:i/>
          <w:iCs/>
        </w:rPr>
        <w:t>b</w:t>
      </w:r>
      <w:r w:rsidR="001E3B32">
        <w:t xml:space="preserve"> and </w:t>
      </w:r>
      <w:r w:rsidR="001E3B32">
        <w:rPr>
          <w:i/>
          <w:iCs/>
        </w:rPr>
        <w:t>y</w:t>
      </w:r>
      <w:r>
        <w:t xml:space="preserve"> ions are matched at all. The </w:t>
      </w:r>
      <w:r w:rsidR="0090181E">
        <w:t xml:space="preserve">HCD </w:t>
      </w:r>
      <w:r>
        <w:t xml:space="preserve">spectrum confidently identifies the peptide sequence and total glycan mass. B) </w:t>
      </w:r>
      <w:r w:rsidR="00176456">
        <w:t xml:space="preserve">Paired </w:t>
      </w:r>
      <w:proofErr w:type="spellStart"/>
      <w:r>
        <w:t>EThcD</w:t>
      </w:r>
      <w:proofErr w:type="spellEnd"/>
      <w:r>
        <w:t xml:space="preserve"> spectrum annotated with glycan locations determined by O-Pair (HexNAc(</w:t>
      </w:r>
      <w:proofErr w:type="gramStart"/>
      <w:r>
        <w:t>1)Hex</w:t>
      </w:r>
      <w:proofErr w:type="gramEnd"/>
      <w:r>
        <w:t>(1)NeuAc(1) at both T1 and T10). Intact glycan</w:t>
      </w:r>
      <w:r w:rsidR="006F1ABB">
        <w:t>s on</w:t>
      </w:r>
      <w:r>
        <w:t xml:space="preserve"> </w:t>
      </w:r>
      <w:r w:rsidR="001E3B32">
        <w:rPr>
          <w:i/>
          <w:iCs/>
        </w:rPr>
        <w:t xml:space="preserve">c </w:t>
      </w:r>
      <w:r w:rsidR="001E3B32">
        <w:t xml:space="preserve">and </w:t>
      </w:r>
      <w:r w:rsidR="001E3B32">
        <w:rPr>
          <w:i/>
          <w:iCs/>
        </w:rPr>
        <w:t>z</w:t>
      </w:r>
      <w:r>
        <w:t xml:space="preserve"> fragment ions allow confident localization of these glycan masses at these sites. </w:t>
      </w:r>
    </w:p>
    <w:p w14:paraId="1126CD24" w14:textId="77777777" w:rsidR="00AA04B0" w:rsidRDefault="00AA04B0">
      <w:r>
        <w:br w:type="page"/>
      </w:r>
    </w:p>
    <w:p w14:paraId="714F3B7A" w14:textId="32D50693" w:rsidR="00800733" w:rsidRDefault="00AA04B0">
      <w:r>
        <w:rPr>
          <w:noProof/>
        </w:rPr>
        <w:lastRenderedPageBreak/>
        <w:drawing>
          <wp:inline distT="0" distB="0" distL="0" distR="0" wp14:anchorId="316A0294" wp14:editId="69EEA528">
            <wp:extent cx="5876925" cy="6043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885206" cy="6052163"/>
                    </a:xfrm>
                    <a:prstGeom prst="rect">
                      <a:avLst/>
                    </a:prstGeom>
                  </pic:spPr>
                </pic:pic>
              </a:graphicData>
            </a:graphic>
          </wp:inline>
        </w:drawing>
      </w:r>
    </w:p>
    <w:p w14:paraId="0994817B" w14:textId="5DB30E18" w:rsidR="00800733" w:rsidRDefault="00AA04B0">
      <w:r>
        <w:t xml:space="preserve">Supplementary Figure </w:t>
      </w:r>
      <w:r w:rsidR="0068031B">
        <w:t>3</w:t>
      </w:r>
      <w:r>
        <w:t xml:space="preserve">. </w:t>
      </w:r>
      <w:proofErr w:type="spellStart"/>
      <w:r>
        <w:t>MetaMorpheus</w:t>
      </w:r>
      <w:proofErr w:type="spellEnd"/>
      <w:r>
        <w:t xml:space="preserve"> spectrum annotation of the same paired scans as in Supplementary Figure </w:t>
      </w:r>
      <w:r w:rsidR="0068031B">
        <w:t>2</w:t>
      </w:r>
      <w:r>
        <w:t xml:space="preserve">. Top: HCD spectrum showing oxonium ions (light blue) and peptide backbone </w:t>
      </w:r>
      <w:r w:rsidRPr="00AA04B0">
        <w:rPr>
          <w:i/>
          <w:iCs/>
        </w:rPr>
        <w:t>b</w:t>
      </w:r>
      <w:r>
        <w:t xml:space="preserve"> (blue) and </w:t>
      </w:r>
      <w:r w:rsidRPr="00AA04B0">
        <w:rPr>
          <w:i/>
          <w:iCs/>
        </w:rPr>
        <w:t>y</w:t>
      </w:r>
      <w:r>
        <w:t xml:space="preserve"> (red) fragments. Bottom: paired </w:t>
      </w:r>
      <w:proofErr w:type="spellStart"/>
      <w:r>
        <w:t>EThcD</w:t>
      </w:r>
      <w:proofErr w:type="spellEnd"/>
      <w:r>
        <w:t xml:space="preserve"> spectrum showing </w:t>
      </w:r>
      <w:r w:rsidRPr="00AA04B0">
        <w:rPr>
          <w:i/>
          <w:iCs/>
        </w:rPr>
        <w:t>c</w:t>
      </w:r>
      <w:r>
        <w:t xml:space="preserve"> (yellow) and </w:t>
      </w:r>
      <w:r w:rsidRPr="00AA04B0">
        <w:rPr>
          <w:i/>
          <w:iCs/>
        </w:rPr>
        <w:t>z</w:t>
      </w:r>
      <w:r>
        <w:t xml:space="preserve"> (orange) fragments in addition to oxonium ions. </w:t>
      </w:r>
      <w:r w:rsidR="00800733">
        <w:br w:type="page"/>
      </w:r>
    </w:p>
    <w:p w14:paraId="624DAD04" w14:textId="08C9DDE9" w:rsidR="00CD4353" w:rsidRDefault="0047681F">
      <w:r>
        <w:rPr>
          <w:noProof/>
        </w:rPr>
        <w:lastRenderedPageBreak/>
        <w:drawing>
          <wp:inline distT="0" distB="0" distL="0" distR="0" wp14:anchorId="4352EC97" wp14:editId="321B61C6">
            <wp:extent cx="5943600" cy="6595745"/>
            <wp:effectExtent l="0" t="0" r="0" b="0"/>
            <wp:docPr id="186275446"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5446" name="Picture 2"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595745"/>
                    </a:xfrm>
                    <a:prstGeom prst="rect">
                      <a:avLst/>
                    </a:prstGeom>
                  </pic:spPr>
                </pic:pic>
              </a:graphicData>
            </a:graphic>
          </wp:inline>
        </w:drawing>
      </w:r>
    </w:p>
    <w:p w14:paraId="732E5CFE" w14:textId="1943A179" w:rsidR="00A979A0" w:rsidRDefault="0047681F">
      <w:r>
        <w:t xml:space="preserve">Supplementary Figure </w:t>
      </w:r>
      <w:r w:rsidR="0068031B">
        <w:t>4</w:t>
      </w:r>
      <w:r>
        <w:t xml:space="preserve">. Example paired spectrum set identified by FragPipe but </w:t>
      </w:r>
      <w:proofErr w:type="spellStart"/>
      <w:r>
        <w:t>not</w:t>
      </w:r>
      <w:proofErr w:type="spellEnd"/>
      <w:r>
        <w:t xml:space="preserve"> other tools. A) HCD spectrum with a clear match to the peptide sequence and good score. B) </w:t>
      </w:r>
      <w:proofErr w:type="spellStart"/>
      <w:r>
        <w:t>EThcD</w:t>
      </w:r>
      <w:proofErr w:type="spellEnd"/>
      <w:r>
        <w:t xml:space="preserve"> spectrum showing very few fragment ions matched. FragPipe reported this as a Level 3 identification based on the HCD spectrum alone, whereas other tools did not report it as a match, presumably due to the lack of ions matched in the </w:t>
      </w:r>
      <w:proofErr w:type="spellStart"/>
      <w:r>
        <w:t>EThcD</w:t>
      </w:r>
      <w:proofErr w:type="spellEnd"/>
      <w:r>
        <w:t xml:space="preserve"> spectrum. </w:t>
      </w:r>
    </w:p>
    <w:p w14:paraId="375A4ACD" w14:textId="77777777" w:rsidR="00F82118" w:rsidRDefault="00F82118"/>
    <w:p w14:paraId="08C0A65D" w14:textId="77777777" w:rsidR="00F82118" w:rsidRDefault="00F82118" w:rsidP="00F82118">
      <w:r w:rsidRPr="00CF0019">
        <w:rPr>
          <w:noProof/>
        </w:rPr>
        <w:lastRenderedPageBreak/>
        <w:drawing>
          <wp:inline distT="0" distB="0" distL="0" distR="0" wp14:anchorId="5DCBD1BB" wp14:editId="6F39E5CC">
            <wp:extent cx="5372079" cy="4443413"/>
            <wp:effectExtent l="0" t="0" r="635" b="0"/>
            <wp:docPr id="1274440029" name="Chart 1">
              <a:extLst xmlns:a="http://schemas.openxmlformats.org/drawingml/2006/main">
                <a:ext uri="{FF2B5EF4-FFF2-40B4-BE49-F238E27FC236}">
                  <a16:creationId xmlns:a16="http://schemas.microsoft.com/office/drawing/2014/main" id="{6DEE841F-A8F2-2AB6-C4CC-CFE410070E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BAFEBF" w14:textId="3EC99B2C" w:rsidR="00F82118" w:rsidRDefault="00F82118" w:rsidP="00F82118">
      <w:r>
        <w:t xml:space="preserve">Supplementary Figure </w:t>
      </w:r>
      <w:r>
        <w:t>5</w:t>
      </w:r>
      <w:r>
        <w:t xml:space="preserve">. Comparison of Y ion frequencies in 4 mucin mixture and human urine O-glycopeptide datasets. Y ions are specified by composition (N=HexNAc, H=Hexose) in increasing order of size. The urine dataset exhibits considerably more frequent Y ions than the mucin dataset, likely a result of the lower normalized collision energies used. </w:t>
      </w:r>
    </w:p>
    <w:p w14:paraId="46DF8A12" w14:textId="77777777" w:rsidR="00F82118" w:rsidRDefault="00F82118"/>
    <w:p w14:paraId="63080355" w14:textId="3D884465" w:rsidR="0047681F" w:rsidRDefault="0047681F"/>
    <w:sectPr w:rsidR="00476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B21DD"/>
    <w:multiLevelType w:val="hybridMultilevel"/>
    <w:tmpl w:val="A7A84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064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C4"/>
    <w:rsid w:val="00010CB2"/>
    <w:rsid w:val="000A7E73"/>
    <w:rsid w:val="00176456"/>
    <w:rsid w:val="001E3B32"/>
    <w:rsid w:val="0020107B"/>
    <w:rsid w:val="003C683D"/>
    <w:rsid w:val="00435209"/>
    <w:rsid w:val="0047681F"/>
    <w:rsid w:val="004A52AF"/>
    <w:rsid w:val="004B7DE4"/>
    <w:rsid w:val="004D7513"/>
    <w:rsid w:val="00546A6B"/>
    <w:rsid w:val="005A2DB4"/>
    <w:rsid w:val="005C7BD4"/>
    <w:rsid w:val="0062204F"/>
    <w:rsid w:val="00623B5B"/>
    <w:rsid w:val="0068031B"/>
    <w:rsid w:val="006F1ABB"/>
    <w:rsid w:val="007427F2"/>
    <w:rsid w:val="00744A68"/>
    <w:rsid w:val="00761C25"/>
    <w:rsid w:val="00800733"/>
    <w:rsid w:val="008C7E99"/>
    <w:rsid w:val="0090181E"/>
    <w:rsid w:val="00923A0B"/>
    <w:rsid w:val="00972011"/>
    <w:rsid w:val="00A41254"/>
    <w:rsid w:val="00A54CBC"/>
    <w:rsid w:val="00A979A0"/>
    <w:rsid w:val="00AA04B0"/>
    <w:rsid w:val="00AA7F7F"/>
    <w:rsid w:val="00B26418"/>
    <w:rsid w:val="00BC7596"/>
    <w:rsid w:val="00C94228"/>
    <w:rsid w:val="00CD4353"/>
    <w:rsid w:val="00CE18ED"/>
    <w:rsid w:val="00CF0019"/>
    <w:rsid w:val="00D30960"/>
    <w:rsid w:val="00D93037"/>
    <w:rsid w:val="00E251B9"/>
    <w:rsid w:val="00E65AC6"/>
    <w:rsid w:val="00F741C4"/>
    <w:rsid w:val="00F82118"/>
    <w:rsid w:val="00FA246E"/>
    <w:rsid w:val="00FB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97C7"/>
  <w15:chartTrackingRefBased/>
  <w15:docId w15:val="{85C2851F-0602-48A9-9876-5482A745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7BD4"/>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32659">
      <w:bodyDiv w:val="1"/>
      <w:marLeft w:val="0"/>
      <w:marRight w:val="0"/>
      <w:marTop w:val="0"/>
      <w:marBottom w:val="0"/>
      <w:divBdr>
        <w:top w:val="none" w:sz="0" w:space="0" w:color="auto"/>
        <w:left w:val="none" w:sz="0" w:space="0" w:color="auto"/>
        <w:bottom w:val="none" w:sz="0" w:space="0" w:color="auto"/>
        <w:right w:val="none" w:sz="0" w:space="0" w:color="auto"/>
      </w:divBdr>
    </w:div>
    <w:div w:id="357043595">
      <w:bodyDiv w:val="1"/>
      <w:marLeft w:val="0"/>
      <w:marRight w:val="0"/>
      <w:marTop w:val="0"/>
      <w:marBottom w:val="0"/>
      <w:divBdr>
        <w:top w:val="none" w:sz="0" w:space="0" w:color="auto"/>
        <w:left w:val="none" w:sz="0" w:space="0" w:color="auto"/>
        <w:bottom w:val="none" w:sz="0" w:space="0" w:color="auto"/>
        <w:right w:val="none" w:sz="0" w:space="0" w:color="auto"/>
      </w:divBdr>
    </w:div>
    <w:div w:id="912087482">
      <w:bodyDiv w:val="1"/>
      <w:marLeft w:val="0"/>
      <w:marRight w:val="0"/>
      <w:marTop w:val="0"/>
      <w:marBottom w:val="0"/>
      <w:divBdr>
        <w:top w:val="none" w:sz="0" w:space="0" w:color="auto"/>
        <w:left w:val="none" w:sz="0" w:space="0" w:color="auto"/>
        <w:bottom w:val="none" w:sz="0" w:space="0" w:color="auto"/>
        <w:right w:val="none" w:sz="0" w:space="0" w:color="auto"/>
      </w:divBdr>
    </w:div>
    <w:div w:id="1221869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orexfs.med.umich.edu\proteomics\dpolasky\projects\Glyco\OPair_comparison\EThcD-only_PXD025407\__FraggerResults\_uniques\_combin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orexfs.med.umich.edu\proteomics\dpolasky\projects\Glyco\OPair_comparison\EThcD-only_PXD025407\__FraggerResults\_uniques\_combin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orexfs.med.umich.edu\proteomics\dpolasky\projects\Glyco\OPair_comparison\_OPair-Paper-Data\__FraggerResults\2023-05-19_Stds-all_12x5_PTMSdiag\ptm-shepherd-output\dataset01.diagnosticProfil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_combined!$F$18</c:f>
              <c:strCache>
                <c:ptCount val="1"/>
                <c:pt idx="0">
                  <c:v>Level 1</c:v>
                </c:pt>
              </c:strCache>
            </c:strRef>
          </c:tx>
          <c:spPr>
            <a:solidFill>
              <a:schemeClr val="accent1"/>
            </a:solidFill>
            <a:ln>
              <a:noFill/>
            </a:ln>
            <a:effectLst/>
          </c:spPr>
          <c:invertIfNegative val="0"/>
          <c:cat>
            <c:strRef>
              <c:f>_combined!$C$26:$C$32</c:f>
              <c:strCache>
                <c:ptCount val="7"/>
                <c:pt idx="0">
                  <c:v>HCD(27)EThcD(10)</c:v>
                </c:pt>
                <c:pt idx="1">
                  <c:v>HCD(27)EThcD(15)</c:v>
                </c:pt>
                <c:pt idx="2">
                  <c:v>HCD(27)EThcD(20)</c:v>
                </c:pt>
                <c:pt idx="3">
                  <c:v>HCD(27)EThcD(25)</c:v>
                </c:pt>
                <c:pt idx="4">
                  <c:v>HCD(27)EThcD(30)</c:v>
                </c:pt>
                <c:pt idx="5">
                  <c:v>HCD(27)EThcD(35)</c:v>
                </c:pt>
                <c:pt idx="6">
                  <c:v>HCD(27)EThcD(40)</c:v>
                </c:pt>
              </c:strCache>
            </c:strRef>
          </c:cat>
          <c:val>
            <c:numRef>
              <c:f>_combined!$F$26:$F$32</c:f>
              <c:numCache>
                <c:formatCode>General</c:formatCode>
                <c:ptCount val="7"/>
                <c:pt idx="0">
                  <c:v>887</c:v>
                </c:pt>
                <c:pt idx="1">
                  <c:v>1060</c:v>
                </c:pt>
                <c:pt idx="2">
                  <c:v>1121</c:v>
                </c:pt>
                <c:pt idx="3">
                  <c:v>1081</c:v>
                </c:pt>
                <c:pt idx="4">
                  <c:v>1104</c:v>
                </c:pt>
                <c:pt idx="5">
                  <c:v>988</c:v>
                </c:pt>
                <c:pt idx="6">
                  <c:v>929</c:v>
                </c:pt>
              </c:numCache>
            </c:numRef>
          </c:val>
          <c:extLst>
            <c:ext xmlns:c16="http://schemas.microsoft.com/office/drawing/2014/chart" uri="{C3380CC4-5D6E-409C-BE32-E72D297353CC}">
              <c16:uniqueId val="{00000000-DBD0-48B5-9C07-38549B297629}"/>
            </c:ext>
          </c:extLst>
        </c:ser>
        <c:ser>
          <c:idx val="1"/>
          <c:order val="1"/>
          <c:tx>
            <c:strRef>
              <c:f>_combined!$G$18</c:f>
              <c:strCache>
                <c:ptCount val="1"/>
                <c:pt idx="0">
                  <c:v>Level 1b</c:v>
                </c:pt>
              </c:strCache>
            </c:strRef>
          </c:tx>
          <c:spPr>
            <a:solidFill>
              <a:schemeClr val="accent2"/>
            </a:solidFill>
            <a:ln>
              <a:noFill/>
            </a:ln>
            <a:effectLst/>
          </c:spPr>
          <c:invertIfNegative val="0"/>
          <c:cat>
            <c:strRef>
              <c:f>_combined!$C$26:$C$32</c:f>
              <c:strCache>
                <c:ptCount val="7"/>
                <c:pt idx="0">
                  <c:v>HCD(27)EThcD(10)</c:v>
                </c:pt>
                <c:pt idx="1">
                  <c:v>HCD(27)EThcD(15)</c:v>
                </c:pt>
                <c:pt idx="2">
                  <c:v>HCD(27)EThcD(20)</c:v>
                </c:pt>
                <c:pt idx="3">
                  <c:v>HCD(27)EThcD(25)</c:v>
                </c:pt>
                <c:pt idx="4">
                  <c:v>HCD(27)EThcD(30)</c:v>
                </c:pt>
                <c:pt idx="5">
                  <c:v>HCD(27)EThcD(35)</c:v>
                </c:pt>
                <c:pt idx="6">
                  <c:v>HCD(27)EThcD(40)</c:v>
                </c:pt>
              </c:strCache>
            </c:strRef>
          </c:cat>
          <c:val>
            <c:numRef>
              <c:f>_combined!$G$26:$G$32</c:f>
              <c:numCache>
                <c:formatCode>General</c:formatCode>
                <c:ptCount val="7"/>
                <c:pt idx="0">
                  <c:v>21</c:v>
                </c:pt>
                <c:pt idx="1">
                  <c:v>26</c:v>
                </c:pt>
                <c:pt idx="2">
                  <c:v>17</c:v>
                </c:pt>
                <c:pt idx="3">
                  <c:v>44</c:v>
                </c:pt>
                <c:pt idx="4">
                  <c:v>44</c:v>
                </c:pt>
                <c:pt idx="5">
                  <c:v>75</c:v>
                </c:pt>
                <c:pt idx="6">
                  <c:v>94</c:v>
                </c:pt>
              </c:numCache>
            </c:numRef>
          </c:val>
          <c:extLst>
            <c:ext xmlns:c16="http://schemas.microsoft.com/office/drawing/2014/chart" uri="{C3380CC4-5D6E-409C-BE32-E72D297353CC}">
              <c16:uniqueId val="{00000001-DBD0-48B5-9C07-38549B297629}"/>
            </c:ext>
          </c:extLst>
        </c:ser>
        <c:ser>
          <c:idx val="2"/>
          <c:order val="2"/>
          <c:tx>
            <c:strRef>
              <c:f>_combined!$H$18</c:f>
              <c:strCache>
                <c:ptCount val="1"/>
                <c:pt idx="0">
                  <c:v>Level 2</c:v>
                </c:pt>
              </c:strCache>
            </c:strRef>
          </c:tx>
          <c:spPr>
            <a:solidFill>
              <a:schemeClr val="accent3"/>
            </a:solidFill>
            <a:ln>
              <a:noFill/>
            </a:ln>
            <a:effectLst/>
          </c:spPr>
          <c:invertIfNegative val="0"/>
          <c:cat>
            <c:strRef>
              <c:f>_combined!$C$26:$C$32</c:f>
              <c:strCache>
                <c:ptCount val="7"/>
                <c:pt idx="0">
                  <c:v>HCD(27)EThcD(10)</c:v>
                </c:pt>
                <c:pt idx="1">
                  <c:v>HCD(27)EThcD(15)</c:v>
                </c:pt>
                <c:pt idx="2">
                  <c:v>HCD(27)EThcD(20)</c:v>
                </c:pt>
                <c:pt idx="3">
                  <c:v>HCD(27)EThcD(25)</c:v>
                </c:pt>
                <c:pt idx="4">
                  <c:v>HCD(27)EThcD(30)</c:v>
                </c:pt>
                <c:pt idx="5">
                  <c:v>HCD(27)EThcD(35)</c:v>
                </c:pt>
                <c:pt idx="6">
                  <c:v>HCD(27)EThcD(40)</c:v>
                </c:pt>
              </c:strCache>
            </c:strRef>
          </c:cat>
          <c:val>
            <c:numRef>
              <c:f>_combined!$H$26:$H$32</c:f>
              <c:numCache>
                <c:formatCode>General</c:formatCode>
                <c:ptCount val="7"/>
                <c:pt idx="0">
                  <c:v>64</c:v>
                </c:pt>
                <c:pt idx="1">
                  <c:v>60</c:v>
                </c:pt>
                <c:pt idx="2">
                  <c:v>88</c:v>
                </c:pt>
                <c:pt idx="3">
                  <c:v>70</c:v>
                </c:pt>
                <c:pt idx="4">
                  <c:v>83</c:v>
                </c:pt>
                <c:pt idx="5">
                  <c:v>80</c:v>
                </c:pt>
                <c:pt idx="6">
                  <c:v>81</c:v>
                </c:pt>
              </c:numCache>
            </c:numRef>
          </c:val>
          <c:extLst>
            <c:ext xmlns:c16="http://schemas.microsoft.com/office/drawing/2014/chart" uri="{C3380CC4-5D6E-409C-BE32-E72D297353CC}">
              <c16:uniqueId val="{00000002-DBD0-48B5-9C07-38549B297629}"/>
            </c:ext>
          </c:extLst>
        </c:ser>
        <c:ser>
          <c:idx val="3"/>
          <c:order val="3"/>
          <c:tx>
            <c:strRef>
              <c:f>_combined!$I$18</c:f>
              <c:strCache>
                <c:ptCount val="1"/>
                <c:pt idx="0">
                  <c:v>Level 3</c:v>
                </c:pt>
              </c:strCache>
            </c:strRef>
          </c:tx>
          <c:spPr>
            <a:solidFill>
              <a:schemeClr val="accent4"/>
            </a:solidFill>
            <a:ln>
              <a:noFill/>
            </a:ln>
            <a:effectLst/>
          </c:spPr>
          <c:invertIfNegative val="0"/>
          <c:cat>
            <c:strRef>
              <c:f>_combined!$C$26:$C$32</c:f>
              <c:strCache>
                <c:ptCount val="7"/>
                <c:pt idx="0">
                  <c:v>HCD(27)EThcD(10)</c:v>
                </c:pt>
                <c:pt idx="1">
                  <c:v>HCD(27)EThcD(15)</c:v>
                </c:pt>
                <c:pt idx="2">
                  <c:v>HCD(27)EThcD(20)</c:v>
                </c:pt>
                <c:pt idx="3">
                  <c:v>HCD(27)EThcD(25)</c:v>
                </c:pt>
                <c:pt idx="4">
                  <c:v>HCD(27)EThcD(30)</c:v>
                </c:pt>
                <c:pt idx="5">
                  <c:v>HCD(27)EThcD(35)</c:v>
                </c:pt>
                <c:pt idx="6">
                  <c:v>HCD(27)EThcD(40)</c:v>
                </c:pt>
              </c:strCache>
            </c:strRef>
          </c:cat>
          <c:val>
            <c:numRef>
              <c:f>_combined!$I$26:$I$32</c:f>
              <c:numCache>
                <c:formatCode>General</c:formatCode>
                <c:ptCount val="7"/>
                <c:pt idx="0">
                  <c:v>763</c:v>
                </c:pt>
                <c:pt idx="1">
                  <c:v>672</c:v>
                </c:pt>
                <c:pt idx="2">
                  <c:v>563</c:v>
                </c:pt>
                <c:pt idx="3">
                  <c:v>572</c:v>
                </c:pt>
                <c:pt idx="4">
                  <c:v>551</c:v>
                </c:pt>
                <c:pt idx="5">
                  <c:v>574</c:v>
                </c:pt>
                <c:pt idx="6">
                  <c:v>578</c:v>
                </c:pt>
              </c:numCache>
            </c:numRef>
          </c:val>
          <c:extLst>
            <c:ext xmlns:c16="http://schemas.microsoft.com/office/drawing/2014/chart" uri="{C3380CC4-5D6E-409C-BE32-E72D297353CC}">
              <c16:uniqueId val="{00000003-DBD0-48B5-9C07-38549B297629}"/>
            </c:ext>
          </c:extLst>
        </c:ser>
        <c:dLbls>
          <c:showLegendKey val="0"/>
          <c:showVal val="0"/>
          <c:showCatName val="0"/>
          <c:showSerName val="0"/>
          <c:showPercent val="0"/>
          <c:showBubbleSize val="0"/>
        </c:dLbls>
        <c:gapWidth val="100"/>
        <c:axId val="973400431"/>
        <c:axId val="973400911"/>
      </c:barChart>
      <c:catAx>
        <c:axId val="97340043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73400911"/>
        <c:crosses val="autoZero"/>
        <c:auto val="1"/>
        <c:lblAlgn val="ctr"/>
        <c:lblOffset val="100"/>
        <c:noMultiLvlLbl val="0"/>
      </c:catAx>
      <c:valAx>
        <c:axId val="973400911"/>
        <c:scaling>
          <c:orientation val="minMax"/>
        </c:scaling>
        <c:delete val="0"/>
        <c:axPos val="l"/>
        <c:majorGridlines>
          <c:spPr>
            <a:ln w="9525" cap="flat" cmpd="sng" algn="ctr">
              <a:solidFill>
                <a:schemeClr val="bg2"/>
              </a:solidFill>
              <a:round/>
            </a:ln>
            <a:effectLst/>
          </c:spPr>
        </c:majorGridlines>
        <c:title>
          <c:tx>
            <c:rich>
              <a:bodyPr rot="-54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GlycoPSMs</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7340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_combined!$F$18</c:f>
              <c:strCache>
                <c:ptCount val="1"/>
                <c:pt idx="0">
                  <c:v>Level 1</c:v>
                </c:pt>
              </c:strCache>
            </c:strRef>
          </c:tx>
          <c:spPr>
            <a:solidFill>
              <a:schemeClr val="accent1"/>
            </a:solidFill>
            <a:ln>
              <a:noFill/>
            </a:ln>
            <a:effectLst/>
          </c:spPr>
          <c:invertIfNegative val="0"/>
          <c:cat>
            <c:strRef>
              <c:f>_combined!$C$19:$C$25</c:f>
              <c:strCache>
                <c:ptCount val="7"/>
                <c:pt idx="0">
                  <c:v>EThcD(10)</c:v>
                </c:pt>
                <c:pt idx="1">
                  <c:v>EThcD(15)</c:v>
                </c:pt>
                <c:pt idx="2">
                  <c:v>EThcD(20)</c:v>
                </c:pt>
                <c:pt idx="3">
                  <c:v>EThcD(25)</c:v>
                </c:pt>
                <c:pt idx="4">
                  <c:v>EThcD(30)</c:v>
                </c:pt>
                <c:pt idx="5">
                  <c:v>EThcD(35)</c:v>
                </c:pt>
                <c:pt idx="6">
                  <c:v>EThcD(40)</c:v>
                </c:pt>
              </c:strCache>
            </c:strRef>
          </c:cat>
          <c:val>
            <c:numRef>
              <c:f>_combined!$F$19:$F$25</c:f>
              <c:numCache>
                <c:formatCode>General</c:formatCode>
                <c:ptCount val="7"/>
                <c:pt idx="0">
                  <c:v>0</c:v>
                </c:pt>
                <c:pt idx="1">
                  <c:v>4</c:v>
                </c:pt>
                <c:pt idx="2">
                  <c:v>40</c:v>
                </c:pt>
                <c:pt idx="3">
                  <c:v>134</c:v>
                </c:pt>
                <c:pt idx="4">
                  <c:v>304</c:v>
                </c:pt>
                <c:pt idx="5">
                  <c:v>401</c:v>
                </c:pt>
                <c:pt idx="6">
                  <c:v>484</c:v>
                </c:pt>
              </c:numCache>
            </c:numRef>
          </c:val>
          <c:extLst>
            <c:ext xmlns:c16="http://schemas.microsoft.com/office/drawing/2014/chart" uri="{C3380CC4-5D6E-409C-BE32-E72D297353CC}">
              <c16:uniqueId val="{00000000-5CB5-4D06-9162-94EC62B6ED5B}"/>
            </c:ext>
          </c:extLst>
        </c:ser>
        <c:ser>
          <c:idx val="1"/>
          <c:order val="1"/>
          <c:tx>
            <c:strRef>
              <c:f>_combined!$G$18</c:f>
              <c:strCache>
                <c:ptCount val="1"/>
                <c:pt idx="0">
                  <c:v>Level 1b</c:v>
                </c:pt>
              </c:strCache>
            </c:strRef>
          </c:tx>
          <c:spPr>
            <a:solidFill>
              <a:schemeClr val="accent2"/>
            </a:solidFill>
            <a:ln>
              <a:noFill/>
            </a:ln>
            <a:effectLst/>
          </c:spPr>
          <c:invertIfNegative val="0"/>
          <c:cat>
            <c:strRef>
              <c:f>_combined!$C$19:$C$25</c:f>
              <c:strCache>
                <c:ptCount val="7"/>
                <c:pt idx="0">
                  <c:v>EThcD(10)</c:v>
                </c:pt>
                <c:pt idx="1">
                  <c:v>EThcD(15)</c:v>
                </c:pt>
                <c:pt idx="2">
                  <c:v>EThcD(20)</c:v>
                </c:pt>
                <c:pt idx="3">
                  <c:v>EThcD(25)</c:v>
                </c:pt>
                <c:pt idx="4">
                  <c:v>EThcD(30)</c:v>
                </c:pt>
                <c:pt idx="5">
                  <c:v>EThcD(35)</c:v>
                </c:pt>
                <c:pt idx="6">
                  <c:v>EThcD(40)</c:v>
                </c:pt>
              </c:strCache>
            </c:strRef>
          </c:cat>
          <c:val>
            <c:numRef>
              <c:f>_combined!$G$19:$G$25</c:f>
              <c:numCache>
                <c:formatCode>General</c:formatCode>
                <c:ptCount val="7"/>
                <c:pt idx="0">
                  <c:v>0</c:v>
                </c:pt>
                <c:pt idx="1">
                  <c:v>0</c:v>
                </c:pt>
                <c:pt idx="2">
                  <c:v>2</c:v>
                </c:pt>
                <c:pt idx="3">
                  <c:v>4</c:v>
                </c:pt>
                <c:pt idx="4">
                  <c:v>13</c:v>
                </c:pt>
                <c:pt idx="5">
                  <c:v>27</c:v>
                </c:pt>
                <c:pt idx="6">
                  <c:v>63</c:v>
                </c:pt>
              </c:numCache>
            </c:numRef>
          </c:val>
          <c:extLst>
            <c:ext xmlns:c16="http://schemas.microsoft.com/office/drawing/2014/chart" uri="{C3380CC4-5D6E-409C-BE32-E72D297353CC}">
              <c16:uniqueId val="{00000001-5CB5-4D06-9162-94EC62B6ED5B}"/>
            </c:ext>
          </c:extLst>
        </c:ser>
        <c:ser>
          <c:idx val="2"/>
          <c:order val="2"/>
          <c:tx>
            <c:strRef>
              <c:f>_combined!$H$18</c:f>
              <c:strCache>
                <c:ptCount val="1"/>
                <c:pt idx="0">
                  <c:v>Level 2</c:v>
                </c:pt>
              </c:strCache>
            </c:strRef>
          </c:tx>
          <c:spPr>
            <a:solidFill>
              <a:schemeClr val="accent3"/>
            </a:solidFill>
            <a:ln>
              <a:noFill/>
            </a:ln>
            <a:effectLst/>
          </c:spPr>
          <c:invertIfNegative val="0"/>
          <c:cat>
            <c:strRef>
              <c:f>_combined!$C$19:$C$25</c:f>
              <c:strCache>
                <c:ptCount val="7"/>
                <c:pt idx="0">
                  <c:v>EThcD(10)</c:v>
                </c:pt>
                <c:pt idx="1">
                  <c:v>EThcD(15)</c:v>
                </c:pt>
                <c:pt idx="2">
                  <c:v>EThcD(20)</c:v>
                </c:pt>
                <c:pt idx="3">
                  <c:v>EThcD(25)</c:v>
                </c:pt>
                <c:pt idx="4">
                  <c:v>EThcD(30)</c:v>
                </c:pt>
                <c:pt idx="5">
                  <c:v>EThcD(35)</c:v>
                </c:pt>
                <c:pt idx="6">
                  <c:v>EThcD(40)</c:v>
                </c:pt>
              </c:strCache>
            </c:strRef>
          </c:cat>
          <c:val>
            <c:numRef>
              <c:f>_combined!$H$19:$H$25</c:f>
              <c:numCache>
                <c:formatCode>General</c:formatCode>
                <c:ptCount val="7"/>
                <c:pt idx="0">
                  <c:v>0</c:v>
                </c:pt>
                <c:pt idx="1">
                  <c:v>3</c:v>
                </c:pt>
                <c:pt idx="2">
                  <c:v>2</c:v>
                </c:pt>
                <c:pt idx="3">
                  <c:v>6</c:v>
                </c:pt>
                <c:pt idx="4">
                  <c:v>19</c:v>
                </c:pt>
                <c:pt idx="5">
                  <c:v>31</c:v>
                </c:pt>
                <c:pt idx="6">
                  <c:v>34</c:v>
                </c:pt>
              </c:numCache>
            </c:numRef>
          </c:val>
          <c:extLst>
            <c:ext xmlns:c16="http://schemas.microsoft.com/office/drawing/2014/chart" uri="{C3380CC4-5D6E-409C-BE32-E72D297353CC}">
              <c16:uniqueId val="{00000002-5CB5-4D06-9162-94EC62B6ED5B}"/>
            </c:ext>
          </c:extLst>
        </c:ser>
        <c:ser>
          <c:idx val="3"/>
          <c:order val="3"/>
          <c:tx>
            <c:strRef>
              <c:f>_combined!$I$18</c:f>
              <c:strCache>
                <c:ptCount val="1"/>
                <c:pt idx="0">
                  <c:v>Level 3</c:v>
                </c:pt>
              </c:strCache>
            </c:strRef>
          </c:tx>
          <c:spPr>
            <a:solidFill>
              <a:schemeClr val="accent4"/>
            </a:solidFill>
            <a:ln>
              <a:noFill/>
            </a:ln>
            <a:effectLst/>
          </c:spPr>
          <c:invertIfNegative val="0"/>
          <c:cat>
            <c:strRef>
              <c:f>_combined!$C$19:$C$25</c:f>
              <c:strCache>
                <c:ptCount val="7"/>
                <c:pt idx="0">
                  <c:v>EThcD(10)</c:v>
                </c:pt>
                <c:pt idx="1">
                  <c:v>EThcD(15)</c:v>
                </c:pt>
                <c:pt idx="2">
                  <c:v>EThcD(20)</c:v>
                </c:pt>
                <c:pt idx="3">
                  <c:v>EThcD(25)</c:v>
                </c:pt>
                <c:pt idx="4">
                  <c:v>EThcD(30)</c:v>
                </c:pt>
                <c:pt idx="5">
                  <c:v>EThcD(35)</c:v>
                </c:pt>
                <c:pt idx="6">
                  <c:v>EThcD(40)</c:v>
                </c:pt>
              </c:strCache>
            </c:strRef>
          </c:cat>
          <c:val>
            <c:numRef>
              <c:f>_combined!$I$19:$I$25</c:f>
              <c:numCache>
                <c:formatCode>General</c:formatCode>
                <c:ptCount val="7"/>
                <c:pt idx="0">
                  <c:v>0</c:v>
                </c:pt>
                <c:pt idx="1">
                  <c:v>7</c:v>
                </c:pt>
                <c:pt idx="2">
                  <c:v>14</c:v>
                </c:pt>
                <c:pt idx="3">
                  <c:v>30</c:v>
                </c:pt>
                <c:pt idx="4">
                  <c:v>55</c:v>
                </c:pt>
                <c:pt idx="5">
                  <c:v>103</c:v>
                </c:pt>
                <c:pt idx="6">
                  <c:v>184</c:v>
                </c:pt>
              </c:numCache>
            </c:numRef>
          </c:val>
          <c:extLst>
            <c:ext xmlns:c16="http://schemas.microsoft.com/office/drawing/2014/chart" uri="{C3380CC4-5D6E-409C-BE32-E72D297353CC}">
              <c16:uniqueId val="{00000003-5CB5-4D06-9162-94EC62B6ED5B}"/>
            </c:ext>
          </c:extLst>
        </c:ser>
        <c:dLbls>
          <c:showLegendKey val="0"/>
          <c:showVal val="0"/>
          <c:showCatName val="0"/>
          <c:showSerName val="0"/>
          <c:showPercent val="0"/>
          <c:showBubbleSize val="0"/>
        </c:dLbls>
        <c:gapWidth val="100"/>
        <c:axId val="973400431"/>
        <c:axId val="973400911"/>
      </c:barChart>
      <c:catAx>
        <c:axId val="97340043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73400911"/>
        <c:crosses val="autoZero"/>
        <c:auto val="1"/>
        <c:lblAlgn val="ctr"/>
        <c:lblOffset val="100"/>
        <c:noMultiLvlLbl val="0"/>
      </c:catAx>
      <c:valAx>
        <c:axId val="973400911"/>
        <c:scaling>
          <c:orientation val="minMax"/>
          <c:max val="500"/>
        </c:scaling>
        <c:delete val="0"/>
        <c:axPos val="l"/>
        <c:majorGridlines>
          <c:spPr>
            <a:ln w="9525" cap="flat" cmpd="sng" algn="ctr">
              <a:solidFill>
                <a:schemeClr val="bg2"/>
              </a:solidFill>
              <a:round/>
            </a:ln>
            <a:effectLst/>
          </c:spPr>
        </c:majorGridlines>
        <c:title>
          <c:tx>
            <c:rich>
              <a:bodyPr rot="-54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GlycoPSMs</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973400431"/>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summary!$C$13</c:f>
              <c:strCache>
                <c:ptCount val="1"/>
                <c:pt idx="0">
                  <c:v>4 mucins</c:v>
                </c:pt>
              </c:strCache>
            </c:strRef>
          </c:tx>
          <c:spPr>
            <a:solidFill>
              <a:schemeClr val="accent1"/>
            </a:solidFill>
            <a:ln>
              <a:noFill/>
            </a:ln>
            <a:effectLst/>
          </c:spPr>
          <c:invertIfNegative val="0"/>
          <c:cat>
            <c:strRef>
              <c:f>summary!$D$12:$H$12</c:f>
              <c:strCache>
                <c:ptCount val="5"/>
                <c:pt idx="0">
                  <c:v>N1</c:v>
                </c:pt>
                <c:pt idx="1">
                  <c:v>N1H1</c:v>
                </c:pt>
                <c:pt idx="2">
                  <c:v>N2</c:v>
                </c:pt>
                <c:pt idx="3">
                  <c:v>N2H1</c:v>
                </c:pt>
                <c:pt idx="4">
                  <c:v>N2H2</c:v>
                </c:pt>
              </c:strCache>
            </c:strRef>
          </c:cat>
          <c:val>
            <c:numRef>
              <c:f>summary!$D$13:$H$13</c:f>
              <c:numCache>
                <c:formatCode>0%</c:formatCode>
                <c:ptCount val="5"/>
                <c:pt idx="0">
                  <c:v>0.26903749516814845</c:v>
                </c:pt>
                <c:pt idx="1">
                  <c:v>0.11577116350985697</c:v>
                </c:pt>
                <c:pt idx="2">
                  <c:v>0.10243525318902204</c:v>
                </c:pt>
                <c:pt idx="3">
                  <c:v>4.6385775028991112E-2</c:v>
                </c:pt>
                <c:pt idx="4">
                  <c:v>1.7008117510630073E-2</c:v>
                </c:pt>
              </c:numCache>
            </c:numRef>
          </c:val>
          <c:extLst>
            <c:ext xmlns:c16="http://schemas.microsoft.com/office/drawing/2014/chart" uri="{C3380CC4-5D6E-409C-BE32-E72D297353CC}">
              <c16:uniqueId val="{00000000-DFD0-4728-BF3B-5F87A26BFAAD}"/>
            </c:ext>
          </c:extLst>
        </c:ser>
        <c:ser>
          <c:idx val="1"/>
          <c:order val="1"/>
          <c:tx>
            <c:strRef>
              <c:f>summary!$C$14</c:f>
              <c:strCache>
                <c:ptCount val="1"/>
                <c:pt idx="0">
                  <c:v>urine</c:v>
                </c:pt>
              </c:strCache>
            </c:strRef>
          </c:tx>
          <c:spPr>
            <a:solidFill>
              <a:schemeClr val="accent2"/>
            </a:solidFill>
            <a:ln>
              <a:noFill/>
            </a:ln>
            <a:effectLst/>
          </c:spPr>
          <c:invertIfNegative val="0"/>
          <c:cat>
            <c:strRef>
              <c:f>summary!$D$12:$H$12</c:f>
              <c:strCache>
                <c:ptCount val="5"/>
                <c:pt idx="0">
                  <c:v>N1</c:v>
                </c:pt>
                <c:pt idx="1">
                  <c:v>N1H1</c:v>
                </c:pt>
                <c:pt idx="2">
                  <c:v>N2</c:v>
                </c:pt>
                <c:pt idx="3">
                  <c:v>N2H1</c:v>
                </c:pt>
                <c:pt idx="4">
                  <c:v>N2H2</c:v>
                </c:pt>
              </c:strCache>
            </c:strRef>
          </c:cat>
          <c:val>
            <c:numRef>
              <c:f>summary!$D$14:$H$14</c:f>
              <c:numCache>
                <c:formatCode>0%</c:formatCode>
                <c:ptCount val="5"/>
                <c:pt idx="0">
                  <c:v>0.51362781954887216</c:v>
                </c:pt>
                <c:pt idx="1">
                  <c:v>0.27655075187969924</c:v>
                </c:pt>
                <c:pt idx="2">
                  <c:v>0.19243421052631579</c:v>
                </c:pt>
                <c:pt idx="3">
                  <c:v>0.1487312030075188</c:v>
                </c:pt>
                <c:pt idx="4">
                  <c:v>5.0986842105263157E-2</c:v>
                </c:pt>
              </c:numCache>
            </c:numRef>
          </c:val>
          <c:extLst>
            <c:ext xmlns:c16="http://schemas.microsoft.com/office/drawing/2014/chart" uri="{C3380CC4-5D6E-409C-BE32-E72D297353CC}">
              <c16:uniqueId val="{00000001-DFD0-4728-BF3B-5F87A26BFAAD}"/>
            </c:ext>
          </c:extLst>
        </c:ser>
        <c:dLbls>
          <c:showLegendKey val="0"/>
          <c:showVal val="0"/>
          <c:showCatName val="0"/>
          <c:showSerName val="0"/>
          <c:showPercent val="0"/>
          <c:showBubbleSize val="0"/>
        </c:dLbls>
        <c:gapWidth val="100"/>
        <c:overlap val="-10"/>
        <c:axId val="958264991"/>
        <c:axId val="670256607"/>
      </c:barChart>
      <c:catAx>
        <c:axId val="958264991"/>
        <c:scaling>
          <c:orientation val="minMax"/>
        </c:scaling>
        <c:delete val="0"/>
        <c:axPos val="b"/>
        <c:title>
          <c:tx>
            <c:rich>
              <a:bodyPr rot="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Y Ion</a:t>
                </a:r>
              </a:p>
            </c:rich>
          </c:tx>
          <c:overlay val="0"/>
          <c:spPr>
            <a:noFill/>
            <a:ln>
              <a:noFill/>
            </a:ln>
            <a:effectLst/>
          </c:spPr>
          <c:txPr>
            <a:bodyPr rot="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70256607"/>
        <c:crosses val="autoZero"/>
        <c:auto val="1"/>
        <c:lblAlgn val="ctr"/>
        <c:lblOffset val="100"/>
        <c:noMultiLvlLbl val="0"/>
      </c:catAx>
      <c:valAx>
        <c:axId val="670256607"/>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PSMs with Ion (%)</a:t>
                </a:r>
              </a:p>
            </c:rich>
          </c:tx>
          <c:overlay val="0"/>
          <c:spPr>
            <a:noFill/>
            <a:ln>
              <a:noFill/>
            </a:ln>
            <a:effectLst/>
          </c:spPr>
          <c:txPr>
            <a:bodyPr rot="-540000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58264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6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9</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Polasky, Dan</dc:creator>
  <cp:keywords/>
  <dc:description/>
  <cp:lastModifiedBy>Polasky, Dan</cp:lastModifiedBy>
  <cp:revision>23</cp:revision>
  <dcterms:created xsi:type="dcterms:W3CDTF">2024-05-09T14:23:00Z</dcterms:created>
  <dcterms:modified xsi:type="dcterms:W3CDTF">2024-05-14T14:12:00Z</dcterms:modified>
</cp:coreProperties>
</file>