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12844" w14:textId="0CF27BC4" w:rsidR="001A49D5" w:rsidRDefault="001A49D5" w:rsidP="001A49D5">
      <w:pPr>
        <w:spacing w:after="0" w:line="240" w:lineRule="auto"/>
        <w:rPr>
          <w:b/>
          <w:bCs/>
        </w:rPr>
      </w:pPr>
      <w:r w:rsidRPr="001A49D5">
        <w:rPr>
          <w:b/>
          <w:bCs/>
        </w:rPr>
        <w:t>Supplementary Information</w:t>
      </w:r>
    </w:p>
    <w:p w14:paraId="106B6577" w14:textId="28886432" w:rsidR="001A49D5" w:rsidRDefault="001A49D5" w:rsidP="001A49D5">
      <w:pPr>
        <w:spacing w:after="0" w:line="240" w:lineRule="auto"/>
        <w:rPr>
          <w:b/>
          <w:bCs/>
        </w:rPr>
      </w:pPr>
      <w:r>
        <w:rPr>
          <w:b/>
          <w:bCs/>
        </w:rPr>
        <w:t>Analytical and Bioanalytical Chemistry</w:t>
      </w:r>
    </w:p>
    <w:p w14:paraId="176B740A" w14:textId="77777777" w:rsidR="001A49D5" w:rsidRPr="001A49D5" w:rsidRDefault="001A49D5" w:rsidP="001A49D5">
      <w:pPr>
        <w:spacing w:after="0" w:line="240" w:lineRule="auto"/>
        <w:rPr>
          <w:b/>
          <w:bCs/>
        </w:rPr>
      </w:pPr>
    </w:p>
    <w:p w14:paraId="785BDA4B" w14:textId="743E3BB7" w:rsidR="001A49D5" w:rsidRDefault="001A49D5" w:rsidP="001A49D5">
      <w:pPr>
        <w:spacing w:line="240" w:lineRule="auto"/>
      </w:pPr>
      <w:r w:rsidRPr="004808DF">
        <w:t xml:space="preserve">Supporting molecular detection of </w:t>
      </w:r>
      <w:r w:rsidR="00852788">
        <w:t>A(</w:t>
      </w:r>
      <w:r w:rsidRPr="004808DF">
        <w:t>H5N1</w:t>
      </w:r>
      <w:r w:rsidR="00852788">
        <w:t>)</w:t>
      </w:r>
      <w:r w:rsidRPr="004808DF">
        <w:t xml:space="preserve"> through development and characterization of RNA reference materials</w:t>
      </w:r>
    </w:p>
    <w:p w14:paraId="158BC298" w14:textId="77777777" w:rsidR="001A49D5" w:rsidRDefault="001A49D5" w:rsidP="001A49D5">
      <w:pPr>
        <w:spacing w:line="240" w:lineRule="auto"/>
      </w:pPr>
    </w:p>
    <w:p w14:paraId="13BFCF75" w14:textId="755F8B02" w:rsidR="001A49D5" w:rsidRDefault="001A49D5" w:rsidP="001A49D5">
      <w:pPr>
        <w:spacing w:line="240" w:lineRule="auto"/>
      </w:pPr>
      <w:r w:rsidRPr="00F82E96">
        <w:t>Eileen A. Moran</w:t>
      </w:r>
      <w:r w:rsidRPr="00F82E96">
        <w:rPr>
          <w:vertAlign w:val="superscript"/>
        </w:rPr>
        <w:t>1</w:t>
      </w:r>
      <w:r>
        <w:rPr>
          <w:vertAlign w:val="superscript"/>
        </w:rPr>
        <w:t>*</w:t>
      </w:r>
      <w:r w:rsidRPr="00F82E96">
        <w:t xml:space="preserve">, Monique </w:t>
      </w:r>
      <w:r>
        <w:t xml:space="preserve">E. </w:t>
      </w:r>
      <w:r w:rsidRPr="00F82E96">
        <w:t>Hunter</w:t>
      </w:r>
      <w:r w:rsidRPr="00F82E96">
        <w:rPr>
          <w:vertAlign w:val="superscript"/>
        </w:rPr>
        <w:t>2</w:t>
      </w:r>
      <w:r w:rsidRPr="00F82E96">
        <w:t xml:space="preserve">, Jason </w:t>
      </w:r>
      <w:r>
        <w:t xml:space="preserve">G. </w:t>
      </w:r>
      <w:r w:rsidRPr="00F82E96">
        <w:t>Kralj</w:t>
      </w:r>
      <w:r w:rsidRPr="00F82E96">
        <w:rPr>
          <w:vertAlign w:val="superscript"/>
        </w:rPr>
        <w:t>2</w:t>
      </w:r>
      <w:r w:rsidRPr="00F82E96">
        <w:t>, Kri</w:t>
      </w:r>
      <w:r w:rsidR="00272040">
        <w:t>stine</w:t>
      </w:r>
      <w:r w:rsidRPr="00F82E96">
        <w:t xml:space="preserve"> Gierz</w:t>
      </w:r>
      <w:r w:rsidRPr="00F82E96">
        <w:rPr>
          <w:vertAlign w:val="superscript"/>
        </w:rPr>
        <w:t>3</w:t>
      </w:r>
      <w:r w:rsidRPr="00F82E96">
        <w:t xml:space="preserve">, </w:t>
      </w:r>
      <w:r w:rsidRPr="00703039">
        <w:t>Julia C. Frederick</w:t>
      </w:r>
      <w:r>
        <w:rPr>
          <w:vertAlign w:val="superscript"/>
        </w:rPr>
        <w:t>4</w:t>
      </w:r>
      <w:r w:rsidRPr="00703039">
        <w:t>, Jimma Liddell</w:t>
      </w:r>
      <w:r>
        <w:rPr>
          <w:vertAlign w:val="superscript"/>
        </w:rPr>
        <w:t>4</w:t>
      </w:r>
      <w:r w:rsidRPr="00703039">
        <w:t>, Lisa M. Keong</w:t>
      </w:r>
      <w:r>
        <w:rPr>
          <w:vertAlign w:val="superscript"/>
        </w:rPr>
        <w:t>4</w:t>
      </w:r>
      <w:r w:rsidRPr="00703039">
        <w:t>, Bo Shu</w:t>
      </w:r>
      <w:r>
        <w:rPr>
          <w:vertAlign w:val="superscript"/>
        </w:rPr>
        <w:t>4</w:t>
      </w:r>
      <w:r w:rsidRPr="00703039">
        <w:t>,</w:t>
      </w:r>
      <w:r>
        <w:t xml:space="preserve"> </w:t>
      </w:r>
      <w:r w:rsidRPr="00703039">
        <w:t>John R. Barnes</w:t>
      </w:r>
      <w:r>
        <w:rPr>
          <w:vertAlign w:val="superscript"/>
        </w:rPr>
        <w:t>5</w:t>
      </w:r>
      <w:r w:rsidRPr="00703039">
        <w:t>, Jasmine Chaitram</w:t>
      </w:r>
      <w:r>
        <w:rPr>
          <w:vertAlign w:val="superscript"/>
        </w:rPr>
        <w:t>6</w:t>
      </w:r>
      <w:r w:rsidRPr="00703039">
        <w:t>,</w:t>
      </w:r>
      <w:r>
        <w:t xml:space="preserve"> </w:t>
      </w:r>
      <w:r w:rsidRPr="00703039">
        <w:t>Marie K. Kirby</w:t>
      </w:r>
      <w:r>
        <w:rPr>
          <w:vertAlign w:val="superscript"/>
        </w:rPr>
        <w:t>4</w:t>
      </w:r>
      <w:r w:rsidRPr="00703039">
        <w:t>,</w:t>
      </w:r>
      <w:r w:rsidRPr="00B524AD">
        <w:t xml:space="preserve"> </w:t>
      </w:r>
      <w:r w:rsidRPr="00703039">
        <w:t>C.</w:t>
      </w:r>
      <w:r>
        <w:t xml:space="preserve"> Todd</w:t>
      </w:r>
      <w:r w:rsidRPr="00703039">
        <w:t xml:space="preserve"> Davis</w:t>
      </w:r>
      <w:r>
        <w:rPr>
          <w:vertAlign w:val="superscript"/>
        </w:rPr>
        <w:t>4</w:t>
      </w:r>
      <w:r>
        <w:t>,</w:t>
      </w:r>
      <w:r w:rsidRPr="00703039">
        <w:t xml:space="preserve"> </w:t>
      </w:r>
      <w:r w:rsidRPr="00F82E96">
        <w:t xml:space="preserve">Stephanie </w:t>
      </w:r>
      <w:r>
        <w:t xml:space="preserve">L. </w:t>
      </w:r>
      <w:r w:rsidRPr="00F82E96">
        <w:t>Servetas</w:t>
      </w:r>
      <w:r w:rsidRPr="00F82E96">
        <w:rPr>
          <w:vertAlign w:val="superscript"/>
        </w:rPr>
        <w:t>2</w:t>
      </w:r>
      <w:r w:rsidRPr="00F82E96">
        <w:t>, Scott Jackson</w:t>
      </w:r>
      <w:r w:rsidRPr="00F82E96">
        <w:rPr>
          <w:vertAlign w:val="superscript"/>
        </w:rPr>
        <w:t>2</w:t>
      </w:r>
      <w:r w:rsidRPr="00F82E96">
        <w:t xml:space="preserve">, </w:t>
      </w:r>
      <w:r w:rsidRPr="00703039">
        <w:t xml:space="preserve">Peter M. </w:t>
      </w:r>
      <w:r w:rsidRPr="00952EDA">
        <w:t>Vallone</w:t>
      </w:r>
      <w:r w:rsidRPr="00952EDA">
        <w:rPr>
          <w:vertAlign w:val="superscript"/>
        </w:rPr>
        <w:t>1</w:t>
      </w:r>
      <w:r>
        <w:t xml:space="preserve">, </w:t>
      </w:r>
      <w:r w:rsidRPr="00952EDA">
        <w:t>Megan</w:t>
      </w:r>
      <w:r w:rsidRPr="00703039">
        <w:t xml:space="preserve"> H. Cleveland</w:t>
      </w:r>
      <w:r w:rsidRPr="00703039">
        <w:rPr>
          <w:vertAlign w:val="superscript"/>
        </w:rPr>
        <w:t>1</w:t>
      </w:r>
    </w:p>
    <w:p w14:paraId="69C39AD2" w14:textId="77777777" w:rsidR="001A49D5" w:rsidRPr="001A49D5" w:rsidRDefault="001A49D5" w:rsidP="001A49D5">
      <w:pPr>
        <w:spacing w:line="240" w:lineRule="auto"/>
      </w:pPr>
    </w:p>
    <w:p w14:paraId="0038B57B" w14:textId="2DB4FFA3" w:rsidR="001A49D5" w:rsidRPr="00F82E96" w:rsidRDefault="001A49D5" w:rsidP="001A49D5">
      <w:pPr>
        <w:spacing w:line="240" w:lineRule="auto"/>
      </w:pPr>
      <w:r w:rsidRPr="00F82E96">
        <w:rPr>
          <w:vertAlign w:val="superscript"/>
        </w:rPr>
        <w:t>1</w:t>
      </w:r>
      <w:r w:rsidRPr="00F82E96">
        <w:t>Biomolecular Measurement Division, National Institute of Standards and Technology, Gaithersburg, MD</w:t>
      </w:r>
      <w:r>
        <w:t>, USA</w:t>
      </w:r>
    </w:p>
    <w:p w14:paraId="1A96D2D4" w14:textId="77777777" w:rsidR="001A49D5" w:rsidRPr="00F82E96" w:rsidRDefault="001A49D5" w:rsidP="001A49D5">
      <w:pPr>
        <w:spacing w:line="240" w:lineRule="auto"/>
      </w:pPr>
      <w:r w:rsidRPr="00F82E96">
        <w:rPr>
          <w:vertAlign w:val="superscript"/>
        </w:rPr>
        <w:t>2</w:t>
      </w:r>
      <w:r w:rsidRPr="00F82E96">
        <w:t>Biosystems and Biomaterials Division, National Institute of Standards and Technology, Gaithersburg, MD</w:t>
      </w:r>
      <w:r>
        <w:t>, USA</w:t>
      </w:r>
    </w:p>
    <w:p w14:paraId="2722C9C3" w14:textId="77777777" w:rsidR="001A49D5" w:rsidRDefault="001A49D5" w:rsidP="001A49D5">
      <w:pPr>
        <w:spacing w:line="240" w:lineRule="auto"/>
      </w:pPr>
      <w:r w:rsidRPr="00F82E96">
        <w:rPr>
          <w:vertAlign w:val="superscript"/>
        </w:rPr>
        <w:t>3</w:t>
      </w:r>
      <w:r w:rsidRPr="00F82E96">
        <w:t>Statistical Engineering Division, National Institute of Standards and Technology, Gaithersburg, MD</w:t>
      </w:r>
      <w:r>
        <w:t>, USA</w:t>
      </w:r>
    </w:p>
    <w:p w14:paraId="7CA30F44" w14:textId="77777777" w:rsidR="001A49D5" w:rsidRDefault="001A49D5" w:rsidP="001A49D5">
      <w:pPr>
        <w:spacing w:line="240" w:lineRule="auto"/>
      </w:pPr>
      <w:r w:rsidRPr="00076E16">
        <w:rPr>
          <w:vertAlign w:val="superscript"/>
        </w:rPr>
        <w:t>4</w:t>
      </w:r>
      <w:r>
        <w:t xml:space="preserve">Influenza Division, </w:t>
      </w:r>
      <w:r w:rsidRPr="00076E16">
        <w:t>Centers for Disease Control and Prevention, Atlanta, GA</w:t>
      </w:r>
      <w:r>
        <w:t>, USA</w:t>
      </w:r>
    </w:p>
    <w:p w14:paraId="168D966C" w14:textId="38C3A291" w:rsidR="001A49D5" w:rsidRDefault="001A49D5" w:rsidP="001A49D5">
      <w:pPr>
        <w:spacing w:line="240" w:lineRule="auto"/>
      </w:pPr>
      <w:r>
        <w:rPr>
          <w:vertAlign w:val="superscript"/>
        </w:rPr>
        <w:t>5</w:t>
      </w:r>
      <w:r>
        <w:t xml:space="preserve">Division of Infectious Disease Readiness and Innovation, </w:t>
      </w:r>
      <w:r w:rsidRPr="00076E16">
        <w:t>Centers for Disease Control and Prevention, Atlanta, GA</w:t>
      </w:r>
      <w:r>
        <w:t>, USA</w:t>
      </w:r>
    </w:p>
    <w:p w14:paraId="50D0644E" w14:textId="77777777" w:rsidR="001A49D5" w:rsidRDefault="001A49D5" w:rsidP="001A49D5">
      <w:pPr>
        <w:spacing w:line="240" w:lineRule="auto"/>
      </w:pPr>
      <w:r>
        <w:rPr>
          <w:vertAlign w:val="superscript"/>
        </w:rPr>
        <w:t>6</w:t>
      </w:r>
      <w:r w:rsidRPr="00B52E39">
        <w:t xml:space="preserve">Office of </w:t>
      </w:r>
      <w:r>
        <w:t>Readiness and Response</w:t>
      </w:r>
      <w:r w:rsidRPr="00B52E39">
        <w:t>, Centers for</w:t>
      </w:r>
      <w:r w:rsidRPr="00076E16">
        <w:t xml:space="preserve"> Disease Control and Prevention,</w:t>
      </w:r>
      <w:r>
        <w:t xml:space="preserve"> </w:t>
      </w:r>
      <w:r w:rsidRPr="00076E16">
        <w:t>Atlanta, GA</w:t>
      </w:r>
      <w:r>
        <w:t>, USA</w:t>
      </w:r>
    </w:p>
    <w:p w14:paraId="65A4F194" w14:textId="77777777" w:rsidR="001A49D5" w:rsidRDefault="001A49D5" w:rsidP="001A49D5">
      <w:pPr>
        <w:spacing w:line="240" w:lineRule="auto"/>
      </w:pPr>
      <w:r w:rsidRPr="005665B5">
        <w:rPr>
          <w:vertAlign w:val="superscript"/>
        </w:rPr>
        <w:t>*</w:t>
      </w:r>
      <w:r>
        <w:t>Corresponding author: Eileen A. Moran, eileen.moran@nist.gov</w:t>
      </w:r>
    </w:p>
    <w:p w14:paraId="1FDBADC9" w14:textId="104F56AA" w:rsidR="001A49D5" w:rsidRDefault="001A49D5" w:rsidP="001A49D5">
      <w:r>
        <w:br w:type="page"/>
      </w:r>
    </w:p>
    <w:p w14:paraId="4EBC5F9E" w14:textId="1328A68A" w:rsidR="00E20110" w:rsidRDefault="00000000" w:rsidP="001A49D5">
      <w:pPr>
        <w:spacing w:line="240" w:lineRule="auto"/>
      </w:pPr>
      <m:oMathPara>
        <m:oMath>
          <m:m>
            <m:mPr>
              <m:mcs>
                <m:mc>
                  <m:mcPr>
                    <m:count m:val="1"/>
                    <m:mcJc m:val="center"/>
                  </m:mcPr>
                </m:mc>
                <m:mc>
                  <m:mcPr>
                    <m:count m:val="1"/>
                    <m:mcJc m:val="left"/>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ijkl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ijk</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rep</m:t>
                    </m:r>
                  </m:sub>
                </m:sSub>
                <m:r>
                  <w:rPr>
                    <w:rFonts w:ascii="Cambria Math" w:eastAsiaTheme="minorEastAsia" w:hAnsi="Cambria Math"/>
                  </w:rPr>
                  <m:t>∼N</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ijk</m:t>
                        </m:r>
                      </m:sub>
                    </m:sSub>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rep</m:t>
                        </m:r>
                      </m:sub>
                      <m:sup>
                        <m:r>
                          <w:rPr>
                            <w:rFonts w:ascii="Cambria Math" w:eastAsiaTheme="minorEastAsia" w:hAnsi="Cambria Math"/>
                          </w:rPr>
                          <m:t>2</m:t>
                        </m:r>
                      </m:sup>
                    </m:sSubSup>
                  </m:e>
                </m:d>
                <m:r>
                  <w:rPr>
                    <w:rFonts w:ascii="Cambria Math" w:eastAsiaTheme="minorEastAsia" w:hAnsi="Cambria Math"/>
                  </w:rPr>
                  <m:t>,</m:t>
                </m:r>
              </m:e>
              <m:e>
                <m:r>
                  <w:rPr>
                    <w:rFonts w:ascii="Cambria Math" w:eastAsiaTheme="minorEastAsia" w:hAnsi="Cambria Math"/>
                  </w:rPr>
                  <m:t xml:space="preserve">i </m:t>
                </m:r>
                <m:r>
                  <m:rPr>
                    <m:nor/>
                  </m:rPr>
                  <w:rPr>
                    <w:rFonts w:ascii="Cambria Math" w:eastAsiaTheme="minorEastAsia" w:hAnsi="Cambria Math"/>
                  </w:rPr>
                  <m:t>denotes targets</m:t>
                </m:r>
                <m:r>
                  <w:rPr>
                    <w:rFonts w:ascii="Cambria Math" w:eastAsiaTheme="minorEastAsia" w:hAnsi="Cambria Math"/>
                  </w:rPr>
                  <m:t xml:space="preserve"> (i=1, …, 3)</m:t>
                </m:r>
              </m:e>
            </m:mr>
            <m:mr>
              <m:e>
                <m:r>
                  <w:rPr>
                    <w:rFonts w:ascii="Cambria Math" w:eastAsiaTheme="minorEastAsia" w:hAnsi="Cambria Math"/>
                  </w:rPr>
                  <m:t xml:space="preserve"> </m:t>
                </m:r>
              </m:e>
              <m:e>
                <m:r>
                  <w:rPr>
                    <w:rFonts w:ascii="Cambria Math" w:eastAsiaTheme="minorEastAsia" w:hAnsi="Cambria Math"/>
                  </w:rPr>
                  <m:t xml:space="preserve">j </m:t>
                </m:r>
                <m:r>
                  <m:rPr>
                    <m:nor/>
                  </m:rPr>
                  <w:rPr>
                    <w:rFonts w:ascii="Cambria Math" w:eastAsiaTheme="minorEastAsia" w:hAnsi="Cambria Math"/>
                  </w:rPr>
                  <m:t>denotes amplicon</m:t>
                </m:r>
                <m:r>
                  <w:rPr>
                    <w:rFonts w:ascii="Cambria Math" w:eastAsiaTheme="minorEastAsia" w:hAnsi="Cambria Math"/>
                  </w:rPr>
                  <m:t xml:space="preserve"> (j=1,2)</m:t>
                </m:r>
              </m:e>
            </m:mr>
            <m:mr>
              <m:e>
                <m:r>
                  <w:rPr>
                    <w:rFonts w:ascii="Cambria Math" w:eastAsiaTheme="minorEastAsia" w:hAnsi="Cambria Math"/>
                  </w:rPr>
                  <m:t xml:space="preserve"> </m:t>
                </m:r>
                <m:ctrlPr>
                  <w:rPr>
                    <w:rFonts w:ascii="Cambria Math" w:eastAsia="Cambria Math" w:hAnsi="Cambria Math" w:cs="Cambria Math"/>
                    <w:i/>
                  </w:rPr>
                </m:ctrlPr>
              </m:e>
              <m:e>
                <m:r>
                  <w:rPr>
                    <w:rFonts w:ascii="Cambria Math" w:eastAsia="Cambria Math" w:hAnsi="Cambria Math" w:cs="Cambria Math"/>
                  </w:rPr>
                  <m:t xml:space="preserve">k </m:t>
                </m:r>
                <m:r>
                  <m:rPr>
                    <m:nor/>
                  </m:rPr>
                  <w:rPr>
                    <w:rFonts w:ascii="Cambria Math" w:eastAsia="Cambria Math" w:hAnsi="Cambria Math" w:cs="Cambria Math"/>
                  </w:rPr>
                  <m:t>denotes box</m:t>
                </m:r>
                <m:r>
                  <w:rPr>
                    <w:rFonts w:ascii="Cambria Math" w:eastAsia="Cambria Math" w:hAnsi="Cambria Math" w:cs="Cambria Math"/>
                  </w:rPr>
                  <m:t xml:space="preserve"> (k=1,…, 8)</m:t>
                </m:r>
                <m:ctrlPr>
                  <w:rPr>
                    <w:rFonts w:ascii="Cambria Math" w:eastAsia="Cambria Math" w:hAnsi="Cambria Math" w:cs="Cambria Math"/>
                    <w:i/>
                  </w:rPr>
                </m:ctrlPr>
              </m:e>
            </m:mr>
            <m:mr>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 xml:space="preserve">l </m:t>
                </m:r>
                <m:r>
                  <m:rPr>
                    <m:nor/>
                  </m:rPr>
                  <w:rPr>
                    <w:rFonts w:ascii="Cambria Math" w:eastAsia="Cambria Math" w:hAnsi="Cambria Math" w:cs="Cambria Math"/>
                  </w:rPr>
                  <m:t>denotes replicates,</m:t>
                </m:r>
                <m:ctrlPr>
                  <w:rPr>
                    <w:rFonts w:ascii="Cambria Math" w:eastAsia="Cambria Math" w:hAnsi="Cambria Math" w:cs="Cambria Math"/>
                    <w:i/>
                  </w:rPr>
                </m:ctrlPr>
              </m:e>
            </m:mr>
            <m:mr>
              <m:e>
                <m:sSub>
                  <m:sSubPr>
                    <m:ctrlPr>
                      <w:rPr>
                        <w:rFonts w:ascii="Cambria Math" w:eastAsia="Cambria Math" w:hAnsi="Cambria Math" w:cs="Cambria Math"/>
                        <w:i/>
                      </w:rPr>
                    </m:ctrlPr>
                  </m:sSubPr>
                  <m:e>
                    <m:r>
                      <w:rPr>
                        <w:rFonts w:ascii="Cambria Math" w:eastAsia="Cambria Math" w:hAnsi="Cambria Math" w:cs="Cambria Math"/>
                      </w:rPr>
                      <m:t>γ</m:t>
                    </m:r>
                  </m:e>
                  <m:sub>
                    <m:r>
                      <w:rPr>
                        <w:rFonts w:ascii="Cambria Math" w:eastAsia="Cambria Math" w:hAnsi="Cambria Math" w:cs="Cambria Math"/>
                      </w:rPr>
                      <m:t>ijk</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α</m:t>
                    </m:r>
                  </m:e>
                  <m:sub>
                    <m:r>
                      <w:rPr>
                        <w:rFonts w:ascii="Cambria Math" w:eastAsia="Cambria Math" w:hAnsi="Cambria Math" w:cs="Cambria Math"/>
                      </w:rPr>
                      <m:t>ij</m:t>
                    </m:r>
                  </m:sub>
                </m:sSub>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σ</m:t>
                    </m:r>
                  </m:e>
                  <m:sub>
                    <m:r>
                      <w:rPr>
                        <w:rFonts w:ascii="Cambria Math" w:eastAsia="Cambria Math" w:hAnsi="Cambria Math" w:cs="Cambria Math"/>
                      </w:rPr>
                      <m:t>ij</m:t>
                    </m:r>
                  </m:sub>
                </m:sSub>
                <m:r>
                  <w:rPr>
                    <w:rFonts w:ascii="Cambria Math" w:eastAsia="Cambria Math" w:hAnsi="Cambria Math" w:cs="Cambria Math"/>
                  </w:rPr>
                  <m:t>∼N</m:t>
                </m:r>
                <m:d>
                  <m:dPr>
                    <m:ctrlPr>
                      <w:rPr>
                        <w:rFonts w:ascii="Cambria Math" w:eastAsia="Cambria Math" w:hAnsi="Cambria Math" w:cs="Cambria Math"/>
                        <w:i/>
                      </w:rPr>
                    </m:ctrlPr>
                  </m:dPr>
                  <m:e>
                    <m:sSub>
                      <m:sSubPr>
                        <m:ctrlPr>
                          <w:rPr>
                            <w:rFonts w:ascii="Cambria Math" w:eastAsia="Cambria Math" w:hAnsi="Cambria Math" w:cs="Cambria Math"/>
                            <w:i/>
                          </w:rPr>
                        </m:ctrlPr>
                      </m:sSubPr>
                      <m:e>
                        <m:r>
                          <w:rPr>
                            <w:rFonts w:ascii="Cambria Math" w:eastAsia="Cambria Math" w:hAnsi="Cambria Math" w:cs="Cambria Math"/>
                          </w:rPr>
                          <m:t>α</m:t>
                        </m:r>
                      </m:e>
                      <m:sub>
                        <m:r>
                          <w:rPr>
                            <w:rFonts w:ascii="Cambria Math" w:eastAsia="Cambria Math" w:hAnsi="Cambria Math" w:cs="Cambria Math"/>
                          </w:rPr>
                          <m:t>ij</m:t>
                        </m:r>
                      </m:sub>
                    </m:sSub>
                    <m:r>
                      <w:rPr>
                        <w:rFonts w:ascii="Cambria Math" w:eastAsia="Cambria Math" w:hAnsi="Cambria Math" w:cs="Cambria Math"/>
                      </w:rPr>
                      <m:t xml:space="preserve">, </m:t>
                    </m:r>
                    <m:sSubSup>
                      <m:sSubSupPr>
                        <m:ctrlPr>
                          <w:rPr>
                            <w:rFonts w:ascii="Cambria Math" w:eastAsia="Cambria Math" w:hAnsi="Cambria Math" w:cs="Cambria Math"/>
                            <w:i/>
                          </w:rPr>
                        </m:ctrlPr>
                      </m:sSubSupPr>
                      <m:e>
                        <m:r>
                          <w:rPr>
                            <w:rFonts w:ascii="Cambria Math" w:eastAsia="Cambria Math" w:hAnsi="Cambria Math" w:cs="Cambria Math"/>
                          </w:rPr>
                          <m:t>σ</m:t>
                        </m:r>
                      </m:e>
                      <m:sub>
                        <m:r>
                          <w:rPr>
                            <w:rFonts w:ascii="Cambria Math" w:eastAsia="Cambria Math" w:hAnsi="Cambria Math" w:cs="Cambria Math"/>
                          </w:rPr>
                          <m:t>ij</m:t>
                        </m:r>
                      </m:sub>
                      <m:sup>
                        <m:r>
                          <w:rPr>
                            <w:rFonts w:ascii="Cambria Math" w:eastAsia="Cambria Math" w:hAnsi="Cambria Math" w:cs="Cambria Math"/>
                          </w:rPr>
                          <m:t>2</m:t>
                        </m:r>
                      </m:sup>
                    </m:sSubSup>
                  </m:e>
                </m:d>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γ</m:t>
                    </m:r>
                  </m:e>
                  <m:sub>
                    <m:r>
                      <w:rPr>
                        <w:rFonts w:ascii="Cambria Math" w:eastAsia="Cambria Math" w:hAnsi="Cambria Math" w:cs="Cambria Math"/>
                      </w:rPr>
                      <m:t>ijk</m:t>
                    </m:r>
                  </m:sub>
                </m:sSub>
                <m:r>
                  <m:rPr>
                    <m:nor/>
                  </m:rPr>
                  <w:rPr>
                    <w:rFonts w:ascii="Cambria Math" w:eastAsia="Cambria Math" w:hAnsi="Cambria Math" w:cs="Cambria Math"/>
                  </w:rPr>
                  <m:t xml:space="preserve"> is the mean </m:t>
                </m:r>
                <m:r>
                  <w:rPr>
                    <w:rFonts w:ascii="Cambria Math" w:eastAsia="Cambria Math" w:hAnsi="Cambria Math" w:cs="Cambria Math"/>
                  </w:rPr>
                  <m:t>λ</m:t>
                </m:r>
                <m:r>
                  <m:rPr>
                    <m:nor/>
                  </m:rPr>
                  <w:rPr>
                    <w:rFonts w:ascii="Cambria Math" w:eastAsia="Cambria Math" w:hAnsi="Cambria Math" w:cs="Cambria Math"/>
                  </w:rPr>
                  <m:t xml:space="preserve"> for target </m:t>
                </m:r>
                <m:r>
                  <w:rPr>
                    <w:rFonts w:ascii="Cambria Math" w:eastAsia="Cambria Math" w:hAnsi="Cambria Math" w:cs="Cambria Math"/>
                  </w:rPr>
                  <m:t>i</m:t>
                </m:r>
                <m:r>
                  <m:rPr>
                    <m:nor/>
                  </m:rPr>
                  <w:rPr>
                    <w:rFonts w:ascii="Cambria Math" w:eastAsia="Cambria Math" w:hAnsi="Cambria Math" w:cs="Cambria Math"/>
                  </w:rPr>
                  <m:t xml:space="preserve">, amplicon </m:t>
                </m:r>
                <m:r>
                  <w:rPr>
                    <w:rFonts w:ascii="Cambria Math" w:eastAsia="Cambria Math" w:hAnsi="Cambria Math" w:cs="Cambria Math"/>
                  </w:rPr>
                  <m:t xml:space="preserve">j, </m:t>
                </m:r>
                <m:r>
                  <m:rPr>
                    <m:nor/>
                  </m:rPr>
                  <w:rPr>
                    <w:rFonts w:ascii="Cambria Math" w:eastAsia="Cambria Math" w:hAnsi="Cambria Math" w:cs="Cambria Math"/>
                  </w:rPr>
                  <m:t xml:space="preserve">unit </m:t>
                </m:r>
                <m:r>
                  <w:rPr>
                    <w:rFonts w:ascii="Cambria Math" w:eastAsia="Cambria Math" w:hAnsi="Cambria Math" w:cs="Cambria Math"/>
                  </w:rPr>
                  <m:t>k,</m:t>
                </m:r>
                <m:ctrlPr>
                  <w:rPr>
                    <w:rFonts w:ascii="Cambria Math" w:eastAsia="Cambria Math" w:hAnsi="Cambria Math" w:cs="Cambria Math"/>
                    <w:i/>
                  </w:rPr>
                </m:ctrlPr>
              </m:e>
            </m:mr>
            <m:mr>
              <m:e>
                <m:sSub>
                  <m:sSubPr>
                    <m:ctrlPr>
                      <w:rPr>
                        <w:rFonts w:ascii="Cambria Math" w:eastAsia="Cambria Math" w:hAnsi="Cambria Math" w:cs="Cambria Math"/>
                        <w:i/>
                      </w:rPr>
                    </m:ctrlPr>
                  </m:sSubPr>
                  <m:e>
                    <m:r>
                      <w:rPr>
                        <w:rFonts w:ascii="Cambria Math" w:eastAsia="Cambria Math" w:hAnsi="Cambria Math" w:cs="Cambria Math"/>
                      </w:rPr>
                      <m:t>α</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μ</m:t>
                    </m:r>
                  </m:e>
                  <m:sub>
                    <m:r>
                      <w:rPr>
                        <w:rFonts w:ascii="Cambria Math" w:eastAsia="Cambria Math" w:hAnsi="Cambria Math" w:cs="Cambria Math"/>
                      </w:rPr>
                      <m:t>i</m:t>
                    </m:r>
                  </m:sub>
                </m:sSub>
                <m:r>
                  <w:rPr>
                    <w:rFonts w:ascii="Cambria Math" w:eastAsia="Cambria Math" w:hAnsi="Cambria Math" w:cs="Cambria Math"/>
                  </w:rPr>
                  <m:t xml:space="preserve">, </m:t>
                </m:r>
                <m:sSub>
                  <m:sSubPr>
                    <m:ctrlPr>
                      <w:rPr>
                        <w:rFonts w:ascii="Cambria Math" w:eastAsia="Cambria Math" w:hAnsi="Cambria Math" w:cs="Cambria Math"/>
                        <w:i/>
                      </w:rPr>
                    </m:ctrlPr>
                  </m:sSubPr>
                  <m:e>
                    <m:r>
                      <w:rPr>
                        <w:rFonts w:ascii="Cambria Math" w:eastAsia="Cambria Math" w:hAnsi="Cambria Math" w:cs="Cambria Math"/>
                      </w:rPr>
                      <m:t>τ</m:t>
                    </m:r>
                  </m:e>
                  <m:sub>
                    <m:r>
                      <w:rPr>
                        <w:rFonts w:ascii="Cambria Math" w:eastAsia="Cambria Math" w:hAnsi="Cambria Math" w:cs="Cambria Math"/>
                      </w:rPr>
                      <m:t>i</m:t>
                    </m:r>
                  </m:sub>
                </m:sSub>
                <m:r>
                  <w:rPr>
                    <w:rFonts w:ascii="Cambria Math" w:eastAsia="Cambria Math" w:hAnsi="Cambria Math" w:cs="Cambria Math"/>
                  </w:rPr>
                  <m:t>∼N</m:t>
                </m:r>
                <m:d>
                  <m:dPr>
                    <m:ctrlPr>
                      <w:rPr>
                        <w:rFonts w:ascii="Cambria Math" w:eastAsia="Cambria Math" w:hAnsi="Cambria Math" w:cs="Cambria Math"/>
                        <w:i/>
                      </w:rPr>
                    </m:ctrlPr>
                  </m:dPr>
                  <m:e>
                    <m:sSub>
                      <m:sSubPr>
                        <m:ctrlPr>
                          <w:rPr>
                            <w:rFonts w:ascii="Cambria Math" w:eastAsia="Cambria Math" w:hAnsi="Cambria Math" w:cs="Cambria Math"/>
                            <w:i/>
                          </w:rPr>
                        </m:ctrlPr>
                      </m:sSubPr>
                      <m:e>
                        <m:r>
                          <w:rPr>
                            <w:rFonts w:ascii="Cambria Math" w:eastAsia="Cambria Math" w:hAnsi="Cambria Math" w:cs="Cambria Math"/>
                          </w:rPr>
                          <m:t>μ</m:t>
                        </m:r>
                      </m:e>
                      <m:sub>
                        <m:r>
                          <w:rPr>
                            <w:rFonts w:ascii="Cambria Math" w:eastAsia="Cambria Math" w:hAnsi="Cambria Math" w:cs="Cambria Math"/>
                          </w:rPr>
                          <m:t>i</m:t>
                        </m:r>
                      </m:sub>
                    </m:sSub>
                    <m:r>
                      <w:rPr>
                        <w:rFonts w:ascii="Cambria Math" w:eastAsia="Cambria Math" w:hAnsi="Cambria Math" w:cs="Cambria Math"/>
                      </w:rPr>
                      <m:t xml:space="preserve">, </m:t>
                    </m:r>
                    <m:sSubSup>
                      <m:sSubSupPr>
                        <m:ctrlPr>
                          <w:rPr>
                            <w:rFonts w:ascii="Cambria Math" w:eastAsia="Cambria Math" w:hAnsi="Cambria Math" w:cs="Cambria Math"/>
                            <w:i/>
                          </w:rPr>
                        </m:ctrlPr>
                      </m:sSubSupPr>
                      <m:e>
                        <m:r>
                          <w:rPr>
                            <w:rFonts w:ascii="Cambria Math" w:eastAsia="Cambria Math" w:hAnsi="Cambria Math" w:cs="Cambria Math"/>
                          </w:rPr>
                          <m:t>τ</m:t>
                        </m:r>
                      </m:e>
                      <m:sub>
                        <m:r>
                          <w:rPr>
                            <w:rFonts w:ascii="Cambria Math" w:eastAsia="Cambria Math" w:hAnsi="Cambria Math" w:cs="Cambria Math"/>
                          </w:rPr>
                          <m:t>i</m:t>
                        </m:r>
                      </m:sub>
                      <m:sup>
                        <m:r>
                          <w:rPr>
                            <w:rFonts w:ascii="Cambria Math" w:eastAsia="Cambria Math" w:hAnsi="Cambria Math" w:cs="Cambria Math"/>
                          </w:rPr>
                          <m:t>2</m:t>
                        </m:r>
                      </m:sup>
                    </m:sSubSup>
                  </m:e>
                </m:d>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α</m:t>
                    </m:r>
                  </m:e>
                  <m:sub>
                    <m:r>
                      <w:rPr>
                        <w:rFonts w:ascii="Cambria Math" w:eastAsia="Cambria Math" w:hAnsi="Cambria Math" w:cs="Cambria Math"/>
                      </w:rPr>
                      <m:t>ij</m:t>
                    </m:r>
                  </m:sub>
                </m:sSub>
                <m:r>
                  <m:rPr>
                    <m:nor/>
                  </m:rPr>
                  <w:rPr>
                    <w:rFonts w:ascii="Cambria Math" w:eastAsia="Cambria Math" w:hAnsi="Cambria Math" w:cs="Cambria Math"/>
                  </w:rPr>
                  <m:t xml:space="preserve">is the consensus amplicon mean </m:t>
                </m:r>
                <m:r>
                  <w:rPr>
                    <w:rFonts w:ascii="Cambria Math" w:eastAsia="Cambria Math" w:hAnsi="Cambria Math" w:cs="Cambria Math"/>
                  </w:rPr>
                  <m:t xml:space="preserve">λ </m:t>
                </m:r>
                <m:r>
                  <m:rPr>
                    <m:nor/>
                  </m:rPr>
                  <w:rPr>
                    <w:rFonts w:ascii="Cambria Math" w:eastAsia="Cambria Math" w:hAnsi="Cambria Math" w:cs="Cambria Math"/>
                  </w:rPr>
                  <m:t xml:space="preserve">for target </m:t>
                </m:r>
                <m:r>
                  <w:rPr>
                    <w:rFonts w:ascii="Cambria Math" w:eastAsia="Cambria Math" w:hAnsi="Cambria Math" w:cs="Cambria Math"/>
                  </w:rPr>
                  <m:t>i</m:t>
                </m:r>
                <m:r>
                  <m:rPr>
                    <m:nor/>
                  </m:rPr>
                  <w:rPr>
                    <w:rFonts w:ascii="Cambria Math" w:eastAsia="Cambria Math" w:hAnsi="Cambria Math" w:cs="Cambria Math"/>
                  </w:rPr>
                  <m:t xml:space="preserve"> at amplicon </m:t>
                </m:r>
                <m:r>
                  <w:rPr>
                    <w:rFonts w:ascii="Cambria Math" w:eastAsia="Cambria Math" w:hAnsi="Cambria Math" w:cs="Cambria Math"/>
                  </w:rPr>
                  <m:t>j,</m:t>
                </m:r>
                <m:ctrlPr>
                  <w:rPr>
                    <w:rFonts w:ascii="Cambria Math" w:eastAsia="Cambria Math" w:hAnsi="Cambria Math" w:cs="Cambria Math"/>
                    <w:i/>
                  </w:rPr>
                </m:ctrlPr>
              </m:e>
            </m:mr>
            <m:mr>
              <m:e>
                <m:sSub>
                  <m:sSubPr>
                    <m:ctrlPr>
                      <w:rPr>
                        <w:rFonts w:ascii="Cambria Math" w:eastAsia="Cambria Math" w:hAnsi="Cambria Math" w:cs="Cambria Math"/>
                        <w:i/>
                      </w:rPr>
                    </m:ctrlPr>
                  </m:sSubPr>
                  <m:e>
                    <m:r>
                      <w:rPr>
                        <w:rFonts w:ascii="Cambria Math" w:eastAsia="Cambria Math" w:hAnsi="Cambria Math" w:cs="Cambria Math"/>
                      </w:rPr>
                      <m:t>μ</m:t>
                    </m:r>
                  </m:e>
                  <m:sub>
                    <m:r>
                      <w:rPr>
                        <w:rFonts w:ascii="Cambria Math" w:eastAsia="Cambria Math" w:hAnsi="Cambria Math" w:cs="Cambria Math"/>
                      </w:rPr>
                      <m:t>i</m:t>
                    </m:r>
                  </m:sub>
                </m:sSub>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μ</m:t>
                    </m:r>
                  </m:e>
                  <m:sub>
                    <m:r>
                      <w:rPr>
                        <w:rFonts w:ascii="Cambria Math" w:eastAsia="Cambria Math" w:hAnsi="Cambria Math" w:cs="Cambria Math"/>
                      </w:rPr>
                      <m:t>i</m:t>
                    </m:r>
                  </m:sub>
                </m:sSub>
                <m:r>
                  <w:rPr>
                    <w:rFonts w:ascii="Cambria Math" w:eastAsia="Cambria Math" w:hAnsi="Cambria Math" w:cs="Cambria Math"/>
                  </w:rPr>
                  <m:t xml:space="preserve"> </m:t>
                </m:r>
                <m:r>
                  <m:rPr>
                    <m:nor/>
                  </m:rPr>
                  <w:rPr>
                    <w:rFonts w:ascii="Cambria Math" w:eastAsia="Cambria Math" w:hAnsi="Cambria Math" w:cs="Cambria Math"/>
                  </w:rPr>
                  <m:t xml:space="preserve">is the target mean, </m:t>
                </m:r>
                <m:sSub>
                  <m:sSubPr>
                    <m:ctrlPr>
                      <w:rPr>
                        <w:rFonts w:ascii="Cambria Math" w:eastAsia="Cambria Math" w:hAnsi="Cambria Math" w:cs="Cambria Math"/>
                        <w:i/>
                      </w:rPr>
                    </m:ctrlPr>
                  </m:sSubPr>
                  <m:e>
                    <m:r>
                      <w:rPr>
                        <w:rFonts w:ascii="Cambria Math" w:eastAsia="Cambria Math" w:hAnsi="Cambria Math" w:cs="Cambria Math"/>
                      </w:rPr>
                      <m:t>μ</m:t>
                    </m:r>
                  </m:e>
                  <m:sub>
                    <m:r>
                      <w:rPr>
                        <w:rFonts w:ascii="Cambria Math" w:eastAsia="Cambria Math" w:hAnsi="Cambria Math" w:cs="Cambria Math"/>
                      </w:rPr>
                      <m:t>i</m:t>
                    </m:r>
                  </m:sub>
                </m:sSub>
                <m:r>
                  <w:rPr>
                    <w:rFonts w:ascii="Cambria Math" w:eastAsia="Cambria Math" w:hAnsi="Cambria Math" w:cs="Cambria Math"/>
                  </w:rPr>
                  <m:t>&gt;0,</m:t>
                </m:r>
                <m:ctrlPr>
                  <w:rPr>
                    <w:rFonts w:ascii="Cambria Math" w:eastAsia="Cambria Math" w:hAnsi="Cambria Math" w:cs="Cambria Math"/>
                    <w:i/>
                  </w:rPr>
                </m:ctrlPr>
              </m:e>
            </m:mr>
            <m:mr>
              <m:e>
                <m:r>
                  <w:rPr>
                    <w:rFonts w:ascii="Cambria Math" w:eastAsia="Cambria Math" w:hAnsi="Cambria Math" w:cs="Cambria Math"/>
                  </w:rPr>
                  <m:t>V∼N</m:t>
                </m:r>
                <m:d>
                  <m:dPr>
                    <m:ctrlPr>
                      <w:rPr>
                        <w:rFonts w:ascii="Cambria Math" w:eastAsia="Cambria Math" w:hAnsi="Cambria Math" w:cs="Cambria Math"/>
                        <w:i/>
                      </w:rPr>
                    </m:ctrlPr>
                  </m:dPr>
                  <m:e>
                    <m:r>
                      <w:rPr>
                        <w:rFonts w:ascii="Cambria Math" w:eastAsia="Cambria Math" w:hAnsi="Cambria Math" w:cs="Cambria Math"/>
                      </w:rPr>
                      <m:t xml:space="preserve">0.7663, </m:t>
                    </m:r>
                    <m:sSup>
                      <m:sSupPr>
                        <m:ctrlPr>
                          <w:rPr>
                            <w:rFonts w:ascii="Cambria Math" w:eastAsia="Cambria Math" w:hAnsi="Cambria Math" w:cs="Cambria Math"/>
                            <w:i/>
                          </w:rPr>
                        </m:ctrlPr>
                      </m:sSupPr>
                      <m:e>
                        <m:r>
                          <w:rPr>
                            <w:rFonts w:ascii="Cambria Math" w:eastAsia="Cambria Math" w:hAnsi="Cambria Math" w:cs="Cambria Math"/>
                          </w:rPr>
                          <m:t>0.0088</m:t>
                        </m:r>
                      </m:e>
                      <m:sup>
                        <m:r>
                          <w:rPr>
                            <w:rFonts w:ascii="Cambria Math" w:eastAsia="Cambria Math" w:hAnsi="Cambria Math" w:cs="Cambria Math"/>
                          </w:rPr>
                          <m:t>2</m:t>
                        </m:r>
                      </m:sup>
                    </m:sSup>
                  </m:e>
                </m:d>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 xml:space="preserve">V </m:t>
                </m:r>
                <m:r>
                  <m:rPr>
                    <m:nor/>
                  </m:rPr>
                  <w:rPr>
                    <w:rFonts w:ascii="Cambria Math" w:eastAsia="Cambria Math" w:hAnsi="Cambria Math" w:cs="Cambria Math"/>
                  </w:rPr>
                  <m:t>is the droplet volume used for the droplet-volume adjustment,</m:t>
                </m:r>
                <m:ctrlPr>
                  <w:rPr>
                    <w:rFonts w:ascii="Cambria Math" w:eastAsia="Cambria Math" w:hAnsi="Cambria Math" w:cs="Cambria Math"/>
                    <w:i/>
                  </w:rPr>
                </m:ctrlPr>
              </m:e>
            </m:mr>
            <m:mr>
              <m:e>
                <m:sSubSup>
                  <m:sSubSupPr>
                    <m:ctrlPr>
                      <w:rPr>
                        <w:rFonts w:ascii="Cambria Math" w:eastAsia="Cambria Math" w:hAnsi="Cambria Math" w:cs="Cambria Math"/>
                        <w:i/>
                      </w:rPr>
                    </m:ctrlPr>
                  </m:sSubSupPr>
                  <m:e>
                    <m:r>
                      <w:rPr>
                        <w:rFonts w:ascii="Cambria Math" w:eastAsia="Cambria Math" w:hAnsi="Cambria Math" w:cs="Cambria Math"/>
                      </w:rPr>
                      <m:t>μ</m:t>
                    </m:r>
                  </m:e>
                  <m:sub>
                    <m:r>
                      <w:rPr>
                        <w:rFonts w:ascii="Cambria Math" w:eastAsia="Cambria Math" w:hAnsi="Cambria Math" w:cs="Cambria Math"/>
                      </w:rPr>
                      <m:t>i</m:t>
                    </m:r>
                  </m:sub>
                  <m:sup>
                    <m:r>
                      <w:rPr>
                        <w:rFonts w:ascii="Cambria Math" w:eastAsia="Cambria Math" w:hAnsi="Cambria Math" w:cs="Cambria Math"/>
                      </w:rPr>
                      <m:t>(adj)</m:t>
                    </m:r>
                  </m:sup>
                </m:sSubSup>
                <m:r>
                  <w:rPr>
                    <w:rFonts w:ascii="Cambria Math" w:eastAsia="Cambria Math" w:hAnsi="Cambria Math" w:cs="Cambria Math"/>
                  </w:rPr>
                  <m:t xml:space="preserve">= </m:t>
                </m:r>
                <m:f>
                  <m:fPr>
                    <m:ctrlPr>
                      <w:rPr>
                        <w:rFonts w:ascii="Cambria Math" w:eastAsia="Cambria Math" w:hAnsi="Cambria Math" w:cs="Cambria Math"/>
                        <w:i/>
                      </w:rPr>
                    </m:ctrlPr>
                  </m:fPr>
                  <m:num>
                    <m:r>
                      <w:rPr>
                        <w:rFonts w:ascii="Cambria Math" w:eastAsia="Cambria Math" w:hAnsi="Cambria Math" w:cs="Cambria Math"/>
                      </w:rPr>
                      <m:t>11 ×200 ×</m:t>
                    </m:r>
                    <m:sSub>
                      <m:sSubPr>
                        <m:ctrlPr>
                          <w:rPr>
                            <w:rFonts w:ascii="Cambria Math" w:eastAsia="Cambria Math" w:hAnsi="Cambria Math" w:cs="Cambria Math"/>
                            <w:i/>
                          </w:rPr>
                        </m:ctrlPr>
                      </m:sSubPr>
                      <m:e>
                        <m:r>
                          <w:rPr>
                            <w:rFonts w:ascii="Cambria Math" w:eastAsia="Cambria Math" w:hAnsi="Cambria Math" w:cs="Cambria Math"/>
                          </w:rPr>
                          <m:t>μ</m:t>
                        </m:r>
                      </m:e>
                      <m:sub>
                        <m:r>
                          <w:rPr>
                            <w:rFonts w:ascii="Cambria Math" w:eastAsia="Cambria Math" w:hAnsi="Cambria Math" w:cs="Cambria Math"/>
                          </w:rPr>
                          <m:t>i</m:t>
                        </m:r>
                      </m:sub>
                    </m:sSub>
                  </m:num>
                  <m:den>
                    <m:r>
                      <w:rPr>
                        <w:rFonts w:ascii="Cambria Math" w:eastAsia="Cambria Math" w:hAnsi="Cambria Math" w:cs="Cambria Math"/>
                      </w:rPr>
                      <m:t>V/1000</m:t>
                    </m:r>
                  </m:den>
                </m:f>
                <m:r>
                  <w:rPr>
                    <w:rFonts w:ascii="Cambria Math" w:eastAsia="Cambria Math" w:hAnsi="Cambria Math" w:cs="Cambria Math"/>
                  </w:rPr>
                  <m:t>,</m:t>
                </m:r>
              </m:e>
              <m:e>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i</m:t>
                    </m:r>
                  </m:sub>
                  <m:sup>
                    <m:d>
                      <m:dPr>
                        <m:ctrlPr>
                          <w:rPr>
                            <w:rFonts w:ascii="Cambria Math" w:eastAsiaTheme="minorEastAsia" w:hAnsi="Cambria Math"/>
                            <w:i/>
                          </w:rPr>
                        </m:ctrlPr>
                      </m:dPr>
                      <m:e>
                        <m:r>
                          <w:rPr>
                            <w:rFonts w:ascii="Cambria Math" w:eastAsiaTheme="minorEastAsia" w:hAnsi="Cambria Math"/>
                          </w:rPr>
                          <m:t>adj</m:t>
                        </m:r>
                      </m:e>
                    </m:d>
                  </m:sup>
                </m:sSubSup>
                <m:r>
                  <w:rPr>
                    <w:rFonts w:ascii="Cambria Math" w:eastAsiaTheme="minorEastAsia" w:hAnsi="Cambria Math"/>
                  </w:rPr>
                  <m:t xml:space="preserve"> </m:t>
                </m:r>
                <m:r>
                  <m:rPr>
                    <m:nor/>
                  </m:rPr>
                  <w:rPr>
                    <w:rFonts w:ascii="Cambria Math" w:eastAsiaTheme="minorEastAsia" w:hAnsi="Cambria Math"/>
                  </w:rPr>
                  <m:t>is the mean copies/</m:t>
                </m:r>
                <m:r>
                  <w:rPr>
                    <w:rFonts w:ascii="Cambria Math" w:eastAsiaTheme="minorEastAsia" w:hAnsi="Cambria Math"/>
                  </w:rPr>
                  <m:t>μ</m:t>
                </m:r>
                <m:r>
                  <m:rPr>
                    <m:nor/>
                  </m:rPr>
                  <w:rPr>
                    <w:rFonts w:ascii="Cambria Math" w:eastAsiaTheme="minorEastAsia" w:hAnsi="Cambria Math"/>
                  </w:rPr>
                  <m:t xml:space="preserve">L for target </m:t>
                </m:r>
                <m:r>
                  <w:rPr>
                    <w:rFonts w:ascii="Cambria Math" w:eastAsiaTheme="minorEastAsia" w:hAnsi="Cambria Math"/>
                  </w:rPr>
                  <m:t>i.</m:t>
                </m:r>
              </m:e>
            </m:mr>
          </m:m>
        </m:oMath>
      </m:oMathPara>
    </w:p>
    <w:p w14:paraId="16EBD7AF" w14:textId="77777777" w:rsidR="001A49D5" w:rsidRDefault="001A49D5" w:rsidP="001A49D5">
      <w:pPr>
        <w:spacing w:line="240" w:lineRule="auto"/>
      </w:pPr>
      <w:r w:rsidRPr="0076421D">
        <w:rPr>
          <w:b/>
          <w:bCs/>
        </w:rPr>
        <w:t>Fig. S1</w:t>
      </w:r>
      <w:r>
        <w:rPr>
          <w:b/>
          <w:bCs/>
        </w:rPr>
        <w:t xml:space="preserve"> </w:t>
      </w:r>
      <w:r w:rsidRPr="0076421D">
        <w:t xml:space="preserve">A </w:t>
      </w:r>
      <w:r>
        <w:t>h</w:t>
      </w:r>
      <w:r w:rsidRPr="00A90FAC">
        <w:t>ierarchical Bayesian mixed-effects model w</w:t>
      </w:r>
      <w:r>
        <w:t>as</w:t>
      </w:r>
      <w:r w:rsidRPr="00A90FAC">
        <w:t xml:space="preserve"> used to assign concentration values and associated uncertainties</w:t>
      </w:r>
      <w:r>
        <w:t xml:space="preserve"> </w:t>
      </w:r>
      <w:r w:rsidRPr="00A90FAC">
        <w:t>for RM 8038</w:t>
      </w:r>
      <w:r>
        <w:t xml:space="preserve">. </w:t>
      </w:r>
      <w:r w:rsidRPr="00A90FAC">
        <w:t>The models accounted for variability due to box differences, amplicon differences, droplet volume, and repeatability</w:t>
      </w:r>
    </w:p>
    <w:p w14:paraId="1743965B" w14:textId="10175B0F" w:rsidR="001A49D5" w:rsidRDefault="001A49D5">
      <w:r>
        <w:br w:type="page"/>
      </w:r>
    </w:p>
    <w:p w14:paraId="6B0D1016" w14:textId="3CA22A54" w:rsidR="001A49D5" w:rsidRDefault="00000000" w:rsidP="001A49D5">
      <w:pPr>
        <w:spacing w:line="240" w:lineRule="auto"/>
      </w:pPr>
      <m:oMathPara>
        <m:oMath>
          <m:m>
            <m:mPr>
              <m:mcs>
                <m:mc>
                  <m:mcPr>
                    <m:count m:val="1"/>
                    <m:mcJc m:val="center"/>
                  </m:mcPr>
                </m:mc>
                <m:mc>
                  <m:mcPr>
                    <m:count m:val="1"/>
                    <m:mcJc m:val="left"/>
                  </m:mcPr>
                </m:mc>
              </m:mcs>
              <m:ctrlPr>
                <w:rPr>
                  <w:rFonts w:ascii="Cambria Math" w:hAnsi="Cambria Math"/>
                  <w:i/>
                </w:rPr>
              </m:ctrlPr>
            </m:mPr>
            <m:mr>
              <m:e>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 xml:space="preserve">∣μ, </m:t>
                </m:r>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 σ∼N</m:t>
                </m:r>
                <m:d>
                  <m:dPr>
                    <m:ctrlPr>
                      <w:rPr>
                        <w:rFonts w:ascii="Cambria Math" w:hAnsi="Cambria Math"/>
                        <w:i/>
                      </w:rPr>
                    </m:ctrlPr>
                  </m:dPr>
                  <m:e>
                    <m:r>
                      <w:rPr>
                        <w:rFonts w:ascii="Cambria Math" w:hAnsi="Cambria Math"/>
                      </w:rPr>
                      <m:t>μ+</m:t>
                    </m:r>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 xml:space="preserve">, </m:t>
                    </m:r>
                    <m:sSup>
                      <m:sSupPr>
                        <m:ctrlPr>
                          <w:rPr>
                            <w:rFonts w:ascii="Cambria Math" w:hAnsi="Cambria Math"/>
                            <w:i/>
                          </w:rPr>
                        </m:ctrlPr>
                      </m:sSupPr>
                      <m:e>
                        <m:r>
                          <w:rPr>
                            <w:rFonts w:ascii="Cambria Math" w:hAnsi="Cambria Math"/>
                          </w:rPr>
                          <m:t>σ</m:t>
                        </m:r>
                      </m:e>
                      <m:sup>
                        <m:r>
                          <w:rPr>
                            <w:rFonts w:ascii="Cambria Math" w:hAnsi="Cambria Math"/>
                          </w:rPr>
                          <m:t>2</m:t>
                        </m:r>
                      </m:sup>
                    </m:sSup>
                  </m:e>
                </m:d>
                <m:r>
                  <w:rPr>
                    <w:rFonts w:ascii="Cambria Math" w:hAnsi="Cambria Math"/>
                  </w:rPr>
                  <m:t>,</m:t>
                </m:r>
              </m:e>
              <m:e>
                <m:r>
                  <w:rPr>
                    <w:rFonts w:ascii="Cambria Math" w:hAnsi="Cambria Math"/>
                  </w:rPr>
                  <m:t xml:space="preserve">i </m:t>
                </m:r>
                <m:r>
                  <m:rPr>
                    <m:nor/>
                  </m:rPr>
                  <w:rPr>
                    <w:rFonts w:ascii="Cambria Math" w:hAnsi="Cambria Math"/>
                  </w:rPr>
                  <m:t xml:space="preserve">indexes replicates within box </m:t>
                </m:r>
                <m:r>
                  <w:rPr>
                    <w:rFonts w:ascii="Cambria Math" w:hAnsi="Cambria Math"/>
                  </w:rPr>
                  <m:t>j,      j=1,…, J,</m:t>
                </m:r>
              </m:e>
            </m:mr>
            <m:mr>
              <m:e>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∣τ∼N</m:t>
                </m:r>
                <m:d>
                  <m:dPr>
                    <m:ctrlPr>
                      <w:rPr>
                        <w:rFonts w:ascii="Cambria Math" w:hAnsi="Cambria Math"/>
                        <w:i/>
                      </w:rPr>
                    </m:ctrlPr>
                  </m:dPr>
                  <m:e>
                    <m:r>
                      <w:rPr>
                        <w:rFonts w:ascii="Cambria Math" w:hAnsi="Cambria Math"/>
                      </w:rPr>
                      <m:t xml:space="preserve">0, </m:t>
                    </m:r>
                    <m:sSup>
                      <m:sSupPr>
                        <m:ctrlPr>
                          <w:rPr>
                            <w:rFonts w:ascii="Cambria Math" w:hAnsi="Cambria Math"/>
                            <w:i/>
                          </w:rPr>
                        </m:ctrlPr>
                      </m:sSupPr>
                      <m:e>
                        <m:r>
                          <w:rPr>
                            <w:rFonts w:ascii="Cambria Math" w:hAnsi="Cambria Math"/>
                          </w:rPr>
                          <m:t>τ</m:t>
                        </m:r>
                      </m:e>
                      <m:sup>
                        <m:r>
                          <w:rPr>
                            <w:rFonts w:ascii="Cambria Math" w:hAnsi="Cambria Math"/>
                          </w:rPr>
                          <m:t>2</m:t>
                        </m:r>
                      </m:sup>
                    </m:sSup>
                  </m:e>
                </m:d>
                <m:r>
                  <w:rPr>
                    <w:rFonts w:ascii="Cambria Math" w:hAnsi="Cambria Math"/>
                  </w:rPr>
                  <m:t>,</m:t>
                </m:r>
              </m:e>
              <m:e>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 xml:space="preserve"> </m:t>
                </m:r>
                <m:r>
                  <m:rPr>
                    <m:nor/>
                  </m:rPr>
                  <w:rPr>
                    <w:rFonts w:ascii="Cambria Math" w:hAnsi="Cambria Math"/>
                  </w:rPr>
                  <m:t xml:space="preserve">is the deviation for box </m:t>
                </m:r>
                <m:r>
                  <w:rPr>
                    <w:rFonts w:ascii="Cambria Math" w:hAnsi="Cambria Math"/>
                  </w:rPr>
                  <m:t>j</m:t>
                </m:r>
                <m:r>
                  <m:rPr>
                    <m:nor/>
                  </m:rPr>
                  <w:rPr>
                    <w:rFonts w:ascii="Cambria Math" w:hAnsi="Cambria Math"/>
                  </w:rPr>
                  <m:t>,</m:t>
                </m:r>
              </m:e>
            </m:mr>
            <m:mr>
              <m:e>
                <m:r>
                  <w:rPr>
                    <w:rFonts w:ascii="Cambria Math" w:hAnsi="Cambria Math"/>
                  </w:rPr>
                  <m:t>μ∼N</m:t>
                </m:r>
                <m:d>
                  <m:dPr>
                    <m:ctrlPr>
                      <w:rPr>
                        <w:rFonts w:ascii="Cambria Math" w:hAnsi="Cambria Math"/>
                        <w:i/>
                      </w:rPr>
                    </m:ctrlPr>
                  </m:dPr>
                  <m:e>
                    <m:acc>
                      <m:accPr>
                        <m:chr m:val="̅"/>
                        <m:ctrlPr>
                          <w:rPr>
                            <w:rFonts w:ascii="Cambria Math" w:hAnsi="Cambria Math"/>
                            <w:i/>
                          </w:rPr>
                        </m:ctrlPr>
                      </m:accPr>
                      <m:e>
                        <m:r>
                          <w:rPr>
                            <w:rFonts w:ascii="Cambria Math" w:hAnsi="Cambria Math"/>
                          </w:rPr>
                          <m:t>y</m:t>
                        </m:r>
                      </m:e>
                    </m:acc>
                    <m:r>
                      <w:rPr>
                        <w:rFonts w:ascii="Cambria Math"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y</m:t>
                        </m:r>
                      </m:sub>
                      <m:sup>
                        <m:r>
                          <w:rPr>
                            <w:rFonts w:ascii="Cambria Math" w:hAnsi="Cambria Math"/>
                          </w:rPr>
                          <m:t>2</m:t>
                        </m:r>
                      </m:sup>
                    </m:sSubSup>
                  </m:e>
                </m:d>
                <m:r>
                  <w:rPr>
                    <w:rFonts w:ascii="Cambria Math" w:hAnsi="Cambria Math"/>
                  </w:rPr>
                  <m:t>,</m:t>
                </m:r>
              </m:e>
              <m:e>
                <m:acc>
                  <m:accPr>
                    <m:chr m:val="̅"/>
                    <m:ctrlPr>
                      <w:rPr>
                        <w:rFonts w:ascii="Cambria Math" w:hAnsi="Cambria Math"/>
                        <w:i/>
                      </w:rPr>
                    </m:ctrlPr>
                  </m:accPr>
                  <m:e>
                    <m:r>
                      <w:rPr>
                        <w:rFonts w:ascii="Cambria Math" w:hAnsi="Cambria Math"/>
                      </w:rPr>
                      <m:t>y</m:t>
                    </m:r>
                  </m:e>
                </m:acc>
                <m:r>
                  <w:rPr>
                    <w:rFonts w:ascii="Cambria Math" w:hAnsi="Cambria Math"/>
                  </w:rPr>
                  <m:t xml:space="preserve">= </m:t>
                </m:r>
                <m:r>
                  <m:rPr>
                    <m:nor/>
                  </m:rPr>
                  <w:rPr>
                    <w:rFonts w:ascii="Cambria Math" w:hAnsi="Cambria Math"/>
                  </w:rPr>
                  <m:t xml:space="preserve">mean of </m:t>
                </m:r>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 xml:space="preserve">, </m:t>
                </m:r>
                <m:r>
                  <m:rPr>
                    <m:nor/>
                  </m:rP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y</m:t>
                    </m:r>
                  </m:sub>
                </m:sSub>
                <m:r>
                  <w:rPr>
                    <w:rFonts w:ascii="Cambria Math" w:hAnsi="Cambria Math"/>
                  </w:rPr>
                  <m:t xml:space="preserve">= </m:t>
                </m:r>
                <m:r>
                  <m:rPr>
                    <m:nor/>
                  </m:rPr>
                  <w:rPr>
                    <w:rFonts w:ascii="Cambria Math" w:hAnsi="Cambria Math"/>
                  </w:rPr>
                  <m:t xml:space="preserve">standard deviation of </m:t>
                </m:r>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m:t>
                </m:r>
                <m:ctrlPr>
                  <w:rPr>
                    <w:rFonts w:ascii="Cambria Math" w:eastAsia="Cambria Math" w:hAnsi="Cambria Math" w:cs="Cambria Math"/>
                    <w:i/>
                  </w:rPr>
                </m:ctrlPr>
              </m:e>
            </m:mr>
            <m:mr>
              <m:e>
                <m:r>
                  <w:rPr>
                    <w:rFonts w:ascii="Cambria Math" w:eastAsia="Cambria Math" w:hAnsi="Cambria Math" w:cs="Cambria Math"/>
                  </w:rPr>
                  <m:t>V∼N</m:t>
                </m:r>
                <m:d>
                  <m:dPr>
                    <m:ctrlPr>
                      <w:rPr>
                        <w:rFonts w:ascii="Cambria Math" w:eastAsia="Cambria Math" w:hAnsi="Cambria Math" w:cs="Cambria Math"/>
                        <w:i/>
                      </w:rPr>
                    </m:ctrlPr>
                  </m:dPr>
                  <m:e>
                    <m:r>
                      <w:rPr>
                        <w:rFonts w:ascii="Cambria Math" w:eastAsia="Cambria Math" w:hAnsi="Cambria Math" w:cs="Cambria Math"/>
                      </w:rPr>
                      <m:t xml:space="preserve">0.7663, </m:t>
                    </m:r>
                    <m:sSup>
                      <m:sSupPr>
                        <m:ctrlPr>
                          <w:rPr>
                            <w:rFonts w:ascii="Cambria Math" w:eastAsia="Cambria Math" w:hAnsi="Cambria Math" w:cs="Cambria Math"/>
                            <w:i/>
                          </w:rPr>
                        </m:ctrlPr>
                      </m:sSupPr>
                      <m:e>
                        <m:r>
                          <w:rPr>
                            <w:rFonts w:ascii="Cambria Math" w:eastAsia="Cambria Math" w:hAnsi="Cambria Math" w:cs="Cambria Math"/>
                          </w:rPr>
                          <m:t>0.0088</m:t>
                        </m:r>
                      </m:e>
                      <m:sup>
                        <m:r>
                          <w:rPr>
                            <w:rFonts w:ascii="Cambria Math" w:eastAsia="Cambria Math" w:hAnsi="Cambria Math" w:cs="Cambria Math"/>
                          </w:rPr>
                          <m:t>2</m:t>
                        </m:r>
                      </m:sup>
                    </m:sSup>
                  </m:e>
                </m:d>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 xml:space="preserve">V </m:t>
                </m:r>
                <m:r>
                  <m:rPr>
                    <m:nor/>
                  </m:rPr>
                  <w:rPr>
                    <w:rFonts w:ascii="Cambria Math" w:eastAsia="Cambria Math" w:hAnsi="Cambria Math" w:cs="Cambria Math"/>
                  </w:rPr>
                  <m:t>is the droplet volume used for the droplet-volume adjustement.</m:t>
                </m:r>
              </m:e>
            </m:mr>
          </m:m>
        </m:oMath>
      </m:oMathPara>
    </w:p>
    <w:p w14:paraId="77B50787" w14:textId="77777777" w:rsidR="001A49D5" w:rsidRDefault="001A49D5" w:rsidP="001A49D5">
      <w:pPr>
        <w:spacing w:line="240" w:lineRule="auto"/>
      </w:pPr>
      <w:r w:rsidRPr="002B0297">
        <w:rPr>
          <w:b/>
          <w:bCs/>
        </w:rPr>
        <w:t>Fig</w:t>
      </w:r>
      <w:r>
        <w:rPr>
          <w:b/>
          <w:bCs/>
        </w:rPr>
        <w:t>.</w:t>
      </w:r>
      <w:r w:rsidRPr="002B0297">
        <w:rPr>
          <w:b/>
          <w:bCs/>
        </w:rPr>
        <w:t xml:space="preserve"> S2</w:t>
      </w:r>
      <w:r>
        <w:t xml:space="preserve"> A h</w:t>
      </w:r>
      <w:r w:rsidRPr="00A90FAC">
        <w:t>ierarchical Bayesian mixed-effects model w</w:t>
      </w:r>
      <w:r>
        <w:t>as</w:t>
      </w:r>
      <w:r w:rsidRPr="00A90FAC">
        <w:t xml:space="preserve"> used to assess homogeneity for RM 8038</w:t>
      </w:r>
      <w:r>
        <w:t xml:space="preserve">. </w:t>
      </w:r>
      <w:r w:rsidRPr="00A90FAC">
        <w:t>The models accounted for variability due to box differences, amplicon differences, droplet volume, and repeatability</w:t>
      </w:r>
    </w:p>
    <w:p w14:paraId="5C7B0D2B" w14:textId="3C09AB37" w:rsidR="001A49D5" w:rsidRDefault="001A49D5">
      <w:r>
        <w:br w:type="page"/>
      </w:r>
    </w:p>
    <w:p w14:paraId="59FA2390" w14:textId="1D274752" w:rsidR="001A49D5" w:rsidRDefault="00000000" w:rsidP="001A49D5">
      <w:pPr>
        <w:spacing w:line="240" w:lineRule="auto"/>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0i</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1i</m:t>
              </m:r>
            </m:sub>
          </m:sSub>
          <m:r>
            <w:rPr>
              <w:rFonts w:ascii="Cambria Math" w:hAnsi="Cambria Math"/>
            </w:rPr>
            <m:t>×</m:t>
          </m:r>
          <m:sSub>
            <m:sSubPr>
              <m:ctrlPr>
                <w:rPr>
                  <w:rFonts w:ascii="Cambria Math" w:hAnsi="Cambria Math"/>
                  <w:i/>
                </w:rPr>
              </m:ctrlPr>
            </m:sSubPr>
            <m:e>
              <m:r>
                <m:rPr>
                  <m:nor/>
                </m:rPr>
                <w:rPr>
                  <w:rFonts w:ascii="Cambria Math" w:hAnsi="Cambria Math"/>
                </w:rPr>
                <m:t>Date</m:t>
              </m:r>
              <m:ctrlPr>
                <w:rPr>
                  <w:rFonts w:ascii="Cambria Math" w:hAnsi="Cambria Math"/>
                </w:rPr>
              </m:ctrlPr>
            </m:e>
            <m:sub>
              <m:r>
                <w:rPr>
                  <w:rFonts w:ascii="Cambria Math" w:hAnsi="Cambria Math"/>
                </w:rPr>
                <m:t>j</m:t>
              </m:r>
            </m:sub>
          </m:sSub>
          <m:r>
            <w:rPr>
              <w:rFonts w:ascii="Cambria Math" w:hAnsi="Cambria Math"/>
            </w:rPr>
            <m:t xml:space="preserve">+ </m:t>
          </m:r>
          <m:sSub>
            <m:sSubPr>
              <m:ctrlPr>
                <w:rPr>
                  <w:rFonts w:ascii="Cambria Math" w:hAnsi="Cambria Math"/>
                  <w:i/>
                </w:rPr>
              </m:ctrlPr>
            </m:sSubPr>
            <m:e>
              <m:r>
                <w:rPr>
                  <w:rFonts w:ascii="Cambria Math" w:hAnsi="Cambria Math"/>
                </w:rPr>
                <m:t>ϵ</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ϵ</m:t>
              </m:r>
            </m:e>
            <m:sub>
              <m:r>
                <w:rPr>
                  <w:rFonts w:ascii="Cambria Math" w:hAnsi="Cambria Math"/>
                </w:rPr>
                <m:t>ij</m:t>
              </m:r>
            </m:sub>
          </m:sSub>
          <m:r>
            <w:rPr>
              <w:rFonts w:ascii="Cambria Math" w:hAnsi="Cambria Math"/>
            </w:rPr>
            <m:t>∼N</m:t>
          </m:r>
          <m:d>
            <m:dPr>
              <m:ctrlPr>
                <w:rPr>
                  <w:rFonts w:ascii="Cambria Math" w:hAnsi="Cambria Math"/>
                  <w:i/>
                </w:rPr>
              </m:ctrlPr>
            </m:dPr>
            <m:e>
              <m:r>
                <w:rPr>
                  <w:rFonts w:ascii="Cambria Math" w:hAnsi="Cambria Math"/>
                </w:rPr>
                <m:t xml:space="preserve">0, </m:t>
              </m:r>
              <m:f>
                <m:fPr>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i</m:t>
                      </m:r>
                    </m:sub>
                    <m:sup>
                      <m:r>
                        <w:rPr>
                          <w:rFonts w:ascii="Cambria Math" w:hAnsi="Cambria Math"/>
                        </w:rPr>
                        <m:t>2</m:t>
                      </m:r>
                    </m:sup>
                  </m:sSubSup>
                </m:num>
                <m:den>
                  <m:sSub>
                    <m:sSubPr>
                      <m:ctrlPr>
                        <w:rPr>
                          <w:rFonts w:ascii="Cambria Math" w:hAnsi="Cambria Math"/>
                          <w:i/>
                        </w:rPr>
                      </m:ctrlPr>
                    </m:sSubPr>
                    <m:e>
                      <m:r>
                        <w:rPr>
                          <w:rFonts w:ascii="Cambria Math" w:hAnsi="Cambria Math"/>
                        </w:rPr>
                        <m:t>w</m:t>
                      </m:r>
                    </m:e>
                    <m:sub>
                      <m:r>
                        <w:rPr>
                          <w:rFonts w:ascii="Cambria Math" w:hAnsi="Cambria Math"/>
                        </w:rPr>
                        <m:t>ij</m:t>
                      </m:r>
                    </m:sub>
                  </m:sSub>
                </m:den>
              </m:f>
            </m:e>
          </m:d>
          <m:r>
            <m:rPr>
              <m:sty m:val="p"/>
            </m:rPr>
            <w:rPr>
              <w:rFonts w:ascii="Cambria Math" w:hAnsi="Cambria Math"/>
            </w:rPr>
            <w:br/>
          </m:r>
        </m:oMath>
        <m:oMath>
          <m:r>
            <m:rPr>
              <m:nor/>
            </m:rPr>
            <w:rPr>
              <w:rFonts w:ascii="Cambria Math" w:eastAsiaTheme="minorEastAsia" w:hAnsi="Cambria Math"/>
            </w:rPr>
            <m:t xml:space="preserve">where </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ij</m:t>
              </m:r>
            </m:sub>
          </m:sSub>
          <m:r>
            <w:rPr>
              <w:rFonts w:ascii="Cambria Math" w:eastAsiaTheme="minorEastAsia" w:hAnsi="Cambria Math"/>
            </w:rPr>
            <m:t xml:space="preserve">= </m:t>
          </m:r>
          <m:f>
            <m:fPr>
              <m:type m:val="skw"/>
              <m:ctrlPr>
                <w:rPr>
                  <w:rFonts w:ascii="Cambria Math" w:eastAsiaTheme="minorEastAsia" w:hAnsi="Cambria Math"/>
                  <w:i/>
                </w:rPr>
              </m:ctrlPr>
            </m:fPr>
            <m:num>
              <m:r>
                <w:rPr>
                  <w:rFonts w:ascii="Cambria Math" w:eastAsiaTheme="minorEastAsia" w:hAnsi="Cambria Math"/>
                </w:rPr>
                <m:t>1</m:t>
              </m:r>
            </m:num>
            <m:den>
              <m:r>
                <m:rPr>
                  <m:nor/>
                </m:rPr>
                <w:rPr>
                  <w:rFonts w:ascii="Cambria Math" w:eastAsiaTheme="minorEastAsia" w:hAnsi="Cambria Math"/>
                </w:rPr>
                <m:t>SE</m:t>
              </m:r>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y</m:t>
                              </m:r>
                            </m:e>
                          </m:acc>
                        </m:e>
                        <m:sub>
                          <m:r>
                            <w:rPr>
                              <w:rFonts w:ascii="Cambria Math" w:eastAsiaTheme="minorEastAsia" w:hAnsi="Cambria Math"/>
                            </w:rPr>
                            <m:t>ij</m:t>
                          </m:r>
                        </m:sub>
                      </m:sSub>
                    </m:e>
                  </m:d>
                </m:e>
                <m:sup>
                  <m:r>
                    <w:rPr>
                      <w:rFonts w:ascii="Cambria Math" w:eastAsiaTheme="minorEastAsia" w:hAnsi="Cambria Math"/>
                    </w:rPr>
                    <m:t>2</m:t>
                  </m:r>
                </m:sup>
              </m:sSup>
            </m:den>
          </m:f>
        </m:oMath>
      </m:oMathPara>
    </w:p>
    <w:p w14:paraId="40253DB5" w14:textId="4DAC05A1" w:rsidR="001A49D5" w:rsidRDefault="001A49D5" w:rsidP="001A49D5">
      <w:pPr>
        <w:spacing w:line="240" w:lineRule="auto"/>
        <w:rPr>
          <w:rFonts w:ascii="Times New Roman" w:hAnsi="Times New Roman" w:cs="Times New Roman"/>
          <w:i/>
          <w:iCs/>
        </w:rPr>
      </w:pPr>
      <w:r w:rsidRPr="002B0297">
        <w:rPr>
          <w:b/>
          <w:bCs/>
        </w:rPr>
        <w:t>Fig</w:t>
      </w:r>
      <w:r>
        <w:rPr>
          <w:b/>
          <w:bCs/>
        </w:rPr>
        <w:t>.</w:t>
      </w:r>
      <w:r w:rsidRPr="002B0297">
        <w:rPr>
          <w:b/>
          <w:bCs/>
        </w:rPr>
        <w:t xml:space="preserve"> S3</w:t>
      </w:r>
      <w:r>
        <w:t xml:space="preserve"> RM 8038 stability was </w:t>
      </w:r>
      <w:r w:rsidRPr="00DF1032">
        <w:t>characteriz</w:t>
      </w:r>
      <w:r>
        <w:t>ed by</w:t>
      </w:r>
      <w:r w:rsidRPr="00DF1032">
        <w:t xml:space="preserve"> </w:t>
      </w:r>
      <w:r>
        <w:t xml:space="preserve">using </w:t>
      </w:r>
      <w:r w:rsidRPr="00DF1032">
        <w:t>a weighted linear regression model</w:t>
      </w:r>
      <w:r>
        <w:t xml:space="preserve"> </w:t>
      </w:r>
      <w:r w:rsidRPr="00F14CCB">
        <w:t xml:space="preserve">of the </w:t>
      </w:r>
      <w:r>
        <w:t>RT-</w:t>
      </w:r>
      <w:r w:rsidRPr="00F14CCB">
        <w:t>ddPCR concentration measurements</w:t>
      </w:r>
      <w:r>
        <w:t xml:space="preserve">. The data </w:t>
      </w:r>
      <w:proofErr w:type="gramStart"/>
      <w:r>
        <w:t>consist</w:t>
      </w:r>
      <w:proofErr w:type="gramEnd"/>
      <w:r>
        <w:t xml:space="preserve"> of replicate observations indexed by target </w:t>
      </w:r>
      <w:r w:rsidRPr="00331C04">
        <w:rPr>
          <w:rFonts w:ascii="Times New Roman" w:hAnsi="Times New Roman" w:cs="Times New Roman"/>
          <w:i/>
          <w:iCs/>
        </w:rPr>
        <w:t>i</w:t>
      </w:r>
      <w:r>
        <w:t xml:space="preserve">, date </w:t>
      </w:r>
      <w:r w:rsidRPr="00331C04">
        <w:rPr>
          <w:rFonts w:ascii="Times New Roman" w:hAnsi="Times New Roman" w:cs="Times New Roman"/>
          <w:i/>
          <w:iCs/>
        </w:rPr>
        <w:t>j</w:t>
      </w:r>
      <w:r>
        <w:t>, and replicate</w:t>
      </w:r>
      <w:r w:rsidRPr="00331C04">
        <w:rPr>
          <w:i/>
          <w:iCs/>
        </w:rPr>
        <w:t xml:space="preserve"> </w:t>
      </w:r>
      <w:r w:rsidRPr="00331C04">
        <w:rPr>
          <w:rFonts w:ascii="Times New Roman" w:hAnsi="Times New Roman" w:cs="Times New Roman"/>
          <w:i/>
          <w:iCs/>
        </w:rPr>
        <w:t>k</w:t>
      </w:r>
      <w:r>
        <w:t xml:space="preserve">. A weighted linear regression is then fit for each target </w:t>
      </w:r>
      <w:r w:rsidRPr="00331C04">
        <w:rPr>
          <w:rFonts w:ascii="Times New Roman" w:hAnsi="Times New Roman" w:cs="Times New Roman"/>
          <w:i/>
          <w:iCs/>
        </w:rPr>
        <w:t>i</w:t>
      </w:r>
    </w:p>
    <w:p w14:paraId="2B11CAF1" w14:textId="64A336FF" w:rsidR="001A49D5" w:rsidRDefault="001A49D5">
      <w:pPr>
        <w:rPr>
          <w:rFonts w:ascii="Times New Roman" w:hAnsi="Times New Roman" w:cs="Times New Roman"/>
        </w:rPr>
      </w:pPr>
      <w:r>
        <w:rPr>
          <w:rFonts w:ascii="Times New Roman" w:hAnsi="Times New Roman" w:cs="Times New Roman"/>
        </w:rPr>
        <w:br w:type="page"/>
      </w:r>
    </w:p>
    <w:p w14:paraId="11DBF147" w14:textId="0639127E" w:rsidR="00942706" w:rsidRPr="006F2081" w:rsidRDefault="001A49D5" w:rsidP="001A49D5">
      <w:pPr>
        <w:spacing w:line="240" w:lineRule="auto"/>
      </w:pPr>
      <w:r>
        <w:rPr>
          <w:b/>
          <w:bCs/>
          <w:noProof/>
        </w:rPr>
        <w:lastRenderedPageBreak/>
        <w:drawing>
          <wp:inline distT="0" distB="0" distL="0" distR="0" wp14:anchorId="1596D15E" wp14:editId="6C2AD871">
            <wp:extent cx="6264000" cy="2458861"/>
            <wp:effectExtent l="0" t="0" r="3810" b="0"/>
            <wp:docPr id="1956523595" name="Picture 11" descr="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23595" name="Picture 11" descr="Timeline&#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64000" cy="2458861"/>
                    </a:xfrm>
                    <a:prstGeom prst="rect">
                      <a:avLst/>
                    </a:prstGeom>
                    <a:noFill/>
                  </pic:spPr>
                </pic:pic>
              </a:graphicData>
            </a:graphic>
          </wp:inline>
        </w:drawing>
      </w:r>
    </w:p>
    <w:p w14:paraId="3AD228E3" w14:textId="78A94C2A" w:rsidR="001A49D5" w:rsidRDefault="001A49D5" w:rsidP="001A49D5">
      <w:pPr>
        <w:spacing w:line="240" w:lineRule="auto"/>
      </w:pPr>
      <w:r w:rsidRPr="00852AD4">
        <w:rPr>
          <w:b/>
          <w:bCs/>
        </w:rPr>
        <w:t>Fig</w:t>
      </w:r>
      <w:r w:rsidR="00A458FA">
        <w:rPr>
          <w:b/>
          <w:bCs/>
        </w:rPr>
        <w:t>.</w:t>
      </w:r>
      <w:r w:rsidRPr="00852AD4">
        <w:rPr>
          <w:b/>
          <w:bCs/>
        </w:rPr>
        <w:t xml:space="preserve"> S</w:t>
      </w:r>
      <w:r>
        <w:rPr>
          <w:b/>
          <w:bCs/>
        </w:rPr>
        <w:t>4</w:t>
      </w:r>
      <w:r>
        <w:t xml:space="preserve"> The RGTM/RM sequences are </w:t>
      </w:r>
      <w:proofErr w:type="gramStart"/>
      <w:r>
        <w:t>similar to</w:t>
      </w:r>
      <w:proofErr w:type="gramEnd"/>
      <w:r>
        <w:t xml:space="preserve"> those of clinical isolates. Nucleotide consensus sequences generated from alignments of 22 B3.13 and 8 D1.1 human isolate sequences were aligned with a single D1.3 isolate sequence and the sequences of HA, NA, and MP RGTM/RM components. Sequences are labeled by genotype to the left of each row outlined in black. Blue shading indicates matching nucleotides across all three sequences. Vertical orange lines within each sequence indicate a mismatch with the RGTM/RM (A1) sequence at that position. The number of mismatches with the RGTM/RM sequence is indicated to the right of each row. Scaling across HA, NA, and MP alignments is equivalent to represent actual sequence length differences between HA, NA, and MP segments. Bright yellow vertical lines within each sequence represent ambiguous base calls because of an even number of sequences with conflicting nucleotides used to generate the consensus sequence. Light blue shading in the HA RGTM/RM (A1) sequence indicates the sequence gaps due to the polybasic cleavage site deletion in the RGTM/RM. Ambiguous base calls and the sequence gaps were not included in the mismatch counts </w:t>
      </w:r>
    </w:p>
    <w:p w14:paraId="1BC915B2" w14:textId="2223726E" w:rsidR="001A49D5" w:rsidRDefault="001A49D5">
      <w:r>
        <w:br w:type="page"/>
      </w:r>
    </w:p>
    <w:p w14:paraId="44E9B469" w14:textId="5D946BDA" w:rsidR="001A49D5" w:rsidRDefault="001A49D5" w:rsidP="001A49D5">
      <w:pPr>
        <w:spacing w:line="240" w:lineRule="auto"/>
      </w:pPr>
      <w:r>
        <w:rPr>
          <w:b/>
          <w:bCs/>
          <w:noProof/>
        </w:rPr>
        <w:lastRenderedPageBreak/>
        <w:drawing>
          <wp:inline distT="0" distB="0" distL="0" distR="0" wp14:anchorId="21FA6EE7" wp14:editId="7C2FF916">
            <wp:extent cx="6264000" cy="4910102"/>
            <wp:effectExtent l="0" t="0" r="3810" b="5080"/>
            <wp:docPr id="1747254078" name="Picture 12"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54078" name="Picture 12" descr="Char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4000" cy="4910102"/>
                    </a:xfrm>
                    <a:prstGeom prst="rect">
                      <a:avLst/>
                    </a:prstGeom>
                    <a:noFill/>
                  </pic:spPr>
                </pic:pic>
              </a:graphicData>
            </a:graphic>
          </wp:inline>
        </w:drawing>
      </w:r>
    </w:p>
    <w:p w14:paraId="446C9FDC" w14:textId="607BE2A9" w:rsidR="001A49D5" w:rsidRDefault="001A49D5" w:rsidP="001A49D5">
      <w:pPr>
        <w:spacing w:line="240" w:lineRule="auto"/>
      </w:pPr>
      <w:r w:rsidRPr="00C33AB3">
        <w:rPr>
          <w:b/>
          <w:bCs/>
        </w:rPr>
        <w:t>Fig</w:t>
      </w:r>
      <w:r>
        <w:rPr>
          <w:b/>
          <w:bCs/>
        </w:rPr>
        <w:t>.</w:t>
      </w:r>
      <w:r w:rsidRPr="00C33AB3">
        <w:rPr>
          <w:b/>
          <w:bCs/>
        </w:rPr>
        <w:t xml:space="preserve"> </w:t>
      </w:r>
      <w:r>
        <w:rPr>
          <w:b/>
          <w:bCs/>
        </w:rPr>
        <w:t>S5</w:t>
      </w:r>
      <w:r>
        <w:t xml:space="preserve"> The RM 8038 RNA components </w:t>
      </w:r>
      <w:r w:rsidRPr="00C33AB3">
        <w:t>are sufficiently homogen</w:t>
      </w:r>
      <w:r w:rsidR="001B6537">
        <w:t>e</w:t>
      </w:r>
      <w:r w:rsidRPr="00C33AB3">
        <w:t>ous.</w:t>
      </w:r>
      <w:r>
        <w:rPr>
          <w:b/>
          <w:bCs/>
        </w:rPr>
        <w:t xml:space="preserve"> </w:t>
      </w:r>
      <w:r w:rsidRPr="00AC59E2">
        <w:t xml:space="preserve">Concentration measurements from each HA, NA, and MP box do not differ from the overall </w:t>
      </w:r>
      <w:proofErr w:type="gramStart"/>
      <w:r w:rsidRPr="00AC59E2">
        <w:t>mean</w:t>
      </w:r>
      <w:proofErr w:type="gramEnd"/>
      <w:r w:rsidRPr="00AC59E2">
        <w:t xml:space="preserve"> of their respective box measurements</w:t>
      </w:r>
      <w:r>
        <w:t xml:space="preserve"> (</w:t>
      </w:r>
      <w:r w:rsidRPr="00755169">
        <w:t>hierarchical Bayesian mixed-effects model, not significant at 95 % confidence level</w:t>
      </w:r>
      <w:r>
        <w:t xml:space="preserve">). </w:t>
      </w:r>
      <w:r w:rsidRPr="00AC59E2">
        <w:t xml:space="preserve">Box level means (black points) are displayed along with deviations from the overall mean with bars representing the 95 % credible intervals. All credible intervals include 0 (red dashed line), indicating the boxes do not differ significantly from the overall mean for each </w:t>
      </w:r>
      <w:r>
        <w:t xml:space="preserve">RM 8038 </w:t>
      </w:r>
      <w:r w:rsidRPr="00AC59E2">
        <w:t>RNA</w:t>
      </w:r>
      <w:r>
        <w:t xml:space="preserve"> component</w:t>
      </w:r>
    </w:p>
    <w:p w14:paraId="0D48FF08" w14:textId="4EA1151E" w:rsidR="001A49D5" w:rsidRDefault="001A49D5">
      <w:r>
        <w:br w:type="page"/>
      </w:r>
    </w:p>
    <w:p w14:paraId="14B3FA31" w14:textId="65CE8FCE" w:rsidR="001A49D5" w:rsidRDefault="001A49D5" w:rsidP="001A49D5">
      <w:pPr>
        <w:spacing w:line="240" w:lineRule="auto"/>
      </w:pPr>
      <w:r>
        <w:rPr>
          <w:b/>
          <w:bCs/>
          <w:noProof/>
        </w:rPr>
        <w:lastRenderedPageBreak/>
        <w:drawing>
          <wp:inline distT="0" distB="0" distL="0" distR="0" wp14:anchorId="406FC740" wp14:editId="10B24C6D">
            <wp:extent cx="6264000" cy="4348095"/>
            <wp:effectExtent l="0" t="0" r="0" b="0"/>
            <wp:docPr id="1410442638" name="Picture 13"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42638" name="Picture 13" descr="A picture containing graphical user interfac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4000" cy="4348095"/>
                    </a:xfrm>
                    <a:prstGeom prst="rect">
                      <a:avLst/>
                    </a:prstGeom>
                    <a:noFill/>
                  </pic:spPr>
                </pic:pic>
              </a:graphicData>
            </a:graphic>
          </wp:inline>
        </w:drawing>
      </w:r>
    </w:p>
    <w:p w14:paraId="24998547" w14:textId="2CF98F9F" w:rsidR="001A49D5" w:rsidRDefault="001A49D5" w:rsidP="001A49D5">
      <w:pPr>
        <w:spacing w:line="240" w:lineRule="auto"/>
      </w:pPr>
      <w:r w:rsidRPr="00890236">
        <w:rPr>
          <w:b/>
          <w:bCs/>
        </w:rPr>
        <w:t>Fig. S</w:t>
      </w:r>
      <w:r>
        <w:rPr>
          <w:b/>
          <w:bCs/>
        </w:rPr>
        <w:t>6</w:t>
      </w:r>
      <w:r>
        <w:t xml:space="preserve"> The RGTM 10263 RNA components are sufficiently homogen</w:t>
      </w:r>
      <w:r w:rsidR="001B6537">
        <w:t>e</w:t>
      </w:r>
      <w:r>
        <w:t xml:space="preserve">ous. Initial homogeneity testing for the entire lot of RGTM/RM was performed before RGTM 10263 was released to the public. Concentration measurements on a sample from each of the 8 RM and 3 RGTM freezer storage boxes were made for </w:t>
      </w:r>
      <w:r w:rsidRPr="00803560">
        <w:rPr>
          <w:b/>
          <w:bCs/>
        </w:rPr>
        <w:t>a</w:t>
      </w:r>
      <w:r>
        <w:t xml:space="preserve"> HA, </w:t>
      </w:r>
      <w:r w:rsidRPr="00803560">
        <w:rPr>
          <w:b/>
          <w:bCs/>
        </w:rPr>
        <w:t>b</w:t>
      </w:r>
      <w:r>
        <w:t xml:space="preserve"> NA, and </w:t>
      </w:r>
      <w:r w:rsidRPr="00803560">
        <w:rPr>
          <w:b/>
          <w:bCs/>
        </w:rPr>
        <w:t>c</w:t>
      </w:r>
      <w:r>
        <w:t xml:space="preserve"> MP RNA. Shown are the means of technical triplicate RT-ddPCR measurements for each sample with error bars indicating ± one standard deviation. The </w:t>
      </w:r>
      <w:r w:rsidRPr="00803560">
        <w:rPr>
          <w:b/>
          <w:bCs/>
        </w:rPr>
        <w:t>d</w:t>
      </w:r>
      <w:r>
        <w:t xml:space="preserve"> mean of all RM and RGTM homogeneity measurements for each RNA component was taken as an initial quantitative estimate of the concentration of each RGTM 10263 component and provided in a guidance document for RGTM customers</w:t>
      </w:r>
    </w:p>
    <w:p w14:paraId="65A85091" w14:textId="77777777" w:rsidR="00A20718" w:rsidRDefault="00D00998" w:rsidP="00A20718">
      <w:pPr>
        <w:pStyle w:val="Caption"/>
        <w:keepNext/>
        <w:tabs>
          <w:tab w:val="left" w:pos="4200"/>
        </w:tabs>
      </w:pPr>
      <w:r>
        <w:rPr>
          <w:rFonts w:asciiTheme="minorHAnsi" w:hAnsiTheme="minorHAnsi"/>
          <w:b/>
          <w:bCs/>
          <w:i w:val="0"/>
          <w:iCs w:val="0"/>
          <w:color w:val="auto"/>
        </w:rPr>
        <w:br w:type="page"/>
      </w:r>
      <w:r w:rsidR="00A20718" w:rsidRPr="00A2010E">
        <w:rPr>
          <w:rFonts w:asciiTheme="minorHAnsi" w:hAnsiTheme="minorHAnsi"/>
          <w:b/>
          <w:bCs/>
          <w:i w:val="0"/>
          <w:iCs w:val="0"/>
          <w:color w:val="auto"/>
        </w:rPr>
        <w:lastRenderedPageBreak/>
        <w:t xml:space="preserve">Table </w:t>
      </w:r>
      <w:r w:rsidR="00A20718">
        <w:rPr>
          <w:rFonts w:asciiTheme="minorHAnsi" w:hAnsiTheme="minorHAnsi"/>
          <w:b/>
          <w:bCs/>
          <w:i w:val="0"/>
          <w:iCs w:val="0"/>
          <w:color w:val="auto"/>
        </w:rPr>
        <w:t>S1</w:t>
      </w:r>
      <w:r w:rsidR="00A20718" w:rsidRPr="00A2010E">
        <w:rPr>
          <w:rFonts w:asciiTheme="minorHAnsi" w:hAnsiTheme="minorHAnsi"/>
          <w:b/>
          <w:bCs/>
          <w:i w:val="0"/>
          <w:iCs w:val="0"/>
          <w:color w:val="auto"/>
        </w:rPr>
        <w:t>:</w:t>
      </w:r>
      <w:r w:rsidR="00A20718">
        <w:rPr>
          <w:rFonts w:asciiTheme="minorHAnsi" w:hAnsiTheme="minorHAnsi"/>
          <w:b/>
          <w:bCs/>
          <w:i w:val="0"/>
          <w:iCs w:val="0"/>
          <w:color w:val="auto"/>
        </w:rPr>
        <w:t xml:space="preserve"> </w:t>
      </w:r>
      <w:r w:rsidR="00A20718" w:rsidRPr="00934175">
        <w:rPr>
          <w:rFonts w:asciiTheme="minorHAnsi" w:hAnsiTheme="minorHAnsi"/>
          <w:i w:val="0"/>
          <w:iCs w:val="0"/>
          <w:color w:val="auto"/>
        </w:rPr>
        <w:t>RN</w:t>
      </w:r>
      <w:r w:rsidR="00A20718">
        <w:rPr>
          <w:rFonts w:asciiTheme="minorHAnsi" w:hAnsiTheme="minorHAnsi"/>
          <w:i w:val="0"/>
          <w:iCs w:val="0"/>
          <w:color w:val="auto"/>
        </w:rPr>
        <w:t>a</w:t>
      </w:r>
      <w:r w:rsidR="00A20718" w:rsidRPr="00934175">
        <w:rPr>
          <w:rFonts w:asciiTheme="minorHAnsi" w:hAnsiTheme="minorHAnsi"/>
          <w:i w:val="0"/>
          <w:iCs w:val="0"/>
          <w:color w:val="auto"/>
        </w:rPr>
        <w:t>se P</w:t>
      </w:r>
      <w:r w:rsidR="00A20718" w:rsidRPr="00A2010E">
        <w:rPr>
          <w:rFonts w:asciiTheme="minorHAnsi" w:hAnsiTheme="minorHAnsi"/>
          <w:b/>
          <w:bCs/>
          <w:i w:val="0"/>
          <w:iCs w:val="0"/>
          <w:color w:val="auto"/>
        </w:rPr>
        <w:t xml:space="preserve"> </w:t>
      </w:r>
      <w:r w:rsidR="00A20718" w:rsidRPr="00D42F9E">
        <w:rPr>
          <w:rFonts w:asciiTheme="minorHAnsi" w:hAnsiTheme="minorHAnsi"/>
          <w:i w:val="0"/>
          <w:iCs w:val="0"/>
          <w:color w:val="auto"/>
        </w:rPr>
        <w:t>r</w:t>
      </w:r>
      <w:r w:rsidR="00A20718" w:rsidRPr="00AE432B">
        <w:rPr>
          <w:rFonts w:asciiTheme="minorHAnsi" w:hAnsiTheme="minorHAnsi"/>
          <w:i w:val="0"/>
          <w:iCs w:val="0"/>
          <w:color w:val="auto"/>
        </w:rPr>
        <w:t xml:space="preserve">RT-PCR results </w:t>
      </w:r>
      <w:r w:rsidR="00A20718">
        <w:rPr>
          <w:rFonts w:asciiTheme="minorHAnsi" w:hAnsiTheme="minorHAnsi"/>
          <w:i w:val="0"/>
          <w:iCs w:val="0"/>
          <w:color w:val="auto"/>
        </w:rPr>
        <w:t>(C</w:t>
      </w:r>
      <w:r w:rsidR="00A20718" w:rsidRPr="006A5DA8">
        <w:rPr>
          <w:rFonts w:asciiTheme="minorHAnsi" w:hAnsiTheme="minorHAnsi"/>
          <w:i w:val="0"/>
          <w:iCs w:val="0"/>
          <w:color w:val="auto"/>
          <w:vertAlign w:val="subscript"/>
        </w:rPr>
        <w:t>T</w:t>
      </w:r>
      <w:r w:rsidR="00A20718">
        <w:rPr>
          <w:rFonts w:asciiTheme="minorHAnsi" w:hAnsiTheme="minorHAnsi"/>
          <w:i w:val="0"/>
          <w:iCs w:val="0"/>
          <w:color w:val="auto"/>
        </w:rPr>
        <w:t xml:space="preserve"> values) </w:t>
      </w:r>
      <w:r w:rsidR="00A20718" w:rsidRPr="00AE432B">
        <w:rPr>
          <w:rFonts w:asciiTheme="minorHAnsi" w:hAnsiTheme="minorHAnsi"/>
          <w:i w:val="0"/>
          <w:iCs w:val="0"/>
          <w:color w:val="auto"/>
        </w:rPr>
        <w:t>fo</w:t>
      </w:r>
      <w:r w:rsidR="00A20718">
        <w:rPr>
          <w:rFonts w:asciiTheme="minorHAnsi" w:hAnsiTheme="minorHAnsi"/>
          <w:i w:val="0"/>
          <w:iCs w:val="0"/>
          <w:color w:val="auto"/>
        </w:rPr>
        <w:t>r HA, NA, and MP RNA</w:t>
      </w:r>
    </w:p>
    <w:tbl>
      <w:tblPr>
        <w:tblStyle w:val="TableGrid"/>
        <w:tblW w:w="0" w:type="auto"/>
        <w:tblLook w:val="04A0" w:firstRow="1" w:lastRow="0" w:firstColumn="1" w:lastColumn="0" w:noHBand="0" w:noVBand="1"/>
      </w:tblPr>
      <w:tblGrid>
        <w:gridCol w:w="2304"/>
        <w:gridCol w:w="2016"/>
      </w:tblGrid>
      <w:tr w:rsidR="00A20718" w:rsidRPr="003C7F5D" w14:paraId="0A80A585" w14:textId="77777777" w:rsidTr="00ED4837">
        <w:trPr>
          <w:trHeight w:val="300"/>
        </w:trPr>
        <w:tc>
          <w:tcPr>
            <w:tcW w:w="2304" w:type="dxa"/>
            <w:tcBorders>
              <w:top w:val="nil"/>
              <w:left w:val="nil"/>
              <w:bottom w:val="double" w:sz="4" w:space="0" w:color="auto"/>
              <w:right w:val="nil"/>
            </w:tcBorders>
            <w:noWrap/>
            <w:hideMark/>
          </w:tcPr>
          <w:p w14:paraId="0527A950" w14:textId="77777777" w:rsidR="00A20718" w:rsidRPr="003C7F5D" w:rsidRDefault="00A20718" w:rsidP="00ED4837">
            <w:pPr>
              <w:jc w:val="center"/>
              <w:rPr>
                <w:rFonts w:asciiTheme="minorHAnsi" w:hAnsiTheme="minorHAnsi"/>
                <w:b/>
                <w:bCs/>
                <w:color w:val="000000"/>
                <w:sz w:val="24"/>
                <w:szCs w:val="24"/>
              </w:rPr>
            </w:pPr>
            <w:r w:rsidRPr="003C7F5D">
              <w:rPr>
                <w:rFonts w:asciiTheme="minorHAnsi" w:hAnsiTheme="minorHAnsi"/>
                <w:b/>
                <w:bCs/>
                <w:color w:val="000000"/>
                <w:sz w:val="24"/>
                <w:szCs w:val="24"/>
              </w:rPr>
              <w:t>Sample</w:t>
            </w:r>
            <w:r>
              <w:rPr>
                <w:rFonts w:asciiTheme="minorHAnsi" w:hAnsiTheme="minorHAnsi"/>
                <w:b/>
                <w:bCs/>
                <w:color w:val="000000"/>
                <w:sz w:val="24"/>
                <w:szCs w:val="24"/>
              </w:rPr>
              <w:t xml:space="preserve"> (Neat)</w:t>
            </w:r>
          </w:p>
        </w:tc>
        <w:tc>
          <w:tcPr>
            <w:tcW w:w="2016" w:type="dxa"/>
            <w:tcBorders>
              <w:top w:val="nil"/>
              <w:left w:val="nil"/>
              <w:bottom w:val="double" w:sz="4" w:space="0" w:color="auto"/>
              <w:right w:val="nil"/>
            </w:tcBorders>
            <w:noWrap/>
            <w:hideMark/>
          </w:tcPr>
          <w:p w14:paraId="5D972559" w14:textId="77777777" w:rsidR="00A20718" w:rsidRPr="003C7F5D" w:rsidRDefault="00A20718" w:rsidP="00ED4837">
            <w:pPr>
              <w:jc w:val="center"/>
              <w:rPr>
                <w:rFonts w:asciiTheme="minorHAnsi" w:hAnsiTheme="minorHAnsi"/>
                <w:b/>
                <w:bCs/>
                <w:color w:val="000000"/>
                <w:sz w:val="24"/>
                <w:szCs w:val="24"/>
              </w:rPr>
            </w:pPr>
            <w:r w:rsidRPr="003C7F5D">
              <w:rPr>
                <w:rFonts w:asciiTheme="minorHAnsi" w:hAnsiTheme="minorHAnsi"/>
                <w:b/>
                <w:bCs/>
                <w:color w:val="000000"/>
                <w:sz w:val="24"/>
                <w:szCs w:val="24"/>
              </w:rPr>
              <w:t>RN</w:t>
            </w:r>
            <w:r>
              <w:rPr>
                <w:rFonts w:asciiTheme="minorHAnsi" w:hAnsiTheme="minorHAnsi"/>
                <w:b/>
                <w:bCs/>
                <w:color w:val="000000"/>
                <w:sz w:val="24"/>
                <w:szCs w:val="24"/>
              </w:rPr>
              <w:t>a</w:t>
            </w:r>
            <w:r w:rsidRPr="003C7F5D">
              <w:rPr>
                <w:rFonts w:asciiTheme="minorHAnsi" w:hAnsiTheme="minorHAnsi"/>
                <w:b/>
                <w:bCs/>
                <w:color w:val="000000"/>
                <w:sz w:val="24"/>
                <w:szCs w:val="24"/>
              </w:rPr>
              <w:t>se</w:t>
            </w:r>
            <w:r>
              <w:rPr>
                <w:rFonts w:asciiTheme="minorHAnsi" w:hAnsiTheme="minorHAnsi"/>
                <w:b/>
                <w:bCs/>
                <w:color w:val="000000"/>
                <w:sz w:val="24"/>
                <w:szCs w:val="24"/>
              </w:rPr>
              <w:t xml:space="preserve"> </w:t>
            </w:r>
            <w:r w:rsidRPr="003C7F5D">
              <w:rPr>
                <w:rFonts w:asciiTheme="minorHAnsi" w:hAnsiTheme="minorHAnsi"/>
                <w:b/>
                <w:bCs/>
                <w:color w:val="000000"/>
                <w:sz w:val="24"/>
                <w:szCs w:val="24"/>
              </w:rPr>
              <w:t>P</w:t>
            </w:r>
          </w:p>
        </w:tc>
      </w:tr>
      <w:tr w:rsidR="00A20718" w:rsidRPr="003C7F5D" w14:paraId="2F28ED39" w14:textId="77777777" w:rsidTr="00ED4837">
        <w:trPr>
          <w:trHeight w:val="288"/>
        </w:trPr>
        <w:tc>
          <w:tcPr>
            <w:tcW w:w="2304" w:type="dxa"/>
            <w:tcBorders>
              <w:top w:val="double" w:sz="4" w:space="0" w:color="auto"/>
              <w:left w:val="nil"/>
              <w:bottom w:val="nil"/>
              <w:right w:val="nil"/>
            </w:tcBorders>
            <w:noWrap/>
            <w:hideMark/>
          </w:tcPr>
          <w:p w14:paraId="045A9F29" w14:textId="77777777" w:rsidR="00A20718" w:rsidRPr="003C7F5D" w:rsidRDefault="00A20718" w:rsidP="00ED4837">
            <w:pPr>
              <w:rPr>
                <w:rFonts w:asciiTheme="minorHAnsi" w:hAnsiTheme="minorHAnsi"/>
                <w:color w:val="000000"/>
                <w:sz w:val="24"/>
                <w:szCs w:val="24"/>
              </w:rPr>
            </w:pPr>
            <w:r w:rsidRPr="003C7F5D">
              <w:rPr>
                <w:rFonts w:asciiTheme="minorHAnsi" w:hAnsiTheme="minorHAnsi"/>
                <w:color w:val="000000"/>
                <w:sz w:val="24"/>
                <w:szCs w:val="24"/>
              </w:rPr>
              <w:t>HA Sample 1</w:t>
            </w:r>
          </w:p>
        </w:tc>
        <w:tc>
          <w:tcPr>
            <w:tcW w:w="2016" w:type="dxa"/>
            <w:tcBorders>
              <w:top w:val="double" w:sz="4" w:space="0" w:color="auto"/>
              <w:left w:val="nil"/>
              <w:bottom w:val="nil"/>
              <w:right w:val="nil"/>
            </w:tcBorders>
            <w:noWrap/>
            <w:hideMark/>
          </w:tcPr>
          <w:p w14:paraId="23989215" w14:textId="77777777" w:rsidR="00A20718" w:rsidRPr="003C7F5D" w:rsidRDefault="00A20718" w:rsidP="00ED4837">
            <w:pPr>
              <w:jc w:val="center"/>
              <w:rPr>
                <w:rFonts w:asciiTheme="minorHAnsi" w:hAnsiTheme="minorHAnsi"/>
                <w:color w:val="000000"/>
                <w:sz w:val="24"/>
                <w:szCs w:val="24"/>
              </w:rPr>
            </w:pPr>
            <w:r w:rsidRPr="003874E9">
              <w:rPr>
                <w:rFonts w:asciiTheme="minorHAnsi" w:hAnsiTheme="minorHAnsi"/>
                <w:color w:val="000000"/>
                <w:sz w:val="24"/>
                <w:szCs w:val="24"/>
              </w:rPr>
              <w:t>20.95</w:t>
            </w:r>
          </w:p>
        </w:tc>
      </w:tr>
      <w:tr w:rsidR="00A20718" w:rsidRPr="003C7F5D" w14:paraId="63E60E80" w14:textId="77777777" w:rsidTr="00ED4837">
        <w:trPr>
          <w:trHeight w:val="288"/>
        </w:trPr>
        <w:tc>
          <w:tcPr>
            <w:tcW w:w="2304" w:type="dxa"/>
            <w:tcBorders>
              <w:top w:val="nil"/>
              <w:left w:val="nil"/>
              <w:bottom w:val="single" w:sz="4" w:space="0" w:color="auto"/>
              <w:right w:val="nil"/>
            </w:tcBorders>
            <w:noWrap/>
            <w:hideMark/>
          </w:tcPr>
          <w:p w14:paraId="50216305" w14:textId="77777777" w:rsidR="00A20718" w:rsidRPr="003C7F5D" w:rsidRDefault="00A20718" w:rsidP="00ED4837">
            <w:pPr>
              <w:rPr>
                <w:rFonts w:asciiTheme="minorHAnsi" w:hAnsiTheme="minorHAnsi"/>
                <w:color w:val="000000"/>
                <w:sz w:val="24"/>
                <w:szCs w:val="24"/>
              </w:rPr>
            </w:pPr>
            <w:r w:rsidRPr="003C7F5D">
              <w:rPr>
                <w:rFonts w:asciiTheme="minorHAnsi" w:hAnsiTheme="minorHAnsi"/>
                <w:color w:val="000000"/>
                <w:sz w:val="24"/>
                <w:szCs w:val="24"/>
              </w:rPr>
              <w:t>HA Sample 2</w:t>
            </w:r>
          </w:p>
        </w:tc>
        <w:tc>
          <w:tcPr>
            <w:tcW w:w="2016" w:type="dxa"/>
            <w:tcBorders>
              <w:top w:val="nil"/>
              <w:left w:val="nil"/>
              <w:bottom w:val="single" w:sz="4" w:space="0" w:color="auto"/>
              <w:right w:val="nil"/>
            </w:tcBorders>
            <w:noWrap/>
            <w:hideMark/>
          </w:tcPr>
          <w:p w14:paraId="2BE0A350" w14:textId="77777777" w:rsidR="00A20718" w:rsidRPr="003C7F5D" w:rsidRDefault="00A20718" w:rsidP="00ED4837">
            <w:pPr>
              <w:jc w:val="center"/>
              <w:rPr>
                <w:rFonts w:asciiTheme="minorHAnsi" w:hAnsiTheme="minorHAnsi"/>
                <w:color w:val="000000"/>
                <w:sz w:val="24"/>
                <w:szCs w:val="24"/>
              </w:rPr>
            </w:pPr>
            <w:r w:rsidRPr="003874E9">
              <w:rPr>
                <w:rFonts w:asciiTheme="minorHAnsi" w:hAnsiTheme="minorHAnsi"/>
                <w:color w:val="000000"/>
                <w:sz w:val="24"/>
                <w:szCs w:val="24"/>
              </w:rPr>
              <w:t>20.94</w:t>
            </w:r>
          </w:p>
        </w:tc>
      </w:tr>
      <w:tr w:rsidR="00A20718" w:rsidRPr="003C7F5D" w14:paraId="684F7ABB" w14:textId="77777777" w:rsidTr="00ED4837">
        <w:trPr>
          <w:trHeight w:val="324"/>
        </w:trPr>
        <w:tc>
          <w:tcPr>
            <w:tcW w:w="2304" w:type="dxa"/>
            <w:tcBorders>
              <w:top w:val="single" w:sz="4" w:space="0" w:color="auto"/>
              <w:left w:val="nil"/>
              <w:bottom w:val="nil"/>
              <w:right w:val="nil"/>
            </w:tcBorders>
            <w:noWrap/>
            <w:hideMark/>
          </w:tcPr>
          <w:p w14:paraId="0BC7278F" w14:textId="77777777" w:rsidR="00A20718" w:rsidRPr="003C7F5D" w:rsidRDefault="00A20718" w:rsidP="00ED4837">
            <w:pPr>
              <w:rPr>
                <w:rFonts w:asciiTheme="minorHAnsi" w:hAnsiTheme="minorHAnsi"/>
                <w:color w:val="000000"/>
                <w:sz w:val="24"/>
                <w:szCs w:val="24"/>
              </w:rPr>
            </w:pPr>
            <w:r w:rsidRPr="003C7F5D">
              <w:rPr>
                <w:rFonts w:asciiTheme="minorHAnsi" w:hAnsiTheme="minorHAnsi"/>
                <w:color w:val="000000"/>
                <w:sz w:val="24"/>
                <w:szCs w:val="24"/>
              </w:rPr>
              <w:t>NA Sample 1</w:t>
            </w:r>
          </w:p>
        </w:tc>
        <w:tc>
          <w:tcPr>
            <w:tcW w:w="2016" w:type="dxa"/>
            <w:tcBorders>
              <w:top w:val="single" w:sz="4" w:space="0" w:color="auto"/>
              <w:left w:val="nil"/>
              <w:bottom w:val="nil"/>
              <w:right w:val="nil"/>
            </w:tcBorders>
            <w:noWrap/>
            <w:hideMark/>
          </w:tcPr>
          <w:p w14:paraId="7245515E" w14:textId="77777777" w:rsidR="00A20718" w:rsidRPr="003C7F5D" w:rsidRDefault="00A20718" w:rsidP="00ED4837">
            <w:pPr>
              <w:jc w:val="center"/>
              <w:rPr>
                <w:rFonts w:asciiTheme="minorHAnsi" w:hAnsiTheme="minorHAnsi"/>
                <w:color w:val="000000"/>
                <w:sz w:val="24"/>
                <w:szCs w:val="24"/>
              </w:rPr>
            </w:pPr>
            <w:r w:rsidRPr="003874E9">
              <w:rPr>
                <w:rFonts w:asciiTheme="minorHAnsi" w:hAnsiTheme="minorHAnsi"/>
                <w:color w:val="000000"/>
                <w:sz w:val="24"/>
                <w:szCs w:val="24"/>
              </w:rPr>
              <w:t>20.99</w:t>
            </w:r>
          </w:p>
        </w:tc>
      </w:tr>
      <w:tr w:rsidR="00A20718" w:rsidRPr="003C7F5D" w14:paraId="7E3F1509" w14:textId="77777777" w:rsidTr="00ED4837">
        <w:trPr>
          <w:trHeight w:val="288"/>
        </w:trPr>
        <w:tc>
          <w:tcPr>
            <w:tcW w:w="2304" w:type="dxa"/>
            <w:tcBorders>
              <w:top w:val="nil"/>
              <w:left w:val="nil"/>
              <w:bottom w:val="single" w:sz="4" w:space="0" w:color="auto"/>
              <w:right w:val="nil"/>
            </w:tcBorders>
            <w:noWrap/>
            <w:hideMark/>
          </w:tcPr>
          <w:p w14:paraId="4C24543D" w14:textId="77777777" w:rsidR="00A20718" w:rsidRPr="003C7F5D" w:rsidRDefault="00A20718" w:rsidP="00ED4837">
            <w:pPr>
              <w:rPr>
                <w:rFonts w:asciiTheme="minorHAnsi" w:hAnsiTheme="minorHAnsi"/>
                <w:color w:val="000000"/>
                <w:sz w:val="24"/>
                <w:szCs w:val="24"/>
              </w:rPr>
            </w:pPr>
            <w:r w:rsidRPr="003C7F5D">
              <w:rPr>
                <w:rFonts w:asciiTheme="minorHAnsi" w:hAnsiTheme="minorHAnsi"/>
                <w:color w:val="000000"/>
                <w:sz w:val="24"/>
                <w:szCs w:val="24"/>
              </w:rPr>
              <w:t>NA Sample 2</w:t>
            </w:r>
          </w:p>
        </w:tc>
        <w:tc>
          <w:tcPr>
            <w:tcW w:w="2016" w:type="dxa"/>
            <w:tcBorders>
              <w:top w:val="nil"/>
              <w:left w:val="nil"/>
              <w:bottom w:val="single" w:sz="4" w:space="0" w:color="auto"/>
              <w:right w:val="nil"/>
            </w:tcBorders>
            <w:noWrap/>
            <w:hideMark/>
          </w:tcPr>
          <w:p w14:paraId="28C08F1D" w14:textId="77777777" w:rsidR="00A20718" w:rsidRPr="003C7F5D" w:rsidRDefault="00A20718" w:rsidP="00ED4837">
            <w:pPr>
              <w:jc w:val="center"/>
              <w:rPr>
                <w:rFonts w:asciiTheme="minorHAnsi" w:hAnsiTheme="minorHAnsi"/>
                <w:color w:val="000000"/>
                <w:sz w:val="24"/>
                <w:szCs w:val="24"/>
              </w:rPr>
            </w:pPr>
            <w:r w:rsidRPr="003874E9">
              <w:rPr>
                <w:rFonts w:asciiTheme="minorHAnsi" w:hAnsiTheme="minorHAnsi"/>
                <w:color w:val="000000"/>
                <w:sz w:val="24"/>
                <w:szCs w:val="24"/>
              </w:rPr>
              <w:t>20.78</w:t>
            </w:r>
          </w:p>
        </w:tc>
      </w:tr>
      <w:tr w:rsidR="00A20718" w:rsidRPr="003C7F5D" w14:paraId="21BFAA46" w14:textId="77777777" w:rsidTr="00ED4837">
        <w:trPr>
          <w:trHeight w:val="300"/>
        </w:trPr>
        <w:tc>
          <w:tcPr>
            <w:tcW w:w="2304" w:type="dxa"/>
            <w:tcBorders>
              <w:top w:val="single" w:sz="4" w:space="0" w:color="auto"/>
              <w:left w:val="nil"/>
              <w:bottom w:val="nil"/>
              <w:right w:val="nil"/>
            </w:tcBorders>
            <w:noWrap/>
            <w:hideMark/>
          </w:tcPr>
          <w:p w14:paraId="551701BD" w14:textId="77777777" w:rsidR="00A20718" w:rsidRPr="003C7F5D" w:rsidRDefault="00A20718" w:rsidP="00ED4837">
            <w:pPr>
              <w:rPr>
                <w:rFonts w:asciiTheme="minorHAnsi" w:hAnsiTheme="minorHAnsi"/>
                <w:color w:val="000000"/>
                <w:sz w:val="24"/>
                <w:szCs w:val="24"/>
              </w:rPr>
            </w:pPr>
            <w:r w:rsidRPr="003C7F5D">
              <w:rPr>
                <w:rFonts w:asciiTheme="minorHAnsi" w:hAnsiTheme="minorHAnsi"/>
                <w:color w:val="000000"/>
                <w:sz w:val="24"/>
                <w:szCs w:val="24"/>
              </w:rPr>
              <w:t>MP Sample 1</w:t>
            </w:r>
          </w:p>
        </w:tc>
        <w:tc>
          <w:tcPr>
            <w:tcW w:w="2016" w:type="dxa"/>
            <w:tcBorders>
              <w:top w:val="single" w:sz="4" w:space="0" w:color="auto"/>
              <w:left w:val="nil"/>
              <w:bottom w:val="nil"/>
              <w:right w:val="nil"/>
            </w:tcBorders>
            <w:noWrap/>
            <w:hideMark/>
          </w:tcPr>
          <w:p w14:paraId="6EAA9915" w14:textId="77777777" w:rsidR="00A20718" w:rsidRPr="003C7F5D" w:rsidRDefault="00A20718" w:rsidP="00ED4837">
            <w:pPr>
              <w:jc w:val="center"/>
              <w:rPr>
                <w:rFonts w:asciiTheme="minorHAnsi" w:hAnsiTheme="minorHAnsi"/>
                <w:color w:val="000000"/>
                <w:sz w:val="24"/>
                <w:szCs w:val="24"/>
              </w:rPr>
            </w:pPr>
            <w:r w:rsidRPr="003874E9">
              <w:rPr>
                <w:rFonts w:asciiTheme="minorHAnsi" w:hAnsiTheme="minorHAnsi"/>
                <w:color w:val="000000"/>
                <w:sz w:val="24"/>
                <w:szCs w:val="24"/>
              </w:rPr>
              <w:t>20.72</w:t>
            </w:r>
          </w:p>
        </w:tc>
      </w:tr>
      <w:tr w:rsidR="00A20718" w:rsidRPr="003C7F5D" w14:paraId="461CE0BB" w14:textId="77777777" w:rsidTr="00ED4837">
        <w:trPr>
          <w:trHeight w:val="300"/>
        </w:trPr>
        <w:tc>
          <w:tcPr>
            <w:tcW w:w="2304" w:type="dxa"/>
            <w:tcBorders>
              <w:top w:val="nil"/>
              <w:left w:val="nil"/>
              <w:bottom w:val="nil"/>
              <w:right w:val="nil"/>
            </w:tcBorders>
            <w:noWrap/>
            <w:hideMark/>
          </w:tcPr>
          <w:p w14:paraId="50F40BC8" w14:textId="77777777" w:rsidR="00A20718" w:rsidRPr="003C7F5D" w:rsidRDefault="00A20718" w:rsidP="00ED4837">
            <w:pPr>
              <w:rPr>
                <w:rFonts w:asciiTheme="minorHAnsi" w:hAnsiTheme="minorHAnsi"/>
                <w:color w:val="000000"/>
                <w:sz w:val="24"/>
                <w:szCs w:val="24"/>
              </w:rPr>
            </w:pPr>
            <w:r w:rsidRPr="003C7F5D">
              <w:rPr>
                <w:rFonts w:asciiTheme="minorHAnsi" w:hAnsiTheme="minorHAnsi"/>
                <w:color w:val="000000"/>
                <w:sz w:val="24"/>
                <w:szCs w:val="24"/>
              </w:rPr>
              <w:t>MP Sample 2</w:t>
            </w:r>
          </w:p>
        </w:tc>
        <w:tc>
          <w:tcPr>
            <w:tcW w:w="2016" w:type="dxa"/>
            <w:tcBorders>
              <w:top w:val="nil"/>
              <w:left w:val="nil"/>
              <w:bottom w:val="nil"/>
              <w:right w:val="nil"/>
            </w:tcBorders>
            <w:noWrap/>
            <w:hideMark/>
          </w:tcPr>
          <w:p w14:paraId="3D74D504" w14:textId="77777777" w:rsidR="00A20718" w:rsidRPr="003C7F5D" w:rsidRDefault="00A20718" w:rsidP="00ED4837">
            <w:pPr>
              <w:jc w:val="center"/>
              <w:rPr>
                <w:rFonts w:asciiTheme="minorHAnsi" w:hAnsiTheme="minorHAnsi"/>
                <w:color w:val="000000"/>
                <w:sz w:val="24"/>
                <w:szCs w:val="24"/>
              </w:rPr>
            </w:pPr>
            <w:r w:rsidRPr="003874E9">
              <w:rPr>
                <w:rFonts w:asciiTheme="minorHAnsi" w:hAnsiTheme="minorHAnsi"/>
                <w:color w:val="000000"/>
                <w:sz w:val="24"/>
                <w:szCs w:val="24"/>
              </w:rPr>
              <w:t>20.81</w:t>
            </w:r>
          </w:p>
        </w:tc>
      </w:tr>
    </w:tbl>
    <w:p w14:paraId="5CE63D73" w14:textId="77777777" w:rsidR="00A20718" w:rsidRDefault="00A20718" w:rsidP="00A20718">
      <w:pPr>
        <w:spacing w:line="240" w:lineRule="auto"/>
      </w:pPr>
    </w:p>
    <w:p w14:paraId="40460F13" w14:textId="07D0449D" w:rsidR="00D00998" w:rsidRDefault="00D00998">
      <w:pPr>
        <w:rPr>
          <w:rFonts w:eastAsia="Times New Roman" w:cs="Times New Roman"/>
          <w:b/>
          <w:bCs/>
          <w:kern w:val="0"/>
          <w:sz w:val="18"/>
          <w:szCs w:val="18"/>
          <w14:ligatures w14:val="none"/>
        </w:rPr>
      </w:pPr>
    </w:p>
    <w:sectPr w:rsidR="00D009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D5"/>
    <w:rsid w:val="00036E61"/>
    <w:rsid w:val="000D5233"/>
    <w:rsid w:val="00116FE1"/>
    <w:rsid w:val="001538E8"/>
    <w:rsid w:val="00196EC6"/>
    <w:rsid w:val="001A49D5"/>
    <w:rsid w:val="001B6537"/>
    <w:rsid w:val="0021254E"/>
    <w:rsid w:val="002529A8"/>
    <w:rsid w:val="00272040"/>
    <w:rsid w:val="003D732D"/>
    <w:rsid w:val="003F16B6"/>
    <w:rsid w:val="00535327"/>
    <w:rsid w:val="005B2F23"/>
    <w:rsid w:val="005C3292"/>
    <w:rsid w:val="00631D9F"/>
    <w:rsid w:val="006F2081"/>
    <w:rsid w:val="007038C9"/>
    <w:rsid w:val="00736B7E"/>
    <w:rsid w:val="00852788"/>
    <w:rsid w:val="008A42FE"/>
    <w:rsid w:val="008D63CA"/>
    <w:rsid w:val="00901284"/>
    <w:rsid w:val="00942706"/>
    <w:rsid w:val="00A00279"/>
    <w:rsid w:val="00A0649B"/>
    <w:rsid w:val="00A20718"/>
    <w:rsid w:val="00A458FA"/>
    <w:rsid w:val="00A7016F"/>
    <w:rsid w:val="00A72391"/>
    <w:rsid w:val="00AD412F"/>
    <w:rsid w:val="00AF4D46"/>
    <w:rsid w:val="00B0570C"/>
    <w:rsid w:val="00B145E9"/>
    <w:rsid w:val="00B17C9E"/>
    <w:rsid w:val="00BE78A8"/>
    <w:rsid w:val="00C620CC"/>
    <w:rsid w:val="00CF046B"/>
    <w:rsid w:val="00CF4D58"/>
    <w:rsid w:val="00D00998"/>
    <w:rsid w:val="00D54907"/>
    <w:rsid w:val="00E20110"/>
    <w:rsid w:val="00E965C5"/>
    <w:rsid w:val="00F44906"/>
    <w:rsid w:val="00FC2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AE70"/>
  <w15:chartTrackingRefBased/>
  <w15:docId w15:val="{18ED4C1E-32F2-40BC-B801-F9A2F6C0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9D5"/>
  </w:style>
  <w:style w:type="paragraph" w:styleId="Heading1">
    <w:name w:val="heading 1"/>
    <w:basedOn w:val="Normal"/>
    <w:next w:val="Normal"/>
    <w:link w:val="Heading1Char"/>
    <w:uiPriority w:val="9"/>
    <w:qFormat/>
    <w:rsid w:val="001A4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4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49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49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49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49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9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9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9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9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9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49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9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9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9D5"/>
    <w:rPr>
      <w:rFonts w:eastAsiaTheme="majorEastAsia" w:cstheme="majorBidi"/>
      <w:color w:val="272727" w:themeColor="text1" w:themeTint="D8"/>
    </w:rPr>
  </w:style>
  <w:style w:type="paragraph" w:styleId="Title">
    <w:name w:val="Title"/>
    <w:basedOn w:val="Normal"/>
    <w:next w:val="Normal"/>
    <w:link w:val="TitleChar"/>
    <w:uiPriority w:val="10"/>
    <w:qFormat/>
    <w:rsid w:val="001A4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9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9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9D5"/>
    <w:pPr>
      <w:spacing w:before="160"/>
      <w:jc w:val="center"/>
    </w:pPr>
    <w:rPr>
      <w:i/>
      <w:iCs/>
      <w:color w:val="404040" w:themeColor="text1" w:themeTint="BF"/>
    </w:rPr>
  </w:style>
  <w:style w:type="character" w:customStyle="1" w:styleId="QuoteChar">
    <w:name w:val="Quote Char"/>
    <w:basedOn w:val="DefaultParagraphFont"/>
    <w:link w:val="Quote"/>
    <w:uiPriority w:val="29"/>
    <w:rsid w:val="001A49D5"/>
    <w:rPr>
      <w:i/>
      <w:iCs/>
      <w:color w:val="404040" w:themeColor="text1" w:themeTint="BF"/>
    </w:rPr>
  </w:style>
  <w:style w:type="paragraph" w:styleId="ListParagraph">
    <w:name w:val="List Paragraph"/>
    <w:basedOn w:val="Normal"/>
    <w:uiPriority w:val="34"/>
    <w:qFormat/>
    <w:rsid w:val="001A49D5"/>
    <w:pPr>
      <w:ind w:left="720"/>
      <w:contextualSpacing/>
    </w:pPr>
  </w:style>
  <w:style w:type="character" w:styleId="IntenseEmphasis">
    <w:name w:val="Intense Emphasis"/>
    <w:basedOn w:val="DefaultParagraphFont"/>
    <w:uiPriority w:val="21"/>
    <w:qFormat/>
    <w:rsid w:val="001A49D5"/>
    <w:rPr>
      <w:i/>
      <w:iCs/>
      <w:color w:val="0F4761" w:themeColor="accent1" w:themeShade="BF"/>
    </w:rPr>
  </w:style>
  <w:style w:type="paragraph" w:styleId="IntenseQuote">
    <w:name w:val="Intense Quote"/>
    <w:basedOn w:val="Normal"/>
    <w:next w:val="Normal"/>
    <w:link w:val="IntenseQuoteChar"/>
    <w:uiPriority w:val="30"/>
    <w:qFormat/>
    <w:rsid w:val="001A4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9D5"/>
    <w:rPr>
      <w:i/>
      <w:iCs/>
      <w:color w:val="0F4761" w:themeColor="accent1" w:themeShade="BF"/>
    </w:rPr>
  </w:style>
  <w:style w:type="character" w:styleId="IntenseReference">
    <w:name w:val="Intense Reference"/>
    <w:basedOn w:val="DefaultParagraphFont"/>
    <w:uiPriority w:val="32"/>
    <w:qFormat/>
    <w:rsid w:val="001A49D5"/>
    <w:rPr>
      <w:b/>
      <w:bCs/>
      <w:smallCaps/>
      <w:color w:val="0F4761" w:themeColor="accent1" w:themeShade="BF"/>
      <w:spacing w:val="5"/>
    </w:rPr>
  </w:style>
  <w:style w:type="table" w:styleId="TableGrid">
    <w:name w:val="Table Grid"/>
    <w:basedOn w:val="TableNormal"/>
    <w:uiPriority w:val="59"/>
    <w:rsid w:val="00CF4D5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F4D58"/>
    <w:pPr>
      <w:spacing w:after="200" w:line="240" w:lineRule="auto"/>
    </w:pPr>
    <w:rPr>
      <w:rFonts w:ascii="Times New Roman" w:eastAsia="Times New Roman" w:hAnsi="Times New Roman" w:cs="Times New Roman"/>
      <w:i/>
      <w:iCs/>
      <w:color w:val="0E2841" w:themeColor="text2"/>
      <w:kern w:val="0"/>
      <w:sz w:val="18"/>
      <w:szCs w:val="18"/>
      <w14:ligatures w14:val="none"/>
    </w:rPr>
  </w:style>
  <w:style w:type="paragraph" w:styleId="Revision">
    <w:name w:val="Revision"/>
    <w:hidden/>
    <w:uiPriority w:val="99"/>
    <w:semiHidden/>
    <w:rsid w:val="001538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Eileen A. (Fed)</dc:creator>
  <cp:keywords/>
  <dc:description/>
  <cp:lastModifiedBy>Moran, Eileen A. (Fed)</cp:lastModifiedBy>
  <cp:revision>11</cp:revision>
  <dcterms:created xsi:type="dcterms:W3CDTF">2026-06-22T18:04:00Z</dcterms:created>
  <dcterms:modified xsi:type="dcterms:W3CDTF">2026-07-09T13:09:00Z</dcterms:modified>
</cp:coreProperties>
</file>