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385A9" w14:textId="77777777" w:rsidR="00305D28" w:rsidRDefault="00305D28" w:rsidP="00305D28">
      <w:pPr>
        <w:jc w:val="center"/>
        <w:rPr>
          <w:rFonts w:ascii="Arial" w:hAnsi="Arial" w:cs="Arial"/>
          <w:b/>
          <w:bCs/>
        </w:rPr>
      </w:pPr>
    </w:p>
    <w:p w14:paraId="62021E4C" w14:textId="0E82E40D" w:rsidR="00CC3960" w:rsidRDefault="00601F1C" w:rsidP="00305D28">
      <w:pPr>
        <w:jc w:val="center"/>
        <w:rPr>
          <w:rFonts w:ascii="Arial" w:hAnsi="Arial" w:cs="Arial"/>
          <w:b/>
          <w:bCs/>
        </w:rPr>
      </w:pPr>
      <w:r>
        <w:rPr>
          <w:rFonts w:ascii="Arial" w:hAnsi="Arial" w:cs="Arial"/>
          <w:b/>
          <w:bCs/>
        </w:rPr>
        <w:t>SUPPLEMENTAL MATERIALS</w:t>
      </w:r>
    </w:p>
    <w:p w14:paraId="64A14DB0" w14:textId="77777777" w:rsidR="00305D28" w:rsidRDefault="00305D28" w:rsidP="00305D28">
      <w:pPr>
        <w:jc w:val="center"/>
        <w:rPr>
          <w:rFonts w:ascii="Arial" w:hAnsi="Arial" w:cs="Arial"/>
          <w:b/>
          <w:bCs/>
        </w:rPr>
      </w:pPr>
    </w:p>
    <w:p w14:paraId="7E670FBB" w14:textId="77777777" w:rsidR="00305D28" w:rsidRPr="002F7D65" w:rsidRDefault="00305D28" w:rsidP="00305D28">
      <w:pPr>
        <w:spacing w:after="200"/>
        <w:ind w:left="360"/>
        <w:jc w:val="center"/>
        <w:rPr>
          <w:rFonts w:ascii="Arial" w:hAnsi="Arial" w:cs="Arial"/>
          <w:b/>
          <w:bCs/>
        </w:rPr>
      </w:pPr>
      <w:r w:rsidRPr="002F7D65">
        <w:rPr>
          <w:rFonts w:ascii="Arial" w:hAnsi="Arial" w:cs="Arial"/>
          <w:b/>
          <w:bCs/>
        </w:rPr>
        <w:t xml:space="preserve">In-Source Freezing of </w:t>
      </w:r>
      <w:r w:rsidRPr="002F7D65">
        <w:rPr>
          <w:rFonts w:ascii="Arial" w:hAnsi="Arial" w:cs="Arial"/>
          <w:b/>
          <w:bCs/>
          <w:i/>
          <w:iCs/>
        </w:rPr>
        <w:t>Trifolium repens</w:t>
      </w:r>
      <w:r w:rsidRPr="002F7D65">
        <w:rPr>
          <w:rFonts w:ascii="Arial" w:hAnsi="Arial" w:cs="Arial"/>
          <w:b/>
          <w:bCs/>
        </w:rPr>
        <w:t xml:space="preserve"> Leaf Tissue to Increase Spatial Resolution and Quench Stress Responses During IR-MALDESI Mass Spectrometry Imaging</w:t>
      </w:r>
    </w:p>
    <w:p w14:paraId="52D37C6F" w14:textId="77777777" w:rsidR="00305D28" w:rsidRPr="002F7D65" w:rsidRDefault="00305D28" w:rsidP="00305D28">
      <w:pPr>
        <w:jc w:val="center"/>
        <w:rPr>
          <w:rFonts w:ascii="Arial" w:eastAsia="Arial" w:hAnsi="Arial" w:cs="Arial"/>
          <w:vertAlign w:val="superscript"/>
        </w:rPr>
      </w:pPr>
      <w:r w:rsidRPr="002F7D65">
        <w:rPr>
          <w:rFonts w:ascii="Arial" w:eastAsia="Arial" w:hAnsi="Arial" w:cs="Arial"/>
        </w:rPr>
        <w:t>Quinn Mills and David C. Muddiman</w:t>
      </w:r>
      <w:r w:rsidRPr="002F7D65">
        <w:rPr>
          <w:rFonts w:ascii="Arial" w:eastAsia="Arial" w:hAnsi="Arial" w:cs="Arial"/>
          <w:vertAlign w:val="superscript"/>
        </w:rPr>
        <w:t>*</w:t>
      </w:r>
    </w:p>
    <w:p w14:paraId="16597FC6" w14:textId="77777777" w:rsidR="00305D28" w:rsidRPr="002F7D65" w:rsidRDefault="00305D28" w:rsidP="00305D28">
      <w:pPr>
        <w:jc w:val="center"/>
        <w:rPr>
          <w:rFonts w:ascii="Arial" w:hAnsi="Arial" w:cs="Arial"/>
          <w:i/>
          <w:vertAlign w:val="superscript"/>
        </w:rPr>
      </w:pPr>
      <w:r w:rsidRPr="002F7D65">
        <w:rPr>
          <w:rFonts w:ascii="Arial" w:hAnsi="Arial" w:cs="Arial"/>
          <w:noProof/>
        </w:rPr>
        <mc:AlternateContent>
          <mc:Choice Requires="wps">
            <w:drawing>
              <wp:anchor distT="4294967293" distB="4294967293" distL="114300" distR="114300" simplePos="0" relativeHeight="251659264" behindDoc="0" locked="0" layoutInCell="1" allowOverlap="1" wp14:anchorId="3F27C533" wp14:editId="73C5113D">
                <wp:simplePos x="0" y="0"/>
                <wp:positionH relativeFrom="margin">
                  <wp:posOffset>-177800</wp:posOffset>
                </wp:positionH>
                <wp:positionV relativeFrom="paragraph">
                  <wp:posOffset>107907</wp:posOffset>
                </wp:positionV>
                <wp:extent cx="7315200" cy="0"/>
                <wp:effectExtent l="0" t="1905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520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3C5AA9" id="Straight Connector 28" o:spid="_x0000_s1026" style="position:absolute;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4pt,8.5pt" to="56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" strokecolor="black [3213]" strokeweight="2.25pt">
                <v:stroke joinstyle="miter"/>
                <o:lock v:ext="edit" shapetype="f"/>
                <w10:wrap anchorx="margin"/>
              </v:line>
            </w:pict>
          </mc:Fallback>
        </mc:AlternateContent>
      </w:r>
    </w:p>
    <w:p w14:paraId="0287936B" w14:textId="77777777" w:rsidR="00305D28" w:rsidRPr="002F7D65" w:rsidRDefault="00305D28" w:rsidP="00305D28">
      <w:pPr>
        <w:jc w:val="center"/>
        <w:rPr>
          <w:rFonts w:ascii="Arial" w:hAnsi="Arial" w:cs="Arial"/>
          <w:i/>
        </w:rPr>
      </w:pPr>
      <w:r w:rsidRPr="002F7D65">
        <w:rPr>
          <w:rFonts w:ascii="Arial" w:hAnsi="Arial" w:cs="Arial"/>
          <w:i/>
        </w:rPr>
        <w:t>Biomolecular Imaging Laboratory for Disease and Exposure Research (BILDER), Department of Chemistry, North Carolina State University, Raleigh, NC</w:t>
      </w:r>
    </w:p>
    <w:p w14:paraId="262F2419" w14:textId="77777777" w:rsidR="00305D28" w:rsidRPr="002F7D65" w:rsidRDefault="00305D28" w:rsidP="00305D28">
      <w:pPr>
        <w:spacing w:line="480" w:lineRule="auto"/>
        <w:rPr>
          <w:rFonts w:ascii="Arial" w:eastAsia="Arial" w:hAnsi="Arial" w:cs="Arial"/>
          <w:b/>
        </w:rPr>
      </w:pPr>
    </w:p>
    <w:p w14:paraId="79889DB6" w14:textId="77777777" w:rsidR="00305D28" w:rsidRPr="002F7D65" w:rsidRDefault="00305D28" w:rsidP="00305D28">
      <w:pPr>
        <w:spacing w:line="480" w:lineRule="auto"/>
        <w:jc w:val="center"/>
        <w:rPr>
          <w:rFonts w:ascii="Arial" w:eastAsia="Arial" w:hAnsi="Arial" w:cs="Arial"/>
        </w:rPr>
      </w:pPr>
      <w:r w:rsidRPr="002F7D65">
        <w:rPr>
          <w:rFonts w:ascii="Arial" w:eastAsia="Arial" w:hAnsi="Arial" w:cs="Arial"/>
          <w:b/>
        </w:rPr>
        <w:t xml:space="preserve">Submitted to: </w:t>
      </w:r>
      <w:r w:rsidRPr="002F7D65">
        <w:rPr>
          <w:rFonts w:ascii="Arial" w:eastAsia="Arial" w:hAnsi="Arial" w:cs="Arial"/>
          <w:i/>
          <w:iCs/>
        </w:rPr>
        <w:t>Analytical and Bioanalytical Chemistry</w:t>
      </w:r>
    </w:p>
    <w:p w14:paraId="09173CAB" w14:textId="77777777" w:rsidR="00305D28" w:rsidRPr="002F7D65" w:rsidRDefault="00305D28" w:rsidP="00305D28">
      <w:pPr>
        <w:spacing w:line="480" w:lineRule="auto"/>
        <w:jc w:val="center"/>
        <w:rPr>
          <w:rFonts w:ascii="Arial" w:eastAsia="Arial" w:hAnsi="Arial" w:cs="Arial"/>
          <w:i/>
        </w:rPr>
      </w:pPr>
      <w:r w:rsidRPr="002F7D65">
        <w:rPr>
          <w:rFonts w:ascii="Arial" w:eastAsia="Arial" w:hAnsi="Arial" w:cs="Arial"/>
          <w:b/>
        </w:rPr>
        <w:t xml:space="preserve">Article Type: </w:t>
      </w:r>
      <w:r w:rsidRPr="002F7D65">
        <w:rPr>
          <w:rFonts w:ascii="Arial" w:eastAsia="Arial" w:hAnsi="Arial" w:cs="Arial"/>
        </w:rPr>
        <w:t>Research Article</w:t>
      </w:r>
    </w:p>
    <w:p w14:paraId="5B7F0ED0" w14:textId="77777777" w:rsidR="00305D28" w:rsidRDefault="00305D28" w:rsidP="00305D28">
      <w:pPr>
        <w:spacing w:line="480" w:lineRule="auto"/>
        <w:jc w:val="center"/>
        <w:rPr>
          <w:rFonts w:ascii="Arial" w:eastAsia="Arial" w:hAnsi="Arial" w:cs="Arial"/>
        </w:rPr>
      </w:pPr>
      <w:r w:rsidRPr="002F7D65">
        <w:rPr>
          <w:rFonts w:ascii="Arial" w:eastAsia="Arial" w:hAnsi="Arial" w:cs="Arial"/>
          <w:b/>
        </w:rPr>
        <w:t>Submitted:</w:t>
      </w:r>
      <w:r w:rsidRPr="002F7D65">
        <w:rPr>
          <w:rFonts w:ascii="Arial" w:eastAsia="Arial" w:hAnsi="Arial" w:cs="Arial"/>
        </w:rPr>
        <w:t xml:space="preserve"> </w:t>
      </w:r>
      <w:r>
        <w:rPr>
          <w:rFonts w:ascii="Arial" w:eastAsia="Arial" w:hAnsi="Arial" w:cs="Arial"/>
        </w:rPr>
        <w:t>May 22</w:t>
      </w:r>
      <w:r w:rsidRPr="002F7D65">
        <w:rPr>
          <w:rFonts w:ascii="Arial" w:eastAsia="Arial" w:hAnsi="Arial" w:cs="Arial"/>
        </w:rPr>
        <w:t>, 2026</w:t>
      </w:r>
    </w:p>
    <w:p w14:paraId="243295C4" w14:textId="479CC14B" w:rsidR="00161457" w:rsidRPr="00161457" w:rsidRDefault="00161457" w:rsidP="00305D28">
      <w:pPr>
        <w:spacing w:line="480" w:lineRule="auto"/>
        <w:jc w:val="center"/>
        <w:rPr>
          <w:rFonts w:ascii="Arial" w:eastAsia="Arial" w:hAnsi="Arial" w:cs="Arial"/>
        </w:rPr>
      </w:pPr>
      <w:r w:rsidRPr="004472C5">
        <w:rPr>
          <w:rFonts w:ascii="Arial" w:eastAsia="Arial" w:hAnsi="Arial" w:cs="Arial"/>
          <w:b/>
          <w:bCs/>
        </w:rPr>
        <w:t>Revised I:</w:t>
      </w:r>
      <w:r>
        <w:rPr>
          <w:rFonts w:ascii="Arial" w:eastAsia="Arial" w:hAnsi="Arial" w:cs="Arial"/>
        </w:rPr>
        <w:t xml:space="preserve"> July 21, 2026</w:t>
      </w:r>
    </w:p>
    <w:p w14:paraId="34681F39" w14:textId="39208C75" w:rsidR="00305D28" w:rsidRPr="002F7D65" w:rsidRDefault="00305D28" w:rsidP="00305D28">
      <w:pPr>
        <w:spacing w:line="480" w:lineRule="auto"/>
        <w:jc w:val="center"/>
        <w:rPr>
          <w:rFonts w:ascii="Arial" w:eastAsia="Arial" w:hAnsi="Arial" w:cs="Arial"/>
        </w:rPr>
      </w:pPr>
      <w:r w:rsidRPr="002F7D65">
        <w:rPr>
          <w:rFonts w:ascii="Arial" w:eastAsia="Arial" w:hAnsi="Arial" w:cs="Arial"/>
          <w:b/>
        </w:rPr>
        <w:t xml:space="preserve">Manuscript: </w:t>
      </w:r>
      <w:r w:rsidRPr="002F7D65">
        <w:rPr>
          <w:rFonts w:ascii="Arial" w:eastAsia="Arial" w:hAnsi="Arial" w:cs="Arial"/>
          <w:bCs/>
        </w:rPr>
        <w:t>2</w:t>
      </w:r>
      <w:r w:rsidR="00161457">
        <w:rPr>
          <w:rFonts w:ascii="Arial" w:eastAsia="Arial" w:hAnsi="Arial" w:cs="Arial"/>
          <w:bCs/>
        </w:rPr>
        <w:t>9</w:t>
      </w:r>
      <w:r w:rsidRPr="002F7D65">
        <w:rPr>
          <w:rFonts w:ascii="Arial" w:eastAsia="Arial" w:hAnsi="Arial" w:cs="Arial"/>
        </w:rPr>
        <w:t xml:space="preserve"> Pages / 8 Figures </w:t>
      </w:r>
    </w:p>
    <w:p w14:paraId="1982A97F" w14:textId="4C4656E7" w:rsidR="00305D28" w:rsidRPr="002F7D65" w:rsidRDefault="00305D28" w:rsidP="00305D28">
      <w:pPr>
        <w:spacing w:line="480" w:lineRule="auto"/>
        <w:jc w:val="center"/>
        <w:rPr>
          <w:rFonts w:ascii="Arial" w:eastAsia="Arial" w:hAnsi="Arial" w:cs="Arial"/>
          <w:b/>
        </w:rPr>
      </w:pPr>
      <w:r w:rsidRPr="002F7D65">
        <w:rPr>
          <w:rFonts w:ascii="Arial" w:eastAsia="Arial" w:hAnsi="Arial" w:cs="Arial"/>
          <w:b/>
        </w:rPr>
        <w:t>Supplemental Material:</w:t>
      </w:r>
      <w:r w:rsidRPr="002F7D65">
        <w:rPr>
          <w:rFonts w:ascii="Arial" w:eastAsia="Arial" w:hAnsi="Arial" w:cs="Arial"/>
          <w:bCs/>
        </w:rPr>
        <w:t xml:space="preserve"> </w:t>
      </w:r>
      <w:r w:rsidR="00ED7880">
        <w:rPr>
          <w:rFonts w:ascii="Arial" w:eastAsia="Arial" w:hAnsi="Arial" w:cs="Arial"/>
          <w:bCs/>
        </w:rPr>
        <w:t>5</w:t>
      </w:r>
      <w:r w:rsidRPr="002F7D65">
        <w:rPr>
          <w:rFonts w:ascii="Arial" w:eastAsia="Arial" w:hAnsi="Arial" w:cs="Arial"/>
        </w:rPr>
        <w:t xml:space="preserve"> Pages / </w:t>
      </w:r>
      <w:r w:rsidR="00ED7880">
        <w:rPr>
          <w:rFonts w:ascii="Arial" w:eastAsia="Arial" w:hAnsi="Arial" w:cs="Arial"/>
        </w:rPr>
        <w:t>4</w:t>
      </w:r>
      <w:r w:rsidRPr="002F7D65">
        <w:rPr>
          <w:rFonts w:ascii="Arial" w:eastAsia="Arial" w:hAnsi="Arial" w:cs="Arial"/>
        </w:rPr>
        <w:t xml:space="preserve"> Figures / </w:t>
      </w:r>
      <w:r>
        <w:rPr>
          <w:rFonts w:ascii="Arial" w:eastAsia="Arial" w:hAnsi="Arial" w:cs="Arial"/>
        </w:rPr>
        <w:t>2</w:t>
      </w:r>
      <w:r w:rsidRPr="002F7D65">
        <w:rPr>
          <w:rFonts w:ascii="Arial" w:eastAsia="Arial" w:hAnsi="Arial" w:cs="Arial"/>
        </w:rPr>
        <w:t xml:space="preserve"> Table</w:t>
      </w:r>
      <w:r>
        <w:rPr>
          <w:rFonts w:ascii="Arial" w:eastAsia="Arial" w:hAnsi="Arial" w:cs="Arial"/>
        </w:rPr>
        <w:t>s</w:t>
      </w:r>
      <w:r w:rsidR="00161457">
        <w:rPr>
          <w:rFonts w:ascii="Arial" w:eastAsia="Arial" w:hAnsi="Arial" w:cs="Arial"/>
        </w:rPr>
        <w:t xml:space="preserve"> / 1 Spreadsheet</w:t>
      </w:r>
    </w:p>
    <w:p w14:paraId="5A52A071" w14:textId="77777777" w:rsidR="00305D28" w:rsidRDefault="00305D28" w:rsidP="00305D28">
      <w:pPr>
        <w:jc w:val="both"/>
        <w:rPr>
          <w:rFonts w:ascii="Arial" w:eastAsia="Arial" w:hAnsi="Arial" w:cs="Arial"/>
          <w:b/>
        </w:rPr>
      </w:pPr>
    </w:p>
    <w:p w14:paraId="2CB2F8DD" w14:textId="77777777" w:rsidR="00305D28" w:rsidRPr="002F7D65" w:rsidRDefault="00305D28" w:rsidP="00305D28">
      <w:pPr>
        <w:jc w:val="both"/>
        <w:rPr>
          <w:rFonts w:ascii="Arial" w:eastAsia="Arial" w:hAnsi="Arial" w:cs="Arial"/>
          <w:b/>
        </w:rPr>
      </w:pPr>
    </w:p>
    <w:p w14:paraId="43B736F4" w14:textId="77777777" w:rsidR="00305D28" w:rsidRPr="002F7D65" w:rsidRDefault="00305D28" w:rsidP="00305D28">
      <w:pPr>
        <w:jc w:val="both"/>
        <w:rPr>
          <w:rFonts w:ascii="Arial" w:eastAsia="Arial" w:hAnsi="Arial" w:cs="Arial"/>
        </w:rPr>
      </w:pPr>
      <w:r w:rsidRPr="00305D28">
        <w:rPr>
          <w:rStyle w:val="Heading1Char"/>
          <w:rFonts w:ascii="Arial" w:hAnsi="Arial" w:cs="Arial"/>
          <w:b/>
          <w:bCs/>
          <w:color w:val="auto"/>
          <w:sz w:val="24"/>
          <w:szCs w:val="24"/>
        </w:rPr>
        <w:t>Keywords</w:t>
      </w:r>
      <w:r w:rsidRPr="00305D28">
        <w:rPr>
          <w:rFonts w:ascii="Arial" w:eastAsia="Arial" w:hAnsi="Arial" w:cs="Arial"/>
          <w:b/>
          <w:bCs/>
        </w:rPr>
        <w:t>:</w:t>
      </w:r>
      <w:r w:rsidRPr="00305D28">
        <w:rPr>
          <w:rFonts w:ascii="Arial" w:eastAsia="Arial" w:hAnsi="Arial" w:cs="Arial"/>
          <w:b/>
        </w:rPr>
        <w:t xml:space="preserve"> </w:t>
      </w:r>
      <w:r w:rsidRPr="002F7D65">
        <w:rPr>
          <w:rFonts w:ascii="Arial" w:eastAsia="Arial" w:hAnsi="Arial" w:cs="Arial"/>
        </w:rPr>
        <w:t>IR-MALDESI,</w:t>
      </w:r>
      <w:r w:rsidRPr="002F7D65">
        <w:rPr>
          <w:rFonts w:ascii="Arial" w:eastAsia="Arial" w:hAnsi="Arial" w:cs="Arial"/>
          <w:b/>
        </w:rPr>
        <w:t xml:space="preserve"> </w:t>
      </w:r>
      <w:r w:rsidRPr="002F7D65">
        <w:rPr>
          <w:rFonts w:ascii="Arial" w:eastAsia="Arial" w:hAnsi="Arial" w:cs="Arial"/>
        </w:rPr>
        <w:t>Mass Spectrometry Imaging, Plant Imaging, Plant Metabolomics, Plant Stress Response</w:t>
      </w:r>
    </w:p>
    <w:p w14:paraId="66C4069B" w14:textId="77777777" w:rsidR="00305D28" w:rsidRPr="002F7D65" w:rsidRDefault="00305D28" w:rsidP="00305D28">
      <w:pPr>
        <w:rPr>
          <w:rFonts w:ascii="Arial" w:hAnsi="Arial" w:cs="Arial"/>
          <w:b/>
        </w:rPr>
      </w:pPr>
    </w:p>
    <w:p w14:paraId="093E4B98" w14:textId="77777777" w:rsidR="00305D28" w:rsidRPr="002F7D65" w:rsidRDefault="00305D28" w:rsidP="00305D28">
      <w:pPr>
        <w:spacing w:line="276" w:lineRule="auto"/>
        <w:rPr>
          <w:rFonts w:ascii="Arial" w:hAnsi="Arial" w:cs="Arial"/>
          <w:b/>
        </w:rPr>
      </w:pPr>
    </w:p>
    <w:p w14:paraId="35E6AD2F" w14:textId="77777777" w:rsidR="00305D28" w:rsidRPr="002F7D65" w:rsidRDefault="00305D28" w:rsidP="00305D28">
      <w:pPr>
        <w:spacing w:line="276" w:lineRule="auto"/>
        <w:rPr>
          <w:rFonts w:ascii="Arial" w:hAnsi="Arial" w:cs="Arial"/>
          <w:b/>
        </w:rPr>
      </w:pPr>
      <w:r w:rsidRPr="002F7D65">
        <w:rPr>
          <w:rFonts w:ascii="Arial" w:hAnsi="Arial" w:cs="Arial"/>
          <w:b/>
        </w:rPr>
        <w:t>*Author for Correspondence</w:t>
      </w:r>
    </w:p>
    <w:p w14:paraId="6D8EA8EE" w14:textId="77777777" w:rsidR="00305D28" w:rsidRPr="002F7D65" w:rsidRDefault="00305D28" w:rsidP="00305D28">
      <w:pPr>
        <w:spacing w:line="276" w:lineRule="auto"/>
        <w:rPr>
          <w:rFonts w:ascii="Arial" w:hAnsi="Arial" w:cs="Arial"/>
        </w:rPr>
      </w:pPr>
      <w:r w:rsidRPr="002F7D65">
        <w:rPr>
          <w:rFonts w:ascii="Arial" w:hAnsi="Arial" w:cs="Arial"/>
        </w:rPr>
        <w:t>David C. Muddiman, Ph.D.</w:t>
      </w:r>
    </w:p>
    <w:p w14:paraId="14F3AFE5" w14:textId="77777777" w:rsidR="00305D28" w:rsidRPr="002F7D65" w:rsidRDefault="00305D28" w:rsidP="00305D28">
      <w:pPr>
        <w:spacing w:line="276" w:lineRule="auto"/>
        <w:rPr>
          <w:rFonts w:ascii="Arial" w:hAnsi="Arial" w:cs="Arial"/>
        </w:rPr>
      </w:pPr>
      <w:r w:rsidRPr="002F7D65">
        <w:rPr>
          <w:rFonts w:ascii="Arial" w:hAnsi="Arial" w:cs="Arial"/>
        </w:rPr>
        <w:t>Department of Chemistry</w:t>
      </w:r>
    </w:p>
    <w:p w14:paraId="63AF9A5D" w14:textId="77777777" w:rsidR="00305D28" w:rsidRPr="002F7D65" w:rsidRDefault="00305D28" w:rsidP="00305D28">
      <w:pPr>
        <w:spacing w:line="276" w:lineRule="auto"/>
        <w:jc w:val="both"/>
        <w:rPr>
          <w:rFonts w:ascii="Arial" w:hAnsi="Arial" w:cs="Arial"/>
        </w:rPr>
      </w:pPr>
      <w:r w:rsidRPr="002F7D65">
        <w:rPr>
          <w:rFonts w:ascii="Arial" w:hAnsi="Arial" w:cs="Arial"/>
        </w:rPr>
        <w:t>North Carolina State University</w:t>
      </w:r>
    </w:p>
    <w:p w14:paraId="62C1C823" w14:textId="77777777" w:rsidR="00305D28" w:rsidRDefault="00305D28" w:rsidP="00305D28">
      <w:pPr>
        <w:spacing w:line="360" w:lineRule="auto"/>
        <w:jc w:val="both"/>
      </w:pPr>
      <w:r w:rsidRPr="002F7D65">
        <w:rPr>
          <w:rFonts w:ascii="Arial" w:hAnsi="Arial" w:cs="Arial"/>
        </w:rPr>
        <w:t xml:space="preserve">Email: </w:t>
      </w:r>
      <w:hyperlink r:id="rId4" w:history="1">
        <w:r w:rsidRPr="002F7D65">
          <w:rPr>
            <w:rStyle w:val="Hyperlink"/>
            <w:rFonts w:ascii="Arial" w:hAnsi="Arial" w:cs="Arial"/>
          </w:rPr>
          <w:t>dcmuddim@ncsu.edu</w:t>
        </w:r>
      </w:hyperlink>
    </w:p>
    <w:p w14:paraId="4402DA0F" w14:textId="52FAD8C1" w:rsidR="00CC3960" w:rsidRPr="00CC3960" w:rsidRDefault="00CC3960" w:rsidP="00601F1C">
      <w:pPr>
        <w:rPr>
          <w:rFonts w:ascii="Arial" w:hAnsi="Arial" w:cs="Arial"/>
          <w:sz w:val="22"/>
          <w:szCs w:val="22"/>
        </w:rPr>
      </w:pPr>
      <w:r>
        <w:rPr>
          <w:rFonts w:ascii="Arial" w:hAnsi="Arial" w:cs="Arial"/>
          <w:noProof/>
          <w:sz w:val="22"/>
          <w:szCs w:val="22"/>
        </w:rPr>
        <w:lastRenderedPageBreak/>
        <w:drawing>
          <wp:inline distT="0" distB="0" distL="0" distR="0" wp14:anchorId="7C5A4884" wp14:editId="5E87F53F">
            <wp:extent cx="4929808" cy="3760024"/>
            <wp:effectExtent l="0" t="0" r="4445" b="0"/>
            <wp:docPr id="6482732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273287" name="Picture 648273287"/>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32803" cy="3762308"/>
                    </a:xfrm>
                    <a:prstGeom prst="rect">
                      <a:avLst/>
                    </a:prstGeom>
                  </pic:spPr>
                </pic:pic>
              </a:graphicData>
            </a:graphic>
          </wp:inline>
        </w:drawing>
      </w:r>
    </w:p>
    <w:p w14:paraId="5F5D4D26" w14:textId="5B70889D" w:rsidR="00C36761" w:rsidRDefault="00CC3960" w:rsidP="00CC3960">
      <w:pPr>
        <w:rPr>
          <w:rFonts w:ascii="Arial" w:hAnsi="Arial" w:cs="Arial"/>
        </w:rPr>
      </w:pPr>
      <w:r w:rsidRPr="00A7563F">
        <w:rPr>
          <w:rFonts w:ascii="Arial" w:hAnsi="Arial" w:cs="Arial"/>
          <w:b/>
          <w:bCs/>
        </w:rPr>
        <w:t>Figure S1.</w:t>
      </w:r>
      <w:r w:rsidRPr="00A7563F">
        <w:rPr>
          <w:rFonts w:ascii="Arial" w:hAnsi="Arial" w:cs="Arial"/>
        </w:rPr>
        <w:t xml:space="preserve"> Preliminary data from fresh and frozen analysis of collard leaves. Images show ablation spots at 5X magnification for </w:t>
      </w:r>
      <w:r w:rsidRPr="00A7563F">
        <w:rPr>
          <w:rFonts w:ascii="Arial" w:hAnsi="Arial" w:cs="Arial"/>
          <w:b/>
          <w:bCs/>
        </w:rPr>
        <w:t>(A)</w:t>
      </w:r>
      <w:r w:rsidRPr="00A7563F">
        <w:rPr>
          <w:rFonts w:ascii="Arial" w:hAnsi="Arial" w:cs="Arial"/>
        </w:rPr>
        <w:t xml:space="preserve"> fresh and </w:t>
      </w:r>
      <w:r w:rsidRPr="00A7563F">
        <w:rPr>
          <w:rFonts w:ascii="Arial" w:hAnsi="Arial" w:cs="Arial"/>
          <w:b/>
          <w:bCs/>
        </w:rPr>
        <w:t>(B)</w:t>
      </w:r>
      <w:r w:rsidRPr="00A7563F">
        <w:rPr>
          <w:rFonts w:ascii="Arial" w:hAnsi="Arial" w:cs="Arial"/>
        </w:rPr>
        <w:t xml:space="preserve"> frozen analysis, and 10X magnification for </w:t>
      </w:r>
      <w:r w:rsidRPr="00A7563F">
        <w:rPr>
          <w:rFonts w:ascii="Arial" w:hAnsi="Arial" w:cs="Arial"/>
          <w:b/>
          <w:bCs/>
        </w:rPr>
        <w:t>(C)</w:t>
      </w:r>
      <w:r w:rsidRPr="00A7563F">
        <w:rPr>
          <w:rFonts w:ascii="Arial" w:hAnsi="Arial" w:cs="Arial"/>
        </w:rPr>
        <w:t xml:space="preserve"> fresh and </w:t>
      </w:r>
      <w:r w:rsidRPr="00A7563F">
        <w:rPr>
          <w:rFonts w:ascii="Arial" w:hAnsi="Arial" w:cs="Arial"/>
          <w:b/>
          <w:bCs/>
        </w:rPr>
        <w:t>(D)</w:t>
      </w:r>
      <w:r w:rsidRPr="00A7563F">
        <w:rPr>
          <w:rFonts w:ascii="Arial" w:hAnsi="Arial" w:cs="Arial"/>
        </w:rPr>
        <w:t xml:space="preserve"> frozen analysis. Data were collected using the same protocol and conditions described in this study</w:t>
      </w:r>
      <w:r w:rsidR="00DB7B6F" w:rsidRPr="00A7563F">
        <w:rPr>
          <w:rFonts w:ascii="Arial" w:hAnsi="Arial" w:cs="Arial"/>
        </w:rPr>
        <w:t>. Although these preliminary results were more significant,</w:t>
      </w:r>
      <w:r w:rsidRPr="00A7563F">
        <w:rPr>
          <w:rFonts w:ascii="Arial" w:hAnsi="Arial" w:cs="Arial"/>
        </w:rPr>
        <w:t xml:space="preserve"> ablation </w:t>
      </w:r>
      <w:r w:rsidR="00DB7B6F" w:rsidRPr="00A7563F">
        <w:rPr>
          <w:rFonts w:ascii="Arial" w:hAnsi="Arial" w:cs="Arial"/>
        </w:rPr>
        <w:t>appeared</w:t>
      </w:r>
      <w:r w:rsidRPr="00A7563F">
        <w:rPr>
          <w:rFonts w:ascii="Arial" w:hAnsi="Arial" w:cs="Arial"/>
        </w:rPr>
        <w:t xml:space="preserve"> incomplete</w:t>
      </w:r>
      <w:r w:rsidR="00DB7B6F" w:rsidRPr="00A7563F">
        <w:rPr>
          <w:rFonts w:ascii="Arial" w:hAnsi="Arial" w:cs="Arial"/>
        </w:rPr>
        <w:t xml:space="preserve"> for frozen analysis, likely due to the thickness (~1 mm) of the leaves</w:t>
      </w:r>
      <w:r w:rsidRPr="00A7563F">
        <w:rPr>
          <w:rFonts w:ascii="Arial" w:hAnsi="Arial" w:cs="Arial"/>
        </w:rPr>
        <w:t xml:space="preserve">. </w:t>
      </w:r>
      <w:r w:rsidR="00DB7B6F" w:rsidRPr="00A7563F">
        <w:rPr>
          <w:rFonts w:ascii="Arial" w:hAnsi="Arial" w:cs="Arial"/>
        </w:rPr>
        <w:t>Clovers were chosen for the final study since their thin</w:t>
      </w:r>
      <w:r w:rsidR="002B145E" w:rsidRPr="00A7563F">
        <w:rPr>
          <w:rFonts w:ascii="Arial" w:hAnsi="Arial" w:cs="Arial"/>
        </w:rPr>
        <w:t xml:space="preserve"> (~0.1 mm)</w:t>
      </w:r>
      <w:r w:rsidR="00DB7B6F" w:rsidRPr="00A7563F">
        <w:rPr>
          <w:rFonts w:ascii="Arial" w:hAnsi="Arial" w:cs="Arial"/>
        </w:rPr>
        <w:t xml:space="preserve"> leaves reduce the possibility of ablation spots appearing smaller due to incomplete ablation rather than an actual reduction in ablation spot diameter</w:t>
      </w:r>
    </w:p>
    <w:p w14:paraId="39C76BA7" w14:textId="77777777" w:rsidR="008C7B96" w:rsidRPr="00A7563F" w:rsidRDefault="008C7B96" w:rsidP="00CC3960">
      <w:pPr>
        <w:rPr>
          <w:rFonts w:ascii="Arial" w:hAnsi="Arial" w:cs="Arial"/>
        </w:rPr>
      </w:pPr>
    </w:p>
    <w:p w14:paraId="727EDC4D" w14:textId="32A8078A" w:rsidR="00CC3960" w:rsidRDefault="00DB13E2" w:rsidP="00601F1C">
      <w:pPr>
        <w:rPr>
          <w:rFonts w:ascii="Arial" w:hAnsi="Arial" w:cs="Arial"/>
        </w:rPr>
      </w:pPr>
      <w:r>
        <w:rPr>
          <w:rFonts w:ascii="Arial" w:hAnsi="Arial" w:cs="Arial"/>
          <w:noProof/>
        </w:rPr>
        <w:drawing>
          <wp:inline distT="0" distB="0" distL="0" distR="0" wp14:anchorId="7335F4A0" wp14:editId="5A06C90D">
            <wp:extent cx="3666751" cy="1837948"/>
            <wp:effectExtent l="0" t="0" r="0" b="0"/>
            <wp:docPr id="1233693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9303" name="Picture 123369303"/>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66751" cy="1837948"/>
                    </a:xfrm>
                    <a:prstGeom prst="rect">
                      <a:avLst/>
                    </a:prstGeom>
                  </pic:spPr>
                </pic:pic>
              </a:graphicData>
            </a:graphic>
          </wp:inline>
        </w:drawing>
      </w:r>
    </w:p>
    <w:p w14:paraId="4CDD3ACC" w14:textId="0735E0EE" w:rsidR="00C252DF" w:rsidRDefault="002F2176" w:rsidP="002E52D0">
      <w:pPr>
        <w:jc w:val="both"/>
        <w:rPr>
          <w:rFonts w:ascii="Arial" w:hAnsi="Arial" w:cs="Arial"/>
        </w:rPr>
      </w:pPr>
      <w:r>
        <w:rPr>
          <w:rFonts w:ascii="Arial" w:hAnsi="Arial" w:cs="Arial"/>
          <w:b/>
          <w:bCs/>
        </w:rPr>
        <w:t>Figure S2.</w:t>
      </w:r>
      <w:r>
        <w:rPr>
          <w:rFonts w:ascii="Arial" w:hAnsi="Arial" w:cs="Arial"/>
        </w:rPr>
        <w:t xml:space="preserve"> </w:t>
      </w:r>
      <w:r w:rsidR="00DB13E2">
        <w:rPr>
          <w:rFonts w:ascii="Arial" w:hAnsi="Arial" w:cs="Arial"/>
        </w:rPr>
        <w:t xml:space="preserve">A leaflet after fresh analysis mounted on CMC. After analysis, it was noted that the leaf and CMC had both dried out, shrinking the tissue away from the height </w:t>
      </w:r>
      <w:r w:rsidR="00D16F0E">
        <w:rPr>
          <w:rFonts w:ascii="Arial" w:hAnsi="Arial" w:cs="Arial"/>
        </w:rPr>
        <w:t>accounted for by</w:t>
      </w:r>
      <w:r w:rsidR="00DB13E2">
        <w:rPr>
          <w:rFonts w:ascii="Arial" w:hAnsi="Arial" w:cs="Arial"/>
        </w:rPr>
        <w:t xml:space="preserve"> the </w:t>
      </w:r>
      <w:proofErr w:type="spellStart"/>
      <w:r w:rsidR="00DB13E2">
        <w:rPr>
          <w:rFonts w:ascii="Arial" w:hAnsi="Arial" w:cs="Arial"/>
        </w:rPr>
        <w:t>AzC</w:t>
      </w:r>
      <w:proofErr w:type="spellEnd"/>
      <w:r w:rsidR="00DB13E2">
        <w:rPr>
          <w:rFonts w:ascii="Arial" w:hAnsi="Arial" w:cs="Arial"/>
        </w:rPr>
        <w:t xml:space="preserve"> </w:t>
      </w:r>
      <w:r w:rsidR="00D16F0E">
        <w:rPr>
          <w:rFonts w:ascii="Arial" w:hAnsi="Arial" w:cs="Arial"/>
        </w:rPr>
        <w:t>and therefore pulling</w:t>
      </w:r>
      <w:r w:rsidR="00DB13E2">
        <w:rPr>
          <w:rFonts w:ascii="Arial" w:hAnsi="Arial" w:cs="Arial"/>
        </w:rPr>
        <w:t xml:space="preserve"> the</w:t>
      </w:r>
      <w:r w:rsidR="00A7563F">
        <w:rPr>
          <w:rFonts w:ascii="Arial" w:hAnsi="Arial" w:cs="Arial"/>
        </w:rPr>
        <w:t xml:space="preserve"> sample</w:t>
      </w:r>
      <w:r w:rsidR="00DB13E2">
        <w:rPr>
          <w:rFonts w:ascii="Arial" w:hAnsi="Arial" w:cs="Arial"/>
        </w:rPr>
        <w:t xml:space="preserve"> surface out of laser</w:t>
      </w:r>
      <w:r w:rsidR="00A7563F">
        <w:rPr>
          <w:rFonts w:ascii="Arial" w:hAnsi="Arial" w:cs="Arial"/>
        </w:rPr>
        <w:t xml:space="preserve"> focus</w:t>
      </w:r>
      <w:r w:rsidR="00DB13E2">
        <w:rPr>
          <w:rFonts w:ascii="Arial" w:hAnsi="Arial" w:cs="Arial"/>
        </w:rPr>
        <w:t xml:space="preserve">. The ablation spots in the image </w:t>
      </w:r>
      <w:r w:rsidR="00A7563F">
        <w:rPr>
          <w:rFonts w:ascii="Arial" w:hAnsi="Arial" w:cs="Arial"/>
        </w:rPr>
        <w:t>got</w:t>
      </w:r>
      <w:r w:rsidR="00DB13E2">
        <w:rPr>
          <w:rFonts w:ascii="Arial" w:hAnsi="Arial" w:cs="Arial"/>
        </w:rPr>
        <w:t xml:space="preserve"> progressively less visible since the tissue </w:t>
      </w:r>
      <w:r w:rsidR="00D16F0E">
        <w:rPr>
          <w:rFonts w:ascii="Arial" w:hAnsi="Arial" w:cs="Arial"/>
        </w:rPr>
        <w:t>shrank</w:t>
      </w:r>
      <w:r w:rsidR="00DB13E2">
        <w:rPr>
          <w:rFonts w:ascii="Arial" w:hAnsi="Arial" w:cs="Arial"/>
        </w:rPr>
        <w:t xml:space="preserve"> f</w:t>
      </w:r>
      <w:r w:rsidR="00D16F0E">
        <w:rPr>
          <w:rFonts w:ascii="Arial" w:hAnsi="Arial" w:cs="Arial"/>
        </w:rPr>
        <w:t>a</w:t>
      </w:r>
      <w:r w:rsidR="00DB13E2">
        <w:rPr>
          <w:rFonts w:ascii="Arial" w:hAnsi="Arial" w:cs="Arial"/>
        </w:rPr>
        <w:t>rther out of focus over time. While the resulting ion images could not be directly compared to those from the fresh and frozen methods, spectra from the top left portion of the ROI were used to evaluate</w:t>
      </w:r>
      <w:r w:rsidR="00D16F0E">
        <w:rPr>
          <w:rFonts w:ascii="Arial" w:hAnsi="Arial" w:cs="Arial"/>
        </w:rPr>
        <w:t xml:space="preserve"> possible</w:t>
      </w:r>
      <w:r w:rsidR="00DB13E2">
        <w:rPr>
          <w:rFonts w:ascii="Arial" w:hAnsi="Arial" w:cs="Arial"/>
        </w:rPr>
        <w:t xml:space="preserve"> ion suppression from the CMC mounting medium</w:t>
      </w:r>
    </w:p>
    <w:p w14:paraId="54BF79DA" w14:textId="77777777" w:rsidR="002E52D0" w:rsidRDefault="002E52D0" w:rsidP="002E52D0">
      <w:pPr>
        <w:jc w:val="both"/>
        <w:rPr>
          <w:rFonts w:ascii="Arial" w:hAnsi="Arial" w:cs="Arial"/>
        </w:rPr>
      </w:pPr>
    </w:p>
    <w:p w14:paraId="356C29FB" w14:textId="393A2778" w:rsidR="00601F1C" w:rsidRPr="00AE60D2" w:rsidRDefault="00601F1C" w:rsidP="00601F1C">
      <w:pPr>
        <w:spacing w:line="360" w:lineRule="auto"/>
        <w:jc w:val="both"/>
        <w:rPr>
          <w:rFonts w:ascii="Arial" w:hAnsi="Arial" w:cs="Arial"/>
          <w:b/>
          <w:bCs/>
        </w:rPr>
      </w:pPr>
      <w:r w:rsidRPr="00A7563F">
        <w:rPr>
          <w:rFonts w:ascii="Arial" w:hAnsi="Arial" w:cs="Arial"/>
          <w:b/>
          <w:bCs/>
        </w:rPr>
        <w:t>Table S</w:t>
      </w:r>
      <w:r w:rsidR="00AE60D2">
        <w:rPr>
          <w:rFonts w:ascii="Arial" w:hAnsi="Arial" w:cs="Arial"/>
          <w:b/>
          <w:bCs/>
        </w:rPr>
        <w:t>I</w:t>
      </w:r>
      <w:r w:rsidRPr="00A7563F">
        <w:rPr>
          <w:rFonts w:ascii="Arial" w:hAnsi="Arial" w:cs="Arial"/>
          <w:b/>
          <w:bCs/>
        </w:rPr>
        <w:t>.</w:t>
      </w:r>
      <w:r w:rsidRPr="00A7563F">
        <w:rPr>
          <w:rFonts w:ascii="Arial" w:hAnsi="Arial" w:cs="Arial"/>
        </w:rPr>
        <w:t xml:space="preserve"> Description of significant volcano plot features</w:t>
      </w:r>
      <w:r w:rsidR="00945264" w:rsidRPr="00A7563F">
        <w:rPr>
          <w:rFonts w:ascii="Arial" w:hAnsi="Arial" w:cs="Arial"/>
        </w:rPr>
        <w:t xml:space="preserve"> for volume-normalized abundance</w:t>
      </w:r>
      <w:r w:rsidRPr="00A7563F">
        <w:rPr>
          <w:rFonts w:ascii="Arial" w:hAnsi="Arial" w:cs="Arial"/>
        </w:rPr>
        <w:t>. Green rows denote features more abundant in fresh analysis, and blue rows denote features more abundant in frozen analysis. Protonated adducts are bolded, and features with multiple adducts are italicized.</w:t>
      </w:r>
    </w:p>
    <w:p w14:paraId="5EBAD6AA" w14:textId="254832C7" w:rsidR="00FE6970" w:rsidRDefault="00FE6970" w:rsidP="00601F1C">
      <w:pPr>
        <w:spacing w:line="360" w:lineRule="auto"/>
        <w:jc w:val="both"/>
        <w:rPr>
          <w:rFonts w:ascii="Arial" w:hAnsi="Arial" w:cs="Arial"/>
          <w:sz w:val="22"/>
          <w:szCs w:val="22"/>
        </w:rPr>
      </w:pPr>
      <w:r>
        <w:rPr>
          <w:rFonts w:ascii="Arial" w:hAnsi="Arial" w:cs="Arial"/>
          <w:noProof/>
          <w:sz w:val="22"/>
          <w:szCs w:val="22"/>
        </w:rPr>
        <w:drawing>
          <wp:inline distT="0" distB="0" distL="0" distR="0" wp14:anchorId="5DD0CF76" wp14:editId="754FEE9D">
            <wp:extent cx="6858000" cy="4234180"/>
            <wp:effectExtent l="0" t="0" r="0" b="0"/>
            <wp:docPr id="998343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343948" name="Picture 9983439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58000" cy="4234180"/>
                    </a:xfrm>
                    <a:prstGeom prst="rect">
                      <a:avLst/>
                    </a:prstGeom>
                  </pic:spPr>
                </pic:pic>
              </a:graphicData>
            </a:graphic>
          </wp:inline>
        </w:drawing>
      </w:r>
    </w:p>
    <w:p w14:paraId="28316496" w14:textId="55CC2484" w:rsidR="00F33A1D" w:rsidRDefault="00F33A1D" w:rsidP="00601F1C">
      <w:pPr>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14:anchorId="13A1CC6C" wp14:editId="3F9C60FC">
            <wp:extent cx="6836678" cy="4090424"/>
            <wp:effectExtent l="0" t="0" r="2540" b="5715"/>
            <wp:docPr id="16889404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940450" name="Picture 1688940450"/>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36678" cy="4090424"/>
                    </a:xfrm>
                    <a:prstGeom prst="rect">
                      <a:avLst/>
                    </a:prstGeom>
                  </pic:spPr>
                </pic:pic>
              </a:graphicData>
            </a:graphic>
          </wp:inline>
        </w:drawing>
      </w:r>
    </w:p>
    <w:p w14:paraId="4F2F43AF" w14:textId="30BB617C" w:rsidR="00F33A1D" w:rsidRDefault="00F33A1D" w:rsidP="00601F1C">
      <w:pPr>
        <w:spacing w:line="360" w:lineRule="auto"/>
        <w:jc w:val="both"/>
        <w:rPr>
          <w:rFonts w:ascii="Arial" w:hAnsi="Arial" w:cs="Arial"/>
          <w:sz w:val="22"/>
          <w:szCs w:val="22"/>
        </w:rPr>
      </w:pPr>
      <w:r>
        <w:rPr>
          <w:rFonts w:ascii="Arial" w:hAnsi="Arial" w:cs="Arial"/>
          <w:b/>
          <w:bCs/>
          <w:sz w:val="22"/>
          <w:szCs w:val="22"/>
        </w:rPr>
        <w:t>Figure S3.</w:t>
      </w:r>
      <w:r>
        <w:t xml:space="preserve"> </w:t>
      </w:r>
      <w:r w:rsidRPr="00C01EAE">
        <w:rPr>
          <w:rFonts w:ascii="Arial" w:hAnsi="Arial" w:cs="Arial"/>
          <w:sz w:val="22"/>
          <w:szCs w:val="22"/>
        </w:rPr>
        <w:t xml:space="preserve">Volcano plot of </w:t>
      </w:r>
      <w:r>
        <w:rPr>
          <w:rFonts w:ascii="Arial" w:hAnsi="Arial" w:cs="Arial"/>
          <w:sz w:val="22"/>
          <w:szCs w:val="22"/>
        </w:rPr>
        <w:t xml:space="preserve">the raw abundance of </w:t>
      </w:r>
      <w:r w:rsidRPr="00C01EAE">
        <w:rPr>
          <w:rFonts w:ascii="Arial" w:hAnsi="Arial" w:cs="Arial"/>
          <w:i/>
          <w:iCs/>
          <w:sz w:val="22"/>
          <w:szCs w:val="22"/>
        </w:rPr>
        <w:t>T. repens</w:t>
      </w:r>
      <w:r w:rsidRPr="00C01EAE">
        <w:rPr>
          <w:rFonts w:ascii="Arial" w:hAnsi="Arial" w:cs="Arial"/>
          <w:sz w:val="22"/>
          <w:szCs w:val="22"/>
        </w:rPr>
        <w:t xml:space="preserve"> metabolites for frozen (blue) vs. fresh (green)</w:t>
      </w:r>
      <w:r>
        <w:rPr>
          <w:rFonts w:ascii="Arial" w:hAnsi="Arial" w:cs="Arial"/>
          <w:sz w:val="22"/>
          <w:szCs w:val="22"/>
        </w:rPr>
        <w:t xml:space="preserve"> methods</w:t>
      </w:r>
      <w:r w:rsidRPr="00C01EAE">
        <w:rPr>
          <w:rFonts w:ascii="Arial" w:hAnsi="Arial" w:cs="Arial"/>
          <w:sz w:val="22"/>
          <w:szCs w:val="22"/>
        </w:rPr>
        <w:t>. Features include the [M+H]</w:t>
      </w:r>
      <w:r w:rsidRPr="00C01EAE">
        <w:rPr>
          <w:rFonts w:ascii="Arial" w:hAnsi="Arial" w:cs="Arial"/>
          <w:sz w:val="22"/>
          <w:szCs w:val="22"/>
          <w:vertAlign w:val="superscript"/>
        </w:rPr>
        <w:t>+</w:t>
      </w:r>
      <w:r w:rsidRPr="00C01EAE">
        <w:rPr>
          <w:rFonts w:ascii="Arial" w:hAnsi="Arial" w:cs="Arial"/>
          <w:sz w:val="22"/>
          <w:szCs w:val="22"/>
        </w:rPr>
        <w:t>, [M+Na]</w:t>
      </w:r>
      <w:r w:rsidRPr="00C01EAE">
        <w:rPr>
          <w:rFonts w:ascii="Arial" w:hAnsi="Arial" w:cs="Arial"/>
          <w:sz w:val="22"/>
          <w:szCs w:val="22"/>
          <w:vertAlign w:val="superscript"/>
        </w:rPr>
        <w:t>+</w:t>
      </w:r>
      <w:r w:rsidRPr="00C01EAE">
        <w:rPr>
          <w:rFonts w:ascii="Arial" w:hAnsi="Arial" w:cs="Arial"/>
          <w:sz w:val="22"/>
          <w:szCs w:val="22"/>
        </w:rPr>
        <w:t>, and [M+K]</w:t>
      </w:r>
      <w:r w:rsidRPr="00C01EAE">
        <w:rPr>
          <w:rFonts w:ascii="Arial" w:hAnsi="Arial" w:cs="Arial"/>
          <w:sz w:val="22"/>
          <w:szCs w:val="22"/>
          <w:vertAlign w:val="superscript"/>
        </w:rPr>
        <w:t>+</w:t>
      </w:r>
      <w:r w:rsidRPr="00C01EAE">
        <w:rPr>
          <w:rFonts w:ascii="Arial" w:hAnsi="Arial" w:cs="Arial"/>
          <w:sz w:val="22"/>
          <w:szCs w:val="22"/>
        </w:rPr>
        <w:t xml:space="preserve"> adducts of metabolites from the KNApSAcK database search for “</w:t>
      </w:r>
      <w:r w:rsidRPr="00C01EAE">
        <w:rPr>
          <w:rFonts w:ascii="Arial" w:hAnsi="Arial" w:cs="Arial"/>
          <w:i/>
          <w:iCs/>
          <w:sz w:val="22"/>
          <w:szCs w:val="22"/>
        </w:rPr>
        <w:t>Trifolium repens</w:t>
      </w:r>
      <w:r w:rsidRPr="00C01EAE">
        <w:rPr>
          <w:rFonts w:ascii="Arial" w:hAnsi="Arial" w:cs="Arial"/>
          <w:sz w:val="22"/>
          <w:szCs w:val="22"/>
        </w:rPr>
        <w:t>,” but ion images were generated and screened for each feature to remove those with high off-tissue abundance</w:t>
      </w:r>
      <w:r>
        <w:rPr>
          <w:rFonts w:ascii="Arial" w:hAnsi="Arial" w:cs="Arial"/>
          <w:sz w:val="22"/>
          <w:szCs w:val="22"/>
        </w:rPr>
        <w:t xml:space="preserve"> (particularly background from tape and/or CMC)</w:t>
      </w:r>
      <w:r w:rsidRPr="00C01EAE">
        <w:rPr>
          <w:rFonts w:ascii="Arial" w:hAnsi="Arial" w:cs="Arial"/>
          <w:sz w:val="22"/>
          <w:szCs w:val="22"/>
        </w:rPr>
        <w:t>, spotty spatial localization, and/or low abundance across all samples. In this conservative estimate, 71/198 features remain.</w:t>
      </w:r>
      <w:r>
        <w:rPr>
          <w:rFonts w:ascii="Arial" w:hAnsi="Arial" w:cs="Arial"/>
          <w:sz w:val="22"/>
          <w:szCs w:val="22"/>
        </w:rPr>
        <w:t xml:space="preserve"> </w:t>
      </w:r>
      <w:r w:rsidR="00945264">
        <w:rPr>
          <w:rFonts w:ascii="Arial" w:hAnsi="Arial" w:cs="Arial"/>
          <w:sz w:val="22"/>
          <w:szCs w:val="22"/>
        </w:rPr>
        <w:t xml:space="preserve">Since the </w:t>
      </w:r>
      <w:r>
        <w:rPr>
          <w:rFonts w:ascii="Arial" w:hAnsi="Arial" w:cs="Arial"/>
          <w:sz w:val="22"/>
          <w:szCs w:val="22"/>
        </w:rPr>
        <w:t>abundance values in this plot were not normalized to ablation volume, it does not account for the decreased volume ablated in the frozen method but is more applicable for evaluating practical effects of applying the frozen method.</w:t>
      </w:r>
    </w:p>
    <w:p w14:paraId="40437382" w14:textId="77777777" w:rsidR="001D68FA" w:rsidRDefault="001D68FA" w:rsidP="00601F1C">
      <w:pPr>
        <w:spacing w:line="360" w:lineRule="auto"/>
        <w:jc w:val="both"/>
        <w:rPr>
          <w:rFonts w:ascii="Arial" w:hAnsi="Arial" w:cs="Arial"/>
          <w:sz w:val="22"/>
          <w:szCs w:val="22"/>
        </w:rPr>
      </w:pPr>
    </w:p>
    <w:p w14:paraId="4E9F1CFD" w14:textId="77777777" w:rsidR="001D68FA" w:rsidRDefault="001D68FA" w:rsidP="00601F1C">
      <w:pPr>
        <w:spacing w:line="360" w:lineRule="auto"/>
        <w:jc w:val="both"/>
        <w:rPr>
          <w:rFonts w:ascii="Arial" w:hAnsi="Arial" w:cs="Arial"/>
          <w:sz w:val="22"/>
          <w:szCs w:val="22"/>
        </w:rPr>
      </w:pPr>
    </w:p>
    <w:p w14:paraId="1B8471AB" w14:textId="77777777" w:rsidR="001D68FA" w:rsidRDefault="001D68FA" w:rsidP="00601F1C">
      <w:pPr>
        <w:spacing w:line="360" w:lineRule="auto"/>
        <w:jc w:val="both"/>
        <w:rPr>
          <w:rFonts w:ascii="Arial" w:hAnsi="Arial" w:cs="Arial"/>
          <w:sz w:val="22"/>
          <w:szCs w:val="22"/>
        </w:rPr>
      </w:pPr>
    </w:p>
    <w:p w14:paraId="59D15EFE" w14:textId="77777777" w:rsidR="001D68FA" w:rsidRDefault="001D68FA" w:rsidP="00601F1C">
      <w:pPr>
        <w:spacing w:line="360" w:lineRule="auto"/>
        <w:jc w:val="both"/>
        <w:rPr>
          <w:rFonts w:ascii="Arial" w:hAnsi="Arial" w:cs="Arial"/>
          <w:sz w:val="22"/>
          <w:szCs w:val="22"/>
        </w:rPr>
      </w:pPr>
    </w:p>
    <w:p w14:paraId="498746FE" w14:textId="77777777" w:rsidR="001D68FA" w:rsidRDefault="001D68FA" w:rsidP="00601F1C">
      <w:pPr>
        <w:spacing w:line="360" w:lineRule="auto"/>
        <w:jc w:val="both"/>
        <w:rPr>
          <w:rFonts w:ascii="Arial" w:hAnsi="Arial" w:cs="Arial"/>
          <w:sz w:val="22"/>
          <w:szCs w:val="22"/>
        </w:rPr>
      </w:pPr>
    </w:p>
    <w:p w14:paraId="61C54476" w14:textId="77777777" w:rsidR="001D68FA" w:rsidRDefault="001D68FA" w:rsidP="00601F1C">
      <w:pPr>
        <w:spacing w:line="360" w:lineRule="auto"/>
        <w:jc w:val="both"/>
        <w:rPr>
          <w:rFonts w:ascii="Arial" w:hAnsi="Arial" w:cs="Arial"/>
          <w:sz w:val="22"/>
          <w:szCs w:val="22"/>
        </w:rPr>
      </w:pPr>
    </w:p>
    <w:p w14:paraId="2223AACE" w14:textId="77777777" w:rsidR="001D68FA" w:rsidRDefault="001D68FA" w:rsidP="00601F1C">
      <w:pPr>
        <w:spacing w:line="360" w:lineRule="auto"/>
        <w:jc w:val="both"/>
        <w:rPr>
          <w:rFonts w:ascii="Arial" w:hAnsi="Arial" w:cs="Arial"/>
          <w:sz w:val="22"/>
          <w:szCs w:val="22"/>
        </w:rPr>
      </w:pPr>
    </w:p>
    <w:p w14:paraId="4E137D17" w14:textId="0701BE9B" w:rsidR="00F33A1D" w:rsidRPr="00F33A1D" w:rsidRDefault="00F33A1D" w:rsidP="00601F1C">
      <w:pPr>
        <w:spacing w:line="360" w:lineRule="auto"/>
        <w:jc w:val="both"/>
      </w:pPr>
      <w:r>
        <w:rPr>
          <w:rFonts w:ascii="Arial" w:hAnsi="Arial" w:cs="Arial"/>
          <w:b/>
          <w:bCs/>
          <w:sz w:val="22"/>
          <w:szCs w:val="22"/>
        </w:rPr>
        <w:lastRenderedPageBreak/>
        <w:t>Table S</w:t>
      </w:r>
      <w:r w:rsidR="00AE60D2">
        <w:rPr>
          <w:rFonts w:ascii="Arial" w:hAnsi="Arial" w:cs="Arial"/>
          <w:b/>
          <w:bCs/>
          <w:sz w:val="22"/>
          <w:szCs w:val="22"/>
        </w:rPr>
        <w:t>II</w:t>
      </w:r>
      <w:r>
        <w:rPr>
          <w:rFonts w:ascii="Arial" w:hAnsi="Arial" w:cs="Arial"/>
          <w:b/>
          <w:bCs/>
          <w:sz w:val="22"/>
          <w:szCs w:val="22"/>
        </w:rPr>
        <w:t>.</w:t>
      </w:r>
      <w:r>
        <w:rPr>
          <w:rFonts w:ascii="Arial" w:hAnsi="Arial" w:cs="Arial"/>
          <w:sz w:val="22"/>
          <w:szCs w:val="22"/>
        </w:rPr>
        <w:t xml:space="preserve"> </w:t>
      </w:r>
      <w:r w:rsidRPr="00C01EAE">
        <w:rPr>
          <w:rFonts w:ascii="Arial" w:hAnsi="Arial" w:cs="Arial"/>
          <w:sz w:val="22"/>
          <w:szCs w:val="22"/>
        </w:rPr>
        <w:t>Description of significant volcano plot features</w:t>
      </w:r>
      <w:r>
        <w:rPr>
          <w:rFonts w:ascii="Arial" w:hAnsi="Arial" w:cs="Arial"/>
          <w:sz w:val="22"/>
          <w:szCs w:val="22"/>
        </w:rPr>
        <w:t xml:space="preserve"> for raw abundance data</w:t>
      </w:r>
      <w:r w:rsidRPr="00C01EAE">
        <w:rPr>
          <w:rFonts w:ascii="Arial" w:hAnsi="Arial" w:cs="Arial"/>
          <w:sz w:val="22"/>
          <w:szCs w:val="22"/>
        </w:rPr>
        <w:t xml:space="preserve">. Green rows </w:t>
      </w:r>
      <w:r>
        <w:rPr>
          <w:rFonts w:ascii="Arial" w:hAnsi="Arial" w:cs="Arial"/>
          <w:sz w:val="22"/>
          <w:szCs w:val="22"/>
        </w:rPr>
        <w:t>denote</w:t>
      </w:r>
      <w:r w:rsidRPr="00C01EAE">
        <w:rPr>
          <w:rFonts w:ascii="Arial" w:hAnsi="Arial" w:cs="Arial"/>
          <w:sz w:val="22"/>
          <w:szCs w:val="22"/>
        </w:rPr>
        <w:t xml:space="preserve"> features more abundant in fresh analysis, and blue rows </w:t>
      </w:r>
      <w:r>
        <w:rPr>
          <w:rFonts w:ascii="Arial" w:hAnsi="Arial" w:cs="Arial"/>
          <w:sz w:val="22"/>
          <w:szCs w:val="22"/>
        </w:rPr>
        <w:t>denote</w:t>
      </w:r>
      <w:r w:rsidRPr="00C01EAE">
        <w:rPr>
          <w:rFonts w:ascii="Arial" w:hAnsi="Arial" w:cs="Arial"/>
          <w:sz w:val="22"/>
          <w:szCs w:val="22"/>
        </w:rPr>
        <w:t xml:space="preserve"> features more abundant in frozen analysis. Protonated adducts are bolded, and features with multiple adducts are italicized.</w:t>
      </w:r>
    </w:p>
    <w:p w14:paraId="11935DAD" w14:textId="6F658492" w:rsidR="00601F1C" w:rsidRDefault="00380D34" w:rsidP="00601F1C">
      <w:pPr>
        <w:spacing w:line="360" w:lineRule="auto"/>
        <w:jc w:val="both"/>
        <w:rPr>
          <w:rFonts w:ascii="Arial" w:hAnsi="Arial" w:cs="Arial"/>
        </w:rPr>
      </w:pPr>
      <w:r>
        <w:rPr>
          <w:rFonts w:ascii="Arial" w:hAnsi="Arial" w:cs="Arial"/>
          <w:noProof/>
        </w:rPr>
        <w:drawing>
          <wp:inline distT="0" distB="0" distL="0" distR="0" wp14:anchorId="249BCB17" wp14:editId="5C0E7EBE">
            <wp:extent cx="5763780" cy="6662942"/>
            <wp:effectExtent l="0" t="0" r="8890" b="5080"/>
            <wp:docPr id="1145100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00046" name="Picture 114510004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3780" cy="6662942"/>
                    </a:xfrm>
                    <a:prstGeom prst="rect">
                      <a:avLst/>
                    </a:prstGeom>
                  </pic:spPr>
                </pic:pic>
              </a:graphicData>
            </a:graphic>
          </wp:inline>
        </w:drawing>
      </w:r>
    </w:p>
    <w:p w14:paraId="5B3EE18A" w14:textId="77777777" w:rsidR="00ED7880" w:rsidRDefault="00ED7880" w:rsidP="00ED7880">
      <w:pPr>
        <w:jc w:val="both"/>
        <w:rPr>
          <w:rFonts w:ascii="Arial" w:hAnsi="Arial" w:cs="Arial"/>
          <w:b/>
          <w:bCs/>
        </w:rPr>
      </w:pPr>
    </w:p>
    <w:p w14:paraId="6935E8A9" w14:textId="30F62E10" w:rsidR="00ED7880" w:rsidRDefault="00ED7880" w:rsidP="00ED7880">
      <w:pPr>
        <w:jc w:val="both"/>
        <w:rPr>
          <w:rFonts w:ascii="Arial" w:hAnsi="Arial" w:cs="Arial"/>
          <w:b/>
          <w:bCs/>
        </w:rPr>
      </w:pPr>
      <w:r>
        <w:rPr>
          <w:rFonts w:ascii="Arial" w:hAnsi="Arial" w:cs="Arial"/>
          <w:b/>
          <w:bCs/>
          <w:noProof/>
        </w:rPr>
        <w:lastRenderedPageBreak/>
        <w:drawing>
          <wp:inline distT="0" distB="0" distL="0" distR="0" wp14:anchorId="6F51FBB8" wp14:editId="0C57636D">
            <wp:extent cx="6858000" cy="3115945"/>
            <wp:effectExtent l="0" t="0" r="0" b="8255"/>
            <wp:docPr id="16385723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572302" name="Picture 16385723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58000" cy="3115945"/>
                    </a:xfrm>
                    <a:prstGeom prst="rect">
                      <a:avLst/>
                    </a:prstGeom>
                  </pic:spPr>
                </pic:pic>
              </a:graphicData>
            </a:graphic>
          </wp:inline>
        </w:drawing>
      </w:r>
    </w:p>
    <w:p w14:paraId="542B3166" w14:textId="4180A8DF" w:rsidR="00ED7880" w:rsidRPr="004472C5" w:rsidRDefault="00ED7880" w:rsidP="00ED7880">
      <w:pPr>
        <w:spacing w:line="360" w:lineRule="auto"/>
        <w:jc w:val="both"/>
      </w:pPr>
      <w:r w:rsidRPr="004472C5">
        <w:rPr>
          <w:rFonts w:ascii="Arial" w:hAnsi="Arial" w:cs="Arial"/>
          <w:b/>
          <w:bCs/>
        </w:rPr>
        <w:t>Figure S4.</w:t>
      </w:r>
      <w:r>
        <w:rPr>
          <w:rFonts w:ascii="Arial" w:hAnsi="Arial" w:cs="Arial"/>
        </w:rPr>
        <w:t xml:space="preserve"> Reflective plots of representative mass spectra highlighting the [M+H]</w:t>
      </w:r>
      <w:r w:rsidRPr="004472C5">
        <w:rPr>
          <w:rFonts w:ascii="Arial" w:hAnsi="Arial" w:cs="Arial"/>
          <w:vertAlign w:val="superscript"/>
        </w:rPr>
        <w:t>+</w:t>
      </w:r>
      <w:r>
        <w:rPr>
          <w:rFonts w:ascii="Arial" w:hAnsi="Arial" w:cs="Arial"/>
        </w:rPr>
        <w:t xml:space="preserve"> adducts of the biosynthetic precursors of lignin from </w:t>
      </w:r>
      <w:r>
        <w:rPr>
          <w:rFonts w:ascii="Arial" w:hAnsi="Arial" w:cs="Arial"/>
          <w:b/>
          <w:bCs/>
        </w:rPr>
        <w:t>Figure 6</w:t>
      </w:r>
      <w:r>
        <w:rPr>
          <w:rFonts w:ascii="Arial" w:hAnsi="Arial" w:cs="Arial"/>
        </w:rPr>
        <w:t xml:space="preserve"> in </w:t>
      </w:r>
      <w:r>
        <w:rPr>
          <w:rFonts w:ascii="Arial" w:hAnsi="Arial" w:cs="Arial"/>
          <w:b/>
          <w:bCs/>
        </w:rPr>
        <w:t>(A)</w:t>
      </w:r>
      <w:r>
        <w:rPr>
          <w:rFonts w:ascii="Arial" w:hAnsi="Arial" w:cs="Arial"/>
        </w:rPr>
        <w:t xml:space="preserve"> </w:t>
      </w:r>
      <w:r w:rsidRPr="00ED7880">
        <w:rPr>
          <w:rFonts w:ascii="Arial" w:hAnsi="Arial" w:cs="Arial"/>
        </w:rPr>
        <w:t xml:space="preserve">leaflet one of fresh sample 2, </w:t>
      </w:r>
      <w:r w:rsidRPr="00ED7880">
        <w:rPr>
          <w:rFonts w:ascii="Arial" w:hAnsi="Arial" w:cs="Arial"/>
          <w:b/>
          <w:bCs/>
        </w:rPr>
        <w:t>(B)</w:t>
      </w:r>
      <w:r w:rsidRPr="00ED7880">
        <w:rPr>
          <w:rFonts w:ascii="Arial" w:hAnsi="Arial" w:cs="Arial"/>
        </w:rPr>
        <w:t xml:space="preserve"> leaflet 2 of fresh sample 2, </w:t>
      </w:r>
      <w:r w:rsidRPr="00ED7880">
        <w:rPr>
          <w:rFonts w:ascii="Arial" w:hAnsi="Arial" w:cs="Arial"/>
          <w:b/>
          <w:bCs/>
        </w:rPr>
        <w:t>(C)</w:t>
      </w:r>
      <w:r w:rsidRPr="004472C5">
        <w:rPr>
          <w:rFonts w:ascii="Arial" w:hAnsi="Arial" w:cs="Arial"/>
        </w:rPr>
        <w:t xml:space="preserve">leaflet one of frozen sample 2, and </w:t>
      </w:r>
      <w:r w:rsidRPr="004472C5">
        <w:rPr>
          <w:rFonts w:ascii="Arial" w:hAnsi="Arial" w:cs="Arial"/>
          <w:b/>
          <w:bCs/>
        </w:rPr>
        <w:t>(D</w:t>
      </w:r>
      <w:r>
        <w:rPr>
          <w:rFonts w:ascii="Arial" w:hAnsi="Arial" w:cs="Arial"/>
          <w:b/>
          <w:bCs/>
        </w:rPr>
        <w:t>)</w:t>
      </w:r>
      <w:r>
        <w:rPr>
          <w:rFonts w:ascii="Arial" w:hAnsi="Arial" w:cs="Arial"/>
        </w:rPr>
        <w:t xml:space="preserve"> leaflet 2 of fresh sample 2. The calculated </w:t>
      </w:r>
      <w:r>
        <w:rPr>
          <w:rFonts w:ascii="Arial" w:hAnsi="Arial" w:cs="Arial"/>
          <w:i/>
          <w:iCs/>
        </w:rPr>
        <w:t>m/z</w:t>
      </w:r>
      <w:r>
        <w:rPr>
          <w:rFonts w:ascii="Arial" w:hAnsi="Arial" w:cs="Arial"/>
        </w:rPr>
        <w:t xml:space="preserve"> values are as follows: phenylalanine = </w:t>
      </w:r>
      <w:r>
        <w:rPr>
          <w:rFonts w:ascii="Arial" w:hAnsi="Arial" w:cs="Arial"/>
          <w:i/>
          <w:iCs/>
        </w:rPr>
        <w:t>m/z</w:t>
      </w:r>
      <w:r>
        <w:rPr>
          <w:rFonts w:ascii="Arial" w:hAnsi="Arial" w:cs="Arial"/>
        </w:rPr>
        <w:t xml:space="preserve"> 166.0863, cinnamic acid = </w:t>
      </w:r>
      <w:r>
        <w:rPr>
          <w:rFonts w:ascii="Arial" w:hAnsi="Arial" w:cs="Arial"/>
          <w:i/>
          <w:iCs/>
        </w:rPr>
        <w:t>m/z</w:t>
      </w:r>
      <w:r>
        <w:rPr>
          <w:rFonts w:ascii="Arial" w:hAnsi="Arial" w:cs="Arial"/>
        </w:rPr>
        <w:t xml:space="preserve"> 149.0597, and p-coumaric acid = </w:t>
      </w:r>
      <w:r>
        <w:rPr>
          <w:rFonts w:ascii="Arial" w:hAnsi="Arial" w:cs="Arial"/>
          <w:i/>
          <w:iCs/>
        </w:rPr>
        <w:t>m/z</w:t>
      </w:r>
      <w:r>
        <w:rPr>
          <w:rFonts w:ascii="Arial" w:hAnsi="Arial" w:cs="Arial"/>
        </w:rPr>
        <w:t xml:space="preserve"> 165.0546.</w:t>
      </w:r>
    </w:p>
    <w:p w14:paraId="44C4FB74" w14:textId="621CA2E4" w:rsidR="000B5707" w:rsidRDefault="000B5707" w:rsidP="004472C5">
      <w:pPr>
        <w:jc w:val="both"/>
      </w:pPr>
    </w:p>
    <w:sectPr w:rsidR="000B5707" w:rsidSect="00601F1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F1C"/>
    <w:rsid w:val="00075E4C"/>
    <w:rsid w:val="000B5707"/>
    <w:rsid w:val="001058AE"/>
    <w:rsid w:val="00161457"/>
    <w:rsid w:val="001D68FA"/>
    <w:rsid w:val="002B145E"/>
    <w:rsid w:val="002C6DF7"/>
    <w:rsid w:val="002D7408"/>
    <w:rsid w:val="002E52D0"/>
    <w:rsid w:val="002F2176"/>
    <w:rsid w:val="00305D28"/>
    <w:rsid w:val="00380D34"/>
    <w:rsid w:val="004472C5"/>
    <w:rsid w:val="004B0DAE"/>
    <w:rsid w:val="00597E8D"/>
    <w:rsid w:val="00601F1C"/>
    <w:rsid w:val="00610674"/>
    <w:rsid w:val="0062514C"/>
    <w:rsid w:val="007F542B"/>
    <w:rsid w:val="008C7B96"/>
    <w:rsid w:val="00945264"/>
    <w:rsid w:val="00975202"/>
    <w:rsid w:val="00A7563F"/>
    <w:rsid w:val="00AE60D2"/>
    <w:rsid w:val="00C252DF"/>
    <w:rsid w:val="00C36761"/>
    <w:rsid w:val="00C93323"/>
    <w:rsid w:val="00CC3960"/>
    <w:rsid w:val="00CD0F5D"/>
    <w:rsid w:val="00D16F0E"/>
    <w:rsid w:val="00DB13E2"/>
    <w:rsid w:val="00DB7B6F"/>
    <w:rsid w:val="00ED7880"/>
    <w:rsid w:val="00F33A1D"/>
    <w:rsid w:val="00FE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0E8F1"/>
  <w15:chartTrackingRefBased/>
  <w15:docId w15:val="{3A31886E-C925-42E5-AE54-8CA0119E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F1C"/>
  </w:style>
  <w:style w:type="paragraph" w:styleId="Heading1">
    <w:name w:val="heading 1"/>
    <w:basedOn w:val="Normal"/>
    <w:next w:val="Normal"/>
    <w:link w:val="Heading1Char"/>
    <w:uiPriority w:val="9"/>
    <w:qFormat/>
    <w:rsid w:val="00601F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1F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1F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1F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1F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1F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1F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1F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1F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F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1F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1F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1F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1F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1F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1F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1F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1F1C"/>
    <w:rPr>
      <w:rFonts w:eastAsiaTheme="majorEastAsia" w:cstheme="majorBidi"/>
      <w:color w:val="272727" w:themeColor="text1" w:themeTint="D8"/>
    </w:rPr>
  </w:style>
  <w:style w:type="paragraph" w:styleId="Title">
    <w:name w:val="Title"/>
    <w:basedOn w:val="Normal"/>
    <w:next w:val="Normal"/>
    <w:link w:val="TitleChar"/>
    <w:uiPriority w:val="10"/>
    <w:qFormat/>
    <w:rsid w:val="00601F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1F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1F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1F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1F1C"/>
    <w:pPr>
      <w:spacing w:before="160"/>
      <w:jc w:val="center"/>
    </w:pPr>
    <w:rPr>
      <w:i/>
      <w:iCs/>
      <w:color w:val="404040" w:themeColor="text1" w:themeTint="BF"/>
    </w:rPr>
  </w:style>
  <w:style w:type="character" w:customStyle="1" w:styleId="QuoteChar">
    <w:name w:val="Quote Char"/>
    <w:basedOn w:val="DefaultParagraphFont"/>
    <w:link w:val="Quote"/>
    <w:uiPriority w:val="29"/>
    <w:rsid w:val="00601F1C"/>
    <w:rPr>
      <w:i/>
      <w:iCs/>
      <w:color w:val="404040" w:themeColor="text1" w:themeTint="BF"/>
    </w:rPr>
  </w:style>
  <w:style w:type="paragraph" w:styleId="ListParagraph">
    <w:name w:val="List Paragraph"/>
    <w:basedOn w:val="Normal"/>
    <w:uiPriority w:val="34"/>
    <w:qFormat/>
    <w:rsid w:val="00601F1C"/>
    <w:pPr>
      <w:ind w:left="720"/>
      <w:contextualSpacing/>
    </w:pPr>
  </w:style>
  <w:style w:type="character" w:styleId="IntenseEmphasis">
    <w:name w:val="Intense Emphasis"/>
    <w:basedOn w:val="DefaultParagraphFont"/>
    <w:uiPriority w:val="21"/>
    <w:qFormat/>
    <w:rsid w:val="00601F1C"/>
    <w:rPr>
      <w:i/>
      <w:iCs/>
      <w:color w:val="0F4761" w:themeColor="accent1" w:themeShade="BF"/>
    </w:rPr>
  </w:style>
  <w:style w:type="paragraph" w:styleId="IntenseQuote">
    <w:name w:val="Intense Quote"/>
    <w:basedOn w:val="Normal"/>
    <w:next w:val="Normal"/>
    <w:link w:val="IntenseQuoteChar"/>
    <w:uiPriority w:val="30"/>
    <w:qFormat/>
    <w:rsid w:val="00601F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1F1C"/>
    <w:rPr>
      <w:i/>
      <w:iCs/>
      <w:color w:val="0F4761" w:themeColor="accent1" w:themeShade="BF"/>
    </w:rPr>
  </w:style>
  <w:style w:type="character" w:styleId="IntenseReference">
    <w:name w:val="Intense Reference"/>
    <w:basedOn w:val="DefaultParagraphFont"/>
    <w:uiPriority w:val="32"/>
    <w:qFormat/>
    <w:rsid w:val="00601F1C"/>
    <w:rPr>
      <w:b/>
      <w:bCs/>
      <w:smallCaps/>
      <w:color w:val="0F4761" w:themeColor="accent1" w:themeShade="BF"/>
      <w:spacing w:val="5"/>
    </w:rPr>
  </w:style>
  <w:style w:type="character" w:styleId="Hyperlink">
    <w:name w:val="Hyperlink"/>
    <w:basedOn w:val="DefaultParagraphFont"/>
    <w:uiPriority w:val="99"/>
    <w:unhideWhenUsed/>
    <w:rsid w:val="00305D28"/>
    <w:rPr>
      <w:color w:val="467886" w:themeColor="hyperlink"/>
      <w:u w:val="single"/>
    </w:rPr>
  </w:style>
  <w:style w:type="paragraph" w:styleId="Revision">
    <w:name w:val="Revision"/>
    <w:hidden/>
    <w:uiPriority w:val="99"/>
    <w:semiHidden/>
    <w:rsid w:val="001614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mailto:dcmuddim@ncsu.edu"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Mills</dc:creator>
  <cp:keywords/>
  <dc:description/>
  <cp:lastModifiedBy>DCMUDDIM</cp:lastModifiedBy>
  <cp:revision>3</cp:revision>
  <dcterms:created xsi:type="dcterms:W3CDTF">2026-07-21T15:52:00Z</dcterms:created>
  <dcterms:modified xsi:type="dcterms:W3CDTF">2026-07-21T16:29:00Z</dcterms:modified>
</cp:coreProperties>
</file>