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638AE" w14:textId="77777777" w:rsidR="00805D54" w:rsidRPr="00A91A27" w:rsidRDefault="00805D54" w:rsidP="00805D54">
      <w:pPr>
        <w:jc w:val="center"/>
        <w:rPr>
          <w:rFonts w:asciiTheme="majorBidi" w:hAnsiTheme="majorBidi" w:cstheme="majorBidi"/>
          <w:color w:val="000000" w:themeColor="text1"/>
          <w:sz w:val="24"/>
        </w:rPr>
      </w:pPr>
      <w:r w:rsidRPr="00A91A27">
        <w:rPr>
          <w:rFonts w:asciiTheme="majorBidi" w:hAnsiTheme="majorBidi" w:cstheme="majorBidi"/>
          <w:b/>
          <w:bCs/>
          <w:color w:val="000000" w:themeColor="text1"/>
          <w:sz w:val="24"/>
          <w:highlight w:val="green"/>
        </w:rPr>
        <w:t xml:space="preserve">Tailoring Microalgal Extract Properties </w:t>
      </w:r>
      <w:r w:rsidRPr="00A30892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highlight w:val="green"/>
        </w:rPr>
        <w:t>via</w:t>
      </w:r>
      <w:r w:rsidRPr="00A91A27">
        <w:rPr>
          <w:rFonts w:asciiTheme="majorBidi" w:hAnsiTheme="majorBidi" w:cstheme="majorBidi"/>
          <w:b/>
          <w:bCs/>
          <w:color w:val="000000" w:themeColor="text1"/>
          <w:sz w:val="24"/>
          <w:highlight w:val="green"/>
        </w:rPr>
        <w:t xml:space="preserve"> Non-Thermal Pretreatments: Application-Specific Optimization in </w:t>
      </w:r>
      <w:r w:rsidRPr="00A91A27">
        <w:rPr>
          <w:rFonts w:asciiTheme="majorBidi" w:hAnsiTheme="majorBidi" w:cstheme="majorBidi"/>
          <w:b/>
          <w:bCs/>
          <w:i/>
          <w:iCs/>
          <w:color w:val="000000" w:themeColor="text1"/>
          <w:sz w:val="24"/>
          <w:highlight w:val="green"/>
        </w:rPr>
        <w:t>Chlorella vulgaris</w:t>
      </w:r>
    </w:p>
    <w:p w14:paraId="0B3B70A9" w14:textId="77777777" w:rsidR="00DB0303" w:rsidRDefault="00DB0303" w:rsidP="00966C4C">
      <w:pPr>
        <w:spacing w:line="276" w:lineRule="auto"/>
      </w:pPr>
    </w:p>
    <w:p w14:paraId="025DA86A" w14:textId="25B87B6A" w:rsidR="00DB0303" w:rsidRPr="009E4DEB" w:rsidRDefault="00DB0303" w:rsidP="00966C4C">
      <w:pPr>
        <w:spacing w:line="276" w:lineRule="auto"/>
        <w:jc w:val="center"/>
        <w:rPr>
          <w:szCs w:val="20"/>
        </w:rPr>
      </w:pPr>
      <w:r w:rsidRPr="009E4DEB">
        <w:rPr>
          <w:szCs w:val="20"/>
        </w:rPr>
        <w:t>Ali Saebi</w:t>
      </w:r>
      <w:r w:rsidRPr="009E4DEB">
        <w:rPr>
          <w:szCs w:val="20"/>
          <w:vertAlign w:val="superscript"/>
        </w:rPr>
        <w:t>1, 2</w:t>
      </w:r>
      <w:r w:rsidRPr="009E4DEB">
        <w:rPr>
          <w:szCs w:val="20"/>
        </w:rPr>
        <w:t>, Ebrahim Mahmoudi</w:t>
      </w:r>
      <w:r w:rsidRPr="009E4DEB">
        <w:rPr>
          <w:szCs w:val="20"/>
          <w:vertAlign w:val="superscript"/>
        </w:rPr>
        <w:t>1</w:t>
      </w:r>
      <w:r w:rsidRPr="009E4DEB">
        <w:rPr>
          <w:szCs w:val="20"/>
        </w:rPr>
        <w:t>, Masturah Markom</w:t>
      </w:r>
      <w:r w:rsidRPr="009E4DEB">
        <w:rPr>
          <w:szCs w:val="20"/>
          <w:vertAlign w:val="superscript"/>
        </w:rPr>
        <w:t>1, *</w:t>
      </w:r>
      <w:r w:rsidRPr="009E4DEB">
        <w:rPr>
          <w:szCs w:val="20"/>
        </w:rPr>
        <w:t>, Saeid Minaei</w:t>
      </w:r>
      <w:r w:rsidRPr="009E4DEB">
        <w:rPr>
          <w:szCs w:val="20"/>
          <w:vertAlign w:val="superscript"/>
        </w:rPr>
        <w:t>2</w:t>
      </w:r>
      <w:r w:rsidRPr="009E4DEB">
        <w:rPr>
          <w:szCs w:val="20"/>
        </w:rPr>
        <w:t>, Alireza Mahdavian</w:t>
      </w:r>
      <w:r w:rsidRPr="009E4DEB">
        <w:rPr>
          <w:szCs w:val="20"/>
          <w:vertAlign w:val="superscript"/>
        </w:rPr>
        <w:t>2</w:t>
      </w:r>
      <w:r w:rsidRPr="009E4DEB">
        <w:rPr>
          <w:szCs w:val="20"/>
        </w:rPr>
        <w:t>, Mohammad-Taghi Ebadi</w:t>
      </w:r>
      <w:r w:rsidRPr="009E4DEB">
        <w:rPr>
          <w:szCs w:val="20"/>
          <w:vertAlign w:val="superscript"/>
        </w:rPr>
        <w:t>3</w:t>
      </w:r>
      <w:r w:rsidRPr="009E4DEB">
        <w:rPr>
          <w:szCs w:val="20"/>
        </w:rPr>
        <w:t>, Kim S Siow</w:t>
      </w:r>
      <w:r w:rsidRPr="009E4DEB">
        <w:rPr>
          <w:szCs w:val="20"/>
          <w:vertAlign w:val="superscript"/>
        </w:rPr>
        <w:t>4</w:t>
      </w:r>
      <w:r w:rsidRPr="009E4DEB">
        <w:rPr>
          <w:szCs w:val="20"/>
          <w:vertAlign w:val="superscript"/>
          <w:cs/>
        </w:rPr>
        <w:t>‎</w:t>
      </w:r>
    </w:p>
    <w:p w14:paraId="5E1293A4" w14:textId="77777777" w:rsidR="00DB0303" w:rsidRPr="00BB2EAF" w:rsidRDefault="00DB0303" w:rsidP="00966C4C">
      <w:pPr>
        <w:spacing w:line="276" w:lineRule="auto"/>
        <w:jc w:val="center"/>
        <w:rPr>
          <w:sz w:val="18"/>
          <w:szCs w:val="18"/>
        </w:rPr>
      </w:pPr>
      <w:r w:rsidRPr="00BB2EAF">
        <w:rPr>
          <w:sz w:val="18"/>
          <w:szCs w:val="18"/>
        </w:rPr>
        <w:t>Department of Chemical and Process Engineering, Universiti Kebangsaan Malaysia (UKM), Bangi, 43600, Selangor, Malaysia</w:t>
      </w:r>
      <w:r w:rsidRPr="00BB2EAF">
        <w:rPr>
          <w:sz w:val="18"/>
          <w:szCs w:val="18"/>
          <w:vertAlign w:val="superscript"/>
        </w:rPr>
        <w:t>1</w:t>
      </w:r>
      <w:r w:rsidRPr="00BB2EAF">
        <w:rPr>
          <w:sz w:val="18"/>
          <w:szCs w:val="18"/>
          <w:vertAlign w:val="superscript"/>
          <w:cs/>
        </w:rPr>
        <w:t>‎</w:t>
      </w:r>
    </w:p>
    <w:p w14:paraId="09B6F012" w14:textId="77777777" w:rsidR="00DB0303" w:rsidRPr="00BB2EAF" w:rsidRDefault="00DB0303" w:rsidP="00966C4C">
      <w:pPr>
        <w:spacing w:line="276" w:lineRule="auto"/>
        <w:jc w:val="center"/>
        <w:rPr>
          <w:sz w:val="18"/>
          <w:szCs w:val="18"/>
        </w:rPr>
      </w:pPr>
      <w:r w:rsidRPr="00BB2EAF">
        <w:rPr>
          <w:sz w:val="18"/>
          <w:szCs w:val="18"/>
        </w:rPr>
        <w:t>Biosystems Engineering Department, Tarbiat Modares University (TMU), Tehran, Iran</w:t>
      </w:r>
      <w:r w:rsidRPr="00BB2EAF">
        <w:rPr>
          <w:sz w:val="18"/>
          <w:szCs w:val="18"/>
          <w:vertAlign w:val="superscript"/>
        </w:rPr>
        <w:t>2</w:t>
      </w:r>
      <w:r w:rsidRPr="00BB2EAF">
        <w:rPr>
          <w:sz w:val="18"/>
          <w:szCs w:val="18"/>
          <w:vertAlign w:val="superscript"/>
          <w:cs/>
        </w:rPr>
        <w:t>‎</w:t>
      </w:r>
    </w:p>
    <w:p w14:paraId="4A24A5D3" w14:textId="77777777" w:rsidR="00DB0303" w:rsidRPr="00BB2EAF" w:rsidRDefault="00DB0303" w:rsidP="00966C4C">
      <w:pPr>
        <w:spacing w:line="276" w:lineRule="auto"/>
        <w:jc w:val="center"/>
        <w:rPr>
          <w:sz w:val="18"/>
          <w:szCs w:val="18"/>
        </w:rPr>
      </w:pPr>
      <w:r w:rsidRPr="00BB2EAF">
        <w:rPr>
          <w:sz w:val="18"/>
          <w:szCs w:val="18"/>
        </w:rPr>
        <w:t>Department of Horticultural Science, Tarbiat Modares University (TMU), Tehran, Iran</w:t>
      </w:r>
      <w:r w:rsidRPr="00BB2EAF">
        <w:rPr>
          <w:sz w:val="18"/>
          <w:szCs w:val="18"/>
          <w:vertAlign w:val="superscript"/>
        </w:rPr>
        <w:t>3</w:t>
      </w:r>
      <w:r w:rsidRPr="00BB2EAF">
        <w:rPr>
          <w:sz w:val="18"/>
          <w:szCs w:val="18"/>
          <w:cs/>
        </w:rPr>
        <w:t>‎</w:t>
      </w:r>
    </w:p>
    <w:p w14:paraId="7AFA6DD5" w14:textId="77777777" w:rsidR="00DB0303" w:rsidRPr="00BB2EAF" w:rsidRDefault="00DB0303" w:rsidP="00966C4C">
      <w:pPr>
        <w:spacing w:line="276" w:lineRule="auto"/>
        <w:jc w:val="center"/>
        <w:rPr>
          <w:sz w:val="18"/>
          <w:szCs w:val="18"/>
        </w:rPr>
      </w:pPr>
      <w:r w:rsidRPr="00BB2EAF">
        <w:rPr>
          <w:sz w:val="18"/>
          <w:szCs w:val="18"/>
        </w:rPr>
        <w:t>Institute of Microengineering and Nanoelectronics (IMEN), Universiti Kebangsaan Malaysia, (UKM), 43600, Bangi, Selangor, Malaysia</w:t>
      </w:r>
      <w:r w:rsidRPr="00BB2EAF">
        <w:rPr>
          <w:sz w:val="18"/>
          <w:szCs w:val="18"/>
          <w:vertAlign w:val="superscript"/>
        </w:rPr>
        <w:t>4</w:t>
      </w:r>
      <w:r w:rsidRPr="00BB2EAF">
        <w:rPr>
          <w:sz w:val="18"/>
          <w:szCs w:val="18"/>
          <w:vertAlign w:val="superscript"/>
          <w:cs/>
        </w:rPr>
        <w:t>‎</w:t>
      </w:r>
    </w:p>
    <w:p w14:paraId="745490F1" w14:textId="32AB4091" w:rsidR="00DB0303" w:rsidRPr="00BB2EAF" w:rsidRDefault="00DB0303" w:rsidP="00966C4C">
      <w:pPr>
        <w:spacing w:line="276" w:lineRule="auto"/>
        <w:jc w:val="center"/>
        <w:rPr>
          <w:sz w:val="18"/>
          <w:szCs w:val="18"/>
        </w:rPr>
      </w:pPr>
      <w:r w:rsidRPr="00BB2EAF">
        <w:rPr>
          <w:sz w:val="18"/>
          <w:szCs w:val="18"/>
        </w:rPr>
        <w:t>Corresponding author email: masturahmarkom@ukm.edu.my</w:t>
      </w:r>
    </w:p>
    <w:p w14:paraId="6B496476" w14:textId="77777777" w:rsidR="00DB0303" w:rsidRDefault="00DB0303" w:rsidP="00966C4C">
      <w:pPr>
        <w:spacing w:line="276" w:lineRule="auto"/>
      </w:pPr>
      <w:r>
        <w:t xml:space="preserve"> </w:t>
      </w:r>
    </w:p>
    <w:p w14:paraId="497F7C07" w14:textId="77777777" w:rsidR="00DB0303" w:rsidRDefault="00DB0303" w:rsidP="00966C4C">
      <w:pPr>
        <w:spacing w:line="276" w:lineRule="auto"/>
      </w:pPr>
    </w:p>
    <w:p w14:paraId="571E6934" w14:textId="77777777" w:rsidR="00DB0303" w:rsidRDefault="00DB0303" w:rsidP="00966C4C">
      <w:pPr>
        <w:spacing w:line="276" w:lineRule="auto"/>
      </w:pPr>
    </w:p>
    <w:p w14:paraId="34F28AC2" w14:textId="77777777" w:rsidR="00DB0303" w:rsidRDefault="00DB0303" w:rsidP="00966C4C">
      <w:pPr>
        <w:spacing w:line="276" w:lineRule="auto"/>
      </w:pPr>
    </w:p>
    <w:p w14:paraId="4B9D803C" w14:textId="77777777" w:rsidR="00DB0303" w:rsidRDefault="00DB0303" w:rsidP="00966C4C">
      <w:pPr>
        <w:spacing w:line="276" w:lineRule="auto"/>
      </w:pPr>
    </w:p>
    <w:p w14:paraId="55F41C37" w14:textId="77777777" w:rsidR="00DB0303" w:rsidRDefault="00DB0303" w:rsidP="00966C4C">
      <w:pPr>
        <w:spacing w:line="276" w:lineRule="auto"/>
      </w:pPr>
    </w:p>
    <w:p w14:paraId="2C22A623" w14:textId="77777777" w:rsidR="00DB0303" w:rsidRDefault="00DB0303" w:rsidP="00966C4C">
      <w:pPr>
        <w:spacing w:line="276" w:lineRule="auto"/>
      </w:pPr>
    </w:p>
    <w:p w14:paraId="31EB1698" w14:textId="77777777" w:rsidR="00DB0303" w:rsidRDefault="00DB0303" w:rsidP="00966C4C">
      <w:pPr>
        <w:spacing w:line="276" w:lineRule="auto"/>
      </w:pPr>
    </w:p>
    <w:p w14:paraId="67B98229" w14:textId="77777777" w:rsidR="00DB0303" w:rsidRDefault="00DB0303" w:rsidP="00966C4C">
      <w:pPr>
        <w:spacing w:line="276" w:lineRule="auto"/>
      </w:pPr>
    </w:p>
    <w:p w14:paraId="27B786B6" w14:textId="77777777" w:rsidR="00DB0303" w:rsidRDefault="00DB0303" w:rsidP="00966C4C">
      <w:pPr>
        <w:spacing w:line="276" w:lineRule="auto"/>
      </w:pPr>
    </w:p>
    <w:p w14:paraId="10712F34" w14:textId="77777777" w:rsidR="00DB0303" w:rsidRDefault="00DB0303" w:rsidP="00966C4C">
      <w:pPr>
        <w:spacing w:line="276" w:lineRule="auto"/>
      </w:pPr>
    </w:p>
    <w:p w14:paraId="04AC6204" w14:textId="77777777" w:rsidR="00DB0303" w:rsidRDefault="00DB0303" w:rsidP="00966C4C">
      <w:pPr>
        <w:spacing w:line="276" w:lineRule="auto"/>
      </w:pPr>
    </w:p>
    <w:p w14:paraId="75AF8DC0" w14:textId="77777777" w:rsidR="00DB0303" w:rsidRDefault="00DB0303" w:rsidP="00966C4C">
      <w:pPr>
        <w:spacing w:line="276" w:lineRule="auto"/>
      </w:pPr>
    </w:p>
    <w:p w14:paraId="3FAFFF85" w14:textId="77777777" w:rsidR="00FF20D7" w:rsidRDefault="00FF20D7" w:rsidP="00966C4C">
      <w:pPr>
        <w:spacing w:line="276" w:lineRule="auto"/>
      </w:pPr>
    </w:p>
    <w:p w14:paraId="2C6841C2" w14:textId="77777777" w:rsidR="00FF20D7" w:rsidRPr="00FF20D7" w:rsidRDefault="00FF20D7" w:rsidP="00966C4C">
      <w:pPr>
        <w:spacing w:line="276" w:lineRule="auto"/>
        <w:rPr>
          <w:rFonts w:eastAsia="Times New Roman" w:cs="Times New Roman"/>
          <w:b/>
          <w:bCs/>
          <w:sz w:val="24"/>
        </w:rPr>
      </w:pPr>
    </w:p>
    <w:p w14:paraId="35A84EB6" w14:textId="77777777" w:rsidR="00FF20D7" w:rsidRDefault="00FF20D7" w:rsidP="00966C4C">
      <w:pPr>
        <w:spacing w:line="276" w:lineRule="auto"/>
        <w:rPr>
          <w:rFonts w:eastAsia="Times New Roman" w:cs="Times New Roman"/>
          <w:b/>
          <w:bCs/>
          <w:sz w:val="24"/>
        </w:rPr>
      </w:pPr>
    </w:p>
    <w:p w14:paraId="5F2063F5" w14:textId="77777777" w:rsidR="009E4DEB" w:rsidRDefault="009E4DEB" w:rsidP="00966C4C">
      <w:pPr>
        <w:spacing w:line="276" w:lineRule="auto"/>
        <w:rPr>
          <w:rFonts w:eastAsia="Times New Roman" w:cs="Times New Roman"/>
          <w:b/>
          <w:bCs/>
          <w:sz w:val="24"/>
          <w:lang w:bidi="fa-IR"/>
        </w:rPr>
      </w:pPr>
    </w:p>
    <w:p w14:paraId="159A71C3" w14:textId="77777777" w:rsidR="00BB2EAF" w:rsidRDefault="00BB2EAF" w:rsidP="00966C4C">
      <w:pPr>
        <w:spacing w:line="276" w:lineRule="auto"/>
        <w:rPr>
          <w:rFonts w:eastAsia="Times New Roman" w:cs="Times New Roman"/>
          <w:b/>
          <w:bCs/>
          <w:sz w:val="24"/>
          <w:lang w:bidi="fa-IR"/>
        </w:rPr>
      </w:pPr>
    </w:p>
    <w:p w14:paraId="658210F6" w14:textId="77777777" w:rsidR="004A17D8" w:rsidRDefault="004A17D8" w:rsidP="00966C4C">
      <w:pPr>
        <w:spacing w:line="276" w:lineRule="auto"/>
        <w:rPr>
          <w:rFonts w:eastAsia="Times New Roman" w:cs="Times New Roman"/>
          <w:b/>
          <w:bCs/>
          <w:sz w:val="24"/>
          <w:lang w:bidi="fa-IR"/>
        </w:rPr>
      </w:pPr>
    </w:p>
    <w:p w14:paraId="5BB2328F" w14:textId="77777777" w:rsidR="00805D54" w:rsidRDefault="00805D54" w:rsidP="00966C4C">
      <w:pPr>
        <w:spacing w:line="276" w:lineRule="auto"/>
        <w:rPr>
          <w:rFonts w:eastAsia="Times New Roman" w:cs="Times New Roman"/>
          <w:b/>
          <w:bCs/>
          <w:sz w:val="24"/>
          <w:rtl/>
          <w:lang w:bidi="fa-IR"/>
        </w:rPr>
      </w:pPr>
    </w:p>
    <w:p w14:paraId="490153DE" w14:textId="5E6AFDB3" w:rsidR="005B37E5" w:rsidRPr="002202F0" w:rsidRDefault="00FF20D7" w:rsidP="002202F0">
      <w:pPr>
        <w:spacing w:line="276" w:lineRule="auto"/>
        <w:rPr>
          <w:rFonts w:eastAsia="Times New Roman" w:cs="Times New Roman"/>
          <w:b/>
          <w:bCs/>
          <w:sz w:val="24"/>
        </w:rPr>
      </w:pPr>
      <w:r w:rsidRPr="00FF20D7">
        <w:rPr>
          <w:rFonts w:eastAsia="Times New Roman" w:cs="Times New Roman"/>
          <w:b/>
          <w:bCs/>
          <w:sz w:val="24"/>
        </w:rPr>
        <w:lastRenderedPageBreak/>
        <w:t>Materials and Methods</w:t>
      </w:r>
      <w:bookmarkStart w:id="0" w:name="_Hlk198477172"/>
    </w:p>
    <w:p w14:paraId="73243FED" w14:textId="4992481F" w:rsidR="00CC787D" w:rsidRPr="00CC787D" w:rsidRDefault="00CC787D" w:rsidP="00CC787D">
      <w:pPr>
        <w:spacing w:line="276" w:lineRule="auto"/>
        <w:jc w:val="both"/>
        <w:rPr>
          <w:sz w:val="22"/>
          <w:szCs w:val="22"/>
          <w:lang w:bidi="fa-IR"/>
        </w:rPr>
      </w:pPr>
      <w:r w:rsidRPr="009F0A47">
        <w:rPr>
          <w:sz w:val="22"/>
          <w:szCs w:val="22"/>
          <w:cs/>
          <w:lang w:bidi="fa-IR"/>
        </w:rPr>
        <w:t>‎</w:t>
      </w:r>
      <w:r w:rsidR="00081FC6">
        <w:rPr>
          <w:rFonts w:asciiTheme="majorBidi" w:hAnsiTheme="majorBidi" w:cstheme="majorBidi"/>
          <w:b/>
          <w:bCs/>
          <w:sz w:val="22"/>
          <w:szCs w:val="22"/>
          <w:lang w:bidi="fa-IR"/>
        </w:rPr>
        <w:t xml:space="preserve">Details and </w:t>
      </w:r>
      <w:r w:rsidR="00081FC6" w:rsidRPr="00081FC6">
        <w:rPr>
          <w:rFonts w:asciiTheme="majorBidi" w:hAnsiTheme="majorBidi" w:cstheme="majorBidi"/>
          <w:b/>
          <w:bCs/>
          <w:sz w:val="22"/>
          <w:szCs w:val="22"/>
          <w:lang w:bidi="fa-IR"/>
        </w:rPr>
        <w:t xml:space="preserve">Equipment </w:t>
      </w:r>
      <w:r w:rsidR="00F069CA">
        <w:rPr>
          <w:rFonts w:asciiTheme="majorBidi" w:hAnsiTheme="majorBidi" w:cstheme="majorBidi"/>
          <w:b/>
          <w:bCs/>
          <w:sz w:val="22"/>
          <w:szCs w:val="22"/>
          <w:lang w:bidi="fa-IR"/>
        </w:rPr>
        <w:t>D</w:t>
      </w:r>
      <w:r w:rsidR="00081FC6" w:rsidRPr="00081FC6">
        <w:rPr>
          <w:rFonts w:asciiTheme="majorBidi" w:hAnsiTheme="majorBidi" w:cstheme="majorBidi"/>
          <w:b/>
          <w:bCs/>
          <w:sz w:val="22"/>
          <w:szCs w:val="22"/>
          <w:lang w:bidi="fa-IR"/>
        </w:rPr>
        <w:t>evice</w:t>
      </w:r>
      <w:r w:rsidR="00081FC6">
        <w:rPr>
          <w:rFonts w:asciiTheme="majorBidi" w:hAnsiTheme="majorBidi" w:cstheme="majorBidi"/>
          <w:b/>
          <w:bCs/>
          <w:sz w:val="22"/>
          <w:szCs w:val="22"/>
          <w:lang w:bidi="fa-IR"/>
        </w:rPr>
        <w:t>s</w:t>
      </w:r>
      <w:r w:rsidR="00081FC6" w:rsidRPr="009F0A47">
        <w:rPr>
          <w:rFonts w:asciiTheme="majorBidi" w:hAnsiTheme="majorBidi" w:cstheme="majorBidi"/>
          <w:b/>
          <w:bCs/>
          <w:sz w:val="22"/>
          <w:szCs w:val="22"/>
          <w:lang w:bidi="fa-IR"/>
        </w:rPr>
        <w:t xml:space="preserve"> </w:t>
      </w:r>
      <w:r w:rsidR="00081FC6">
        <w:rPr>
          <w:rFonts w:asciiTheme="majorBidi" w:hAnsiTheme="majorBidi" w:cstheme="majorBidi"/>
          <w:b/>
          <w:bCs/>
          <w:sz w:val="22"/>
          <w:szCs w:val="22"/>
          <w:lang w:bidi="fa-IR"/>
        </w:rPr>
        <w:t xml:space="preserve"> for </w:t>
      </w:r>
      <w:r w:rsidRPr="009F0A47">
        <w:rPr>
          <w:rFonts w:asciiTheme="majorBidi" w:hAnsiTheme="majorBidi" w:cstheme="majorBidi"/>
          <w:b/>
          <w:bCs/>
          <w:sz w:val="22"/>
          <w:szCs w:val="22"/>
          <w:lang w:bidi="fa-IR"/>
        </w:rPr>
        <w:t>Non-Thermal Pretreatments</w:t>
      </w:r>
    </w:p>
    <w:bookmarkEnd w:id="0"/>
    <w:p w14:paraId="34F77882" w14:textId="2503428D" w:rsidR="008C1EA1" w:rsidRDefault="008C1EA1" w:rsidP="00DF0DC0">
      <w:pPr>
        <w:spacing w:line="276" w:lineRule="auto"/>
        <w:jc w:val="center"/>
        <w:rPr>
          <w:sz w:val="18"/>
          <w:szCs w:val="18"/>
        </w:rPr>
      </w:pPr>
      <w:r w:rsidRPr="006E6CAA">
        <w:rPr>
          <w:b/>
          <w:bCs/>
          <w:sz w:val="18"/>
          <w:szCs w:val="18"/>
        </w:rPr>
        <w:t>Table S1</w:t>
      </w:r>
      <w:r w:rsidRPr="006E6CAA">
        <w:rPr>
          <w:sz w:val="18"/>
          <w:szCs w:val="18"/>
        </w:rPr>
        <w:t xml:space="preserve"> </w:t>
      </w:r>
      <w:r w:rsidR="00DE310C" w:rsidRPr="00DE310C">
        <w:rPr>
          <w:sz w:val="18"/>
          <w:szCs w:val="18"/>
        </w:rPr>
        <w:t xml:space="preserve">Operational Parameters of Non-Thermal Pretreatments Used in Upstream Processing of </w:t>
      </w:r>
      <w:r w:rsidR="00DE310C" w:rsidRPr="00DE310C">
        <w:rPr>
          <w:i/>
          <w:iCs/>
          <w:sz w:val="18"/>
          <w:szCs w:val="18"/>
        </w:rPr>
        <w:t>C. vulgaris</w:t>
      </w:r>
      <w:r w:rsidR="00DE310C" w:rsidRPr="00DE310C">
        <w:rPr>
          <w:sz w:val="18"/>
          <w:szCs w:val="18"/>
        </w:rPr>
        <w:t xml:space="preserve"> for SC-CO₂ Extraction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23"/>
        <w:gridCol w:w="2713"/>
        <w:gridCol w:w="2848"/>
        <w:gridCol w:w="2476"/>
      </w:tblGrid>
      <w:tr w:rsidR="00EC7FFA" w14:paraId="3833C624" w14:textId="77777777" w:rsidTr="00906BF3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5D89CC3" w14:textId="1CC94C8C" w:rsidR="00EC7FFA" w:rsidRPr="00906BF3" w:rsidRDefault="00EC7FFA" w:rsidP="00EC7FFA">
            <w:pPr>
              <w:spacing w:line="276" w:lineRule="auto"/>
              <w:jc w:val="center"/>
              <w:rPr>
                <w:b/>
                <w:bCs/>
                <w:sz w:val="18"/>
                <w:szCs w:val="22"/>
              </w:rPr>
            </w:pPr>
            <w:r w:rsidRPr="00906BF3">
              <w:rPr>
                <w:b/>
                <w:bCs/>
                <w:sz w:val="18"/>
                <w:szCs w:val="22"/>
              </w:rPr>
              <w:t>Pretreatment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02A773" w14:textId="718A5D11" w:rsidR="00EC7FFA" w:rsidRPr="00906BF3" w:rsidRDefault="00EC7FFA" w:rsidP="00EC7FFA">
            <w:pPr>
              <w:spacing w:line="276" w:lineRule="auto"/>
              <w:jc w:val="center"/>
              <w:rPr>
                <w:b/>
                <w:bCs/>
                <w:sz w:val="18"/>
                <w:szCs w:val="22"/>
              </w:rPr>
            </w:pPr>
            <w:r w:rsidRPr="00906BF3">
              <w:rPr>
                <w:b/>
                <w:bCs/>
                <w:sz w:val="18"/>
                <w:szCs w:val="22"/>
              </w:rPr>
              <w:t>Equipment Model/Manufacturer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ADED2FA" w14:textId="64213695" w:rsidR="00EC7FFA" w:rsidRPr="00906BF3" w:rsidRDefault="00EC7FFA" w:rsidP="00EC7FFA">
            <w:pPr>
              <w:spacing w:line="276" w:lineRule="auto"/>
              <w:jc w:val="center"/>
              <w:rPr>
                <w:b/>
                <w:bCs/>
                <w:sz w:val="18"/>
                <w:szCs w:val="22"/>
              </w:rPr>
            </w:pPr>
            <w:r w:rsidRPr="00906BF3">
              <w:rPr>
                <w:b/>
                <w:bCs/>
                <w:sz w:val="18"/>
                <w:szCs w:val="22"/>
              </w:rPr>
              <w:t>Key Operational Parameters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1507F62" w14:textId="6937D110" w:rsidR="00EC7FFA" w:rsidRPr="00906BF3" w:rsidRDefault="00EC7FFA" w:rsidP="00EC7FFA">
            <w:pPr>
              <w:spacing w:line="276" w:lineRule="auto"/>
              <w:jc w:val="center"/>
              <w:rPr>
                <w:b/>
                <w:bCs/>
                <w:sz w:val="18"/>
                <w:szCs w:val="22"/>
              </w:rPr>
            </w:pPr>
            <w:r w:rsidRPr="00906BF3">
              <w:rPr>
                <w:b/>
                <w:bCs/>
                <w:sz w:val="18"/>
                <w:szCs w:val="22"/>
              </w:rPr>
              <w:t>Notes</w:t>
            </w:r>
          </w:p>
        </w:tc>
      </w:tr>
      <w:tr w:rsidR="00EC7FFA" w14:paraId="4BE8E944" w14:textId="77777777" w:rsidTr="00906BF3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453084" w14:textId="1D5C31F9" w:rsidR="00EC7FFA" w:rsidRPr="00906BF3" w:rsidRDefault="00EC7FFA" w:rsidP="00EC7FFA">
            <w:pPr>
              <w:spacing w:line="276" w:lineRule="auto"/>
              <w:jc w:val="center"/>
              <w:rPr>
                <w:b/>
                <w:bCs/>
                <w:sz w:val="18"/>
                <w:szCs w:val="22"/>
              </w:rPr>
            </w:pPr>
            <w:r w:rsidRPr="00906BF3">
              <w:rPr>
                <w:b/>
                <w:bCs/>
                <w:sz w:val="18"/>
                <w:szCs w:val="22"/>
              </w:rPr>
              <w:t>Ultrasound (U)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62FED6" w14:textId="74F5EB28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Ultrasonic bath (S100H, Elma, Singen, Germany)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2D72B24" w14:textId="194B453C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1130 W, 120 seconds, pH 9, 50 ºC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9EBDED" w14:textId="55F7EF62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Utilizes acoustic cavitation for cell disruption</w:t>
            </w:r>
          </w:p>
        </w:tc>
      </w:tr>
      <w:tr w:rsidR="00EC7FFA" w14:paraId="610268AC" w14:textId="77777777" w:rsidTr="00906BF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9C113" w14:textId="1587AF3D" w:rsidR="00EC7FFA" w:rsidRPr="00906BF3" w:rsidRDefault="00EC7FFA" w:rsidP="00EC7FFA">
            <w:pPr>
              <w:spacing w:line="276" w:lineRule="auto"/>
              <w:jc w:val="center"/>
              <w:rPr>
                <w:b/>
                <w:bCs/>
                <w:sz w:val="18"/>
                <w:szCs w:val="22"/>
              </w:rPr>
            </w:pPr>
            <w:r w:rsidRPr="00906BF3">
              <w:rPr>
                <w:b/>
                <w:bCs/>
                <w:sz w:val="18"/>
                <w:szCs w:val="22"/>
              </w:rPr>
              <w:t>Microwave (M)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80DAE8" w14:textId="115A7E1F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Classical microwave oven (MM720, Midea, Guangdong, China)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ACA6C" w14:textId="57A51F43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800 W, 120 s, 2450 MHz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490C3" w14:textId="5A5A5190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Employs electromagnetic radiation for dielectric heating</w:t>
            </w:r>
          </w:p>
        </w:tc>
      </w:tr>
      <w:tr w:rsidR="00EC7FFA" w14:paraId="4D42009B" w14:textId="77777777" w:rsidTr="00906BF3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6748A" w14:textId="321B1D81" w:rsidR="00EC7FFA" w:rsidRPr="00906BF3" w:rsidRDefault="00EC7FFA" w:rsidP="00EC7FFA">
            <w:pPr>
              <w:spacing w:line="276" w:lineRule="auto"/>
              <w:jc w:val="center"/>
              <w:rPr>
                <w:b/>
                <w:bCs/>
                <w:sz w:val="18"/>
                <w:szCs w:val="22"/>
              </w:rPr>
            </w:pPr>
            <w:r w:rsidRPr="00906BF3">
              <w:rPr>
                <w:b/>
                <w:bCs/>
                <w:sz w:val="18"/>
                <w:szCs w:val="22"/>
              </w:rPr>
              <w:t>Cold Plasma (CP)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194BF" w14:textId="5547AEB6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Custom-built plasma reactor, Radio-frequency (RF-3-X</w:t>
            </w:r>
            <w:r w:rsidRPr="00906BF3">
              <w:rPr>
                <w:rFonts w:ascii="MS Gothic" w:eastAsia="MS Gothic" w:hAnsi="MS Gothic" w:cs="MS Gothic" w:hint="eastAsia"/>
                <w:sz w:val="18"/>
                <w:szCs w:val="22"/>
              </w:rPr>
              <w:t>Ⅲ</w:t>
            </w:r>
            <w:r w:rsidRPr="00906BF3">
              <w:rPr>
                <w:sz w:val="18"/>
                <w:szCs w:val="22"/>
              </w:rPr>
              <w:t>) generator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942939" w14:textId="3A065595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13.56 MHz, 10 W deposition power, ~582 mTorr (77.60 Pa) working pressure, Nitrogen gas (~300 mTorr N2 for 120 s)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E2E45" w14:textId="659817F9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Generates reactive species (ions, electrons, radicals) for surface etching and oxidation</w:t>
            </w:r>
          </w:p>
        </w:tc>
      </w:tr>
      <w:tr w:rsidR="00EC7FFA" w14:paraId="23A4BED9" w14:textId="77777777" w:rsidTr="00906BF3">
        <w:trPr>
          <w:jc w:val="center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81E1797" w14:textId="55AED9C8" w:rsidR="00EC7FFA" w:rsidRPr="00906BF3" w:rsidRDefault="00EC7FFA" w:rsidP="00EC7FFA">
            <w:pPr>
              <w:spacing w:line="276" w:lineRule="auto"/>
              <w:jc w:val="center"/>
              <w:rPr>
                <w:b/>
                <w:bCs/>
                <w:sz w:val="18"/>
                <w:szCs w:val="22"/>
              </w:rPr>
            </w:pPr>
            <w:r w:rsidRPr="00906BF3">
              <w:rPr>
                <w:b/>
                <w:bCs/>
                <w:sz w:val="18"/>
                <w:szCs w:val="22"/>
              </w:rPr>
              <w:t>Cryogenic (C)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57C0187" w14:textId="2FE5C05F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(Implies standard lab equipment, e.g., ceramic mortar, liquid nitrogen dewar)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5373AD" w14:textId="1C11D9E0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Liquid nitrogen (-196 ºC), 3 repetitions of freeze-thaw cycles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989B9AC" w14:textId="56BA9702" w:rsidR="00EC7FFA" w:rsidRPr="00906BF3" w:rsidRDefault="00EC7FFA" w:rsidP="00EC7FFA">
            <w:pPr>
              <w:spacing w:line="276" w:lineRule="auto"/>
              <w:jc w:val="center"/>
              <w:rPr>
                <w:sz w:val="18"/>
                <w:szCs w:val="22"/>
              </w:rPr>
            </w:pPr>
            <w:r w:rsidRPr="00906BF3">
              <w:rPr>
                <w:sz w:val="18"/>
                <w:szCs w:val="22"/>
              </w:rPr>
              <w:t>Rapid freezing induces intracellular ice crystals for mechanical rupture</w:t>
            </w:r>
          </w:p>
        </w:tc>
      </w:tr>
    </w:tbl>
    <w:p w14:paraId="39008567" w14:textId="31162BDE" w:rsidR="002202F0" w:rsidRDefault="002202F0" w:rsidP="00F13506">
      <w:pPr>
        <w:spacing w:line="276" w:lineRule="auto"/>
        <w:jc w:val="both"/>
        <w:rPr>
          <w:sz w:val="18"/>
          <w:szCs w:val="18"/>
        </w:rPr>
      </w:pPr>
    </w:p>
    <w:p w14:paraId="6690ABF3" w14:textId="77777777" w:rsidR="00B32D6E" w:rsidRPr="00EA3EC2" w:rsidRDefault="00B32D6E" w:rsidP="00B32D6E">
      <w:pPr>
        <w:spacing w:line="276" w:lineRule="auto"/>
        <w:jc w:val="both"/>
        <w:rPr>
          <w:rFonts w:asciiTheme="majorBidi" w:hAnsiTheme="majorBidi" w:cstheme="majorBidi"/>
          <w:b/>
          <w:bCs/>
          <w:sz w:val="22"/>
          <w:szCs w:val="22"/>
          <w:highlight w:val="green"/>
          <w:lang w:bidi="fa-IR"/>
        </w:rPr>
      </w:pPr>
      <w:r w:rsidRPr="00EA3EC2">
        <w:rPr>
          <w:rFonts w:asciiTheme="majorBidi" w:hAnsiTheme="majorBidi" w:cstheme="majorBidi"/>
          <w:b/>
          <w:bCs/>
          <w:sz w:val="22"/>
          <w:szCs w:val="22"/>
          <w:highlight w:val="green"/>
          <w:lang w:bidi="fa-IR"/>
        </w:rPr>
        <w:t>Extract Yield and Bioactive Compound Analyses</w:t>
      </w:r>
    </w:p>
    <w:p w14:paraId="64348A0B" w14:textId="34B12FB1" w:rsidR="00C235BE" w:rsidRDefault="00C235BE" w:rsidP="00C235BE">
      <w:pPr>
        <w:spacing w:line="276" w:lineRule="auto"/>
        <w:jc w:val="both"/>
        <w:rPr>
          <w:rFonts w:eastAsia="Aptos" w:cs="Arial"/>
          <w:szCs w:val="18"/>
        </w:rPr>
      </w:pPr>
      <w:r w:rsidRPr="00EA3EC2">
        <w:rPr>
          <w:rFonts w:eastAsia="Aptos" w:cs="Arial"/>
          <w:b/>
          <w:bCs/>
          <w:szCs w:val="18"/>
          <w:highlight w:val="green"/>
        </w:rPr>
        <w:t>Total Phenolic Content – Folin–Ciocalteu Method</w:t>
      </w:r>
      <w:r w:rsidRPr="00C235BE">
        <w:rPr>
          <w:rFonts w:eastAsia="Aptos" w:cs="Arial"/>
          <w:b/>
          <w:bCs/>
          <w:szCs w:val="18"/>
        </w:rPr>
        <w:tab/>
      </w:r>
      <w:r w:rsidRPr="00C235BE">
        <w:rPr>
          <w:rFonts w:eastAsia="Aptos" w:cs="Arial"/>
          <w:b/>
          <w:bCs/>
          <w:szCs w:val="18"/>
        </w:rPr>
        <w:br/>
      </w:r>
      <w:r w:rsidRPr="00C235BE">
        <w:rPr>
          <w:rFonts w:eastAsia="Aptos" w:cs="Arial"/>
          <w:szCs w:val="18"/>
        </w:rPr>
        <w:t>The total phenolic content of the extracts was quantified using the Folin–Ciocalteu method, with gallic acid (0–200 µg/mL) serving as the calibration standard. In brief, 100 µL of the sample or standard was mixed with 500 µL of Folin–Ciocalteu reagent, which had been previously diluted 1:10 (v/v) with distilled water. After allowing the mixture to stand for 5 minutes at room temperature, 400 µL of a 7.5% w/v sodium carbonate (Na₂CO₃) solution was added. The reaction mixture was then incubated in the dark at ambient temperature for 20 minutes. Absorbance was recorded at 765 nm using a UV–Vis spectrophotometer. A standard calibration curve was constructed based on gallic acid concentrations, with a typical R² value of approximately 0.998. Final results were expressed as milligrams of gallic acid equivalents per gram of extract (mg GAE/g extract). This protoc</w:t>
      </w:r>
      <w:r w:rsidRPr="00793D2E">
        <w:rPr>
          <w:rFonts w:eastAsia="Aptos" w:cs="Arial"/>
          <w:szCs w:val="18"/>
        </w:rPr>
        <w:t>ol was adapted from Drosou et al. (2015)</w:t>
      </w:r>
      <w:r w:rsidR="00793D2E" w:rsidRPr="00793D2E">
        <w:rPr>
          <w:rFonts w:eastAsia="Aptos" w:cs="Arial"/>
          <w:szCs w:val="18"/>
        </w:rPr>
        <w:t xml:space="preserve"> </w:t>
      </w:r>
      <w:r w:rsidR="00793D2E" w:rsidRPr="00793D2E">
        <w:rPr>
          <w:rFonts w:eastAsia="Aptos" w:cs="Arial"/>
          <w:szCs w:val="18"/>
        </w:rPr>
        <w:fldChar w:fldCharType="begin" w:fldLock="1"/>
      </w:r>
      <w:r w:rsidR="00793D2E" w:rsidRPr="00793D2E">
        <w:rPr>
          <w:rFonts w:eastAsia="Aptos" w:cs="Arial"/>
          <w:szCs w:val="18"/>
        </w:rPr>
        <w:instrText>ADDIN CSL_CITATION {"citationItems":[{"id":"ITEM-1","itemData":{"ISSN":"0926-6690","author":[{"dropping-particle":"","family":"Drosou","given":"Christina","non-dropping-particle":"","parse-names":false,"suffix":""},{"dropping-particle":"","family":"Kyriakopoulou","given":"Konstantina","non-dropping-particle":"","parse-names":false,"suffix":""},{"dropping-particle":"","family":"Bimpilas","given":"Andreas","non-dropping-particle":"","parse-names":false,"suffix":""},{"dropping-particle":"","family":"Tsimogiannis","given":"Dimitrios","non-dropping-particle":"","parse-names":false,"suffix":""},{"dropping-particle":"","family":"Krokida","given":"Magdalini","non-dropping-particle":"","parse-names":false,"suffix":""}],"container-title":"Industrial Crops and Products","id":"ITEM-1","issued":{"date-parts":[["2015"]]},"page":"141-149","publisher":"Elsevier","title":"A comparative study on different extraction techniques to recover red grape pomace polyphenols from vinification byproducts","type":"article-journal","volume":"75"},"uris":["http://www.mendeley.com/documents/?uuid=27d70d3f-5baa-464f-b21c-b25781c6556e"]}],"mendeley":{"formattedCitation":"[1]","plainTextFormattedCitation":"[1]","previouslyFormattedCitation":"[1]"},"properties":{"noteIndex":0},"schema":"https://github.com/citation-style-language/schema/raw/master/csl-citation.json"}</w:instrText>
      </w:r>
      <w:r w:rsidR="00793D2E" w:rsidRPr="00793D2E">
        <w:rPr>
          <w:rFonts w:eastAsia="Aptos" w:cs="Arial"/>
          <w:szCs w:val="18"/>
        </w:rPr>
        <w:fldChar w:fldCharType="separate"/>
      </w:r>
      <w:r w:rsidR="00793D2E" w:rsidRPr="00793D2E">
        <w:rPr>
          <w:rFonts w:eastAsia="Aptos" w:cs="Arial"/>
          <w:noProof/>
          <w:szCs w:val="18"/>
        </w:rPr>
        <w:t>[1]</w:t>
      </w:r>
      <w:r w:rsidR="00793D2E" w:rsidRPr="00793D2E">
        <w:rPr>
          <w:rFonts w:eastAsia="Aptos" w:cs="Arial"/>
          <w:szCs w:val="18"/>
        </w:rPr>
        <w:fldChar w:fldCharType="end"/>
      </w:r>
      <w:r w:rsidRPr="00793D2E">
        <w:rPr>
          <w:rFonts w:eastAsia="Aptos" w:cs="Arial"/>
          <w:szCs w:val="18"/>
        </w:rPr>
        <w:t>, based on foundational methods by Ainsworth &amp; Gillespie (2007)</w:t>
      </w:r>
      <w:r w:rsidR="00793D2E" w:rsidRPr="00793D2E">
        <w:rPr>
          <w:rFonts w:eastAsia="Aptos" w:cs="Arial"/>
          <w:szCs w:val="18"/>
        </w:rPr>
        <w:t xml:space="preserve"> </w:t>
      </w:r>
      <w:r w:rsidR="00793D2E" w:rsidRPr="00793D2E">
        <w:rPr>
          <w:rFonts w:eastAsia="Aptos" w:cs="Arial"/>
          <w:szCs w:val="18"/>
        </w:rPr>
        <w:fldChar w:fldCharType="begin" w:fldLock="1"/>
      </w:r>
      <w:r w:rsidR="00793D2E">
        <w:rPr>
          <w:rFonts w:eastAsia="Aptos" w:cs="Arial"/>
          <w:szCs w:val="18"/>
        </w:rPr>
        <w:instrText>ADDIN CSL_CITATION {"citationItems":[{"id":"ITEM-1","itemData":{"ISSN":"1750-2799","author":[{"dropping-particle":"","family":"Ainsworth","given":"Elizabeth A","non-dropping-particle":"","parse-names":false,"suffix":""},{"dropping-particle":"","family":"Gillespie","given":"Kelly M","non-dropping-particle":"","parse-names":false,"suffix":""}],"container-title":"Nature protocols","id":"ITEM-1","issue":"4","issued":{"date-parts":[["2007"]]},"page":"875-877","publisher":"Nature Publishing Group","title":"Estimation of total phenolic content and other oxidation substrates in plant tissues using Folin–Ciocalteu reagent","type":"article-journal","volume":"2"},"uris":["http://www.mendeley.com/documents/?uuid=ce95dcfe-dcd4-49e0-98b3-cb5195622720"]}],"mendeley":{"formattedCitation":"[2]","plainTextFormattedCitation":"[2]","previouslyFormattedCitation":"[2]"},"properties":{"noteIndex":0},"schema":"https://github.com/citation-style-language/schema/raw/master/csl-citation.json"}</w:instrText>
      </w:r>
      <w:r w:rsidR="00793D2E" w:rsidRPr="00793D2E">
        <w:rPr>
          <w:rFonts w:eastAsia="Aptos" w:cs="Arial"/>
          <w:szCs w:val="18"/>
        </w:rPr>
        <w:fldChar w:fldCharType="separate"/>
      </w:r>
      <w:r w:rsidR="00793D2E" w:rsidRPr="00793D2E">
        <w:rPr>
          <w:rFonts w:eastAsia="Aptos" w:cs="Arial"/>
          <w:noProof/>
          <w:szCs w:val="18"/>
        </w:rPr>
        <w:t>[2]</w:t>
      </w:r>
      <w:r w:rsidR="00793D2E" w:rsidRPr="00793D2E">
        <w:rPr>
          <w:rFonts w:eastAsia="Aptos" w:cs="Arial"/>
          <w:szCs w:val="18"/>
        </w:rPr>
        <w:fldChar w:fldCharType="end"/>
      </w:r>
      <w:r w:rsidRPr="00793D2E">
        <w:rPr>
          <w:rFonts w:eastAsia="Aptos" w:cs="Arial"/>
          <w:szCs w:val="18"/>
        </w:rPr>
        <w:t>.</w:t>
      </w:r>
      <w:r w:rsidR="00E7784F">
        <w:rPr>
          <w:rFonts w:eastAsia="Aptos" w:cs="Arial"/>
          <w:szCs w:val="18"/>
        </w:rPr>
        <w:t xml:space="preserve"> </w:t>
      </w:r>
    </w:p>
    <w:p w14:paraId="151A0C4D" w14:textId="7A577735" w:rsidR="00C235BE" w:rsidRDefault="00C235BE" w:rsidP="00EA3EC2">
      <w:pPr>
        <w:spacing w:line="276" w:lineRule="auto"/>
        <w:jc w:val="both"/>
        <w:rPr>
          <w:rFonts w:eastAsia="Aptos" w:cs="Arial"/>
          <w:szCs w:val="18"/>
        </w:rPr>
      </w:pPr>
      <w:r w:rsidRPr="00EA3EC2">
        <w:rPr>
          <w:rFonts w:eastAsia="Aptos" w:cs="Arial"/>
          <w:b/>
          <w:bCs/>
          <w:szCs w:val="18"/>
          <w:highlight w:val="green"/>
        </w:rPr>
        <w:t xml:space="preserve">Antioxidant </w:t>
      </w:r>
      <w:r w:rsidR="000F5EF2">
        <w:rPr>
          <w:rFonts w:eastAsia="Aptos" w:cs="Arial"/>
          <w:b/>
          <w:bCs/>
          <w:szCs w:val="18"/>
          <w:highlight w:val="green"/>
        </w:rPr>
        <w:t>Capacity</w:t>
      </w:r>
      <w:r w:rsidRPr="00EA3EC2">
        <w:rPr>
          <w:rFonts w:eastAsia="Aptos" w:cs="Arial"/>
          <w:b/>
          <w:bCs/>
          <w:szCs w:val="18"/>
          <w:highlight w:val="green"/>
        </w:rPr>
        <w:t>– DPPH Radical Scavenging Assay</w:t>
      </w:r>
      <w:r>
        <w:rPr>
          <w:rFonts w:eastAsia="Aptos" w:cs="Arial"/>
          <w:szCs w:val="18"/>
        </w:rPr>
        <w:tab/>
      </w:r>
      <w:r w:rsidRPr="00C235BE">
        <w:rPr>
          <w:rFonts w:eastAsia="Aptos" w:cs="Arial"/>
          <w:szCs w:val="18"/>
        </w:rPr>
        <w:br/>
        <w:t xml:space="preserve">The antioxidant capacity of the extracts was evaluated using the DPPH (2,2-diphenyl-1-picrylhydrazyl) radical scavenging assay. A 0.1 mM DPPH solution was freshly prepared in methanol or ethanol, depending on extract compatibility. To each reaction tube, 100 µL of extract was added to 2 mL of the DPPH solution, followed by incubation in the dark at room temperature for 30 minutes. After incubation, absorbance was measured at 517 nm using a UV–Vis spectrophotometer. A Trolox standard curve ranging from 0 to 250 µM was used to quantify antioxidant </w:t>
      </w:r>
      <w:r w:rsidR="000F5EF2">
        <w:rPr>
          <w:rFonts w:eastAsia="Aptos" w:cs="Arial"/>
          <w:szCs w:val="18"/>
        </w:rPr>
        <w:t>capacity</w:t>
      </w:r>
      <w:r w:rsidRPr="00C235BE">
        <w:rPr>
          <w:rFonts w:eastAsia="Aptos" w:cs="Arial"/>
          <w:szCs w:val="18"/>
        </w:rPr>
        <w:t>, with results expressed in mg Trolox equivalents per gram of extract (mg TE/g extract). The calibration curve typically showed a high linearity (R² ≈ 0.997)</w:t>
      </w:r>
      <w:r w:rsidR="00793D2E">
        <w:rPr>
          <w:rFonts w:eastAsia="Aptos" w:cs="Arial"/>
          <w:szCs w:val="18"/>
        </w:rPr>
        <w:t xml:space="preserve"> </w:t>
      </w:r>
      <w:r w:rsidR="00793D2E">
        <w:rPr>
          <w:rFonts w:eastAsia="Aptos" w:cs="Arial"/>
          <w:szCs w:val="18"/>
        </w:rPr>
        <w:fldChar w:fldCharType="begin" w:fldLock="1"/>
      </w:r>
      <w:r w:rsidR="00A201DE">
        <w:rPr>
          <w:rFonts w:eastAsia="Aptos" w:cs="Arial"/>
          <w:szCs w:val="18"/>
        </w:rPr>
        <w:instrText>ADDIN CSL_CITATION {"citationItems":[{"id":"ITEM-1","itemData":{"ISSN":"0889-1575","author":[{"dropping-particle":"","family":"Thaipong","given":"Kriengsak","non-dropping-particle":"","parse-names":false,"suffix":""},{"dropping-particle":"","family":"Boonprakob","given":"Unaroj","non-dropping-particle":"","parse-names":false,"suffix":""},{"dropping-particle":"","family":"Crosby","given":"Kevin","non-dropping-particle":"","parse-names":false,"suffix":""},{"dropping-particle":"","family":"Cisneros-Zevallos","given":"Luis","non-dropping-particle":"","parse-names":false,"suffix":""},{"dropping-particle":"","family":"Byrne","given":"David Hawkins","non-dropping-particle":"","parse-names":false,"suffix":""}],"container-title":"Journal of food composition and analysis","id":"ITEM-1","issue":"6-7","issued":{"date-parts":[["2006"]]},"page":"669-675","publisher":"Elsevier","title":"Comparison of ABTS, DPPH, FRAP, and ORAC assays for estimating antioxidant activity from guava fruit extracts","type":"article-journal","volume":"19"},"uris":["http://www.mendeley.com/documents/?uuid=fbd42eb7-3b4b-417b-b152-ee752bfb2049"]}],"mendeley":{"formattedCitation":"[3]","plainTextFormattedCitation":"[3]","previouslyFormattedCitation":"[3]"},"properties":{"noteIndex":0},"schema":"https://github.com/citation-style-language/schema/raw/master/csl-citation.json"}</w:instrText>
      </w:r>
      <w:r w:rsidR="00793D2E">
        <w:rPr>
          <w:rFonts w:eastAsia="Aptos" w:cs="Arial"/>
          <w:szCs w:val="18"/>
        </w:rPr>
        <w:fldChar w:fldCharType="separate"/>
      </w:r>
      <w:r w:rsidR="00793D2E" w:rsidRPr="00793D2E">
        <w:rPr>
          <w:rFonts w:eastAsia="Aptos" w:cs="Arial"/>
          <w:noProof/>
          <w:szCs w:val="18"/>
        </w:rPr>
        <w:t>[3]</w:t>
      </w:r>
      <w:r w:rsidR="00793D2E">
        <w:rPr>
          <w:rFonts w:eastAsia="Aptos" w:cs="Arial"/>
          <w:szCs w:val="18"/>
        </w:rPr>
        <w:fldChar w:fldCharType="end"/>
      </w:r>
      <w:r w:rsidRPr="00C235BE">
        <w:rPr>
          <w:rFonts w:eastAsia="Aptos" w:cs="Arial"/>
          <w:szCs w:val="18"/>
        </w:rPr>
        <w:t>.</w:t>
      </w:r>
    </w:p>
    <w:p w14:paraId="78883071" w14:textId="1112B0EC" w:rsidR="00CC787D" w:rsidRDefault="00CC787D" w:rsidP="00C235BE">
      <w:pPr>
        <w:spacing w:line="276" w:lineRule="auto"/>
        <w:jc w:val="both"/>
        <w:rPr>
          <w:b/>
          <w:bCs/>
          <w:sz w:val="24"/>
          <w:rtl/>
        </w:rPr>
      </w:pPr>
      <w:r w:rsidRPr="009F0A47">
        <w:rPr>
          <w:rFonts w:asciiTheme="majorBidi" w:hAnsiTheme="majorBidi" w:cstheme="majorBidi"/>
          <w:b/>
          <w:bCs/>
          <w:sz w:val="22"/>
          <w:szCs w:val="22"/>
          <w:lang w:bidi="fa-IR"/>
        </w:rPr>
        <w:t>TOPSIS-Shannon Entropy Method</w:t>
      </w:r>
    </w:p>
    <w:p w14:paraId="0940DDE6" w14:textId="6FDE77F1" w:rsidR="00C77D6C" w:rsidRPr="00BC07BE" w:rsidRDefault="00C77D6C" w:rsidP="00090664">
      <w:pPr>
        <w:spacing w:line="276" w:lineRule="auto"/>
        <w:jc w:val="both"/>
        <w:rPr>
          <w:rFonts w:eastAsia="Aptos" w:cs="Arial"/>
          <w:szCs w:val="18"/>
        </w:rPr>
      </w:pPr>
      <w:r w:rsidRPr="00BC07BE">
        <w:rPr>
          <w:rFonts w:eastAsia="Aptos" w:cs="Arial"/>
          <w:szCs w:val="18"/>
        </w:rPr>
        <w:t xml:space="preserve">To identify the optimal </w:t>
      </w:r>
      <w:r w:rsidR="001458D4">
        <w:rPr>
          <w:rFonts w:eastAsia="Aptos" w:cs="Arial"/>
          <w:szCs w:val="18"/>
        </w:rPr>
        <w:t>pretreatment</w:t>
      </w:r>
      <w:r w:rsidRPr="00BC07BE">
        <w:rPr>
          <w:rFonts w:eastAsia="Aptos" w:cs="Arial"/>
          <w:szCs w:val="18"/>
        </w:rPr>
        <w:t xml:space="preserve"> for supercritical CO₂ </w:t>
      </w:r>
      <w:r w:rsidR="001458D4">
        <w:rPr>
          <w:rFonts w:eastAsia="Aptos" w:cs="Arial"/>
          <w:szCs w:val="18"/>
        </w:rPr>
        <w:t>extraction</w:t>
      </w:r>
      <w:r w:rsidRPr="00BC07BE">
        <w:rPr>
          <w:rFonts w:eastAsia="Aptos" w:cs="Arial"/>
          <w:szCs w:val="18"/>
        </w:rPr>
        <w:t xml:space="preserve">, </w:t>
      </w:r>
      <w:r w:rsidR="00EC7FFA">
        <w:rPr>
          <w:rFonts w:eastAsia="Aptos" w:cs="Arial"/>
          <w:szCs w:val="18"/>
        </w:rPr>
        <w:t>five</w:t>
      </w:r>
      <w:r w:rsidRPr="00BC07BE">
        <w:rPr>
          <w:rFonts w:eastAsia="Aptos" w:cs="Arial"/>
          <w:szCs w:val="18"/>
        </w:rPr>
        <w:t xml:space="preserve"> criteria (</w:t>
      </w:r>
      <w:r w:rsidR="001458D4" w:rsidRPr="005D064B">
        <w:rPr>
          <w:szCs w:val="20"/>
        </w:rPr>
        <w:t xml:space="preserve">chlorophyll, phenolics, carotenoids, and antioxidant </w:t>
      </w:r>
      <w:r w:rsidR="000F5EF2">
        <w:rPr>
          <w:szCs w:val="20"/>
        </w:rPr>
        <w:t>capacity</w:t>
      </w:r>
      <w:r w:rsidR="001458D4">
        <w:rPr>
          <w:rFonts w:eastAsia="Aptos" w:cs="Arial"/>
          <w:szCs w:val="18"/>
        </w:rPr>
        <w:t>, and yield</w:t>
      </w:r>
      <w:r w:rsidRPr="00BC07BE">
        <w:rPr>
          <w:rFonts w:eastAsia="Aptos" w:cs="Arial"/>
          <w:szCs w:val="18"/>
        </w:rPr>
        <w:t>) were selected based on their impact on extraction</w:t>
      </w:r>
      <w:r w:rsidR="00A201DE">
        <w:t xml:space="preserve"> </w:t>
      </w:r>
      <w:r w:rsidR="00A201DE">
        <w:fldChar w:fldCharType="begin" w:fldLock="1"/>
      </w:r>
      <w:r w:rsidR="00A201DE">
        <w:instrText>ADDIN CSL_CITATION {"citationItems":[{"id":"ITEM-1","itemData":{"ISSN":"2666-2027","author":[{"dropping-particle":"","family":"El-Morshedy","given":"Salah El-Din","non-dropping-particle":"","parse-names":false,"suffix":""},{"dropping-particle":"","family":"Ibrahim","given":"Said M A","non-dropping-particle":"","parse-names":false,"suffix":""},{"dropping-particle":"","family":"Alyan","given":"Adel","non-dropping-particle":"","parse-names":false,"suffix":""},{"dropping-particle":"","family":"Abdelmaksoud","given":"Abdelfatah","non-dropping-particle":"","parse-names":false,"suffix":""}],"container-title":"International Journal of Thermofluids","id":"ITEM-1","issued":{"date-parts":[["2020"]]},"page":"100020","publisher":"Elsevier","title":"Heat transfer deterioration mechanism for water at supercritical pressure","type":"article-journal","volume":"7"},"uris":["http://www.mendeley.com/documents/?uuid=224af877-3bc9-45c6-b23e-fcbbdcf59baa"]}],"mendeley":{"formattedCitation":"[4]","plainTextFormattedCitation":"[4]","previouslyFormattedCitation":"[4]"},"properties":{"noteIndex":0},"schema":"https://github.com/citation-style-language/schema/raw/master/csl-citation.json"}</w:instrText>
      </w:r>
      <w:r w:rsidR="00A201DE">
        <w:fldChar w:fldCharType="separate"/>
      </w:r>
      <w:r w:rsidR="00A201DE" w:rsidRPr="00A201DE">
        <w:rPr>
          <w:noProof/>
        </w:rPr>
        <w:t>[4]</w:t>
      </w:r>
      <w:r w:rsidR="00A201DE">
        <w:fldChar w:fldCharType="end"/>
      </w:r>
      <w:r>
        <w:t xml:space="preserve">. </w:t>
      </w:r>
      <w:r w:rsidR="00090664" w:rsidRPr="00090664">
        <w:t xml:space="preserve">To identify the optimal pretreatment for supercritical CO₂ extraction, five criteria (chlorophyll, phenolics, carotenoids, antioxidant </w:t>
      </w:r>
      <w:r w:rsidR="000F5EF2">
        <w:t>capacity</w:t>
      </w:r>
      <w:r w:rsidR="00090664" w:rsidRPr="00090664">
        <w:t xml:space="preserve">, and yield) were selected based on their impact on extraction. This multi-criteria approach is essential for rationally evaluating complex engineering processes where multiple, sometimes conflicting, objectives must be considered for optimal design and performance. </w:t>
      </w:r>
      <w:r w:rsidR="00EC7FFA" w:rsidRPr="00090664">
        <w:t xml:space="preserve">This multi-criteria approach is essential for rationally evaluating complex </w:t>
      </w:r>
      <w:r w:rsidR="00EC7FFA" w:rsidRPr="00090664">
        <w:lastRenderedPageBreak/>
        <w:t>engineering processes where multiple, sometimes conflicting</w:t>
      </w:r>
      <w:r w:rsidR="00EC7FFA" w:rsidRPr="00EC7FFA">
        <w:t>, objectives must be considered for optimal design and performance.</w:t>
      </w:r>
      <w:r w:rsidR="00EC7FFA">
        <w:t xml:space="preserve"> </w:t>
      </w:r>
      <w:r w:rsidRPr="00BC07BE">
        <w:rPr>
          <w:rFonts w:eastAsia="Aptos" w:cs="Arial"/>
          <w:szCs w:val="18"/>
        </w:rPr>
        <w:t>Shannon entropy determined objective weights, emphasizing criteria variability</w:t>
      </w:r>
      <w:r w:rsidR="00A201DE">
        <w:t xml:space="preserve"> </w:t>
      </w:r>
      <w:r w:rsidR="00A201DE">
        <w:fldChar w:fldCharType="begin" w:fldLock="1"/>
      </w:r>
      <w:r w:rsidR="004F0F4E">
        <w:instrText>ADDIN CSL_CITATION {"citationItems":[{"id":"ITEM-1","itemData":{"ISSN":"2210-9706","author":[{"dropping-particle":"","family":"Wu","given":"Hua-Wen","non-dropping-particle":"","parse-names":false,"suffix":""},{"dropping-particle":"","family":"Li","given":"En-qun","non-dropping-particle":"","parse-names":false,"suffix":""},{"dropping-particle":"","family":"Sun","given":"Yuan-yun","non-dropping-particle":"","parse-names":false,"suffix":""},{"dropping-particle":"","family":"Dong","given":"Bao-tian","non-dropping-particle":"","parse-names":false,"suffix":""}],"container-title":"Journal of Rail Transport Planning &amp; Management","id":"ITEM-1","issued":{"date-parts":[["2021"]]},"page":"100262","publisher":"Elsevier","title":"Research on the operation safety evaluation of urban rail stations based on the improved TOPSIS method and entropy weight method","type":"article-journal","volume":"20"},"uris":["http://www.mendeley.com/documents/?uuid=7fd5cdae-b6d1-4493-9aa7-07120223e4b9"]}],"mendeley":{"formattedCitation":"[5]","plainTextFormattedCitation":"[5]","previouslyFormattedCitation":"[5]"},"properties":{"noteIndex":0},"schema":"https://github.com/citation-style-language/schema/raw/master/csl-citation.json"}</w:instrText>
      </w:r>
      <w:r w:rsidR="00A201DE">
        <w:fldChar w:fldCharType="separate"/>
      </w:r>
      <w:r w:rsidR="00A201DE" w:rsidRPr="00A201DE">
        <w:rPr>
          <w:noProof/>
        </w:rPr>
        <w:t>[5]</w:t>
      </w:r>
      <w:r w:rsidR="00A201DE">
        <w:fldChar w:fldCharType="end"/>
      </w:r>
      <w:r>
        <w:t xml:space="preserve">. </w:t>
      </w:r>
      <w:r w:rsidRPr="00BC07BE">
        <w:rPr>
          <w:rFonts w:eastAsia="Aptos" w:cs="Arial"/>
          <w:szCs w:val="18"/>
        </w:rPr>
        <w:t>This method evaluates the dispersion of data across each criterion, where higher variability implies greater decision impact. The entropy (E</w:t>
      </w:r>
      <w:r w:rsidRPr="00BC07BE">
        <w:rPr>
          <w:rFonts w:eastAsia="Aptos" w:cs="Arial"/>
          <w:szCs w:val="18"/>
          <w:vertAlign w:val="subscript"/>
        </w:rPr>
        <w:t>j</w:t>
      </w:r>
      <w:r w:rsidRPr="00BC07BE">
        <w:rPr>
          <w:rFonts w:eastAsia="Aptos" w:cs="Arial"/>
          <w:szCs w:val="18"/>
        </w:rPr>
        <w:t>) for each criterion (j) is calculated as (Eq</w:t>
      </w:r>
      <w:r w:rsidR="003B0737">
        <w:rPr>
          <w:rFonts w:eastAsia="Aptos" w:cs="Arial"/>
          <w:szCs w:val="18"/>
        </w:rPr>
        <w:t>.</w:t>
      </w:r>
      <w:r w:rsidRPr="00BC07BE">
        <w:rPr>
          <w:rFonts w:eastAsia="Aptos" w:cs="Arial"/>
          <w:szCs w:val="18"/>
        </w:rPr>
        <w:t xml:space="preserve"> </w:t>
      </w:r>
      <w:r>
        <w:rPr>
          <w:rFonts w:eastAsia="Aptos" w:cs="Arial"/>
          <w:szCs w:val="18"/>
        </w:rPr>
        <w:t>S</w:t>
      </w:r>
      <w:r w:rsidRPr="00BC07BE">
        <w:rPr>
          <w:rFonts w:eastAsia="Aptos" w:cs="Arial"/>
          <w:szCs w:val="18"/>
        </w:rPr>
        <w:t xml:space="preserve">1): </w:t>
      </w:r>
    </w:p>
    <w:p w14:paraId="188D8198" w14:textId="7779BC93" w:rsidR="00C77D6C" w:rsidRPr="00BC07BE" w:rsidRDefault="00C77D6C" w:rsidP="00C77D6C">
      <w:pPr>
        <w:spacing w:line="276" w:lineRule="auto"/>
        <w:jc w:val="center"/>
        <w:rPr>
          <w:rFonts w:eastAsia="Aptos" w:cs="Arial"/>
          <w:szCs w:val="18"/>
        </w:rPr>
      </w:pPr>
      <w:r w:rsidRPr="00BC07BE">
        <w:rPr>
          <w:rFonts w:eastAsia="Aptos" w:cs="Arial"/>
          <w:szCs w:val="18"/>
        </w:rPr>
        <w:t xml:space="preserve">Eq. </w:t>
      </w:r>
      <w:r>
        <w:rPr>
          <w:rFonts w:eastAsia="Aptos" w:cs="Arial"/>
          <w:szCs w:val="18"/>
        </w:rPr>
        <w:t>S</w:t>
      </w:r>
      <w:r w:rsidRPr="00BC07BE">
        <w:rPr>
          <w:rFonts w:eastAsia="Aptos" w:cs="Arial"/>
          <w:szCs w:val="18"/>
        </w:rPr>
        <w:t xml:space="preserve">1   </w:t>
      </w:r>
      <m:oMath>
        <m:sSub>
          <m:sSubPr>
            <m:ctrlPr>
              <w:rPr>
                <w:rFonts w:ascii="Cambria Math" w:eastAsia="Aptos" w:hAnsi="Cambria Math" w:cs="Arial"/>
                <w:i/>
                <w:szCs w:val="18"/>
              </w:rPr>
            </m:ctrlPr>
          </m:sSubPr>
          <m:e>
            <m:r>
              <w:rPr>
                <w:rFonts w:ascii="Cambria Math" w:eastAsia="Aptos" w:hAnsi="Cambria Math" w:cs="Arial"/>
                <w:szCs w:val="18"/>
              </w:rPr>
              <m:t>E</m:t>
            </m:r>
          </m:e>
          <m:sub>
            <m:r>
              <w:rPr>
                <w:rFonts w:ascii="Cambria Math" w:eastAsia="Aptos" w:hAnsi="Cambria Math" w:cs="Arial"/>
                <w:szCs w:val="18"/>
              </w:rPr>
              <m:t>j</m:t>
            </m:r>
          </m:sub>
        </m:sSub>
        <m:r>
          <w:rPr>
            <w:rFonts w:ascii="Cambria Math" w:eastAsia="Aptos" w:hAnsi="Cambria Math" w:cs="Arial"/>
            <w:szCs w:val="18"/>
          </w:rPr>
          <m:t>=-k</m:t>
        </m:r>
        <m:nary>
          <m:naryPr>
            <m:chr m:val="∑"/>
            <m:limLoc m:val="undOvr"/>
            <m:ctrlPr>
              <w:rPr>
                <w:rFonts w:ascii="Cambria Math" w:eastAsia="Aptos" w:hAnsi="Cambria Math" w:cs="Arial"/>
                <w:i/>
                <w:szCs w:val="18"/>
              </w:rPr>
            </m:ctrlPr>
          </m:naryPr>
          <m:sub>
            <m:r>
              <w:rPr>
                <w:rFonts w:ascii="Cambria Math" w:eastAsia="Aptos" w:hAnsi="Cambria Math" w:cs="Arial"/>
                <w:szCs w:val="18"/>
              </w:rPr>
              <m:t>i=1</m:t>
            </m:r>
          </m:sub>
          <m:sup>
            <m:r>
              <w:rPr>
                <w:rFonts w:ascii="Cambria Math" w:eastAsia="Aptos" w:hAnsi="Cambria Math" w:cs="Arial"/>
                <w:szCs w:val="18"/>
              </w:rPr>
              <m:t>m</m:t>
            </m:r>
          </m:sup>
          <m:e>
            <m:d>
              <m:dPr>
                <m:ctrlPr>
                  <w:rPr>
                    <w:rFonts w:ascii="Cambria Math" w:eastAsia="Aptos" w:hAnsi="Cambria Math" w:cs="Arial"/>
                    <w:i/>
                    <w:szCs w:val="18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ptos" w:hAnsi="Cambria Math" w:cs="Arial"/>
                        <w:i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Arial"/>
                        <w:szCs w:val="18"/>
                      </w:rPr>
                      <m:t>P</m:t>
                    </m:r>
                  </m:e>
                  <m:sub>
                    <m:r>
                      <w:rPr>
                        <w:rFonts w:ascii="Cambria Math" w:eastAsia="Aptos" w:hAnsi="Cambria Math" w:cs="Arial"/>
                        <w:szCs w:val="18"/>
                      </w:rPr>
                      <m:t>ij</m:t>
                    </m:r>
                  </m:sub>
                </m:sSub>
                <m:r>
                  <w:rPr>
                    <w:rFonts w:ascii="Cambria Math" w:eastAsia="Aptos" w:hAnsi="Cambria Math" w:cs="Arial"/>
                    <w:szCs w:val="18"/>
                  </w:rPr>
                  <m:t>×ln</m:t>
                </m:r>
                <m:sSub>
                  <m:sSubPr>
                    <m:ctrlPr>
                      <w:rPr>
                        <w:rFonts w:ascii="Cambria Math" w:eastAsia="Aptos" w:hAnsi="Cambria Math" w:cs="Arial"/>
                        <w:i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Arial"/>
                        <w:szCs w:val="18"/>
                      </w:rPr>
                      <m:t>P</m:t>
                    </m:r>
                  </m:e>
                  <m:sub>
                    <m:r>
                      <w:rPr>
                        <w:rFonts w:ascii="Cambria Math" w:eastAsia="Aptos" w:hAnsi="Cambria Math" w:cs="Arial"/>
                        <w:szCs w:val="18"/>
                      </w:rPr>
                      <m:t>ij</m:t>
                    </m:r>
                  </m:sub>
                </m:sSub>
              </m:e>
            </m:d>
          </m:e>
        </m:nary>
      </m:oMath>
      <w:r w:rsidRPr="00BC07BE">
        <w:rPr>
          <w:rFonts w:eastAsia="Aptos" w:cs="Arial"/>
          <w:szCs w:val="18"/>
        </w:rPr>
        <w:t xml:space="preserve">, where </w:t>
      </w:r>
      <m:oMath>
        <m:sSub>
          <m:sSubPr>
            <m:ctrlPr>
              <w:rPr>
                <w:rFonts w:ascii="Cambria Math" w:eastAsia="Aptos" w:hAnsi="Cambria Math" w:cs="Arial"/>
                <w:i/>
                <w:szCs w:val="18"/>
              </w:rPr>
            </m:ctrlPr>
          </m:sSubPr>
          <m:e>
            <m:r>
              <w:rPr>
                <w:rFonts w:ascii="Cambria Math" w:eastAsia="Aptos" w:hAnsi="Cambria Math" w:cs="Arial"/>
                <w:szCs w:val="18"/>
              </w:rPr>
              <m:t>P</m:t>
            </m:r>
          </m:e>
          <m:sub>
            <m:r>
              <w:rPr>
                <w:rFonts w:ascii="Cambria Math" w:eastAsia="Aptos" w:hAnsi="Cambria Math" w:cs="Arial"/>
                <w:szCs w:val="18"/>
              </w:rPr>
              <m:t>ij</m:t>
            </m:r>
          </m:sub>
        </m:sSub>
        <m:r>
          <w:rPr>
            <w:rFonts w:ascii="Cambria Math" w:eastAsia="Aptos" w:hAnsi="Cambria Math" w:cs="Arial"/>
            <w:szCs w:val="18"/>
          </w:rPr>
          <m:t>=</m:t>
        </m:r>
        <m:f>
          <m:fPr>
            <m:ctrlPr>
              <w:rPr>
                <w:rFonts w:ascii="Cambria Math" w:eastAsia="Aptos" w:hAnsi="Cambria Math" w:cs="Arial"/>
                <w:i/>
                <w:szCs w:val="18"/>
              </w:rPr>
            </m:ctrlPr>
          </m:fPr>
          <m:num>
            <m:sSub>
              <m:sSubPr>
                <m:ctrlPr>
                  <w:rPr>
                    <w:rFonts w:ascii="Cambria Math" w:eastAsia="Aptos" w:hAnsi="Cambria Math" w:cs="Arial"/>
                    <w:i/>
                    <w:szCs w:val="18"/>
                  </w:rPr>
                </m:ctrlPr>
              </m:sSubPr>
              <m:e>
                <m:r>
                  <w:rPr>
                    <w:rFonts w:ascii="Cambria Math" w:eastAsia="Aptos" w:hAnsi="Cambria Math" w:cs="Arial"/>
                    <w:szCs w:val="18"/>
                  </w:rPr>
                  <m:t>X</m:t>
                </m:r>
              </m:e>
              <m:sub>
                <m:r>
                  <w:rPr>
                    <w:rFonts w:ascii="Cambria Math" w:eastAsia="Aptos" w:hAnsi="Cambria Math" w:cs="Arial"/>
                    <w:szCs w:val="18"/>
                  </w:rPr>
                  <m:t>ij</m:t>
                </m:r>
              </m:sub>
            </m:sSub>
          </m:num>
          <m:den>
            <m:nary>
              <m:naryPr>
                <m:chr m:val="∑"/>
                <m:limLoc m:val="undOvr"/>
                <m:ctrlPr>
                  <w:rPr>
                    <w:rFonts w:ascii="Cambria Math" w:eastAsia="Aptos" w:hAnsi="Cambria Math" w:cs="Arial"/>
                    <w:i/>
                    <w:szCs w:val="18"/>
                  </w:rPr>
                </m:ctrlPr>
              </m:naryPr>
              <m:sub>
                <m:r>
                  <w:rPr>
                    <w:rFonts w:ascii="Cambria Math" w:eastAsia="Aptos" w:hAnsi="Cambria Math" w:cs="Arial"/>
                    <w:szCs w:val="18"/>
                  </w:rPr>
                  <m:t>i=1</m:t>
                </m:r>
              </m:sub>
              <m:sup>
                <m:r>
                  <w:rPr>
                    <w:rFonts w:ascii="Cambria Math" w:eastAsia="Aptos" w:hAnsi="Cambria Math" w:cs="Arial"/>
                    <w:szCs w:val="18"/>
                  </w:rPr>
                  <m:t>m</m:t>
                </m:r>
              </m:sup>
              <m:e>
                <m:sSub>
                  <m:sSubPr>
                    <m:ctrlPr>
                      <w:rPr>
                        <w:rFonts w:ascii="Cambria Math" w:eastAsia="Aptos" w:hAnsi="Cambria Math" w:cs="Arial"/>
                        <w:i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Arial"/>
                        <w:szCs w:val="18"/>
                      </w:rPr>
                      <m:t>X</m:t>
                    </m:r>
                  </m:e>
                  <m:sub>
                    <m:r>
                      <w:rPr>
                        <w:rFonts w:ascii="Cambria Math" w:eastAsia="Aptos" w:hAnsi="Cambria Math" w:cs="Arial"/>
                        <w:szCs w:val="18"/>
                      </w:rPr>
                      <m:t>ij</m:t>
                    </m:r>
                  </m:sub>
                </m:sSub>
              </m:e>
            </m:nary>
          </m:den>
        </m:f>
      </m:oMath>
      <w:r w:rsidRPr="00BC07BE">
        <w:rPr>
          <w:rFonts w:eastAsia="Times New Roman" w:cs="Arial"/>
          <w:szCs w:val="18"/>
        </w:rPr>
        <w:t xml:space="preserve">, and </w:t>
      </w:r>
      <m:oMath>
        <m:r>
          <w:rPr>
            <w:rFonts w:ascii="Cambria Math" w:eastAsia="Times New Roman" w:hAnsi="Cambria Math" w:cs="Arial"/>
            <w:szCs w:val="18"/>
          </w:rPr>
          <m:t>K=</m:t>
        </m:r>
        <m:f>
          <m:fPr>
            <m:ctrlPr>
              <w:rPr>
                <w:rFonts w:ascii="Cambria Math" w:eastAsia="Times New Roman" w:hAnsi="Cambria Math" w:cs="Arial"/>
                <w:i/>
                <w:szCs w:val="18"/>
              </w:rPr>
            </m:ctrlPr>
          </m:fPr>
          <m:num>
            <m:r>
              <w:rPr>
                <w:rFonts w:ascii="Cambria Math" w:eastAsia="Times New Roman" w:hAnsi="Cambria Math" w:cs="Arial"/>
                <w:szCs w:val="18"/>
              </w:rPr>
              <m:t>1</m:t>
            </m:r>
          </m:num>
          <m:den>
            <m:r>
              <w:rPr>
                <w:rFonts w:ascii="Cambria Math" w:eastAsia="Times New Roman" w:hAnsi="Cambria Math" w:cs="Arial"/>
                <w:szCs w:val="18"/>
              </w:rPr>
              <m:t>lnm</m:t>
            </m:r>
          </m:den>
        </m:f>
      </m:oMath>
    </w:p>
    <w:p w14:paraId="07B1712D" w14:textId="35B413C8" w:rsidR="00C77D6C" w:rsidRPr="00BC07BE" w:rsidRDefault="00C77D6C" w:rsidP="00C77D6C">
      <w:pPr>
        <w:spacing w:line="276" w:lineRule="auto"/>
        <w:jc w:val="both"/>
        <w:rPr>
          <w:rFonts w:eastAsia="Aptos" w:cs="Arial"/>
          <w:szCs w:val="18"/>
        </w:rPr>
      </w:pPr>
      <w:r w:rsidRPr="00BC07BE">
        <w:rPr>
          <w:rFonts w:eastAsia="Aptos" w:cs="Arial"/>
          <w:szCs w:val="18"/>
        </w:rPr>
        <w:t>Here, x</w:t>
      </w:r>
      <w:r w:rsidRPr="00BC07BE">
        <w:rPr>
          <w:rFonts w:eastAsia="Aptos" w:cs="Arial"/>
          <w:szCs w:val="18"/>
          <w:vertAlign w:val="subscript"/>
        </w:rPr>
        <w:t>ij</w:t>
      </w:r>
      <w:r w:rsidRPr="00BC07BE">
        <w:rPr>
          <w:rFonts w:eastAsia="Aptos" w:cs="Arial"/>
          <w:szCs w:val="18"/>
        </w:rPr>
        <w:t xml:space="preserve"> is the normalized value of alternative i under criterion j, and m is the number of alternatives (</w:t>
      </w:r>
      <w:r w:rsidR="001628AF">
        <w:rPr>
          <w:rFonts w:eastAsia="Aptos" w:cs="Arial"/>
          <w:szCs w:val="18"/>
        </w:rPr>
        <w:t>pretreatment</w:t>
      </w:r>
      <w:r w:rsidRPr="00BC07BE">
        <w:rPr>
          <w:rFonts w:eastAsia="Aptos" w:cs="Arial"/>
          <w:szCs w:val="18"/>
        </w:rPr>
        <w:t xml:space="preserve"> levels). The weight w</w:t>
      </w:r>
      <w:r w:rsidRPr="00BC07BE">
        <w:rPr>
          <w:rFonts w:eastAsia="Aptos" w:cs="Arial"/>
          <w:szCs w:val="18"/>
          <w:vertAlign w:val="subscript"/>
        </w:rPr>
        <w:t>j</w:t>
      </w:r>
      <w:r w:rsidRPr="00BC07BE">
        <w:rPr>
          <w:rFonts w:eastAsia="Aptos" w:cs="Arial"/>
          <w:szCs w:val="18"/>
        </w:rPr>
        <w:t xml:space="preserve"> for each criterion is derived as (Eq</w:t>
      </w:r>
      <w:r w:rsidR="003B0737">
        <w:rPr>
          <w:rFonts w:eastAsia="Aptos" w:cs="Arial"/>
          <w:szCs w:val="18"/>
        </w:rPr>
        <w:t>.</w:t>
      </w:r>
      <w:r w:rsidRPr="00BC07BE">
        <w:rPr>
          <w:rFonts w:eastAsia="Aptos" w:cs="Arial"/>
          <w:szCs w:val="18"/>
        </w:rPr>
        <w:t xml:space="preserve"> </w:t>
      </w:r>
      <w:r>
        <w:rPr>
          <w:rFonts w:eastAsia="Aptos" w:cs="Arial"/>
          <w:szCs w:val="18"/>
        </w:rPr>
        <w:t>S</w:t>
      </w:r>
      <w:r w:rsidRPr="00BC07BE">
        <w:rPr>
          <w:rFonts w:eastAsia="Aptos" w:cs="Arial"/>
          <w:szCs w:val="18"/>
        </w:rPr>
        <w:t>2):</w:t>
      </w:r>
    </w:p>
    <w:p w14:paraId="3D4F6D5E" w14:textId="2DC2DF54" w:rsidR="00C77D6C" w:rsidRPr="00BC07BE" w:rsidRDefault="00C77D6C" w:rsidP="00C77D6C">
      <w:pPr>
        <w:spacing w:line="276" w:lineRule="auto"/>
        <w:jc w:val="center"/>
        <w:rPr>
          <w:rFonts w:eastAsia="Aptos" w:cs="Arial"/>
          <w:szCs w:val="18"/>
        </w:rPr>
      </w:pPr>
      <w:r w:rsidRPr="00BC07BE">
        <w:rPr>
          <w:rFonts w:eastAsia="Aptos" w:cs="Arial"/>
          <w:szCs w:val="18"/>
        </w:rPr>
        <w:t xml:space="preserve">Eq. </w:t>
      </w:r>
      <w:r>
        <w:rPr>
          <w:rFonts w:eastAsia="Aptos" w:cs="Arial"/>
          <w:szCs w:val="18"/>
        </w:rPr>
        <w:t>S</w:t>
      </w:r>
      <w:r w:rsidRPr="00BC07BE">
        <w:rPr>
          <w:rFonts w:eastAsia="Aptos" w:cs="Arial"/>
          <w:szCs w:val="18"/>
        </w:rPr>
        <w:t xml:space="preserve">2   </w:t>
      </w:r>
      <m:oMath>
        <m:sSub>
          <m:sSubPr>
            <m:ctrlPr>
              <w:rPr>
                <w:rFonts w:ascii="Cambria Math" w:eastAsia="Aptos" w:hAnsi="Cambria Math" w:cs="Arial"/>
                <w:i/>
                <w:szCs w:val="18"/>
              </w:rPr>
            </m:ctrlPr>
          </m:sSubPr>
          <m:e>
            <m:r>
              <w:rPr>
                <w:rFonts w:ascii="Cambria Math" w:eastAsia="Aptos" w:hAnsi="Cambria Math" w:cs="Arial"/>
                <w:szCs w:val="18"/>
              </w:rPr>
              <m:t>w</m:t>
            </m:r>
          </m:e>
          <m:sub>
            <m:r>
              <w:rPr>
                <w:rFonts w:ascii="Cambria Math" w:eastAsia="Aptos" w:hAnsi="Cambria Math" w:cs="Arial"/>
                <w:szCs w:val="18"/>
              </w:rPr>
              <m:t>j</m:t>
            </m:r>
          </m:sub>
        </m:sSub>
        <m:r>
          <w:rPr>
            <w:rFonts w:ascii="Cambria Math" w:eastAsia="Aptos" w:hAnsi="Cambria Math" w:cs="Arial"/>
            <w:szCs w:val="18"/>
          </w:rPr>
          <m:t>=</m:t>
        </m:r>
        <m:f>
          <m:fPr>
            <m:ctrlPr>
              <w:rPr>
                <w:rFonts w:ascii="Cambria Math" w:eastAsia="Aptos" w:hAnsi="Cambria Math" w:cs="Arial"/>
                <w:i/>
                <w:szCs w:val="18"/>
              </w:rPr>
            </m:ctrlPr>
          </m:fPr>
          <m:num>
            <m:r>
              <w:rPr>
                <w:rFonts w:ascii="Cambria Math" w:eastAsia="Aptos" w:hAnsi="Cambria Math" w:cs="Arial"/>
                <w:szCs w:val="18"/>
              </w:rPr>
              <m:t>1-</m:t>
            </m:r>
            <m:sSub>
              <m:sSubPr>
                <m:ctrlPr>
                  <w:rPr>
                    <w:rFonts w:ascii="Cambria Math" w:eastAsia="Aptos" w:hAnsi="Cambria Math" w:cs="Arial"/>
                    <w:i/>
                    <w:szCs w:val="18"/>
                  </w:rPr>
                </m:ctrlPr>
              </m:sSubPr>
              <m:e>
                <m:r>
                  <w:rPr>
                    <w:rFonts w:ascii="Cambria Math" w:eastAsia="Aptos" w:hAnsi="Cambria Math" w:cs="Arial"/>
                    <w:szCs w:val="18"/>
                  </w:rPr>
                  <m:t>E</m:t>
                </m:r>
              </m:e>
              <m:sub>
                <m:r>
                  <w:rPr>
                    <w:rFonts w:ascii="Cambria Math" w:eastAsia="Aptos" w:hAnsi="Cambria Math" w:cs="Arial"/>
                    <w:szCs w:val="18"/>
                  </w:rPr>
                  <m:t>j</m:t>
                </m:r>
              </m:sub>
            </m:sSub>
          </m:num>
          <m:den>
            <m:nary>
              <m:naryPr>
                <m:chr m:val="∑"/>
                <m:limLoc m:val="undOvr"/>
                <m:ctrlPr>
                  <w:rPr>
                    <w:rFonts w:ascii="Cambria Math" w:eastAsia="Aptos" w:hAnsi="Cambria Math" w:cs="Arial"/>
                    <w:i/>
                    <w:szCs w:val="18"/>
                  </w:rPr>
                </m:ctrlPr>
              </m:naryPr>
              <m:sub>
                <m:r>
                  <w:rPr>
                    <w:rFonts w:ascii="Cambria Math" w:eastAsia="Aptos" w:hAnsi="Cambria Math" w:cs="Arial"/>
                    <w:szCs w:val="18"/>
                  </w:rPr>
                  <m:t>k=1</m:t>
                </m:r>
              </m:sub>
              <m:sup>
                <m:r>
                  <w:rPr>
                    <w:rFonts w:ascii="Cambria Math" w:eastAsia="Aptos" w:hAnsi="Cambria Math" w:cs="Arial"/>
                    <w:szCs w:val="18"/>
                  </w:rPr>
                  <m:t>n</m:t>
                </m:r>
              </m:sup>
              <m:e>
                <m:r>
                  <w:rPr>
                    <w:rFonts w:ascii="Cambria Math" w:eastAsia="Aptos" w:hAnsi="Cambria Math" w:cs="Arial"/>
                    <w:szCs w:val="18"/>
                  </w:rPr>
                  <m:t>1-</m:t>
                </m:r>
                <m:sSub>
                  <m:sSubPr>
                    <m:ctrlPr>
                      <w:rPr>
                        <w:rFonts w:ascii="Cambria Math" w:eastAsia="Aptos" w:hAnsi="Cambria Math" w:cs="Arial"/>
                        <w:i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Arial"/>
                        <w:szCs w:val="18"/>
                      </w:rPr>
                      <m:t>E</m:t>
                    </m:r>
                  </m:e>
                  <m:sub>
                    <m:r>
                      <w:rPr>
                        <w:rFonts w:ascii="Cambria Math" w:eastAsia="Aptos" w:hAnsi="Cambria Math" w:cs="Arial"/>
                        <w:szCs w:val="18"/>
                      </w:rPr>
                      <m:t>j</m:t>
                    </m:r>
                  </m:sub>
                </m:sSub>
              </m:e>
            </m:nary>
          </m:den>
        </m:f>
      </m:oMath>
    </w:p>
    <w:p w14:paraId="2B237475" w14:textId="6472B783" w:rsidR="00C77D6C" w:rsidRPr="00BC07BE" w:rsidRDefault="00C77D6C" w:rsidP="00C77D6C">
      <w:pPr>
        <w:spacing w:line="276" w:lineRule="auto"/>
        <w:jc w:val="both"/>
        <w:rPr>
          <w:rFonts w:eastAsia="Aptos" w:cs="Arial"/>
          <w:szCs w:val="18"/>
        </w:rPr>
      </w:pPr>
      <w:r w:rsidRPr="00BC07BE">
        <w:rPr>
          <w:rFonts w:eastAsia="Aptos" w:cs="Arial"/>
          <w:szCs w:val="18"/>
        </w:rPr>
        <w:t xml:space="preserve">After determining the weights, the Technique for Order Preference by Similarity to Ideal Solution (TOPSIS) was applied to rank the </w:t>
      </w:r>
      <w:r w:rsidR="001628AF">
        <w:rPr>
          <w:rFonts w:eastAsia="Aptos" w:cs="Arial"/>
          <w:szCs w:val="18"/>
        </w:rPr>
        <w:t>pretreatment</w:t>
      </w:r>
      <w:r w:rsidRPr="00BC07BE">
        <w:rPr>
          <w:rFonts w:eastAsia="Aptos" w:cs="Arial"/>
          <w:szCs w:val="18"/>
        </w:rPr>
        <w:t xml:space="preserve"> levels</w:t>
      </w:r>
      <w:r>
        <w:t xml:space="preserve">. </w:t>
      </w:r>
      <w:r w:rsidRPr="00BC07BE">
        <w:rPr>
          <w:rFonts w:eastAsia="Aptos" w:cs="Arial"/>
          <w:szCs w:val="18"/>
        </w:rPr>
        <w:t>In this method, each alternative is evaluated based on its Euclidean distance from the ideal best (S</w:t>
      </w:r>
      <w:r w:rsidRPr="00BC07BE">
        <w:rPr>
          <w:rFonts w:eastAsia="Aptos" w:cs="Arial"/>
          <w:szCs w:val="18"/>
          <w:vertAlign w:val="subscript"/>
        </w:rPr>
        <w:t>i</w:t>
      </w:r>
      <w:r w:rsidRPr="00BC07BE">
        <w:rPr>
          <w:rFonts w:eastAsia="Aptos" w:cs="Arial"/>
          <w:szCs w:val="18"/>
          <w:vertAlign w:val="superscript"/>
        </w:rPr>
        <w:t>⁺</w:t>
      </w:r>
      <w:r w:rsidRPr="00BC07BE">
        <w:rPr>
          <w:rFonts w:eastAsia="Aptos" w:cs="Arial"/>
          <w:szCs w:val="18"/>
        </w:rPr>
        <w:t>) and worst (S</w:t>
      </w:r>
      <w:r w:rsidRPr="00BC07BE">
        <w:rPr>
          <w:rFonts w:eastAsia="Aptos" w:cs="Arial"/>
          <w:szCs w:val="18"/>
          <w:vertAlign w:val="subscript"/>
        </w:rPr>
        <w:t>i</w:t>
      </w:r>
      <w:r w:rsidRPr="00BC07BE">
        <w:rPr>
          <w:rFonts w:eastAsia="Aptos" w:cs="Arial"/>
          <w:szCs w:val="18"/>
          <w:vertAlign w:val="superscript"/>
        </w:rPr>
        <w:t>⁻</w:t>
      </w:r>
      <w:r w:rsidRPr="00BC07BE">
        <w:rPr>
          <w:rFonts w:eastAsia="Aptos" w:cs="Arial"/>
          <w:szCs w:val="18"/>
        </w:rPr>
        <w:t>) solutions (Eq</w:t>
      </w:r>
      <w:r w:rsidR="003B0737">
        <w:rPr>
          <w:rFonts w:eastAsia="Aptos" w:cs="Arial"/>
          <w:szCs w:val="18"/>
        </w:rPr>
        <w:t>.</w:t>
      </w:r>
      <w:r w:rsidRPr="00BC07BE">
        <w:rPr>
          <w:rFonts w:eastAsia="Aptos" w:cs="Arial"/>
          <w:szCs w:val="18"/>
        </w:rPr>
        <w:t xml:space="preserve"> </w:t>
      </w:r>
      <w:r>
        <w:rPr>
          <w:rFonts w:eastAsia="Aptos" w:cs="Arial"/>
          <w:szCs w:val="18"/>
        </w:rPr>
        <w:t>S</w:t>
      </w:r>
      <w:r w:rsidRPr="00BC07BE">
        <w:rPr>
          <w:rFonts w:eastAsia="Aptos" w:cs="Arial"/>
          <w:szCs w:val="18"/>
        </w:rPr>
        <w:t>3):</w:t>
      </w:r>
    </w:p>
    <w:p w14:paraId="0A378705" w14:textId="3EA3A2A5" w:rsidR="00C77D6C" w:rsidRPr="00BC07BE" w:rsidRDefault="00C77D6C" w:rsidP="00C77D6C">
      <w:pPr>
        <w:spacing w:line="276" w:lineRule="auto"/>
        <w:jc w:val="center"/>
        <w:rPr>
          <w:rFonts w:eastAsia="Aptos" w:cs="Arial"/>
          <w:szCs w:val="18"/>
          <w:lang w:bidi="fa-IR"/>
        </w:rPr>
      </w:pPr>
      <w:bookmarkStart w:id="1" w:name="_Hlk199744811"/>
      <w:r w:rsidRPr="00BC07BE">
        <w:rPr>
          <w:rFonts w:eastAsia="Aptos" w:cs="Arial"/>
          <w:szCs w:val="18"/>
          <w:lang w:bidi="fa-IR"/>
        </w:rPr>
        <w:t xml:space="preserve">Eq. </w:t>
      </w:r>
      <w:r>
        <w:rPr>
          <w:rFonts w:eastAsia="Aptos" w:cs="Arial"/>
          <w:szCs w:val="18"/>
          <w:lang w:bidi="fa-IR"/>
        </w:rPr>
        <w:t>S</w:t>
      </w:r>
      <w:r w:rsidRPr="00BC07BE">
        <w:rPr>
          <w:rFonts w:eastAsia="Aptos" w:cs="Arial"/>
          <w:szCs w:val="18"/>
          <w:lang w:bidi="fa-IR"/>
        </w:rPr>
        <w:t xml:space="preserve">3   </w:t>
      </w:r>
      <m:oMath>
        <m:sSup>
          <m:sSupPr>
            <m:ctrlPr>
              <w:rPr>
                <w:rFonts w:ascii="Cambria Math" w:eastAsia="Aptos" w:hAnsi="Cambria Math" w:cs="Arial"/>
                <w:i/>
                <w:szCs w:val="18"/>
                <w:lang w:bidi="fa-IR"/>
              </w:rPr>
            </m:ctrlPr>
          </m:sSupPr>
          <m:e>
            <m:r>
              <w:rPr>
                <w:rFonts w:ascii="Cambria Math" w:eastAsia="Aptos" w:hAnsi="Cambria Math" w:cs="Arial"/>
                <w:szCs w:val="18"/>
                <w:lang w:bidi="fa-IR"/>
              </w:rPr>
              <m:t>Si</m:t>
            </m:r>
          </m:e>
          <m:sup>
            <m:r>
              <w:rPr>
                <w:rFonts w:ascii="Cambria Math" w:eastAsia="Aptos" w:hAnsi="Cambria Math" w:cs="Arial"/>
                <w:szCs w:val="18"/>
                <w:lang w:bidi="fa-IR"/>
              </w:rPr>
              <m:t>+</m:t>
            </m:r>
          </m:sup>
        </m:sSup>
        <m:r>
          <w:rPr>
            <w:rFonts w:ascii="Cambria Math" w:eastAsia="Aptos" w:hAnsi="Cambria Math" w:cs="Arial"/>
            <w:szCs w:val="18"/>
            <w:lang w:bidi="fa-IR"/>
          </w:rPr>
          <m:t>=</m:t>
        </m:r>
        <m:rad>
          <m:radPr>
            <m:degHide m:val="1"/>
            <m:ctrlPr>
              <w:rPr>
                <w:rFonts w:ascii="Cambria Math" w:eastAsia="Aptos" w:hAnsi="Cambria Math" w:cs="Arial"/>
                <w:i/>
                <w:szCs w:val="18"/>
                <w:lang w:bidi="fa-IR"/>
              </w:rPr>
            </m:ctrlPr>
          </m:radPr>
          <m:deg/>
          <m:e>
            <m:d>
              <m:dPr>
                <m:begChr m:val="["/>
                <m:endChr m:val="]"/>
                <m:ctrlPr>
                  <w:rPr>
                    <w:rFonts w:ascii="Cambria Math" w:eastAsia="Aptos" w:hAnsi="Cambria Math" w:cs="Arial"/>
                    <w:i/>
                    <w:szCs w:val="18"/>
                    <w:lang w:bidi="fa-IR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="Aptos" w:hAnsi="Cambria Math" w:cs="Arial"/>
                        <w:i/>
                        <w:szCs w:val="18"/>
                        <w:lang w:bidi="fa-IR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Arial"/>
                        <w:szCs w:val="18"/>
                        <w:lang w:bidi="fa-IR"/>
                      </w:rPr>
                      <m:t>w</m:t>
                    </m:r>
                  </m:e>
                  <m:sub>
                    <m:r>
                      <w:rPr>
                        <w:rFonts w:ascii="Cambria Math" w:eastAsia="Aptos" w:hAnsi="Cambria Math" w:cs="Arial"/>
                        <w:szCs w:val="18"/>
                        <w:lang w:bidi="fa-IR"/>
                      </w:rPr>
                      <m:t>j</m:t>
                    </m:r>
                  </m:sub>
                </m:sSub>
                <m:r>
                  <w:rPr>
                    <w:rFonts w:ascii="Cambria Math" w:eastAsia="Aptos" w:hAnsi="Cambria Math" w:cs="Arial"/>
                    <w:szCs w:val="18"/>
                    <w:lang w:bidi="fa-IR"/>
                  </w:rPr>
                  <m:t>×</m:t>
                </m:r>
                <m:sSup>
                  <m:sSupPr>
                    <m:ctrlPr>
                      <w:rPr>
                        <w:rFonts w:ascii="Cambria Math" w:eastAsia="Aptos" w:hAnsi="Cambria Math" w:cs="Arial"/>
                        <w:i/>
                        <w:szCs w:val="18"/>
                        <w:lang w:bidi="fa-IR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ptos" w:hAnsi="Cambria Math" w:cs="Arial"/>
                            <w:i/>
                            <w:szCs w:val="18"/>
                            <w:lang w:bidi="fa-IR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="Aptos" w:hAnsi="Cambria Math" w:cs="Arial"/>
                                <w:i/>
                                <w:szCs w:val="18"/>
                                <w:lang w:bidi="fa-IR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Aptos" w:hAnsi="Cambria Math" w:cs="Arial"/>
                                <w:szCs w:val="18"/>
                                <w:lang w:bidi="fa-IR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Aptos" w:hAnsi="Cambria Math" w:cs="Arial"/>
                                <w:szCs w:val="18"/>
                                <w:lang w:bidi="fa-IR"/>
                              </w:rPr>
                              <m:t>ij</m:t>
                            </m:r>
                          </m:sub>
                        </m:sSub>
                        <m:r>
                          <w:rPr>
                            <w:rFonts w:ascii="Cambria Math" w:eastAsia="Aptos" w:hAnsi="Cambria Math" w:cs="Arial"/>
                            <w:szCs w:val="18"/>
                            <w:lang w:bidi="fa-IR"/>
                          </w:rPr>
                          <m:t>-</m:t>
                        </m:r>
                        <m:sSubSup>
                          <m:sSubSupPr>
                            <m:ctrlPr>
                              <w:rPr>
                                <w:rFonts w:ascii="Cambria Math" w:eastAsia="Aptos" w:hAnsi="Cambria Math" w:cs="Arial"/>
                                <w:i/>
                                <w:szCs w:val="18"/>
                                <w:lang w:bidi="fa-IR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eastAsia="Aptos" w:hAnsi="Cambria Math" w:cs="Arial"/>
                                <w:szCs w:val="18"/>
                                <w:lang w:bidi="fa-IR"/>
                              </w:rPr>
                              <m:t>x</m:t>
                            </m:r>
                          </m:e>
                          <m:sub>
                            <m:r>
                              <w:rPr>
                                <w:rFonts w:ascii="Cambria Math" w:eastAsia="Aptos" w:hAnsi="Cambria Math" w:cs="Arial"/>
                                <w:szCs w:val="18"/>
                                <w:lang w:bidi="fa-IR"/>
                              </w:rPr>
                              <m:t>j</m:t>
                            </m:r>
                          </m:sub>
                          <m:sup>
                            <m:r>
                              <w:rPr>
                                <w:rFonts w:ascii="Cambria Math" w:eastAsia="Aptos" w:hAnsi="Cambria Math" w:cs="Arial"/>
                                <w:szCs w:val="18"/>
                                <w:lang w:bidi="fa-IR"/>
                              </w:rPr>
                              <m:t>+</m:t>
                            </m:r>
                          </m:sup>
                        </m:sSubSup>
                      </m:e>
                    </m:d>
                  </m:e>
                  <m:sup>
                    <m:r>
                      <w:rPr>
                        <w:rFonts w:ascii="Cambria Math" w:eastAsia="Aptos" w:hAnsi="Cambria Math" w:cs="Arial"/>
                        <w:szCs w:val="18"/>
                        <w:lang w:bidi="fa-IR"/>
                      </w:rPr>
                      <m:t>2</m:t>
                    </m:r>
                  </m:sup>
                </m:sSup>
              </m:e>
            </m:d>
          </m:e>
        </m:rad>
      </m:oMath>
    </w:p>
    <w:p w14:paraId="0F438E7B" w14:textId="77777777" w:rsidR="00C77D6C" w:rsidRPr="00BC07BE" w:rsidRDefault="00000000" w:rsidP="00C77D6C">
      <w:pPr>
        <w:spacing w:line="276" w:lineRule="auto"/>
        <w:jc w:val="both"/>
        <w:rPr>
          <w:rFonts w:eastAsia="Aptos" w:cs="Arial"/>
          <w:szCs w:val="18"/>
          <w:lang w:bidi="fa-IR"/>
        </w:rPr>
      </w:pPr>
      <m:oMathPara>
        <m:oMath>
          <m:sSup>
            <m:sSupPr>
              <m:ctrlPr>
                <w:rPr>
                  <w:rFonts w:ascii="Cambria Math" w:eastAsia="Aptos" w:hAnsi="Cambria Math" w:cs="Arial"/>
                  <w:i/>
                  <w:szCs w:val="18"/>
                  <w:lang w:bidi="fa-IR"/>
                </w:rPr>
              </m:ctrlPr>
            </m:sSupPr>
            <m:e>
              <m:r>
                <w:rPr>
                  <w:rFonts w:ascii="Cambria Math" w:eastAsia="Aptos" w:hAnsi="Cambria Math" w:cs="Arial"/>
                  <w:szCs w:val="18"/>
                  <w:lang w:bidi="fa-IR"/>
                </w:rPr>
                <m:t>Si</m:t>
              </m:r>
            </m:e>
            <m:sup>
              <m:r>
                <w:rPr>
                  <w:rFonts w:ascii="Cambria Math" w:eastAsia="Aptos" w:hAnsi="Cambria Math" w:cs="Arial"/>
                  <w:szCs w:val="18"/>
                  <w:lang w:bidi="fa-IR"/>
                </w:rPr>
                <m:t>-</m:t>
              </m:r>
            </m:sup>
          </m:sSup>
          <m:r>
            <w:rPr>
              <w:rFonts w:ascii="Cambria Math" w:eastAsia="Aptos" w:hAnsi="Cambria Math" w:cs="Arial"/>
              <w:szCs w:val="18"/>
              <w:lang w:bidi="fa-IR"/>
            </w:rPr>
            <m:t>=</m:t>
          </m:r>
          <m:rad>
            <m:radPr>
              <m:degHide m:val="1"/>
              <m:ctrlPr>
                <w:rPr>
                  <w:rFonts w:ascii="Cambria Math" w:eastAsia="Aptos" w:hAnsi="Cambria Math" w:cs="Arial"/>
                  <w:i/>
                  <w:szCs w:val="18"/>
                  <w:lang w:bidi="fa-IR"/>
                </w:rPr>
              </m:ctrlPr>
            </m:radPr>
            <m:deg/>
            <m:e>
              <m:d>
                <m:dPr>
                  <m:begChr m:val="["/>
                  <m:endChr m:val="]"/>
                  <m:ctrlPr>
                    <w:rPr>
                      <w:rFonts w:ascii="Cambria Math" w:eastAsia="Aptos" w:hAnsi="Cambria Math" w:cs="Arial"/>
                      <w:i/>
                      <w:szCs w:val="18"/>
                      <w:lang w:bidi="fa-IR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="Aptos" w:hAnsi="Cambria Math" w:cs="Arial"/>
                          <w:i/>
                          <w:szCs w:val="18"/>
                          <w:lang w:bidi="fa-IR"/>
                        </w:rPr>
                      </m:ctrlPr>
                    </m:sSubPr>
                    <m:e>
                      <m:r>
                        <w:rPr>
                          <w:rFonts w:ascii="Cambria Math" w:eastAsia="Aptos" w:hAnsi="Cambria Math" w:cs="Arial"/>
                          <w:szCs w:val="18"/>
                          <w:lang w:bidi="fa-IR"/>
                        </w:rPr>
                        <m:t>w</m:t>
                      </m:r>
                    </m:e>
                    <m:sub>
                      <m:r>
                        <w:rPr>
                          <w:rFonts w:ascii="Cambria Math" w:eastAsia="Aptos" w:hAnsi="Cambria Math" w:cs="Arial"/>
                          <w:szCs w:val="18"/>
                          <w:lang w:bidi="fa-IR"/>
                        </w:rPr>
                        <m:t>j</m:t>
                      </m:r>
                    </m:sub>
                  </m:sSub>
                  <m:r>
                    <w:rPr>
                      <w:rFonts w:ascii="Cambria Math" w:eastAsia="Aptos" w:hAnsi="Cambria Math" w:cs="Arial"/>
                      <w:szCs w:val="18"/>
                      <w:lang w:bidi="fa-IR"/>
                    </w:rPr>
                    <m:t>×</m:t>
                  </m:r>
                  <m:sSup>
                    <m:sSupPr>
                      <m:ctrlPr>
                        <w:rPr>
                          <w:rFonts w:ascii="Cambria Math" w:eastAsia="Aptos" w:hAnsi="Cambria Math" w:cs="Arial"/>
                          <w:i/>
                          <w:szCs w:val="18"/>
                          <w:lang w:bidi="fa-IR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="Aptos" w:hAnsi="Cambria Math" w:cs="Arial"/>
                              <w:i/>
                              <w:szCs w:val="18"/>
                              <w:lang w:bidi="fa-IR"/>
                            </w:rPr>
                          </m:ctrlPr>
                        </m:dPr>
                        <m:e>
                          <m:sSub>
                            <m:sSubPr>
                              <m:ctrlPr>
                                <w:rPr>
                                  <w:rFonts w:ascii="Cambria Math" w:eastAsia="Aptos" w:hAnsi="Cambria Math" w:cs="Arial"/>
                                  <w:i/>
                                  <w:szCs w:val="18"/>
                                  <w:lang w:bidi="fa-IR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Aptos" w:hAnsi="Cambria Math" w:cs="Arial"/>
                                  <w:szCs w:val="18"/>
                                  <w:lang w:bidi="fa-IR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="Aptos" w:hAnsi="Cambria Math" w:cs="Arial"/>
                                  <w:szCs w:val="18"/>
                                  <w:lang w:bidi="fa-IR"/>
                                </w:rPr>
                                <m:t>ij</m:t>
                              </m:r>
                            </m:sub>
                          </m:sSub>
                          <m:r>
                            <w:rPr>
                              <w:rFonts w:ascii="Cambria Math" w:eastAsia="Aptos" w:hAnsi="Cambria Math" w:cs="Arial"/>
                              <w:szCs w:val="18"/>
                              <w:lang w:bidi="fa-IR"/>
                            </w:rPr>
                            <m:t>-</m:t>
                          </m:r>
                          <m:sSubSup>
                            <m:sSubSupPr>
                              <m:ctrlPr>
                                <w:rPr>
                                  <w:rFonts w:ascii="Cambria Math" w:eastAsia="Aptos" w:hAnsi="Cambria Math" w:cs="Arial"/>
                                  <w:i/>
                                  <w:szCs w:val="18"/>
                                  <w:lang w:bidi="fa-IR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eastAsia="Aptos" w:hAnsi="Cambria Math" w:cs="Arial"/>
                                  <w:szCs w:val="18"/>
                                  <w:lang w:bidi="fa-IR"/>
                                </w:rPr>
                                <m:t>x</m:t>
                              </m:r>
                            </m:e>
                            <m:sub>
                              <m:r>
                                <w:rPr>
                                  <w:rFonts w:ascii="Cambria Math" w:eastAsia="Aptos" w:hAnsi="Cambria Math" w:cs="Arial"/>
                                  <w:szCs w:val="18"/>
                                  <w:lang w:bidi="fa-IR"/>
                                </w:rPr>
                                <m:t>j</m:t>
                              </m:r>
                            </m:sub>
                            <m:sup>
                              <m:r>
                                <w:rPr>
                                  <w:rFonts w:ascii="Cambria Math" w:eastAsia="Aptos" w:hAnsi="Cambria Math" w:cs="Arial"/>
                                  <w:szCs w:val="18"/>
                                  <w:lang w:bidi="fa-IR"/>
                                </w:rPr>
                                <m:t>-</m:t>
                              </m:r>
                            </m:sup>
                          </m:sSubSup>
                        </m:e>
                      </m:d>
                    </m:e>
                    <m:sup>
                      <m:r>
                        <w:rPr>
                          <w:rFonts w:ascii="Cambria Math" w:eastAsia="Aptos" w:hAnsi="Cambria Math" w:cs="Arial"/>
                          <w:szCs w:val="18"/>
                          <w:lang w:bidi="fa-IR"/>
                        </w:rPr>
                        <m:t>2</m:t>
                      </m:r>
                    </m:sup>
                  </m:sSup>
                </m:e>
              </m:d>
            </m:e>
          </m:rad>
        </m:oMath>
      </m:oMathPara>
    </w:p>
    <w:p w14:paraId="2DBDB8FC" w14:textId="350CA2EB" w:rsidR="00C77D6C" w:rsidRPr="00BC07BE" w:rsidRDefault="00C77D6C" w:rsidP="00C77D6C">
      <w:pPr>
        <w:spacing w:line="276" w:lineRule="auto"/>
        <w:jc w:val="both"/>
        <w:rPr>
          <w:rFonts w:eastAsia="Aptos" w:cs="Arial"/>
          <w:szCs w:val="18"/>
        </w:rPr>
      </w:pPr>
      <w:r w:rsidRPr="00BC07BE">
        <w:rPr>
          <w:rFonts w:eastAsia="Aptos" w:cs="Arial"/>
          <w:szCs w:val="18"/>
        </w:rPr>
        <w:t>The closeness coefficient C</w:t>
      </w:r>
      <w:r w:rsidRPr="00BC07BE">
        <w:rPr>
          <w:rFonts w:eastAsia="Aptos" w:cs="Arial"/>
          <w:szCs w:val="18"/>
          <w:vertAlign w:val="subscript"/>
        </w:rPr>
        <w:t>i</w:t>
      </w:r>
      <w:r w:rsidRPr="00BC07BE">
        <w:rPr>
          <w:rFonts w:eastAsia="Aptos" w:cs="Arial"/>
          <w:szCs w:val="18"/>
        </w:rPr>
        <w:t xml:space="preserve">, </w:t>
      </w:r>
      <w:r w:rsidRPr="00BC07BE">
        <w:rPr>
          <w:rFonts w:eastAsia="Calibri" w:cs="Arial"/>
          <w:szCs w:val="18"/>
        </w:rPr>
        <w:t xml:space="preserve">determined the relative optimality of each </w:t>
      </w:r>
      <w:r w:rsidR="001628AF">
        <w:rPr>
          <w:rFonts w:eastAsia="Calibri" w:cs="Arial"/>
          <w:szCs w:val="18"/>
        </w:rPr>
        <w:t>pretreatment</w:t>
      </w:r>
      <w:r w:rsidRPr="00BC07BE">
        <w:rPr>
          <w:rFonts w:eastAsia="Calibri" w:cs="Arial"/>
          <w:szCs w:val="18"/>
        </w:rPr>
        <w:t xml:space="preserve"> </w:t>
      </w:r>
      <w:r w:rsidRPr="00BC07BE">
        <w:rPr>
          <w:rFonts w:eastAsia="Aptos" w:cs="Arial"/>
          <w:szCs w:val="18"/>
        </w:rPr>
        <w:t>(Eq</w:t>
      </w:r>
      <w:r w:rsidR="003B0737">
        <w:rPr>
          <w:rFonts w:eastAsia="Aptos" w:cs="Arial"/>
          <w:szCs w:val="18"/>
        </w:rPr>
        <w:t>.</w:t>
      </w:r>
      <w:r w:rsidRPr="00BC07BE">
        <w:rPr>
          <w:rFonts w:eastAsia="Aptos" w:cs="Arial"/>
          <w:szCs w:val="18"/>
        </w:rPr>
        <w:t xml:space="preserve"> </w:t>
      </w:r>
      <w:r>
        <w:rPr>
          <w:rFonts w:eastAsia="Aptos" w:cs="Arial"/>
          <w:szCs w:val="18"/>
        </w:rPr>
        <w:t>S</w:t>
      </w:r>
      <w:r w:rsidRPr="00BC07BE">
        <w:rPr>
          <w:rFonts w:eastAsia="Aptos" w:cs="Arial"/>
          <w:szCs w:val="18"/>
        </w:rPr>
        <w:t>4):</w:t>
      </w:r>
    </w:p>
    <w:p w14:paraId="626E6D24" w14:textId="39037357" w:rsidR="00C77D6C" w:rsidRPr="00BC07BE" w:rsidRDefault="00C77D6C" w:rsidP="00C77D6C">
      <w:pPr>
        <w:spacing w:line="276" w:lineRule="auto"/>
        <w:jc w:val="center"/>
        <w:rPr>
          <w:rFonts w:eastAsia="Aptos" w:cs="Arial"/>
          <w:szCs w:val="18"/>
        </w:rPr>
      </w:pPr>
      <w:r w:rsidRPr="00BC07BE">
        <w:rPr>
          <w:rFonts w:eastAsia="Aptos" w:cs="Arial"/>
          <w:szCs w:val="18"/>
        </w:rPr>
        <w:t xml:space="preserve">Eq. </w:t>
      </w:r>
      <w:r>
        <w:rPr>
          <w:rFonts w:eastAsia="Aptos" w:cs="Arial"/>
          <w:szCs w:val="18"/>
        </w:rPr>
        <w:t>S</w:t>
      </w:r>
      <w:r w:rsidRPr="00BC07BE">
        <w:rPr>
          <w:rFonts w:eastAsia="Aptos" w:cs="Arial"/>
          <w:szCs w:val="18"/>
        </w:rPr>
        <w:t xml:space="preserve">4   </w:t>
      </w:r>
      <m:oMath>
        <m:sSub>
          <m:sSubPr>
            <m:ctrlPr>
              <w:rPr>
                <w:rFonts w:ascii="Cambria Math" w:eastAsia="Aptos" w:hAnsi="Cambria Math" w:cs="Arial"/>
                <w:i/>
                <w:szCs w:val="18"/>
              </w:rPr>
            </m:ctrlPr>
          </m:sSubPr>
          <m:e>
            <m:r>
              <w:rPr>
                <w:rFonts w:ascii="Cambria Math" w:eastAsia="Aptos" w:hAnsi="Cambria Math" w:cs="Arial"/>
                <w:szCs w:val="18"/>
              </w:rPr>
              <m:t>C</m:t>
            </m:r>
          </m:e>
          <m:sub>
            <m:r>
              <w:rPr>
                <w:rFonts w:ascii="Cambria Math" w:eastAsia="Aptos" w:hAnsi="Cambria Math" w:cs="Arial"/>
                <w:szCs w:val="18"/>
              </w:rPr>
              <m:t>i</m:t>
            </m:r>
          </m:sub>
        </m:sSub>
        <m:r>
          <w:rPr>
            <w:rFonts w:ascii="Cambria Math" w:eastAsia="Aptos" w:hAnsi="Cambria Math" w:cs="Arial"/>
            <w:szCs w:val="18"/>
          </w:rPr>
          <m:t>=</m:t>
        </m:r>
        <m:f>
          <m:fPr>
            <m:ctrlPr>
              <w:rPr>
                <w:rFonts w:ascii="Cambria Math" w:eastAsia="Aptos" w:hAnsi="Cambria Math" w:cs="Arial"/>
                <w:i/>
                <w:szCs w:val="18"/>
              </w:rPr>
            </m:ctrlPr>
          </m:fPr>
          <m:num>
            <m:sSubSup>
              <m:sSubSupPr>
                <m:ctrlPr>
                  <w:rPr>
                    <w:rFonts w:ascii="Cambria Math" w:eastAsia="Aptos" w:hAnsi="Cambria Math" w:cs="Arial"/>
                    <w:i/>
                    <w:szCs w:val="18"/>
                  </w:rPr>
                </m:ctrlPr>
              </m:sSubSupPr>
              <m:e>
                <m:r>
                  <w:rPr>
                    <w:rFonts w:ascii="Cambria Math" w:eastAsia="Aptos" w:hAnsi="Cambria Math" w:cs="Arial"/>
                    <w:szCs w:val="18"/>
                  </w:rPr>
                  <m:t>S</m:t>
                </m:r>
              </m:e>
              <m:sub>
                <m:r>
                  <w:rPr>
                    <w:rFonts w:ascii="Cambria Math" w:eastAsia="Aptos" w:hAnsi="Cambria Math" w:cs="Arial"/>
                    <w:szCs w:val="18"/>
                  </w:rPr>
                  <m:t>i</m:t>
                </m:r>
              </m:sub>
              <m:sup>
                <m:r>
                  <w:rPr>
                    <w:rFonts w:ascii="Cambria Math" w:eastAsia="Aptos" w:hAnsi="Cambria Math" w:cs="Arial"/>
                    <w:szCs w:val="18"/>
                  </w:rPr>
                  <m:t>-</m:t>
                </m:r>
              </m:sup>
            </m:sSubSup>
          </m:num>
          <m:den>
            <m:sSubSup>
              <m:sSubSupPr>
                <m:ctrlPr>
                  <w:rPr>
                    <w:rFonts w:ascii="Cambria Math" w:eastAsia="Aptos" w:hAnsi="Cambria Math" w:cs="Arial"/>
                    <w:i/>
                    <w:szCs w:val="18"/>
                  </w:rPr>
                </m:ctrlPr>
              </m:sSubSupPr>
              <m:e>
                <m:r>
                  <w:rPr>
                    <w:rFonts w:ascii="Cambria Math" w:eastAsia="Aptos" w:hAnsi="Cambria Math" w:cs="Arial"/>
                    <w:szCs w:val="18"/>
                  </w:rPr>
                  <m:t>S</m:t>
                </m:r>
              </m:e>
              <m:sub>
                <m:r>
                  <w:rPr>
                    <w:rFonts w:ascii="Cambria Math" w:eastAsia="Aptos" w:hAnsi="Cambria Math" w:cs="Arial"/>
                    <w:szCs w:val="18"/>
                  </w:rPr>
                  <m:t>i</m:t>
                </m:r>
              </m:sub>
              <m:sup>
                <m:r>
                  <w:rPr>
                    <w:rFonts w:ascii="Cambria Math" w:eastAsia="Aptos" w:hAnsi="Cambria Math" w:cs="Arial"/>
                    <w:szCs w:val="18"/>
                  </w:rPr>
                  <m:t>-</m:t>
                </m:r>
              </m:sup>
            </m:sSubSup>
            <m:r>
              <w:rPr>
                <w:rFonts w:ascii="Cambria Math" w:eastAsia="Aptos" w:hAnsi="Cambria Math" w:cs="Arial"/>
                <w:szCs w:val="18"/>
              </w:rPr>
              <m:t>+</m:t>
            </m:r>
            <m:sSubSup>
              <m:sSubSupPr>
                <m:ctrlPr>
                  <w:rPr>
                    <w:rFonts w:ascii="Cambria Math" w:eastAsia="Aptos" w:hAnsi="Cambria Math" w:cs="Arial"/>
                    <w:i/>
                    <w:szCs w:val="18"/>
                  </w:rPr>
                </m:ctrlPr>
              </m:sSubSupPr>
              <m:e>
                <m:r>
                  <w:rPr>
                    <w:rFonts w:ascii="Cambria Math" w:eastAsia="Aptos" w:hAnsi="Cambria Math" w:cs="Arial"/>
                    <w:szCs w:val="18"/>
                  </w:rPr>
                  <m:t>S</m:t>
                </m:r>
              </m:e>
              <m:sub>
                <m:r>
                  <w:rPr>
                    <w:rFonts w:ascii="Cambria Math" w:eastAsia="Aptos" w:hAnsi="Cambria Math" w:cs="Arial"/>
                    <w:szCs w:val="18"/>
                  </w:rPr>
                  <m:t>i</m:t>
                </m:r>
              </m:sub>
              <m:sup>
                <m:r>
                  <w:rPr>
                    <w:rFonts w:ascii="Cambria Math" w:eastAsia="Aptos" w:hAnsi="Cambria Math" w:cs="Arial"/>
                    <w:szCs w:val="18"/>
                  </w:rPr>
                  <m:t>+</m:t>
                </m:r>
              </m:sup>
            </m:sSubSup>
          </m:den>
        </m:f>
      </m:oMath>
    </w:p>
    <w:bookmarkEnd w:id="1"/>
    <w:p w14:paraId="58E343AE" w14:textId="32B66272" w:rsidR="00CC787D" w:rsidRDefault="00C77D6C" w:rsidP="00C77D6C">
      <w:pPr>
        <w:spacing w:line="276" w:lineRule="auto"/>
        <w:jc w:val="both"/>
        <w:rPr>
          <w:b/>
          <w:bCs/>
          <w:sz w:val="24"/>
          <w:rtl/>
        </w:rPr>
      </w:pPr>
      <w:r w:rsidRPr="00BC07BE">
        <w:rPr>
          <w:rFonts w:eastAsia="Aptos" w:cs="Arial"/>
          <w:szCs w:val="18"/>
        </w:rPr>
        <w:t xml:space="preserve">Final ranking results are discussed later. </w:t>
      </w:r>
    </w:p>
    <w:p w14:paraId="173C0740" w14:textId="3AAB4E2F" w:rsidR="00A60CCD" w:rsidRDefault="00A60CCD" w:rsidP="00CC787D">
      <w:pPr>
        <w:spacing w:line="276" w:lineRule="auto"/>
        <w:jc w:val="both"/>
        <w:rPr>
          <w:b/>
          <w:bCs/>
          <w:sz w:val="24"/>
        </w:rPr>
      </w:pPr>
      <w:r w:rsidRPr="00A60CCD">
        <w:rPr>
          <w:b/>
          <w:bCs/>
          <w:sz w:val="24"/>
        </w:rPr>
        <w:t>Results and Discussion</w:t>
      </w:r>
    </w:p>
    <w:p w14:paraId="48C6F871" w14:textId="77777777" w:rsidR="003D6F59" w:rsidRPr="00FF20D7" w:rsidRDefault="003D6F59" w:rsidP="003D6F59">
      <w:pPr>
        <w:spacing w:line="276" w:lineRule="auto"/>
        <w:jc w:val="both"/>
        <w:rPr>
          <w:sz w:val="22"/>
          <w:szCs w:val="22"/>
        </w:rPr>
      </w:pPr>
      <w:r w:rsidRPr="00FF20D7">
        <w:rPr>
          <w:b/>
          <w:bCs/>
          <w:sz w:val="22"/>
          <w:szCs w:val="22"/>
          <w:lang w:bidi="fa-IR"/>
        </w:rPr>
        <w:t>FE-SEM</w:t>
      </w:r>
      <w:r w:rsidRPr="00FF20D7">
        <w:rPr>
          <w:sz w:val="22"/>
          <w:szCs w:val="22"/>
        </w:rPr>
        <w:t xml:space="preserve"> </w:t>
      </w:r>
      <w:r w:rsidRPr="00FF20D7">
        <w:rPr>
          <w:b/>
          <w:bCs/>
          <w:sz w:val="22"/>
          <w:szCs w:val="22"/>
          <w:lang w:bidi="fa-IR"/>
        </w:rPr>
        <w:t>Analysis</w:t>
      </w:r>
    </w:p>
    <w:p w14:paraId="1435EF81" w14:textId="3777AC51" w:rsidR="003D6F59" w:rsidRPr="001628AF" w:rsidRDefault="003D6F59" w:rsidP="003D6F59">
      <w:pPr>
        <w:spacing w:line="276" w:lineRule="auto"/>
        <w:jc w:val="both"/>
        <w:rPr>
          <w:szCs w:val="20"/>
        </w:rPr>
      </w:pPr>
      <w:r w:rsidRPr="001628AF">
        <w:rPr>
          <w:szCs w:val="20"/>
        </w:rPr>
        <w:t xml:space="preserve">FE-SEM micrographs highlighted clear differences in cell wall integrity among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pretreatments. The cryogenic-treated biomass (C) exhibited extensive surface collapse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and pore formation, suggesting maximal cell disruption, while CP also showed marked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deformation. Conversely, M and U samples retained more structural features, indicating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less effective disruption. These morphological observations directly correlate with extract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yields and reinforce the importance of pretreatment intensity in enhancing CO₂ penetration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>and bioactive release for nutraceutical applications (Table S</w:t>
      </w:r>
      <w:r w:rsidR="00C37E99">
        <w:rPr>
          <w:szCs w:val="20"/>
        </w:rPr>
        <w:t>2</w:t>
      </w:r>
      <w:r w:rsidRPr="001628AF">
        <w:rPr>
          <w:szCs w:val="20"/>
        </w:rPr>
        <w:t>).</w:t>
      </w:r>
      <w:r w:rsidRPr="001628AF">
        <w:rPr>
          <w:szCs w:val="20"/>
          <w:cs/>
        </w:rPr>
        <w:t>‎</w:t>
      </w:r>
    </w:p>
    <w:p w14:paraId="7431E347" w14:textId="310CD4EB" w:rsidR="003D6F59" w:rsidRPr="00F96B95" w:rsidRDefault="003D6F59" w:rsidP="003D6F59">
      <w:pPr>
        <w:spacing w:line="276" w:lineRule="auto"/>
        <w:jc w:val="center"/>
        <w:rPr>
          <w:sz w:val="18"/>
          <w:szCs w:val="18"/>
        </w:rPr>
      </w:pPr>
      <w:r w:rsidRPr="00F96B95">
        <w:rPr>
          <w:b/>
          <w:bCs/>
          <w:sz w:val="18"/>
          <w:szCs w:val="18"/>
        </w:rPr>
        <w:t>Table S</w:t>
      </w:r>
      <w:r w:rsidR="00C37E99">
        <w:rPr>
          <w:b/>
          <w:bCs/>
          <w:sz w:val="18"/>
          <w:szCs w:val="18"/>
        </w:rPr>
        <w:t>2</w:t>
      </w:r>
      <w:r w:rsidRPr="00F96B95">
        <w:rPr>
          <w:sz w:val="18"/>
          <w:szCs w:val="18"/>
        </w:rPr>
        <w:t xml:space="preserve"> FE-SEM analysis of </w:t>
      </w:r>
      <w:r w:rsidRPr="00F96B95">
        <w:rPr>
          <w:i/>
          <w:iCs/>
          <w:sz w:val="18"/>
          <w:szCs w:val="18"/>
        </w:rPr>
        <w:t xml:space="preserve">C. vulgaris </w:t>
      </w:r>
      <w:r w:rsidRPr="00F96B95">
        <w:rPr>
          <w:sz w:val="18"/>
          <w:szCs w:val="18"/>
        </w:rPr>
        <w:t>residual biomass</w:t>
      </w:r>
    </w:p>
    <w:tbl>
      <w:tblPr>
        <w:tblStyle w:val="TableGrid3"/>
        <w:tblW w:w="0" w:type="auto"/>
        <w:jc w:val="center"/>
        <w:tblLook w:val="04A0" w:firstRow="1" w:lastRow="0" w:firstColumn="1" w:lastColumn="0" w:noHBand="0" w:noVBand="1"/>
      </w:tblPr>
      <w:tblGrid>
        <w:gridCol w:w="3047"/>
        <w:gridCol w:w="1899"/>
        <w:gridCol w:w="3428"/>
        <w:gridCol w:w="986"/>
      </w:tblGrid>
      <w:tr w:rsidR="004F0F4E" w:rsidRPr="00C65A0E" w14:paraId="33119CA2" w14:textId="77777777" w:rsidTr="00227792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8E91C92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</w:pPr>
            <w:r w:rsidRPr="00DE310C"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  <w:t>Algae Species Tested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F9D797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  <w:t>FE-SEM Observations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8D0B1CB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</w:pPr>
            <w:r w:rsidRPr="00DE310C"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  <w:t>Industrial Relevance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418ED8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  <w:t>Reference</w:t>
            </w:r>
          </w:p>
        </w:tc>
      </w:tr>
      <w:tr w:rsidR="004F0F4E" w:rsidRPr="00C65A0E" w14:paraId="0037911F" w14:textId="77777777" w:rsidTr="00227792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5B2B41D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>Microalgae powder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3B49E64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Microalgae oil extracted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32D44B5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Biofuel, enriched food supplements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AB1C0A0" w14:textId="14CD7E95" w:rsidR="003D6F59" w:rsidRPr="00F96B95" w:rsidRDefault="004F0F4E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rFonts w:ascii="Times New Roman" w:eastAsiaTheme="minorHAnsi" w:hAnsi="Times New Roman" w:cs="B Nazanin"/>
                <w:sz w:val="18"/>
                <w:szCs w:val="18"/>
              </w:rPr>
              <w:instrText>ADDIN CSL_CITATION {"citationItems":[{"id":"ITEM-1","itemData":{"ISSN":"1388-6150","author":[{"dropping-particle":"","family":"Zaharescu","given":"Traian","non-dropping-particle":"","parse-names":false,"suffix":""},{"dropping-particle":"","family":"Bumbac","given":"Marius","non-dropping-particle":"","parse-names":false,"suffix":""},{"dropping-particle":"","family":"Nicolescu","given":"Cristina Mihaela","non-dropping-particle":"","parse-names":false,"suffix":""}],"container-title":"Journal of Thermal Analysis and Calorimetry","id":"ITEM-1","issue":"19","issued":{"date-parts":[["2024"]]},"page":"10793-10805","publisher":"Springer","title":"Stability effects of added biomass on microalgae styrene–butadiene–styrene composites","type":"article-journal","volume":"149"},"uris":["http://www.mendeley.com/documents/?uuid=87ddcd04-5060-40f5-b2f4-cbd9d3390f20"]}],"mendeley":{"formattedCitation":"[6]","plainTextFormattedCitation":"[6]","previouslyFormattedCitation":"[6]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4F0F4E">
              <w:rPr>
                <w:rFonts w:ascii="Times New Roman" w:eastAsiaTheme="minorHAnsi" w:hAnsi="Times New Roman" w:cs="B Nazanin"/>
                <w:noProof/>
                <w:sz w:val="18"/>
                <w:szCs w:val="18"/>
              </w:rPr>
              <w:t>[6]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F0F4E" w:rsidRPr="00C65A0E" w14:paraId="0E433B21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70150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>Auxenochlorella protothecoides and C. vulgaris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A5CF6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Permeabilization of cell membranes,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1D3E2E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6E6CAA">
              <w:rPr>
                <w:rFonts w:ascii="Times New Roman" w:eastAsiaTheme="minorHAnsi" w:hAnsi="Times New Roman" w:cs="B Nazanin"/>
                <w:sz w:val="18"/>
                <w:szCs w:val="18"/>
              </w:rPr>
              <w:t>Morphological changes indicate enhanced cell wall permeability, directly impacting mass transfer kinetics and solvent penetration efficiency in extraction processes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E74B5E" w14:textId="34BA8618" w:rsidR="003D6F59" w:rsidRPr="00F96B95" w:rsidRDefault="004F0F4E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rFonts w:ascii="Times New Roman" w:eastAsiaTheme="minorHAnsi" w:hAnsi="Times New Roman" w:cs="B Nazanin"/>
                <w:sz w:val="18"/>
                <w:szCs w:val="18"/>
              </w:rPr>
              <w:instrText>ADDIN CSL_CITATION {"citationItems":[{"id":"ITEM-1","itemData":{"ISSN":"2073-4360","author":[{"dropping-particle":"","family":"Morais","given":"Flávia P","non-dropping-particle":"","parse-names":false,"suffix":""},{"dropping-particle":"","family":"Simões","given":"Rogério M S","non-dropping-particle":"","parse-names":false,"suffix":""},{"dropping-particle":"","family":"Curto","given":"Joana M R","non-dropping-particle":"","parse-names":false,"suffix":""}],"container-title":"Polymers","id":"ITEM-1","issue":"11","issued":{"date-parts":[["2020"]]},"page":"2689","publisher":"MDPI","title":"Biopolymeric delivery systems for cosmetic applications using chlorella vulgaris algae and tea tree essential oil","type":"article-journal","volume":"12"},"uris":["http://www.mendeley.com/documents/?uuid=8fcf0535-aa3d-4593-988d-27656edea454"]}],"mendeley":{"formattedCitation":"[7]","plainTextFormattedCitation":"[7]","previouslyFormattedCitation":"[7]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4F0F4E">
              <w:rPr>
                <w:rFonts w:ascii="Times New Roman" w:eastAsiaTheme="minorHAnsi" w:hAnsi="Times New Roman" w:cs="B Nazanin"/>
                <w:noProof/>
                <w:sz w:val="18"/>
                <w:szCs w:val="18"/>
              </w:rPr>
              <w:t>[7]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F0F4E" w:rsidRPr="00C65A0E" w14:paraId="65BC9812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401CA2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 xml:space="preserve">Ourococcus multisporus, Nitzschia cf. pusilla, Chlamydomonas mexicana, </w:t>
            </w: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lastRenderedPageBreak/>
              <w:t>Scenedesmus obliquus, C. vulgaris, and Micractinium reisseri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973CCE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lastRenderedPageBreak/>
              <w:t>Lipid extraction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48F64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>
              <w:rPr>
                <w:rFonts w:ascii="Times New Roman" w:eastAsiaTheme="minorHAnsi" w:hAnsi="Times New Roman" w:cs="B Nazanin"/>
                <w:sz w:val="18"/>
                <w:szCs w:val="18"/>
              </w:rPr>
              <w:t>W</w:t>
            </w: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astewater treatment and biodiesel production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DC007" w14:textId="21D789AD" w:rsidR="003D6F59" w:rsidRPr="00F96B95" w:rsidRDefault="004F0F4E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rFonts w:ascii="Times New Roman" w:eastAsiaTheme="minorHAnsi" w:hAnsi="Times New Roman" w:cs="B Nazanin"/>
                <w:sz w:val="18"/>
                <w:szCs w:val="18"/>
              </w:rPr>
              <w:instrText>ADDIN CSL_CITATION {"citationItems":[{"id":"ITEM-1","itemData":{"ISSN":"2045-2322","author":[{"dropping-particle":"","family":"El-Naggar","given":"Noura El-Ahmady","non-dropping-particle":"","parse-names":false,"suffix":""},{"dropping-particle":"","family":"Hussein","given":"Mervat H","non-dropping-particle":"","parse-names":false,"suffix":""},{"dropping-particle":"","family":"Shaaban-Dessuuki","given":"Sami A","non-dropping-particle":"","parse-names":false,"suffix":""},{"dropping-particle":"","family":"Dalal","given":"Shimaa R","non-dropping-particle":"","parse-names":false,"suffix":""}],"container-title":"Scientific Reports","id":"ITEM-1","issue":"1","issued":{"date-parts":[["2020"]]},"page":"3011","publisher":"Nature Publishing Group UK London","title":"Production, extraction and characterization of Chlorella vulgaris soluble polysaccharides and their applications in AgNPs biosynthesis and biostimulation of plant growth","type":"article-journal","volume":"10"},"uris":["http://www.mendeley.com/documents/?uuid=7a70a954-2800-4ab3-b8f6-901bddc4e422"]}],"mendeley":{"formattedCitation":"[8]","plainTextFormattedCitation":"[8]","previouslyFormattedCitation":"[8]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4F0F4E">
              <w:rPr>
                <w:rFonts w:ascii="Times New Roman" w:eastAsiaTheme="minorHAnsi" w:hAnsi="Times New Roman" w:cs="B Nazanin"/>
                <w:noProof/>
                <w:sz w:val="18"/>
                <w:szCs w:val="18"/>
              </w:rPr>
              <w:t>[8]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F0F4E" w:rsidRPr="00C65A0E" w14:paraId="0B820A9B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2C7FA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>Porphyridium purpureum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5E88B4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Cell disruption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AF34C8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Extract Phycoerythrin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8E33A" w14:textId="0FD68ADF" w:rsidR="003D6F59" w:rsidRPr="00F96B95" w:rsidRDefault="004F0F4E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rFonts w:ascii="Times New Roman" w:eastAsiaTheme="minorHAnsi" w:hAnsi="Times New Roman" w:cs="B Nazanin"/>
                <w:sz w:val="18"/>
                <w:szCs w:val="18"/>
              </w:rPr>
              <w:instrText>ADDIN CSL_CITATION {"citationItems":[{"id":"ITEM-1","itemData":{"ISSN":"0926-6690","author":[{"dropping-particle":"","family":"Drosou","given":"Christina","non-dropping-particle":"","parse-names":false,"suffix":""},{"dropping-particle":"","family":"Kyriakopoulou","given":"Konstantina","non-dropping-particle":"","parse-names":false,"suffix":""},{"dropping-particle":"","family":"Bimpilas","given":"Andreas","non-dropping-particle":"","parse-names":false,"suffix":""},{"dropping-particle":"","family":"Tsimogiannis","given":"Dimitrios","non-dropping-particle":"","parse-names":false,"suffix":""},{"dropping-particle":"","family":"Krokida","given":"Magdalini","non-dropping-particle":"","parse-names":false,"suffix":""}],"container-title":"Industrial Crops and Products","id":"ITEM-1","issued":{"date-parts":[["2015"]]},"page":"141-149","publisher":"Elsevier","title":"A comparative study on different extraction techniques to recover red grape pomace polyphenols from vinification byproducts","type":"article-journal","volume":"75"},"uris":["http://www.mendeley.com/documents/?uuid=27d70d3f-5baa-464f-b21c-b25781c6556e"]}],"mendeley":{"formattedCitation":"[1]","plainTextFormattedCitation":"[1]","previouslyFormattedCitation":"[1]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4F0F4E">
              <w:rPr>
                <w:rFonts w:ascii="Times New Roman" w:eastAsiaTheme="minorHAnsi" w:hAnsi="Times New Roman" w:cs="B Nazanin"/>
                <w:noProof/>
                <w:sz w:val="18"/>
                <w:szCs w:val="18"/>
              </w:rPr>
              <w:t>[1]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F0F4E" w:rsidRPr="00C65A0E" w14:paraId="41D326DC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D8A51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>Nanochloropsis 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100D22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Cell disruption and optimizing extraction condition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D4A4AD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Lipid and eicosapentaenoic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BE33B9" w14:textId="3A15D6E8" w:rsidR="003D6F59" w:rsidRPr="00F96B95" w:rsidRDefault="004F0F4E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 w:rsidR="00075EEC">
              <w:rPr>
                <w:rFonts w:ascii="Times New Roman" w:eastAsiaTheme="minorHAnsi" w:hAnsi="Times New Roman" w:cs="B Nazanin"/>
                <w:sz w:val="18"/>
                <w:szCs w:val="18"/>
              </w:rPr>
              <w:instrText>ADDIN CSL_CITATION {"citationItems":[{"id":"ITEM-1","itemData":{"ISSN":"2045-2322","author":[{"dropping-particle":"","family":"El-Naggar","given":"Noura El-Ahmady","non-dropping-particle":"","parse-names":false,"suffix":""},{"dropping-particle":"","family":"Hussein","given":"Mervat H","non-dropping-particle":"","parse-names":false,"suffix":""},{"dropping-particle":"","family":"Shaaban-Dessuuki","given":"Sami A","non-dropping-particle":"","parse-names":false,"suffix":""},{"dropping-particle":"","family":"Dalal","given":"Shimaa R","non-dropping-particle":"","parse-names":false,"suffix":""}],"container-title":"Scientific Reports","id":"ITEM-1","issue":"1","issued":{"date-parts":[["2020"]]},"page":"3011","publisher":"Nature Publishing Group UK London","title":"Production, extraction and characterization of Chlorella vulgaris soluble polysaccharides and their applications in AgNPs biosynthesis and biostimulation of plant growth","type":"article-journal","volume":"10"},"uris":["http://www.mendeley.com/documents/?uuid=7a70a954-2800-4ab3-b8f6-901bddc4e422"]}],"mendeley":{"formattedCitation":"[8]","plainTextFormattedCitation":"[8]","previouslyFormattedCitation":"[8]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4F0F4E">
              <w:rPr>
                <w:rFonts w:ascii="Times New Roman" w:eastAsiaTheme="minorHAnsi" w:hAnsi="Times New Roman" w:cs="B Nazanin"/>
                <w:noProof/>
                <w:sz w:val="18"/>
                <w:szCs w:val="18"/>
              </w:rPr>
              <w:t>[8]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4F0F4E" w:rsidRPr="00C65A0E" w14:paraId="7162931D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5C8699EA" w14:textId="77777777" w:rsidR="003D6F59" w:rsidRPr="00F96B95" w:rsidRDefault="003D6F59" w:rsidP="00227792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>C. vulgaris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32CB979A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Cell disruption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783B082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Bioactive extract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2174298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="Times New Roman" w:hAnsi="Times New Roman" w:cs="B Nazanin"/>
                <w:sz w:val="18"/>
                <w:szCs w:val="18"/>
              </w:rPr>
              <w:t>This study</w:t>
            </w:r>
          </w:p>
        </w:tc>
      </w:tr>
    </w:tbl>
    <w:p w14:paraId="09D95294" w14:textId="77777777" w:rsidR="003D6F59" w:rsidRDefault="003D6F59" w:rsidP="00966C4C">
      <w:pPr>
        <w:spacing w:line="276" w:lineRule="auto"/>
        <w:jc w:val="both"/>
        <w:rPr>
          <w:b/>
          <w:bCs/>
          <w:sz w:val="22"/>
          <w:szCs w:val="22"/>
          <w:lang w:bidi="fa-IR"/>
        </w:rPr>
      </w:pPr>
    </w:p>
    <w:p w14:paraId="27863C48" w14:textId="77777777" w:rsidR="003D6F59" w:rsidRPr="00FF20D7" w:rsidRDefault="003D6F59" w:rsidP="003D6F59">
      <w:pPr>
        <w:spacing w:line="276" w:lineRule="auto"/>
        <w:jc w:val="both"/>
        <w:rPr>
          <w:b/>
          <w:bCs/>
          <w:sz w:val="22"/>
          <w:szCs w:val="22"/>
          <w:lang w:bidi="fa-IR"/>
        </w:rPr>
      </w:pPr>
      <w:r w:rsidRPr="00FF20D7">
        <w:rPr>
          <w:b/>
          <w:bCs/>
          <w:sz w:val="22"/>
          <w:szCs w:val="22"/>
        </w:rPr>
        <w:t xml:space="preserve">TGA </w:t>
      </w:r>
      <w:r w:rsidRPr="00FF20D7">
        <w:rPr>
          <w:b/>
          <w:bCs/>
          <w:sz w:val="22"/>
          <w:szCs w:val="22"/>
          <w:lang w:bidi="fa-IR"/>
        </w:rPr>
        <w:t>Analysis</w:t>
      </w:r>
    </w:p>
    <w:p w14:paraId="63C37098" w14:textId="13E02292" w:rsidR="003D6F59" w:rsidRPr="001628AF" w:rsidRDefault="003D6F59" w:rsidP="003D6F59">
      <w:pPr>
        <w:spacing w:line="276" w:lineRule="auto"/>
        <w:jc w:val="both"/>
        <w:rPr>
          <w:szCs w:val="20"/>
          <w:rtl/>
          <w:lang w:bidi="fa-IR"/>
        </w:rPr>
      </w:pPr>
      <w:r w:rsidRPr="001628AF">
        <w:rPr>
          <w:szCs w:val="20"/>
        </w:rPr>
        <w:t xml:space="preserve">TGA data revealed distinct thermal decomposition phases, with major mass loss occurring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between 176.66–509.16 °C due to the breakdown of biomolecular constituents. Samples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treated with C and M methods exhibited lower residual mass (18.24% and 28.59%,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respectively), reflecting more effective cell disruption and reduced ash content. These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trends suggest improved extractability and purity of bioactives, particularly relevant for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pharmaceutical applications. In contrast, higher residue in UC, U, and CP may favor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>mineral-enriched formulations. Detailed comparative results are summarized in Table S</w:t>
      </w:r>
      <w:r w:rsidR="00C37E99">
        <w:rPr>
          <w:szCs w:val="20"/>
        </w:rPr>
        <w:t>3</w:t>
      </w:r>
      <w:r w:rsidRPr="001628AF">
        <w:rPr>
          <w:szCs w:val="20"/>
        </w:rPr>
        <w:t>.</w:t>
      </w:r>
      <w:r w:rsidRPr="001628AF">
        <w:rPr>
          <w:szCs w:val="20"/>
          <w:cs/>
        </w:rPr>
        <w:t>‎</w:t>
      </w:r>
    </w:p>
    <w:p w14:paraId="5BC35A46" w14:textId="071F2F5D" w:rsidR="003D6F59" w:rsidRPr="00F96B95" w:rsidRDefault="003D6F59" w:rsidP="003D6F59">
      <w:pPr>
        <w:spacing w:line="276" w:lineRule="auto"/>
        <w:jc w:val="center"/>
        <w:rPr>
          <w:sz w:val="18"/>
          <w:szCs w:val="18"/>
        </w:rPr>
      </w:pPr>
      <w:r w:rsidRPr="00F96B95">
        <w:rPr>
          <w:b/>
          <w:bCs/>
          <w:sz w:val="18"/>
          <w:szCs w:val="18"/>
        </w:rPr>
        <w:t>Table S</w:t>
      </w:r>
      <w:r w:rsidR="00C37E99">
        <w:rPr>
          <w:b/>
          <w:bCs/>
          <w:sz w:val="18"/>
          <w:szCs w:val="18"/>
        </w:rPr>
        <w:t>3</w:t>
      </w:r>
      <w:r w:rsidRPr="00F96B95">
        <w:rPr>
          <w:sz w:val="18"/>
          <w:szCs w:val="18"/>
        </w:rPr>
        <w:t xml:space="preserve"> TGA Analysis of </w:t>
      </w:r>
      <w:r w:rsidRPr="00F96B95">
        <w:rPr>
          <w:i/>
          <w:iCs/>
          <w:sz w:val="18"/>
          <w:szCs w:val="18"/>
        </w:rPr>
        <w:t xml:space="preserve">C. vulgaris </w:t>
      </w:r>
      <w:r w:rsidRPr="00F96B95">
        <w:rPr>
          <w:sz w:val="18"/>
          <w:szCs w:val="18"/>
        </w:rPr>
        <w:t>residual biomass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38"/>
        <w:gridCol w:w="2532"/>
        <w:gridCol w:w="3204"/>
        <w:gridCol w:w="986"/>
      </w:tblGrid>
      <w:tr w:rsidR="00693170" w:rsidRPr="00C65A0E" w14:paraId="71092962" w14:textId="77777777" w:rsidTr="00227792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6B0E36" w14:textId="77777777" w:rsidR="003D6F59" w:rsidRPr="00F96B95" w:rsidRDefault="003D6F59" w:rsidP="00227792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DE310C">
              <w:rPr>
                <w:b/>
                <w:bCs/>
                <w:sz w:val="18"/>
                <w:szCs w:val="18"/>
              </w:rPr>
              <w:t>Algae Species Tested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60D2534" w14:textId="77777777" w:rsidR="003D6F59" w:rsidRPr="00F96B95" w:rsidRDefault="003D6F59" w:rsidP="00227792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6B95">
              <w:rPr>
                <w:b/>
                <w:bCs/>
                <w:sz w:val="18"/>
                <w:szCs w:val="18"/>
              </w:rPr>
              <w:t>TGA Findings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15911D5" w14:textId="77777777" w:rsidR="003D6F59" w:rsidRPr="00F96B95" w:rsidRDefault="003D6F59" w:rsidP="00227792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DE310C">
              <w:rPr>
                <w:b/>
                <w:bCs/>
                <w:sz w:val="18"/>
                <w:szCs w:val="18"/>
              </w:rPr>
              <w:t>Comparison to Current Study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0DFF54" w14:textId="77777777" w:rsidR="003D6F59" w:rsidRPr="00F96B95" w:rsidRDefault="003D6F59" w:rsidP="00227792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6B95">
              <w:rPr>
                <w:b/>
                <w:bCs/>
                <w:sz w:val="18"/>
                <w:szCs w:val="18"/>
              </w:rPr>
              <w:t>Reference</w:t>
            </w:r>
          </w:p>
        </w:tc>
      </w:tr>
      <w:tr w:rsidR="00693170" w:rsidRPr="00C65A0E" w14:paraId="15448ABF" w14:textId="77777777" w:rsidTr="00227792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078575B6" w14:textId="77777777" w:rsidR="003D6F59" w:rsidRPr="00F96B95" w:rsidRDefault="003D6F59" w:rsidP="00227792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 xml:space="preserve">Tetradesmus dimorphus, Tetradesmus obliquus, Chlorella sp., </w:t>
            </w:r>
            <w:r w:rsidRPr="00F96B95">
              <w:rPr>
                <w:sz w:val="18"/>
                <w:szCs w:val="18"/>
              </w:rPr>
              <w:t>and</w:t>
            </w:r>
            <w:r w:rsidRPr="00F96B95">
              <w:rPr>
                <w:i/>
                <w:iCs/>
                <w:sz w:val="18"/>
                <w:szCs w:val="18"/>
              </w:rPr>
              <w:t xml:space="preserve"> Chlorella sorokiniana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6018A2E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5-7% initial loss, 67-80% decomposition in the second phase, and 3-5% final reduction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41ECFFE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Steeper slopes correlate with more residual ash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D1E0F7A" w14:textId="1532A681" w:rsidR="003D6F59" w:rsidRPr="00F96B95" w:rsidRDefault="00075EEC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 w:rsidR="00693170">
              <w:rPr>
                <w:sz w:val="18"/>
                <w:szCs w:val="18"/>
              </w:rPr>
              <w:instrText>ADDIN CSL_CITATION {"citationItems":[{"id":"ITEM-1","itemData":{"ISSN":"0021-8561","author":[{"dropping-particle":"","family":"Domenici","given":"Valentina","non-dropping-particle":"","parse-names":false,"suffix":""},{"dropping-particle":"","family":"Ancora","given":"Donatella","non-dropping-particle":"","parse-names":false,"suffix":""},{"dropping-particle":"","family":"Cifelli","given":"Mario","non-dropping-particle":"","parse-names":false,"suffix":""},{"dropping-particle":"","family":"Serani","given":"Andrea","non-dropping-particle":"","parse-names":false,"suffix":""},{"dropping-particle":"","family":"Veracini","given":"Carlo Alberto","non-dropping-particle":"","parse-names":false,"suffix":""},{"dropping-particle":"","family":"Zandomeneghi","given":"Maurizio","non-dropping-particle":"","parse-names":false,"suffix":""}],"container-title":"Journal of agricultural and food chemistry","id":"ITEM-1","issue":"38","issued":{"date-parts":[["2014"]]},"page":"9317-9325","publisher":"ACS Publications","title":"Extraction of pigment information from near-UV vis absorption spectra of extra virgin olive oils","type":"article-journal","volume":"62"},"uris":["http://www.mendeley.com/documents/?uuid=7f1bc3df-da25-42a3-92f6-4e0be38ede67"]}],"mendeley":{"formattedCitation":"[9]","plainTextFormattedCitation":"[9]","previouslyFormattedCitation":"[9]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075EEC">
              <w:rPr>
                <w:noProof/>
                <w:sz w:val="18"/>
                <w:szCs w:val="18"/>
              </w:rPr>
              <w:t>[9]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693170" w:rsidRPr="00C65A0E" w14:paraId="6873A02D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8B898C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>C. vulgaris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287043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10-12% initial loss, 60-65% decomposition in the second phase, and 3-5% final reduction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7A137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090664">
              <w:rPr>
                <w:sz w:val="18"/>
                <w:szCs w:val="18"/>
                <w:lang w:bidi="fa-IR"/>
              </w:rPr>
              <w:t>Lower residual mass indicates higher organic matter decomposition, critical for downstream purification and biochar applications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A0AF59" w14:textId="593BDBA0" w:rsidR="003D6F59" w:rsidRPr="00F96B95" w:rsidRDefault="00693170" w:rsidP="00227792">
            <w:pPr>
              <w:spacing w:line="276" w:lineRule="auto"/>
              <w:jc w:val="center"/>
              <w:rPr>
                <w:sz w:val="18"/>
                <w:szCs w:val="18"/>
                <w:lang w:bidi="fa-IR"/>
              </w:rPr>
            </w:pPr>
            <w:r>
              <w:rPr>
                <w:sz w:val="18"/>
                <w:szCs w:val="18"/>
                <w:lang w:bidi="fa-IR"/>
              </w:rPr>
              <w:fldChar w:fldCharType="begin" w:fldLock="1"/>
            </w:r>
            <w:r>
              <w:rPr>
                <w:sz w:val="18"/>
                <w:szCs w:val="18"/>
                <w:lang w:bidi="fa-IR"/>
              </w:rPr>
              <w:instrText>ADDIN CSL_CITATION {"citationItems":[{"id":"ITEM-1","itemData":{"ISSN":"0308-8146","author":[{"dropping-particle":"","family":"Li","given":"Ke","non-dropping-particle":"","parse-names":false,"suffix":""},{"dropping-particle":"","family":"Jiang","given":"Chunxue","non-dropping-particle":"","parse-names":false,"suffix":""},{"dropping-particle":"","family":"Han","given":"Sang-Il","non-dropping-particle":"","parse-names":false,"suffix":""},{"dropping-particle":"","family":"Kang","given":"Seulgi","non-dropping-particle":"","parse-names":false,"suffix":""},{"dropping-particle":"","family":"Chen","given":"Jingyan","non-dropping-particle":"","parse-names":false,"suffix":""},{"dropping-particle":"","family":"Won","given":"Danbi","non-dropping-particle":"","parse-names":false,"suffix":""},{"dropping-particle":"","family":"Kang","given":"Yua","non-dropping-particle":"","parse-names":false,"suffix":""},{"dropping-particle":"","family":"Bae","given":"Boyeon","non-dropping-particle":"","parse-names":false,"suffix":""},{"dropping-particle":"","family":"Choi","given":"Yoon-E","non-dropping-particle":"","parse-names":false,"suffix":""},{"dropping-particle":"","family":"Kim","given":"Hyung Sik","non-dropping-particle":"","parse-names":false,"suffix":""}],"container-title":"Food Chemistry","id":"ITEM-1","issued":{"date-parts":[["2024"]]},"page":"139196","publisher":"Elsevier","title":"Green and efficient method to acquire high-value phycobiliprotein from microalgal biomass involving deep eutectic solvent-based ultrasound-assisted extraction","type":"article-journal","volume":"449"},"uris":["http://www.mendeley.com/documents/?uuid=5b0bd781-531c-4443-a045-d2c0b18add6d"]}],"mendeley":{"formattedCitation":"[10]","plainTextFormattedCitation":"[10]","previouslyFormattedCitation":"[10]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  <w:lang w:bidi="fa-IR"/>
              </w:rPr>
              <w:fldChar w:fldCharType="separate"/>
            </w:r>
            <w:r w:rsidRPr="00693170">
              <w:rPr>
                <w:noProof/>
                <w:sz w:val="18"/>
                <w:szCs w:val="18"/>
                <w:lang w:bidi="fa-IR"/>
              </w:rPr>
              <w:t>[10]</w:t>
            </w:r>
            <w:r>
              <w:rPr>
                <w:sz w:val="18"/>
                <w:szCs w:val="18"/>
                <w:lang w:bidi="fa-IR"/>
              </w:rPr>
              <w:fldChar w:fldCharType="end"/>
            </w:r>
          </w:p>
        </w:tc>
      </w:tr>
      <w:tr w:rsidR="00693170" w:rsidRPr="00C65A0E" w14:paraId="5537E76E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4DD0D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  <w:rtl/>
                <w:lang w:bidi="fa-IR"/>
              </w:rPr>
            </w:pPr>
            <w:r w:rsidRPr="00F96B95">
              <w:rPr>
                <w:i/>
                <w:iCs/>
                <w:sz w:val="18"/>
                <w:szCs w:val="18"/>
              </w:rPr>
              <w:t>Nannochloropsis salina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11B7C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3-5% initial loss, 70-75% decomposition in the second phase, and 10-15% final reduction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F81CC5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Pretreatments and extraction conditions are directly affecting lipid yield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74784C" w14:textId="59EB1BAA" w:rsidR="003D6F59" w:rsidRPr="00F96B95" w:rsidRDefault="00693170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ISSN":"0273-2289","author":[{"dropping-particle":"","family":"Zheng","given":"Hongli","non-dropping-particle":"","parse-names":false,"suffix":""},{"dropping-particle":"","family":"Yin","given":"Jilong","non-dropping-particle":"","parse-names":false,"suffix":""},{"dropping-particle":"","family":"Gao","given":"Zhen","non-dropping-particle":"","parse-names":false,"suffix":""},{"dropping-particle":"","family":"Huang","given":"He","non-dropping-particle":"","parse-names":false,"suffix":""},{"dropping-particle":"","family":"Ji","given":"Xiaojun","non-dropping-particle":"","parse-names":false,"suffix":""},{"dropping-particle":"","family":"Dou","given":"Chang","non-dropping-particle":"","parse-names":false,"suffix":""}],"container-title":"Applied biochemistry and biotechnology","id":"ITEM-1","issued":{"date-parts":[["2011"]]},"page":"1215-1224","publisher":"Springer","title":"Disruption of Chlorella vulgaris cells for the release of biodiesel-producing lipids: a comparison of grinding, ultrasonication, bead milling, enzymatic lysis, and microwaves","type":"article-journal","volume":"164"},"uris":["http://www.mendeley.com/documents/?uuid=d9a165b8-0cb5-4bda-9343-99c11bfddc5d"]}],"mendeley":{"formattedCitation":"[11]","plainTextFormattedCitation":"[11]","previouslyFormattedCitation":"[11]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693170">
              <w:rPr>
                <w:noProof/>
                <w:sz w:val="18"/>
                <w:szCs w:val="18"/>
              </w:rPr>
              <w:t>[11]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693170" w:rsidRPr="00C65A0E" w14:paraId="70769562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64F7C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>Scenedesmus obliquus, Hlamydomonas sp.,</w:t>
            </w:r>
            <w:r w:rsidRPr="00F96B95"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F96B95">
              <w:rPr>
                <w:sz w:val="18"/>
                <w:szCs w:val="18"/>
              </w:rPr>
              <w:t xml:space="preserve">and </w:t>
            </w:r>
            <w:r w:rsidRPr="00F96B95">
              <w:rPr>
                <w:i/>
                <w:iCs/>
                <w:sz w:val="18"/>
                <w:szCs w:val="18"/>
              </w:rPr>
              <w:t>C. vulgaris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1430CC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3-5% initial loss, 55-60% decomposition in the second phase, and 5-10% final reduction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A0D966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  <w:rtl/>
                <w:lang w:bidi="fa-IR"/>
              </w:rPr>
            </w:pPr>
            <w:r w:rsidRPr="00F96B95">
              <w:rPr>
                <w:sz w:val="18"/>
                <w:szCs w:val="18"/>
              </w:rPr>
              <w:t>Minimal residues improve biochar, biofilm, and biofuel yields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C10F59" w14:textId="51B76F08" w:rsidR="003D6F59" w:rsidRPr="00F96B95" w:rsidRDefault="00693170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ISSN":"0584-8547","author":[{"dropping-particle":"","family":"Bogaerts","given":"Annemie","non-dropping-particle":"","parse-names":false,"suffix":""},{"dropping-particle":"","family":"Neyts","given":"Erik","non-dropping-particle":"","parse-names":false,"suffix":""},{"dropping-particle":"","family":"Gijbels","given":"Renaat","non-dropping-particle":"","parse-names":false,"suffix":""},{"dropping-particle":"","family":"Mullen","given":"Joost","non-dropping-particle":"Van der","parse-names":false,"suffix":""}],"container-title":"Spectrochimica Acta Part B: Atomic Spectroscopy","id":"ITEM-1","issue":"4","issued":{"date-parts":[["2002"]]},"page":"609-658","publisher":"Elsevier","title":"Gas discharge plasmas and their applications","type":"article-journal","volume":"57"},"uris":["http://www.mendeley.com/documents/?uuid=7190e26d-fa6a-4546-ab14-1455f83ed06e"]}],"mendeley":{"formattedCitation":"[12]","plainTextFormattedCitation":"[12]","previouslyFormattedCitation":"[12]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693170">
              <w:rPr>
                <w:noProof/>
                <w:sz w:val="18"/>
                <w:szCs w:val="18"/>
              </w:rPr>
              <w:t>[12]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693170" w:rsidRPr="00C65A0E" w14:paraId="2C05DE5C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4DB875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 xml:space="preserve">Nannochloropsis </w:t>
            </w:r>
            <w:r w:rsidRPr="00F96B95">
              <w:rPr>
                <w:sz w:val="18"/>
                <w:szCs w:val="18"/>
              </w:rPr>
              <w:t>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A0AB1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7-10% initial loss, 70% decomposition in the second phase, and 10% final reduction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8E5E4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Residual weight varies with pretreatment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84181" w14:textId="1B88751C" w:rsidR="003D6F59" w:rsidRPr="00F96B95" w:rsidRDefault="00693170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ISSN":"2211-9264","author":[{"dropping-particle":"","family":"Ahmed","given":"Jasim","non-dropping-particle":"","parse-names":false,"suffix":""},{"dropping-particle":"","family":"Kumar","given":"Vinod","non-dropping-particle":"","parse-names":false,"suffix":""}],"container-title":"Algal Research","id":"ITEM-1","issued":{"date-parts":[["2022"]]},"page":"102617","publisher":"Elsevier","title":"Effect of high-pressure treatment on oscillatory rheology, particle size distribution and microstructure of microalgae Chlorella vulgaris and Arthrospira platensis","type":"article-journal","volume":"62"},"uris":["http://www.mendeley.com/documents/?uuid=44941edb-8d28-4bb2-92e3-bae2f51f4ad6"]}],"mendeley":{"formattedCitation":"[13]","plainTextFormattedCitation":"[13]","previouslyFormattedCitation":"[13]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693170">
              <w:rPr>
                <w:noProof/>
                <w:sz w:val="18"/>
                <w:szCs w:val="18"/>
              </w:rPr>
              <w:t>[13]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693170" w:rsidRPr="00C65A0E" w14:paraId="50B08200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83049DB" w14:textId="77777777" w:rsidR="003D6F59" w:rsidRPr="00F96B95" w:rsidRDefault="003D6F59" w:rsidP="00227792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>C. vulgaris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F8E5FF9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7-10% initial loss, 45-60% decomposition in the second phase, and 10-15% final reduction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404D8C1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Pretreatments and extraction conditions are directly affecting bioactive extract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8FC435A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Theme="majorBidi" w:hAnsiTheme="majorBidi" w:cstheme="majorBidi"/>
                <w:sz w:val="18"/>
                <w:szCs w:val="18"/>
              </w:rPr>
              <w:t>This study</w:t>
            </w:r>
          </w:p>
        </w:tc>
      </w:tr>
    </w:tbl>
    <w:p w14:paraId="1E781D95" w14:textId="77777777" w:rsidR="003D6F59" w:rsidRDefault="003D6F59" w:rsidP="003D6F59">
      <w:pPr>
        <w:spacing w:line="276" w:lineRule="auto"/>
        <w:jc w:val="both"/>
        <w:rPr>
          <w:b/>
          <w:bCs/>
          <w:sz w:val="22"/>
          <w:szCs w:val="22"/>
          <w:lang w:bidi="fa-IR"/>
        </w:rPr>
      </w:pPr>
    </w:p>
    <w:p w14:paraId="5755BDA5" w14:textId="77777777" w:rsidR="003D6F59" w:rsidRDefault="003D6F59" w:rsidP="00966C4C">
      <w:pPr>
        <w:spacing w:line="276" w:lineRule="auto"/>
        <w:jc w:val="both"/>
        <w:rPr>
          <w:b/>
          <w:bCs/>
          <w:sz w:val="22"/>
          <w:szCs w:val="22"/>
          <w:lang w:bidi="fa-IR"/>
        </w:rPr>
      </w:pPr>
    </w:p>
    <w:p w14:paraId="3569401A" w14:textId="77777777" w:rsidR="003D6F59" w:rsidRPr="00FF20D7" w:rsidRDefault="003D6F59" w:rsidP="003D6F59">
      <w:pPr>
        <w:spacing w:line="276" w:lineRule="auto"/>
        <w:jc w:val="both"/>
        <w:rPr>
          <w:b/>
          <w:bCs/>
          <w:sz w:val="22"/>
          <w:szCs w:val="22"/>
          <w:lang w:bidi="fa-IR"/>
        </w:rPr>
      </w:pPr>
      <w:r w:rsidRPr="00FF20D7">
        <w:rPr>
          <w:b/>
          <w:bCs/>
          <w:sz w:val="22"/>
          <w:szCs w:val="22"/>
          <w:lang w:bidi="fa-IR"/>
        </w:rPr>
        <w:t>DSC Analysis</w:t>
      </w:r>
    </w:p>
    <w:p w14:paraId="21CCFFE3" w14:textId="40B869D5" w:rsidR="003D6F59" w:rsidRDefault="003D6F59" w:rsidP="003D6F59">
      <w:pPr>
        <w:jc w:val="both"/>
        <w:rPr>
          <w:szCs w:val="20"/>
        </w:rPr>
      </w:pPr>
      <w:r w:rsidRPr="00E61A6C">
        <w:rPr>
          <w:szCs w:val="20"/>
        </w:rPr>
        <w:t>Differential Scanning Calorimetry (DSC) analysis revealed distinct thermal behaviors across pretreatment groups, reflecting differences in structural integrity, compound stability, and cellular disruption mechanisms. Table</w:t>
      </w:r>
      <w:r>
        <w:rPr>
          <w:szCs w:val="20"/>
        </w:rPr>
        <w:t xml:space="preserve"> S</w:t>
      </w:r>
      <w:r w:rsidR="00C37E99">
        <w:rPr>
          <w:szCs w:val="20"/>
        </w:rPr>
        <w:t>4</w:t>
      </w:r>
      <w:r>
        <w:rPr>
          <w:szCs w:val="20"/>
        </w:rPr>
        <w:t xml:space="preserve"> </w:t>
      </w:r>
      <w:r w:rsidRPr="00E61A6C">
        <w:rPr>
          <w:szCs w:val="20"/>
        </w:rPr>
        <w:t xml:space="preserve">summarizes the key transition parameters—onset temperature (To), peak temperature (Tp), and enthalpy change (ΔH)—for each treatment. UC exhibited sharp low-temperature endothermic peaks (To = 48.33 °C; Tp = 51.67 °C; ΔH = 38.2 J/g), suggesting rapid moisture loss and high retention of thermolabile compounds. In contrast, cryogenic </w:t>
      </w:r>
      <w:r w:rsidRPr="00E61A6C">
        <w:rPr>
          <w:szCs w:val="20"/>
        </w:rPr>
        <w:lastRenderedPageBreak/>
        <w:t xml:space="preserve">(C) and ultrasound (U) treatments showed moderate transitions near 60 °C, indicative of mild cell permeabilization. Microwave (M) and cold plasma (CP) treatments shifted transitions to higher temperatures (e.g., Tp = 202.77 °C for CP), consistent with stronger matrix binding or partial thermal modification. These findings confirm that pretreatment strategy modulates thermal stability and compound release, impacting downstream formulation and storage. </w:t>
      </w:r>
    </w:p>
    <w:p w14:paraId="50816428" w14:textId="66DA5F50" w:rsidR="003D6F59" w:rsidRPr="007B2B79" w:rsidRDefault="003D6F59" w:rsidP="003D6F59">
      <w:pPr>
        <w:spacing w:line="276" w:lineRule="auto"/>
        <w:jc w:val="center"/>
        <w:rPr>
          <w:sz w:val="18"/>
          <w:szCs w:val="18"/>
        </w:rPr>
      </w:pPr>
      <w:r w:rsidRPr="00940C98">
        <w:rPr>
          <w:b/>
          <w:bCs/>
          <w:sz w:val="18"/>
          <w:szCs w:val="18"/>
        </w:rPr>
        <w:t>Table S</w:t>
      </w:r>
      <w:r w:rsidR="00C37E99">
        <w:rPr>
          <w:b/>
          <w:bCs/>
          <w:sz w:val="18"/>
          <w:szCs w:val="18"/>
        </w:rPr>
        <w:t>4</w:t>
      </w:r>
      <w:r w:rsidRPr="00940C98">
        <w:rPr>
          <w:sz w:val="18"/>
          <w:szCs w:val="18"/>
        </w:rPr>
        <w:t xml:space="preserve"> </w:t>
      </w:r>
      <w:r w:rsidRPr="00940C98">
        <w:rPr>
          <w:b/>
          <w:bCs/>
          <w:sz w:val="18"/>
          <w:szCs w:val="18"/>
        </w:rPr>
        <w:t>Onset</w:t>
      </w:r>
      <w:r w:rsidRPr="007B2B79">
        <w:rPr>
          <w:b/>
          <w:bCs/>
          <w:sz w:val="18"/>
          <w:szCs w:val="18"/>
        </w:rPr>
        <w:t xml:space="preserve"> temperature (To), peak temperature (Tp), and enthalpy change (ΔH) for each pretreatment group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825"/>
        <w:gridCol w:w="906"/>
        <w:gridCol w:w="790"/>
        <w:gridCol w:w="811"/>
        <w:gridCol w:w="1038"/>
      </w:tblGrid>
      <w:tr w:rsidR="003D6F59" w:rsidRPr="00E61A6C" w14:paraId="10860CC8" w14:textId="77777777" w:rsidTr="00227792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EEC3152" w14:textId="77777777" w:rsidR="003D6F59" w:rsidRPr="00E61A6C" w:rsidRDefault="003D6F59" w:rsidP="00805D54">
            <w:pPr>
              <w:spacing w:line="276" w:lineRule="auto"/>
              <w:jc w:val="both"/>
              <w:rPr>
                <w:szCs w:val="20"/>
              </w:rPr>
            </w:pPr>
            <w:r w:rsidRPr="00E61A6C">
              <w:rPr>
                <w:szCs w:val="20"/>
              </w:rPr>
              <w:t>Assigned Transition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62CC1A7" w14:textId="77777777" w:rsidR="003D6F59" w:rsidRPr="00E61A6C" w:rsidRDefault="003D6F59" w:rsidP="00805D54">
            <w:pPr>
              <w:spacing w:line="276" w:lineRule="auto"/>
              <w:jc w:val="both"/>
              <w:rPr>
                <w:szCs w:val="20"/>
              </w:rPr>
            </w:pPr>
            <w:r w:rsidRPr="00E61A6C">
              <w:rPr>
                <w:szCs w:val="20"/>
              </w:rPr>
              <w:t>ΔH (J/g)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0DD33F" w14:textId="77777777" w:rsidR="003D6F59" w:rsidRPr="00E61A6C" w:rsidRDefault="003D6F59" w:rsidP="00805D54">
            <w:pPr>
              <w:spacing w:line="276" w:lineRule="auto"/>
              <w:jc w:val="both"/>
              <w:rPr>
                <w:szCs w:val="20"/>
              </w:rPr>
            </w:pPr>
            <w:r w:rsidRPr="00E61A6C">
              <w:rPr>
                <w:szCs w:val="20"/>
              </w:rPr>
              <w:t>T</w:t>
            </w:r>
            <w:r w:rsidRPr="00CE71C0">
              <w:rPr>
                <w:szCs w:val="20"/>
                <w:vertAlign w:val="subscript"/>
              </w:rPr>
              <w:t>P</w:t>
            </w:r>
            <w:r w:rsidRPr="00E61A6C">
              <w:rPr>
                <w:szCs w:val="20"/>
              </w:rPr>
              <w:t xml:space="preserve"> (ºC)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36DFED8" w14:textId="13EF6E17" w:rsidR="003D6F59" w:rsidRPr="00E61A6C" w:rsidRDefault="003D6F59" w:rsidP="00805D54">
            <w:pPr>
              <w:spacing w:line="276" w:lineRule="auto"/>
              <w:jc w:val="both"/>
              <w:rPr>
                <w:szCs w:val="20"/>
              </w:rPr>
            </w:pPr>
            <w:r w:rsidRPr="00E61A6C">
              <w:rPr>
                <w:szCs w:val="20"/>
              </w:rPr>
              <w:t>T</w:t>
            </w:r>
            <w:r w:rsidR="00CE71C0" w:rsidRPr="00CE71C0">
              <w:rPr>
                <w:szCs w:val="20"/>
                <w:vertAlign w:val="subscript"/>
              </w:rPr>
              <w:t>O</w:t>
            </w:r>
            <w:r w:rsidRPr="00E61A6C">
              <w:rPr>
                <w:szCs w:val="20"/>
              </w:rPr>
              <w:t xml:space="preserve"> (ºC)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DD6479D" w14:textId="77777777" w:rsidR="003D6F59" w:rsidRPr="00E61A6C" w:rsidRDefault="003D6F59" w:rsidP="00805D54">
            <w:pPr>
              <w:spacing w:line="276" w:lineRule="auto"/>
              <w:jc w:val="both"/>
              <w:rPr>
                <w:szCs w:val="20"/>
              </w:rPr>
            </w:pPr>
            <w:r w:rsidRPr="00E61A6C">
              <w:rPr>
                <w:szCs w:val="20"/>
              </w:rPr>
              <w:t>Treatment</w:t>
            </w:r>
          </w:p>
        </w:tc>
      </w:tr>
      <w:tr w:rsidR="003D6F59" w:rsidRPr="00E61A6C" w14:paraId="79651A4A" w14:textId="77777777" w:rsidTr="00227792">
        <w:trPr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1A517B9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Moisture loss/ intact volatiles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58BB720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38.2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BFD12D4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51.67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6C829E7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48.33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FC696C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 xml:space="preserve">UC </w:t>
            </w:r>
          </w:p>
        </w:tc>
      </w:tr>
      <w:tr w:rsidR="003D6F59" w:rsidRPr="00E61A6C" w14:paraId="6FDE7E0F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AE82B8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Gentle structural release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D98DCE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35.7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2042F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60.48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74B94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56.12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EB31B4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</w:t>
            </w:r>
          </w:p>
        </w:tc>
      </w:tr>
      <w:tr w:rsidR="003D6F59" w:rsidRPr="00E61A6C" w14:paraId="0DB30651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970414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Mild thermal disruption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844C34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6C5808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66.1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7A0F63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59.43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AD12B1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M</w:t>
            </w:r>
          </w:p>
        </w:tc>
      </w:tr>
      <w:tr w:rsidR="003D6F59" w:rsidRPr="00E61A6C" w14:paraId="7BB75FD5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060820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Crosslinked matrix destabilization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727E08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29.3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9BA8B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202.77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5644D5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85.5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B6D28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CP</w:t>
            </w:r>
          </w:p>
        </w:tc>
      </w:tr>
      <w:tr w:rsidR="003D6F59" w:rsidRPr="00E61A6C" w14:paraId="66408640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4E47972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Permeabilization, local shear effects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C13E90D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33.8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2E05B01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63.33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41039EA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58.19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D8A85ED" w14:textId="77777777" w:rsidR="003D6F59" w:rsidRPr="00E61A6C" w:rsidRDefault="003D6F59" w:rsidP="00805D54">
            <w:pPr>
              <w:spacing w:line="276" w:lineRule="auto"/>
              <w:jc w:val="both"/>
              <w:rPr>
                <w:rFonts w:asciiTheme="majorBidi" w:hAnsiTheme="majorBidi" w:cstheme="majorBidi"/>
                <w:sz w:val="18"/>
                <w:szCs w:val="18"/>
                <w:lang w:bidi="fa-IR"/>
              </w:rPr>
            </w:pPr>
            <w:r w:rsidRPr="00E61A6C">
              <w:rPr>
                <w:rFonts w:asciiTheme="majorBidi" w:hAnsiTheme="majorBidi" w:cstheme="majorBidi"/>
                <w:sz w:val="18"/>
                <w:szCs w:val="18"/>
                <w:lang w:bidi="fa-IR"/>
              </w:rPr>
              <w:t>U</w:t>
            </w:r>
          </w:p>
        </w:tc>
      </w:tr>
    </w:tbl>
    <w:p w14:paraId="546B2515" w14:textId="77777777" w:rsidR="003D6F59" w:rsidRDefault="003D6F59" w:rsidP="003D6F59">
      <w:pPr>
        <w:jc w:val="both"/>
        <w:rPr>
          <w:rFonts w:asciiTheme="majorBidi" w:hAnsiTheme="majorBidi" w:cstheme="majorBidi"/>
          <w:i/>
          <w:iCs/>
          <w:sz w:val="18"/>
          <w:szCs w:val="18"/>
          <w:lang w:bidi="fa-IR"/>
        </w:rPr>
      </w:pPr>
    </w:p>
    <w:p w14:paraId="2D7A7CAF" w14:textId="3CABAB4E" w:rsidR="003D6F59" w:rsidRPr="001B7F95" w:rsidRDefault="003D6F59" w:rsidP="003D6F59">
      <w:pPr>
        <w:jc w:val="both"/>
        <w:rPr>
          <w:rFonts w:asciiTheme="majorBidi" w:hAnsiTheme="majorBidi" w:cstheme="majorBidi"/>
          <w:color w:val="156082" w:themeColor="accent1"/>
          <w:sz w:val="24"/>
          <w:rtl/>
          <w:lang w:bidi="fa-IR"/>
        </w:rPr>
      </w:pPr>
      <w:r w:rsidRPr="00E61A6C">
        <w:rPr>
          <w:szCs w:val="20"/>
        </w:rPr>
        <w:t xml:space="preserve">Also, </w:t>
      </w:r>
      <w:r>
        <w:rPr>
          <w:szCs w:val="20"/>
        </w:rPr>
        <w:t>these</w:t>
      </w:r>
      <w:r w:rsidRPr="001628AF">
        <w:rPr>
          <w:szCs w:val="20"/>
        </w:rPr>
        <w:t xml:space="preserve"> thermograms revealed distinct endothermic and exothermic transitions across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>samples. UC and C extracts exhibited early low-temperature endothermic peaks (</w:t>
      </w:r>
      <w:r w:rsidRPr="001628AF">
        <w:rPr>
          <w:rFonts w:ascii="Cambria Math" w:hAnsi="Cambria Math" w:cs="Cambria Math"/>
          <w:szCs w:val="20"/>
        </w:rPr>
        <w:t>∼</w:t>
      </w:r>
      <w:r w:rsidRPr="001628AF">
        <w:rPr>
          <w:szCs w:val="20"/>
        </w:rPr>
        <w:t>50–</w:t>
      </w:r>
      <w:r w:rsidRPr="001628AF">
        <w:rPr>
          <w:szCs w:val="20"/>
          <w:cs/>
        </w:rPr>
        <w:t>‎‎</w:t>
      </w:r>
      <w:r w:rsidRPr="001628AF">
        <w:rPr>
          <w:szCs w:val="20"/>
        </w:rPr>
        <w:t xml:space="preserve">91 °C), indicative of minimal thermal stress and better preservation of bioactive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compounds. In contrast, CP showed delayed endothermic and sharp exothermic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responses above 200 °C, suggesting structural rigidity and potential degradation of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thermolabile compounds. These thermal patterns support the suitability of UC and C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pretreatments for preserving extract integrity in food and pharmaceutical formulations </w:t>
      </w:r>
      <w:r w:rsidRPr="001628AF">
        <w:rPr>
          <w:szCs w:val="20"/>
          <w:cs/>
        </w:rPr>
        <w:t>‎‎</w:t>
      </w:r>
      <w:r w:rsidRPr="001628AF">
        <w:rPr>
          <w:szCs w:val="20"/>
        </w:rPr>
        <w:t>(Table S</w:t>
      </w:r>
      <w:r w:rsidR="00C37E99">
        <w:rPr>
          <w:szCs w:val="20"/>
        </w:rPr>
        <w:t>5</w:t>
      </w:r>
      <w:r w:rsidRPr="001628AF">
        <w:rPr>
          <w:szCs w:val="20"/>
        </w:rPr>
        <w:t>).</w:t>
      </w:r>
      <w:r w:rsidRPr="001628AF">
        <w:rPr>
          <w:szCs w:val="20"/>
          <w:cs/>
        </w:rPr>
        <w:t>‎</w:t>
      </w:r>
    </w:p>
    <w:p w14:paraId="4F0E082F" w14:textId="18A2C305" w:rsidR="003D6F59" w:rsidRPr="00F96B95" w:rsidRDefault="003D6F59" w:rsidP="003D6F59">
      <w:pPr>
        <w:spacing w:line="276" w:lineRule="auto"/>
        <w:jc w:val="center"/>
        <w:rPr>
          <w:sz w:val="18"/>
          <w:szCs w:val="18"/>
        </w:rPr>
      </w:pPr>
      <w:r w:rsidRPr="00F96B95">
        <w:rPr>
          <w:b/>
          <w:bCs/>
          <w:sz w:val="18"/>
          <w:szCs w:val="18"/>
        </w:rPr>
        <w:t>Table S</w:t>
      </w:r>
      <w:r w:rsidR="00C37E99">
        <w:rPr>
          <w:b/>
          <w:bCs/>
          <w:sz w:val="18"/>
          <w:szCs w:val="18"/>
        </w:rPr>
        <w:t>5</w:t>
      </w:r>
      <w:r w:rsidRPr="00F96B95">
        <w:rPr>
          <w:sz w:val="18"/>
          <w:szCs w:val="18"/>
        </w:rPr>
        <w:t xml:space="preserve"> DSC analysis of </w:t>
      </w:r>
      <w:r w:rsidRPr="00F96B95">
        <w:rPr>
          <w:i/>
          <w:iCs/>
          <w:sz w:val="18"/>
          <w:szCs w:val="18"/>
        </w:rPr>
        <w:t xml:space="preserve">C. vulgaris </w:t>
      </w:r>
      <w:r w:rsidRPr="00F96B95">
        <w:rPr>
          <w:sz w:val="18"/>
          <w:szCs w:val="18"/>
        </w:rPr>
        <w:t>residual biomass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40"/>
        <w:gridCol w:w="1967"/>
        <w:gridCol w:w="1856"/>
        <w:gridCol w:w="3211"/>
        <w:gridCol w:w="986"/>
      </w:tblGrid>
      <w:tr w:rsidR="00693170" w:rsidRPr="00C65A0E" w14:paraId="1CAB89B8" w14:textId="77777777" w:rsidTr="00227792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85CDF45" w14:textId="77777777" w:rsidR="003D6F59" w:rsidRPr="00F96B95" w:rsidRDefault="003D6F59" w:rsidP="00227792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DE310C">
              <w:rPr>
                <w:b/>
                <w:bCs/>
                <w:sz w:val="18"/>
                <w:szCs w:val="18"/>
              </w:rPr>
              <w:t>Algae Species Tested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DEE3EFF" w14:textId="77777777" w:rsidR="003D6F59" w:rsidRPr="00F96B95" w:rsidRDefault="003D6F59" w:rsidP="00227792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6B95">
              <w:rPr>
                <w:b/>
                <w:bCs/>
                <w:sz w:val="18"/>
                <w:szCs w:val="18"/>
              </w:rPr>
              <w:t>Effectiveness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7F389D0" w14:textId="77777777" w:rsidR="003D6F59" w:rsidRPr="00F96B95" w:rsidRDefault="003D6F59" w:rsidP="00227792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6B95">
              <w:rPr>
                <w:b/>
                <w:bCs/>
                <w:sz w:val="18"/>
                <w:szCs w:val="18"/>
              </w:rPr>
              <w:t>DSC finding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4FACDD9" w14:textId="77777777" w:rsidR="003D6F59" w:rsidRPr="00F96B95" w:rsidRDefault="003D6F59" w:rsidP="00227792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DE310C">
              <w:rPr>
                <w:b/>
                <w:bCs/>
                <w:sz w:val="18"/>
                <w:szCs w:val="18"/>
              </w:rPr>
              <w:t>Comparison to Current Study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4B7DD25" w14:textId="77777777" w:rsidR="003D6F59" w:rsidRPr="00F96B95" w:rsidRDefault="003D6F59" w:rsidP="00227792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6B95">
              <w:rPr>
                <w:b/>
                <w:bCs/>
                <w:sz w:val="18"/>
                <w:szCs w:val="18"/>
              </w:rPr>
              <w:t>Reference</w:t>
            </w:r>
          </w:p>
        </w:tc>
      </w:tr>
      <w:tr w:rsidR="00693170" w:rsidRPr="00C65A0E" w14:paraId="4557921B" w14:textId="77777777" w:rsidTr="00227792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BCF10F0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>C. vulgaris</w:t>
            </w:r>
            <w:r w:rsidRPr="00F96B95">
              <w:rPr>
                <w:sz w:val="18"/>
                <w:szCs w:val="18"/>
              </w:rPr>
              <w:t xml:space="preserve"> and </w:t>
            </w:r>
            <w:r w:rsidRPr="00F96B95">
              <w:rPr>
                <w:i/>
                <w:iCs/>
                <w:sz w:val="18"/>
                <w:szCs w:val="18"/>
              </w:rPr>
              <w:t>Arthrospira platensis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1C9B0C3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Antioxidant products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18F0022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Oxidation onset varies with algae composition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604E348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  <w:rtl/>
                <w:lang w:bidi="fa-IR"/>
              </w:rPr>
            </w:pPr>
            <w:r w:rsidRPr="00F96B95">
              <w:rPr>
                <w:sz w:val="18"/>
                <w:szCs w:val="18"/>
              </w:rPr>
              <w:t>Evaluate pretreatments for minimal biomass residues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4900D36" w14:textId="41825EA9" w:rsidR="003D6F59" w:rsidRPr="00F96B95" w:rsidRDefault="00693170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{"citationItems":[{"id":"ITEM-1","itemData":{"author":[{"dropping-particle":"","family":"Salmon","given":"Adam","non-dropping-particle":"","parse-names":false,"suffix":""}],"container-title":"Innovation in Aging","id":"ITEM-1","issue":"Suppl 1","issued":{"date-parts":[["2021"]]},"page":"161","title":"Molecular Resiliency and Aging","type":"article-journal","volume":"5"},"uris":["http://www.mendeley.com/documents/?uuid=9a2153d5-848d-404e-af65-a48f89237711"]}],"mendeley":{"formattedCitation":"[14]","plainTextFormattedCitation":"[14]","previouslyFormattedCitation":"[14]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693170">
              <w:rPr>
                <w:noProof/>
                <w:sz w:val="18"/>
                <w:szCs w:val="18"/>
              </w:rPr>
              <w:t>[14]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693170" w:rsidRPr="00C65A0E" w14:paraId="239C153C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CE635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  <w:rtl/>
                <w:lang w:bidi="fa-IR"/>
              </w:rPr>
            </w:pPr>
            <w:r w:rsidRPr="00F96B95">
              <w:rPr>
                <w:i/>
                <w:iCs/>
                <w:sz w:val="18"/>
                <w:szCs w:val="18"/>
              </w:rPr>
              <w:t>C. vulgaris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685545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Biopolymers 3D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C25FC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Drug delivery: microalgae for controlled mineral release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6A205F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6E6CAA">
              <w:rPr>
                <w:sz w:val="18"/>
                <w:szCs w:val="18"/>
              </w:rPr>
              <w:t>Shifts in thermal transitions provide engineering insight into the thermal stability and structural integrity of the biomass, crucial for designing subsequent thermal processing steps and product shelf-life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689EAD" w14:textId="0DAE47C1" w:rsidR="003D6F59" w:rsidRPr="00F96B95" w:rsidRDefault="00693170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ISSN":"0022-3549","author":[{"dropping-particle":"","family":"Wen","given":"Jie","non-dropping-particle":"","parse-names":false,"suffix":""},{"dropping-particle":"","family":"Arthur","given":"Kelly","non-dropping-particle":"","parse-names":false,"suffix":""},{"dropping-particle":"","family":"Chemmalil","given":"Letha","non-dropping-particle":"","parse-names":false,"suffix":""},{"dropping-particle":"","family":"Muzammil","given":"Salman","non-dropping-particle":"","parse-names":false,"suffix":""},{"dropping-particle":"","family":"Gabrielson","given":"John","non-dropping-particle":"","parse-names":false,"suffix":""},{"dropping-particle":"","family":"Jiang","given":"Yijia","non-dropping-particle":"","parse-names":false,"suffix":""}],"container-title":"Journal of pharmaceutical sciences","id":"ITEM-1","issue":"3","issued":{"date-parts":[["2012"]]},"page":"955-964","publisher":"Elsevier","title":"Applications of differential scanning calorimetry for thermal stability analysis of proteins: qualification of DSC","type":"article-journal","volume":"101"},"uris":["http://www.mendeley.com/documents/?uuid=d451ca6a-dc4f-4827-93a4-17b86cd526ce"]}],"mendeley":{"formattedCitation":"[15]","plainTextFormattedCitation":"[15]","previouslyFormattedCitation":"[15]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693170">
              <w:rPr>
                <w:noProof/>
                <w:sz w:val="18"/>
                <w:szCs w:val="18"/>
              </w:rPr>
              <w:t>[15]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693170" w:rsidRPr="00C65A0E" w14:paraId="05737518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E77617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>C. vulgaris</w:t>
            </w:r>
            <w:r w:rsidRPr="00F96B95">
              <w:rPr>
                <w:sz w:val="18"/>
                <w:szCs w:val="18"/>
              </w:rPr>
              <w:t xml:space="preserve"> and</w:t>
            </w:r>
            <w:r w:rsidRPr="00F96B95">
              <w:rPr>
                <w:i/>
                <w:iCs/>
                <w:sz w:val="18"/>
                <w:szCs w:val="18"/>
              </w:rPr>
              <w:t xml:space="preserve"> Arthrospira platensis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A1B4A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Oscillatory rheology, particle size distribution and microstructure of microalgae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58B93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Water plasticization from high pressure affects the first endotherm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2847E3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Pretreatment info for food design and gel optimization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AC63B" w14:textId="0C35DF7E" w:rsidR="003D6F59" w:rsidRPr="00F96B95" w:rsidRDefault="00693170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{"citationItems":[{"id":"ITEM-1","itemData":{"ISSN":"2045-2322","author":[{"dropping-particle":"","family":"El-Naggar","given":"Noura El-Ahmady","non-dropping-particle":"","parse-names":false,"suffix":""},{"dropping-particle":"","family":"Hussein","given":"Mervat H","non-dropping-particle":"","parse-names":false,"suffix":""},{"dropping-particle":"","family":"Shaaban-Dessuuki","given":"Sami A","non-dropping-particle":"","parse-names":false,"suffix":""},{"dropping-particle":"","family":"Dalal","given":"Shimaa R","non-dropping-particle":"","parse-names":false,"suffix":""}],"container-title":"Scientific Reports","id":"ITEM-1","issue":"1","issued":{"date-parts":[["2020"]]},"page":"3011","publisher":"Nature Publishing Group UK London","title":"Production, extraction and characterization of Chlorella vulgaris soluble polysaccharides and their applications in AgNPs biosynthesis and biostimulation of plant growth","type":"article-journal","volume":"10"},"uris":["http://www.mendeley.com/documents/?uuid=7a70a954-2800-4ab3-b8f6-901bddc4e422"]}],"mendeley":{"formattedCitation":"[8]","plainTextFormattedCitation":"[8]","previouslyFormattedCitation":"[8]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693170">
              <w:rPr>
                <w:noProof/>
                <w:sz w:val="18"/>
                <w:szCs w:val="18"/>
              </w:rPr>
              <w:t>[8]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693170" w:rsidRPr="00C65A0E" w14:paraId="7E41DF1E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5FBAEA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  <w:lang w:bidi="fa-IR"/>
              </w:rPr>
            </w:pPr>
            <w:r w:rsidRPr="00F96B95">
              <w:rPr>
                <w:i/>
                <w:iCs/>
                <w:sz w:val="18"/>
                <w:szCs w:val="18"/>
              </w:rPr>
              <w:t>C. vulgaris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926865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From raw microalgae to bioplastics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BA5D0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Extraction tracks granule integrity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D4DC1B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Pretreatments affect compound thermal behavior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0CAC7C" w14:textId="5502B55E" w:rsidR="003D6F59" w:rsidRPr="00F96B95" w:rsidRDefault="00693170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 w:rsidR="001A1634">
              <w:rPr>
                <w:sz w:val="18"/>
                <w:szCs w:val="18"/>
              </w:rPr>
              <w:instrText>ADDIN CSL_CITATION {"citationItems":[{"id":"ITEM-1","itemData":{"ISSN":"0144-8617","author":[{"dropping-particle":"","family":"Six","given":"Alexandre","non-dropping-particle":"","parse-names":false,"suffix":""},{"dropping-particle":"","family":"Dauvillee","given":"David","non-dropping-particle":"","parse-names":false,"suffix":""},{"dropping-particle":"","family":"Lancelon-Pin","given":"Christine","non-dropping-particle":"","parse-names":false,"suffix":""},{"dropping-particle":"","family":"Dimitriades-Lemaire","given":"Alexandra","non-dropping-particle":"","parse-names":false,"suffix":""},{"dropping-particle":"","family":"Compadre","given":"Ana","non-dropping-particle":"","parse-names":false,"suffix":""},{"dropping-particle":"","family":"Dubreuil","given":"Carole","non-dropping-particle":"","parse-names":false,"suffix":""},{"dropping-particle":"","family":"Alvarez","given":"Pablo","non-dropping-particle":"","parse-names":false,"suffix":""},{"dropping-particle":"","family":"Sassi","given":"J-F","non-dropping-particle":"","parse-names":false,"suffix":""},{"dropping-particle":"","family":"Li-Beisson","given":"Yonghua","non-dropping-particle":"","parse-names":false,"suffix":""},{"dropping-particle":"","family":"Putaux","given":"J-L","non-dropping-particle":"","parse-names":false,"suffix":""}],"container-title":"Carbohydrate polymers","id":"ITEM-1","issued":{"date-parts":[["2024"]]},"page":"122342","publisher":"Elsevier","title":"From raw microalgae to bioplastics: Conversion of Chlorella vulgaris starch granules into thermoplastic starch","type":"article-journal","volume":"342"},"uris":["http://www.mendeley.com/documents/?uuid=0c654f93-7c20-48cd-bb0b-3796d7217e1c"]}],"mendeley":{"formattedCitation":"[16]","plainTextFormattedCitation":"[16]","previouslyFormattedCitation":"[16]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693170">
              <w:rPr>
                <w:noProof/>
                <w:sz w:val="18"/>
                <w:szCs w:val="18"/>
              </w:rPr>
              <w:t>[16]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693170" w:rsidRPr="00C65A0E" w14:paraId="05F16789" w14:textId="77777777" w:rsidTr="00227792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0198C71" w14:textId="77777777" w:rsidR="003D6F59" w:rsidRPr="00F96B95" w:rsidRDefault="003D6F59" w:rsidP="00227792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>C. vulgaris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F2D9F59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Bioactive compounds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446DA13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Different thermal transitions from pretreatments affects the first endotherm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D28BBFB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0EC0650D" w14:textId="77777777" w:rsidR="003D6F59" w:rsidRPr="00F96B95" w:rsidRDefault="003D6F59" w:rsidP="00227792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Theme="majorBidi" w:hAnsiTheme="majorBidi" w:cstheme="majorBidi"/>
                <w:sz w:val="18"/>
                <w:szCs w:val="18"/>
              </w:rPr>
              <w:t>This study</w:t>
            </w:r>
          </w:p>
        </w:tc>
      </w:tr>
    </w:tbl>
    <w:p w14:paraId="47583BF6" w14:textId="77777777" w:rsidR="003D6F59" w:rsidRDefault="003D6F59" w:rsidP="00966C4C">
      <w:pPr>
        <w:spacing w:line="276" w:lineRule="auto"/>
        <w:jc w:val="both"/>
        <w:rPr>
          <w:b/>
          <w:bCs/>
          <w:sz w:val="22"/>
          <w:szCs w:val="22"/>
          <w:lang w:bidi="fa-IR"/>
        </w:rPr>
      </w:pPr>
    </w:p>
    <w:p w14:paraId="21AB4267" w14:textId="1AC65FDC" w:rsidR="00966C4C" w:rsidRPr="00FF20D7" w:rsidRDefault="00966C4C" w:rsidP="00966C4C">
      <w:pPr>
        <w:spacing w:line="276" w:lineRule="auto"/>
        <w:jc w:val="both"/>
        <w:rPr>
          <w:sz w:val="22"/>
          <w:szCs w:val="22"/>
          <w:lang w:bidi="fa-IR"/>
        </w:rPr>
      </w:pPr>
      <w:r w:rsidRPr="00FF20D7">
        <w:rPr>
          <w:b/>
          <w:bCs/>
          <w:sz w:val="22"/>
          <w:szCs w:val="22"/>
          <w:lang w:bidi="fa-IR"/>
        </w:rPr>
        <w:t>UV-Vis Analysis</w:t>
      </w:r>
    </w:p>
    <w:p w14:paraId="08266263" w14:textId="78E19E64" w:rsidR="00A60CCD" w:rsidRPr="001628AF" w:rsidRDefault="00966C4C" w:rsidP="00966C4C">
      <w:pPr>
        <w:spacing w:line="276" w:lineRule="auto"/>
        <w:jc w:val="both"/>
        <w:rPr>
          <w:szCs w:val="20"/>
        </w:rPr>
      </w:pPr>
      <w:r w:rsidRPr="001628AF">
        <w:rPr>
          <w:szCs w:val="20"/>
        </w:rPr>
        <w:t xml:space="preserve">UV-Vis spectral analysis identified a strong chlorophyll </w:t>
      </w:r>
      <w:r w:rsidRPr="001628AF">
        <w:rPr>
          <w:rFonts w:cs="Times New Roman"/>
          <w:szCs w:val="20"/>
        </w:rPr>
        <w:t>α</w:t>
      </w:r>
      <w:r w:rsidRPr="001628AF">
        <w:rPr>
          <w:szCs w:val="20"/>
        </w:rPr>
        <w:t xml:space="preserve"> absorption peak at 666 nm,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particularly prominent in the UC and CP samples. This signal, consistent with prior reports,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reflects efficient pigment preservation under milder pretreatment conditions and highlights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the relevance of chlorophyll-rich extracts in antioxidant-focused nutraceuticals and </w:t>
      </w:r>
      <w:r w:rsidRPr="001628AF">
        <w:rPr>
          <w:szCs w:val="20"/>
          <w:cs/>
        </w:rPr>
        <w:t>‎</w:t>
      </w:r>
      <w:r w:rsidRPr="001628AF">
        <w:rPr>
          <w:szCs w:val="20"/>
        </w:rPr>
        <w:t xml:space="preserve">functional foods (Table </w:t>
      </w:r>
      <w:r w:rsidR="006E6CAA">
        <w:rPr>
          <w:szCs w:val="20"/>
        </w:rPr>
        <w:t>S</w:t>
      </w:r>
      <w:r w:rsidR="00B27F6F">
        <w:rPr>
          <w:szCs w:val="20"/>
        </w:rPr>
        <w:t>6</w:t>
      </w:r>
      <w:r w:rsidRPr="001628AF">
        <w:rPr>
          <w:szCs w:val="20"/>
        </w:rPr>
        <w:t>).</w:t>
      </w:r>
      <w:r w:rsidRPr="001628AF">
        <w:rPr>
          <w:szCs w:val="20"/>
          <w:cs/>
        </w:rPr>
        <w:t>‎</w:t>
      </w:r>
    </w:p>
    <w:p w14:paraId="0E9968E2" w14:textId="3B84F6AF" w:rsidR="00A60CCD" w:rsidRPr="00F96B95" w:rsidRDefault="00A60CCD" w:rsidP="00966C4C">
      <w:pPr>
        <w:spacing w:line="276" w:lineRule="auto"/>
        <w:jc w:val="center"/>
        <w:rPr>
          <w:sz w:val="18"/>
          <w:szCs w:val="18"/>
        </w:rPr>
      </w:pPr>
      <w:r w:rsidRPr="00F96B95">
        <w:rPr>
          <w:b/>
          <w:bCs/>
          <w:sz w:val="18"/>
          <w:szCs w:val="18"/>
        </w:rPr>
        <w:lastRenderedPageBreak/>
        <w:t xml:space="preserve">Table </w:t>
      </w:r>
      <w:r w:rsidR="006D2F98" w:rsidRPr="00F96B95">
        <w:rPr>
          <w:b/>
          <w:bCs/>
          <w:sz w:val="18"/>
          <w:szCs w:val="18"/>
        </w:rPr>
        <w:t>S</w:t>
      </w:r>
      <w:r w:rsidR="00B27F6F">
        <w:rPr>
          <w:b/>
          <w:bCs/>
          <w:sz w:val="18"/>
          <w:szCs w:val="18"/>
        </w:rPr>
        <w:t>6</w:t>
      </w:r>
      <w:r w:rsidRPr="00F96B95">
        <w:rPr>
          <w:sz w:val="18"/>
          <w:szCs w:val="18"/>
        </w:rPr>
        <w:t xml:space="preserve"> UV-Vis Spectroscopy of </w:t>
      </w:r>
      <w:r w:rsidRPr="00F96B95">
        <w:rPr>
          <w:i/>
          <w:iCs/>
          <w:sz w:val="18"/>
          <w:szCs w:val="18"/>
        </w:rPr>
        <w:t xml:space="preserve">C. vulgaris </w:t>
      </w:r>
      <w:r w:rsidRPr="00F96B95">
        <w:rPr>
          <w:sz w:val="18"/>
          <w:szCs w:val="18"/>
        </w:rPr>
        <w:t>Extracts</w:t>
      </w:r>
    </w:p>
    <w:tbl>
      <w:tblPr>
        <w:tblStyle w:val="TableGrid4"/>
        <w:tblW w:w="0" w:type="auto"/>
        <w:jc w:val="center"/>
        <w:tblLook w:val="04A0" w:firstRow="1" w:lastRow="0" w:firstColumn="1" w:lastColumn="0" w:noHBand="0" w:noVBand="1"/>
      </w:tblPr>
      <w:tblGrid>
        <w:gridCol w:w="3049"/>
        <w:gridCol w:w="1242"/>
        <w:gridCol w:w="1175"/>
        <w:gridCol w:w="2908"/>
        <w:gridCol w:w="986"/>
      </w:tblGrid>
      <w:tr w:rsidR="00A60CCD" w:rsidRPr="00F96B95" w14:paraId="59B8B06F" w14:textId="77777777" w:rsidTr="00090664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595070" w14:textId="69A04356" w:rsidR="00A60CCD" w:rsidRPr="00F96B95" w:rsidRDefault="00DE310C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</w:pPr>
            <w:r w:rsidRPr="00DE310C"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  <w:t>Algae Species Tested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36FA437" w14:textId="77777777" w:rsidR="00A60CCD" w:rsidRPr="00F96B95" w:rsidRDefault="00A60CCD" w:rsidP="00966C4C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  <w:t>Assigned Compound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CFBAF6A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  <w:t>wavelength (nm)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E8562C1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  <w:t>Implication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E2A5983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b/>
                <w:bCs/>
                <w:sz w:val="18"/>
                <w:szCs w:val="18"/>
              </w:rPr>
              <w:t>Reference</w:t>
            </w:r>
          </w:p>
        </w:tc>
      </w:tr>
      <w:tr w:rsidR="00A60CCD" w:rsidRPr="00F96B95" w14:paraId="2C0B8ACC" w14:textId="77777777" w:rsidTr="00090664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D5574DB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 xml:space="preserve">N. oculata </w:t>
            </w: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 xml:space="preserve">and </w:t>
            </w: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>C. vulgaris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270C9ED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Phenolics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6BFF772A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407–408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28B8004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Antioxidant with bioactivity potential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7CBAF9BC" w14:textId="0EE04E19" w:rsidR="00A60CCD" w:rsidRPr="00F96B95" w:rsidRDefault="001A1634" w:rsidP="00966C4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fldChar w:fldCharType="begin" w:fldLock="1"/>
            </w:r>
            <w:r>
              <w:rPr>
                <w:rFonts w:asciiTheme="majorBidi" w:hAnsiTheme="majorBidi" w:cstheme="majorBidi"/>
                <w:sz w:val="18"/>
                <w:szCs w:val="18"/>
              </w:rPr>
              <w:instrText>ADDIN CSL_CITATION {"citationItems":[{"id":"ITEM-1","itemData":{"ISSN":"1878-8181","author":[{"dropping-particle":"","family":"Bhuvana","given":"P","non-dropping-particle":"","parse-names":false,"suffix":""},{"dropping-particle":"","family":"Sangeetha","given":"P","non-dropping-particle":"","parse-names":false,"suffix":""},{"dropping-particle":"","family":"Anuradha","given":"V","non-dropping-particle":"","parse-names":false,"suffix":""},{"dropping-particle":"","family":"Ali","given":"M Syed","non-dropping-particle":"","parse-names":false,"suffix":""}],"container-title":"Biocatalysis and Agricultural Biotechnology","id":"ITEM-1","issued":{"date-parts":[["2019"]]},"page":"101094","publisher":"Elsevier","title":"Spectral characterization of bioactive compounds from microalgae: N. oculata and C. vulgaris","type":"article-journal","volume":"19"},"uris":["http://www.mendeley.com/documents/?uuid=d9aae6c1-2d47-4247-8ff2-98fb9f676074"]}],"mendeley":{"formattedCitation":"[17]","plainTextFormattedCitation":"[17]","previouslyFormattedCitation":"[17]"},"properties":{"noteIndex":0},"schema":"https://github.com/citation-style-language/schema/raw/master/csl-citation.json"}</w:instrText>
            </w:r>
            <w:r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A1634">
              <w:rPr>
                <w:rFonts w:asciiTheme="majorBidi" w:hAnsiTheme="majorBidi" w:cstheme="majorBidi"/>
                <w:noProof/>
                <w:sz w:val="18"/>
                <w:szCs w:val="18"/>
              </w:rPr>
              <w:t>[17]</w:t>
            </w:r>
            <w:r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</w:tr>
      <w:tr w:rsidR="00A60CCD" w:rsidRPr="00F96B95" w14:paraId="1467A8B6" w14:textId="77777777" w:rsidTr="0009066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8845B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 xml:space="preserve">Nannochloropsis gaditana, Spirulina, </w:t>
            </w: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and</w:t>
            </w: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 xml:space="preserve"> Chlorella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5A8580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Carotenoids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075A9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418–478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6EBF77" w14:textId="77A7B77A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Renowned for provitamin A and antioxidants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427CD" w14:textId="70634602" w:rsidR="00A60CCD" w:rsidRPr="00F96B95" w:rsidRDefault="001A1634" w:rsidP="00966C4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>
              <w:rPr>
                <w:rFonts w:asciiTheme="majorBidi" w:hAnsiTheme="majorBidi" w:cstheme="majorBidi"/>
                <w:sz w:val="18"/>
                <w:szCs w:val="18"/>
              </w:rPr>
              <w:fldChar w:fldCharType="begin" w:fldLock="1"/>
            </w:r>
            <w:r>
              <w:rPr>
                <w:rFonts w:asciiTheme="majorBidi" w:hAnsiTheme="majorBidi" w:cstheme="majorBidi"/>
                <w:sz w:val="18"/>
                <w:szCs w:val="18"/>
              </w:rPr>
              <w:instrText>ADDIN CSL_CITATION {"citationItems":[{"id":"ITEM-1","itemData":{"ISSN":"1420-3049","author":[{"dropping-particle":"","family":"Haoujar","given":"Imane","non-dropping-particle":"","parse-names":false,"suffix":""},{"dropping-particle":"","family":"Cacciola","given":"Francesco","non-dropping-particle":"","parse-names":false,"suffix":""},{"dropping-particle":"","family":"Abrini","given":"Jamal","non-dropping-particle":"","parse-names":false,"suffix":""},{"dropping-particle":"","family":"Mangraviti","given":"Domenica","non-dropping-particle":"","parse-names":false,"suffix":""},{"dropping-particle":"","family":"Giuffrida","given":"Daniele","non-dropping-particle":"","parse-names":false,"suffix":""},{"dropping-particle":"","family":"Oulad El Majdoub","given":"Yassine","non-dropping-particle":"","parse-names":false,"suffix":""},{"dropping-particle":"","family":"Kounnoun","given":"Ayoub","non-dropping-particle":"","parse-names":false,"suffix":""},{"dropping-particle":"","family":"Miceli","given":"Natalizia","non-dropping-particle":"","parse-names":false,"suffix":""},{"dropping-particle":"","family":"Fernanda Taviano","given":"Maria","non-dropping-particle":"","parse-names":false,"suffix":""},{"dropping-particle":"","family":"Mondello","given":"Luigi","non-dropping-particle":"","parse-names":false,"suffix":""}],"container-title":"Molecules","id":"ITEM-1","issue":"22","issued":{"date-parts":[["2019"]]},"page":"4037","publisher":"MDPI","title":"The contribution of carotenoids, phenolic compounds, and flavonoids to the antioxidative properties of marine microalgae isolated from Mediterranean Morocco","type":"article-journal","volume":"24"},"uris":["http://www.mendeley.com/documents/?uuid=5c191682-cd50-48b2-985f-96566b1b2b5e"]}],"mendeley":{"formattedCitation":"[18]","plainTextFormattedCitation":"[18]","previouslyFormattedCitation":"[18]"},"properties":{"noteIndex":0},"schema":"https://github.com/citation-style-language/schema/raw/master/csl-citation.json"}</w:instrText>
            </w:r>
            <w:r>
              <w:rPr>
                <w:rFonts w:asciiTheme="majorBidi" w:hAnsiTheme="majorBidi" w:cstheme="majorBidi"/>
                <w:sz w:val="18"/>
                <w:szCs w:val="18"/>
              </w:rPr>
              <w:fldChar w:fldCharType="separate"/>
            </w:r>
            <w:r w:rsidRPr="001A1634">
              <w:rPr>
                <w:rFonts w:asciiTheme="majorBidi" w:hAnsiTheme="majorBidi" w:cstheme="majorBidi"/>
                <w:noProof/>
                <w:sz w:val="18"/>
                <w:szCs w:val="18"/>
              </w:rPr>
              <w:t>[18]</w:t>
            </w:r>
            <w:r>
              <w:rPr>
                <w:rFonts w:asciiTheme="majorBidi" w:hAnsiTheme="majorBidi" w:cstheme="majorBidi"/>
                <w:sz w:val="18"/>
                <w:szCs w:val="18"/>
              </w:rPr>
              <w:fldChar w:fldCharType="end"/>
            </w:r>
          </w:p>
        </w:tc>
      </w:tr>
      <w:tr w:rsidR="00A60CCD" w:rsidRPr="00F96B95" w14:paraId="570B1A95" w14:textId="77777777" w:rsidTr="0009066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FFB4C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 xml:space="preserve">ladophora glomerata, Cladophora rivularis, Ulva flexuosa, </w:t>
            </w: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 xml:space="preserve">and </w:t>
            </w: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>Chlorella 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880C1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Chlorophyll b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04668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645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9B28A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Boosts natural colorants and antioxidants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F318CC" w14:textId="0EE5E628" w:rsidR="00A60CCD" w:rsidRPr="00F96B95" w:rsidRDefault="001A1634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rFonts w:ascii="Times New Roman" w:eastAsiaTheme="minorHAnsi" w:hAnsi="Times New Roman" w:cs="B Nazanin"/>
                <w:sz w:val="18"/>
                <w:szCs w:val="18"/>
              </w:rPr>
              <w:instrText>ADDIN CSL_CITATION {"citationItems":[{"id":"ITEM-1","itemData":{"ISSN":"0924-2031","author":[{"dropping-particle":"","family":"Boukaoud","given":"Abdelali","non-dropping-particle":"","parse-names":false,"suffix":""},{"dropping-particle":"","family":"Chiba","given":"Younes","non-dropping-particle":"","parse-names":false,"suffix":""},{"dropping-particle":"","family":"Sebbar","given":"Djamel","non-dropping-particle":"","parse-names":false,"suffix":""}],"container-title":"Vibrational Spectroscopy","id":"ITEM-1","issued":{"date-parts":[["2021"]]},"page":"103280","publisher":"Elsevier","title":"A periodic DFT study of IR spectra of amino acids: An approach toward a better understanding of the NH and OH stretching regions","type":"article-journal","volume":"116"},"uris":["http://www.mendeley.com/documents/?uuid=007d4b3a-d6c9-4055-bbcb-2521701c6ad6"]}],"mendeley":{"formattedCitation":"[19]","plainTextFormattedCitation":"[19]","previouslyFormattedCitation":"[19]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1A1634">
              <w:rPr>
                <w:rFonts w:ascii="Times New Roman" w:eastAsiaTheme="minorHAnsi" w:hAnsi="Times New Roman" w:cs="B Nazanin"/>
                <w:noProof/>
                <w:sz w:val="18"/>
                <w:szCs w:val="18"/>
              </w:rPr>
              <w:t>[19]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60CCD" w:rsidRPr="00F96B95" w14:paraId="713C27AB" w14:textId="77777777" w:rsidTr="00090664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7A31D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 xml:space="preserve">Phaedactylium tricornitum, Nannochloropsis gaditana, Nannochloris sp, Tetraselmis suecica, </w:t>
            </w:r>
            <w:hyperlink r:id="rId8" w:tgtFrame="_blank" w:history="1">
              <w:r w:rsidRPr="00F96B95">
                <w:rPr>
                  <w:rFonts w:ascii="Times New Roman" w:eastAsiaTheme="minorHAnsi" w:hAnsi="Times New Roman" w:cs="B Nazanin"/>
                  <w:i/>
                  <w:iCs/>
                  <w:sz w:val="18"/>
                  <w:szCs w:val="18"/>
                </w:rPr>
                <w:t xml:space="preserve">N. oculata </w:t>
              </w:r>
              <w:r w:rsidRPr="00F96B95">
                <w:rPr>
                  <w:rFonts w:ascii="Times New Roman" w:eastAsiaTheme="minorHAnsi" w:hAnsi="Times New Roman" w:cs="B Nazanin"/>
                  <w:sz w:val="18"/>
                  <w:szCs w:val="18"/>
                </w:rPr>
                <w:t>and</w:t>
              </w:r>
              <w:r w:rsidRPr="00F96B95">
                <w:rPr>
                  <w:rFonts w:ascii="Times New Roman" w:eastAsiaTheme="minorHAnsi" w:hAnsi="Times New Roman" w:cs="B Nazanin"/>
                  <w:i/>
                  <w:iCs/>
                  <w:sz w:val="18"/>
                  <w:szCs w:val="18"/>
                </w:rPr>
                <w:t xml:space="preserve"> C. vulgaris</w:t>
              </w:r>
            </w:hyperlink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097956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Chlorophyll 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809E01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663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3A43F6" w14:textId="7363777A" w:rsidR="00A60CCD" w:rsidRPr="00F96B95" w:rsidRDefault="00090664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090664">
              <w:rPr>
                <w:rFonts w:ascii="Times New Roman" w:eastAsiaTheme="minorHAnsi" w:hAnsi="Times New Roman" w:cs="B Nazanin"/>
                <w:sz w:val="18"/>
                <w:szCs w:val="18"/>
              </w:rPr>
              <w:t xml:space="preserve">High pigment yield signals antioxidant </w:t>
            </w:r>
            <w:r w:rsidR="00561440">
              <w:rPr>
                <w:rFonts w:ascii="Times New Roman" w:eastAsiaTheme="minorHAnsi" w:hAnsi="Times New Roman" w:cs="B Nazanin"/>
                <w:sz w:val="18"/>
                <w:szCs w:val="18"/>
              </w:rPr>
              <w:t>capacity</w:t>
            </w:r>
            <w:r w:rsidRPr="00090664">
              <w:rPr>
                <w:rFonts w:ascii="Times New Roman" w:eastAsiaTheme="minorHAnsi" w:hAnsi="Times New Roman" w:cs="B Nazanin"/>
                <w:sz w:val="18"/>
                <w:szCs w:val="18"/>
              </w:rPr>
              <w:t>, enabling rapid in-process quality control for pigment-focused extraction streams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E05AA" w14:textId="086DA9A6" w:rsidR="00A60CCD" w:rsidRPr="00F96B95" w:rsidRDefault="001A1634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rFonts w:ascii="Times New Roman" w:eastAsiaTheme="minorHAnsi" w:hAnsi="Times New Roman" w:cs="B Nazanin"/>
                <w:sz w:val="18"/>
                <w:szCs w:val="18"/>
              </w:rPr>
              <w:instrText>ADDIN CSL_CITATION {"citationItems":[{"id":"ITEM-1","itemData":{"ISSN":"0924-2031","author":[{"dropping-particle":"","family":"Boukaoud","given":"Abdelali","non-dropping-particle":"","parse-names":false,"suffix":""},{"dropping-particle":"","family":"Chiba","given":"Younes","non-dropping-particle":"","parse-names":false,"suffix":""},{"dropping-particle":"","family":"Sebbar","given":"Djamel","non-dropping-particle":"","parse-names":false,"suffix":""}],"container-title":"Vibrational Spectroscopy","id":"ITEM-1","issued":{"date-parts":[["2021"]]},"page":"103280","publisher":"Elsevier","title":"A periodic DFT study of IR spectra of amino acids: An approach toward a better understanding of the NH and OH stretching regions","type":"article-journal","volume":"116"},"uris":["http://www.mendeley.com/documents/?uuid=007d4b3a-d6c9-4055-bbcb-2521701c6ad6"]}],"mendeley":{"formattedCitation":"[19]","plainTextFormattedCitation":"[19]","previouslyFormattedCitation":"[19]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1A1634">
              <w:rPr>
                <w:rFonts w:ascii="Times New Roman" w:eastAsiaTheme="minorHAnsi" w:hAnsi="Times New Roman" w:cs="B Nazanin"/>
                <w:noProof/>
                <w:sz w:val="18"/>
                <w:szCs w:val="18"/>
              </w:rPr>
              <w:t>[19]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60CCD" w:rsidRPr="00F96B95" w14:paraId="44DF88E4" w14:textId="77777777" w:rsidTr="00090664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2BCAADF4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i/>
                <w:iCs/>
                <w:sz w:val="18"/>
                <w:szCs w:val="18"/>
              </w:rPr>
              <w:t>C. vulgaris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9803399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Chlorophyll a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664832C5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="Times New Roman" w:eastAsiaTheme="minorHAnsi" w:hAnsi="Times New Roman" w:cs="B Nazanin"/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>666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7AD0A6A0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 xml:space="preserve">High </w:t>
            </w:r>
            <w:r w:rsidRPr="00F96B95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Carotenoid</w:t>
            </w:r>
            <w:r w:rsidRPr="00F96B95">
              <w:rPr>
                <w:rFonts w:ascii="Times New Roman" w:eastAsiaTheme="minorHAnsi" w:hAnsi="Times New Roman" w:cs="B Nazanin"/>
                <w:sz w:val="18"/>
                <w:szCs w:val="18"/>
              </w:rPr>
              <w:t xml:space="preserve"> yield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31953A04" w14:textId="77777777" w:rsidR="00A60CCD" w:rsidRPr="00F96B95" w:rsidRDefault="00A60CCD" w:rsidP="00966C4C">
            <w:pPr>
              <w:spacing w:line="276" w:lineRule="auto"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F96B95">
              <w:rPr>
                <w:rFonts w:asciiTheme="majorBidi" w:hAnsiTheme="majorBidi" w:cstheme="majorBidi"/>
                <w:sz w:val="18"/>
                <w:szCs w:val="18"/>
              </w:rPr>
              <w:t>This study</w:t>
            </w:r>
          </w:p>
        </w:tc>
      </w:tr>
    </w:tbl>
    <w:p w14:paraId="221E59FC" w14:textId="77777777" w:rsidR="00A60CCD" w:rsidRDefault="00A60CCD" w:rsidP="00966C4C">
      <w:pPr>
        <w:spacing w:line="276" w:lineRule="auto"/>
        <w:jc w:val="center"/>
        <w:rPr>
          <w:b/>
          <w:bCs/>
          <w:sz w:val="24"/>
        </w:rPr>
      </w:pPr>
    </w:p>
    <w:p w14:paraId="4166C5E8" w14:textId="77B11D9A" w:rsidR="00966C4C" w:rsidRPr="00FF20D7" w:rsidRDefault="00966C4C" w:rsidP="00966C4C">
      <w:pPr>
        <w:spacing w:line="276" w:lineRule="auto"/>
        <w:jc w:val="both"/>
        <w:rPr>
          <w:b/>
          <w:bCs/>
          <w:sz w:val="22"/>
          <w:szCs w:val="22"/>
          <w:lang w:bidi="fa-IR"/>
        </w:rPr>
      </w:pPr>
      <w:r w:rsidRPr="00FF20D7">
        <w:rPr>
          <w:b/>
          <w:bCs/>
          <w:sz w:val="22"/>
          <w:szCs w:val="22"/>
          <w:lang w:bidi="fa-IR"/>
        </w:rPr>
        <w:t>FT-IR Analysis</w:t>
      </w:r>
    </w:p>
    <w:p w14:paraId="5EDD7F58" w14:textId="7C50D607" w:rsidR="00966C4C" w:rsidRPr="008F6AB0" w:rsidRDefault="00966C4C" w:rsidP="00090664">
      <w:pPr>
        <w:spacing w:line="276" w:lineRule="auto"/>
        <w:jc w:val="both"/>
        <w:rPr>
          <w:szCs w:val="20"/>
        </w:rPr>
      </w:pPr>
      <w:r w:rsidRPr="008F6AB0">
        <w:rPr>
          <w:szCs w:val="20"/>
        </w:rPr>
        <w:t xml:space="preserve">FT-IR spectra showed a prominent O–H stretch (3200–3500 cm⁻¹) across all extracts, with </w:t>
      </w:r>
      <w:r w:rsidRPr="008F6AB0">
        <w:rPr>
          <w:szCs w:val="20"/>
          <w:cs/>
        </w:rPr>
        <w:t>‎</w:t>
      </w:r>
      <w:r w:rsidRPr="008F6AB0">
        <w:rPr>
          <w:szCs w:val="20"/>
        </w:rPr>
        <w:t xml:space="preserve">stronger transmittance in M, UC, and U. Notably, C, CP, and UC samples exhibited clear </w:t>
      </w:r>
      <w:r w:rsidRPr="008F6AB0">
        <w:rPr>
          <w:szCs w:val="20"/>
          <w:cs/>
        </w:rPr>
        <w:t>‎</w:t>
      </w:r>
      <w:r w:rsidRPr="008F6AB0">
        <w:rPr>
          <w:szCs w:val="20"/>
        </w:rPr>
        <w:t xml:space="preserve">C=O ester bands (1730–1750 cm⁻¹) and C–O peaks (~1100 cm⁻¹), indicative of fatty acids </w:t>
      </w:r>
      <w:r w:rsidRPr="008F6AB0">
        <w:rPr>
          <w:szCs w:val="20"/>
          <w:cs/>
        </w:rPr>
        <w:t>‎</w:t>
      </w:r>
      <w:r w:rsidRPr="008F6AB0">
        <w:rPr>
          <w:szCs w:val="20"/>
        </w:rPr>
        <w:t xml:space="preserve">and lipids. These spectral features correspond with enhanced extraction of bioactive </w:t>
      </w:r>
      <w:r w:rsidRPr="008F6AB0">
        <w:rPr>
          <w:szCs w:val="20"/>
          <w:cs/>
        </w:rPr>
        <w:t>‎</w:t>
      </w:r>
      <w:r w:rsidRPr="008F6AB0">
        <w:rPr>
          <w:szCs w:val="20"/>
        </w:rPr>
        <w:t xml:space="preserve">compounds, including chlorophylls, phenolics, and lipophilic metabolites, positioning </w:t>
      </w:r>
      <w:r w:rsidRPr="008F6AB0">
        <w:rPr>
          <w:szCs w:val="20"/>
          <w:cs/>
        </w:rPr>
        <w:t>‎</w:t>
      </w:r>
      <w:r w:rsidRPr="008F6AB0">
        <w:rPr>
          <w:szCs w:val="20"/>
        </w:rPr>
        <w:t>these extracts as suitable candidates for nutraceutical and pharmaceutical applications</w:t>
      </w:r>
      <w:r w:rsidRPr="008F6AB0">
        <w:rPr>
          <w:szCs w:val="20"/>
          <w:cs/>
        </w:rPr>
        <w:t>‎‎</w:t>
      </w:r>
      <w:r w:rsidR="00090664" w:rsidRPr="00090664">
        <w:t xml:space="preserve"> </w:t>
      </w:r>
      <w:r w:rsidR="00090664" w:rsidRPr="00090664">
        <w:rPr>
          <w:szCs w:val="20"/>
        </w:rPr>
        <w:t xml:space="preserve">indicating the success of cell wall disruption in liberating specific functional groups for targeted bioproduct formulation. </w:t>
      </w:r>
      <w:r w:rsidRPr="008F6AB0">
        <w:rPr>
          <w:szCs w:val="20"/>
        </w:rPr>
        <w:t xml:space="preserve">(Table </w:t>
      </w:r>
      <w:r w:rsidR="006D2F98" w:rsidRPr="008F6AB0">
        <w:rPr>
          <w:szCs w:val="20"/>
        </w:rPr>
        <w:t>S</w:t>
      </w:r>
      <w:r w:rsidR="00B27F6F">
        <w:rPr>
          <w:szCs w:val="20"/>
        </w:rPr>
        <w:t>7</w:t>
      </w:r>
      <w:r w:rsidRPr="008F6AB0">
        <w:rPr>
          <w:szCs w:val="20"/>
        </w:rPr>
        <w:t>).</w:t>
      </w:r>
      <w:r w:rsidRPr="008F6AB0">
        <w:rPr>
          <w:szCs w:val="20"/>
          <w:cs/>
        </w:rPr>
        <w:t>‎</w:t>
      </w:r>
    </w:p>
    <w:p w14:paraId="53454EDA" w14:textId="63FAD23C" w:rsidR="00A60CCD" w:rsidRPr="00F96B95" w:rsidRDefault="00A60CCD" w:rsidP="00966C4C">
      <w:pPr>
        <w:spacing w:line="276" w:lineRule="auto"/>
        <w:jc w:val="center"/>
        <w:rPr>
          <w:sz w:val="18"/>
          <w:szCs w:val="18"/>
        </w:rPr>
      </w:pPr>
      <w:r w:rsidRPr="00F96B95">
        <w:rPr>
          <w:b/>
          <w:bCs/>
          <w:sz w:val="18"/>
          <w:szCs w:val="18"/>
        </w:rPr>
        <w:t xml:space="preserve">Table </w:t>
      </w:r>
      <w:r w:rsidR="006D2F98" w:rsidRPr="00F96B95">
        <w:rPr>
          <w:b/>
          <w:bCs/>
          <w:sz w:val="18"/>
          <w:szCs w:val="18"/>
        </w:rPr>
        <w:t>S</w:t>
      </w:r>
      <w:r w:rsidR="00B27F6F">
        <w:rPr>
          <w:b/>
          <w:bCs/>
          <w:sz w:val="18"/>
          <w:szCs w:val="18"/>
        </w:rPr>
        <w:t>7</w:t>
      </w:r>
      <w:r w:rsidRPr="00F96B95">
        <w:rPr>
          <w:sz w:val="18"/>
          <w:szCs w:val="18"/>
        </w:rPr>
        <w:t xml:space="preserve"> FT-IR Spectroscopy of </w:t>
      </w:r>
      <w:r w:rsidRPr="00F96B95">
        <w:rPr>
          <w:i/>
          <w:iCs/>
          <w:sz w:val="18"/>
          <w:szCs w:val="18"/>
        </w:rPr>
        <w:t xml:space="preserve">C. vulgaris </w:t>
      </w:r>
      <w:r w:rsidRPr="00F96B95">
        <w:rPr>
          <w:sz w:val="18"/>
          <w:szCs w:val="18"/>
        </w:rPr>
        <w:t>Extracts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33"/>
        <w:gridCol w:w="1444"/>
        <w:gridCol w:w="1445"/>
        <w:gridCol w:w="2552"/>
        <w:gridCol w:w="986"/>
      </w:tblGrid>
      <w:tr w:rsidR="00A60CCD" w:rsidRPr="00F96B95" w14:paraId="2DF4C829" w14:textId="77777777" w:rsidTr="00DE310C">
        <w:trPr>
          <w:jc w:val="center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4EED7E4" w14:textId="12E9CEE8" w:rsidR="00A60CCD" w:rsidRPr="00F96B95" w:rsidRDefault="00DE310C" w:rsidP="00966C4C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DE310C">
              <w:rPr>
                <w:b/>
                <w:bCs/>
                <w:sz w:val="18"/>
                <w:szCs w:val="18"/>
              </w:rPr>
              <w:t>Algae Species Tested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DCFF5F" w14:textId="77777777" w:rsidR="00A60CCD" w:rsidRPr="00F96B95" w:rsidRDefault="00A60CCD" w:rsidP="00966C4C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6B95">
              <w:rPr>
                <w:b/>
                <w:bCs/>
                <w:sz w:val="18"/>
                <w:szCs w:val="18"/>
              </w:rPr>
              <w:t>Functional Group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E3DCC89" w14:textId="77777777" w:rsidR="00A60CCD" w:rsidRPr="00F96B95" w:rsidRDefault="00A60CCD" w:rsidP="00966C4C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6B95">
              <w:rPr>
                <w:b/>
                <w:bCs/>
                <w:sz w:val="18"/>
                <w:szCs w:val="18"/>
              </w:rPr>
              <w:t>Wavenumber (cm⁻¹)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DC6256" w14:textId="77777777" w:rsidR="00A60CCD" w:rsidRPr="00F96B95" w:rsidRDefault="00A60CCD" w:rsidP="00966C4C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6B95">
              <w:rPr>
                <w:b/>
                <w:bCs/>
                <w:sz w:val="18"/>
                <w:szCs w:val="18"/>
              </w:rPr>
              <w:t>Compound Type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8B54A6C" w14:textId="77777777" w:rsidR="00A60CCD" w:rsidRPr="00F96B95" w:rsidRDefault="00A60CCD" w:rsidP="00966C4C">
            <w:pPr>
              <w:spacing w:line="276" w:lineRule="auto"/>
              <w:jc w:val="center"/>
              <w:rPr>
                <w:b/>
                <w:bCs/>
                <w:sz w:val="18"/>
                <w:szCs w:val="18"/>
              </w:rPr>
            </w:pPr>
            <w:r w:rsidRPr="00F96B95">
              <w:rPr>
                <w:b/>
                <w:bCs/>
                <w:sz w:val="18"/>
                <w:szCs w:val="18"/>
              </w:rPr>
              <w:t>Reference</w:t>
            </w:r>
          </w:p>
        </w:tc>
      </w:tr>
      <w:tr w:rsidR="00A60CCD" w:rsidRPr="00F96B95" w14:paraId="60D6A51F" w14:textId="77777777" w:rsidTr="00DE310C">
        <w:trPr>
          <w:jc w:val="center"/>
        </w:trPr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22AF85D8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>Chlorella sp.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42AE64BE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C-I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375BAC7C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617-734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52F4D442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Aliphatic character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vAlign w:val="center"/>
          </w:tcPr>
          <w:p w14:paraId="157FBF32" w14:textId="64E430A7" w:rsidR="00A60CCD" w:rsidRPr="00F96B95" w:rsidRDefault="001A1634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ISSN":"2950-2632","author":[{"dropping-particle":"","family":"Ganeson","given":"Yamuna","non-dropping-particle":"","parse-names":false,"suffix":""},{"dropping-particle":"","family":"Paramasivam","given":"Primilla","non-dropping-particle":"","parse-names":false,"suffix":""},{"dropping-particle":"","family":"Palanisamy","given":"Karthick Murugan","non-dropping-particle":"","parse-names":false,"suffix":""},{"dropping-particle":"","family":"Govindan","given":"Natanamurugaraj","non-dropping-particle":"","parse-names":false,"suffix":""},{"dropping-particle":"","family":"Maniam","given":"Gaanty Pragas","non-dropping-particle":"","parse-names":false,"suffix":""}],"container-title":"Cleaner Water","id":"ITEM-1","issued":{"date-parts":[["2024"]]},"page":"100028","publisher":"Elsevier","title":"LCMS and FTIR profiling of microalga Chlorella sp. for cosmetics and skin care applications","type":"article-journal","volume":"2"},"uris":["http://www.mendeley.com/documents/?uuid=e100f719-93ef-45f3-b4d6-6f0fca2c6708"]}],"mendeley":{"formattedCitation":"[20]","plainTextFormattedCitation":"[20]","previouslyFormattedCitation":"[20]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1A1634">
              <w:rPr>
                <w:noProof/>
                <w:sz w:val="18"/>
                <w:szCs w:val="18"/>
              </w:rPr>
              <w:t>[20]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60CCD" w:rsidRPr="00F96B95" w14:paraId="2895EE65" w14:textId="77777777" w:rsidTr="00DE310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898CCD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 xml:space="preserve">Chlorella sp., Dunaliella Salina, </w:t>
            </w:r>
            <w:r w:rsidRPr="00F96B95">
              <w:rPr>
                <w:sz w:val="18"/>
                <w:szCs w:val="18"/>
              </w:rPr>
              <w:t>and</w:t>
            </w:r>
            <w:r w:rsidRPr="00F96B95">
              <w:rPr>
                <w:i/>
                <w:iCs/>
                <w:sz w:val="18"/>
                <w:szCs w:val="18"/>
              </w:rPr>
              <w:t xml:space="preserve"> Nannochloropsis sp.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B5596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C-O-C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F2F69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1080-1200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0AB9C4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Polysaccharides and nucleic acid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85803F" w14:textId="50BC7654" w:rsidR="00A60CCD" w:rsidRPr="00F96B95" w:rsidRDefault="001A1634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ISSN":"1660-3397","author":[{"dropping-particle":"","family":"Kanda","given":"Hideki","non-dropping-particle":"","parse-names":false,"suffix":""},{"dropping-particle":"","family":"Kusumi","given":"Kaito","non-dropping-particle":"","parse-names":false,"suffix":""},{"dropping-particle":"","family":"Zhu","given":"Li","non-dropping-particle":"","parse-names":false,"suffix":""},{"dropping-particle":"","family":"Wang","given":"Tao","non-dropping-particle":"","parse-names":false,"suffix":""}],"container-title":"Marine Drugs","id":"ITEM-1","issue":"10","issued":{"date-parts":[["2024"]]},"page":"438","publisher":"MDPI","title":"Direct Extraction of Lipids, β-Carotene, and Polyphenolic Compounds from Wet Microalga Dunaliella salina by Liquefied Dimethyl Ether","type":"article-journal","volume":"22"},"uris":["http://www.mendeley.com/documents/?uuid=2b56d177-fda8-4c11-aedf-5120d32911d7"]}],"mendeley":{"formattedCitation":"[21]","plainTextFormattedCitation":"[21]","previouslyFormattedCitation":"[21]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1A1634">
              <w:rPr>
                <w:noProof/>
                <w:sz w:val="18"/>
                <w:szCs w:val="18"/>
              </w:rPr>
              <w:t>[21]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60CCD" w:rsidRPr="00F96B95" w14:paraId="04C880D8" w14:textId="77777777" w:rsidTr="00DE310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E755C3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 xml:space="preserve">Nannochloropsis sp., Chlorella sp. </w:t>
            </w:r>
            <w:r w:rsidRPr="00F96B95">
              <w:rPr>
                <w:sz w:val="18"/>
                <w:szCs w:val="18"/>
              </w:rPr>
              <w:t>and</w:t>
            </w:r>
            <w:r w:rsidRPr="00F96B95">
              <w:rPr>
                <w:i/>
                <w:iCs/>
                <w:sz w:val="18"/>
                <w:szCs w:val="18"/>
              </w:rPr>
              <w:t xml:space="preserve"> Dunaliella Salina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D1CEBD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C-O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F50BA5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1271-1392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C6A66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Phenols and alcoholic group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1A7A0A" w14:textId="585E4CA3" w:rsidR="00A60CCD" w:rsidRPr="00F96B95" w:rsidRDefault="001A1634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{"citationItems":[{"id":"ITEM-1","itemData":{"ISSN":"0570-4928","author":[{"dropping-particle":"","family":"Murdock","given":"Justin N","non-dropping-particle":"","parse-names":false,"suffix":""},{"dropping-particle":"","family":"Wetzel","given":"David L","non-dropping-particle":"","parse-names":false,"suffix":""}],"container-title":"Applied Spectroscopy Reviews","id":"ITEM-1","issue":"4","issued":{"date-parts":[["2009"]]},"page":"335-361","publisher":"Taylor &amp; Francis","title":"FT-IR microspectroscopy enhances biological and ecological analysis of algae","type":"article-journal","volume":"44"},"uris":["http://www.mendeley.com/documents/?uuid=0ceadab2-413c-4f51-a98b-b9459f5fedd4"]}],"mendeley":{"formattedCitation":"[22]","plainTextFormattedCitation":"[22]","previouslyFormattedCitation":"[22]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1A1634">
              <w:rPr>
                <w:noProof/>
                <w:sz w:val="18"/>
                <w:szCs w:val="18"/>
              </w:rPr>
              <w:t>[22]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60CCD" w:rsidRPr="00F96B95" w14:paraId="137462EA" w14:textId="77777777" w:rsidTr="00DE310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39339" w14:textId="77777777" w:rsidR="00A60CCD" w:rsidRPr="00F96B95" w:rsidRDefault="00A60CCD" w:rsidP="00966C4C">
            <w:pPr>
              <w:spacing w:line="276" w:lineRule="auto"/>
              <w:jc w:val="center"/>
              <w:rPr>
                <w:i/>
                <w:iCs/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 xml:space="preserve">Nannochloropsis sp., Chlorella sp., </w:t>
            </w:r>
            <w:hyperlink r:id="rId9" w:tgtFrame="_blank" w:history="1">
              <w:r w:rsidRPr="00F96B95">
                <w:rPr>
                  <w:i/>
                  <w:iCs/>
                  <w:sz w:val="18"/>
                  <w:szCs w:val="18"/>
                </w:rPr>
                <w:t>Scenedesmus sp.</w:t>
              </w:r>
            </w:hyperlink>
          </w:p>
          <w:p w14:paraId="7333A062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and</w:t>
            </w:r>
            <w:r w:rsidRPr="00F96B95">
              <w:rPr>
                <w:i/>
                <w:iCs/>
                <w:sz w:val="18"/>
                <w:szCs w:val="18"/>
              </w:rPr>
              <w:t xml:space="preserve"> Dunaliella salina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9CD606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C=O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CB78ED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1745-1638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EAE048" w14:textId="3C960DBC" w:rsidR="00A60CCD" w:rsidRPr="00F96B95" w:rsidRDefault="00090664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</w:t>
            </w:r>
            <w:r w:rsidR="00A60CCD" w:rsidRPr="00F96B95">
              <w:rPr>
                <w:sz w:val="18"/>
                <w:szCs w:val="18"/>
              </w:rPr>
              <w:t>atty acids, Carboxylic group of esters, and Protein (Amide I)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AB0F3C" w14:textId="371692BB" w:rsidR="00A60CCD" w:rsidRPr="00F96B95" w:rsidRDefault="001A1634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ISSN":"1556-7036","author":[{"dropping-particle":"","family":"Sudhakar","given":"K","non-dropping-particle":"","parse-names":false,"suffix":""},{"dropping-particle":"","family":"Premalatha","given":"Manickam","non-dropping-particle":"","parse-names":false,"suffix":""}],"container-title":"Energy Sources, Part A: Recovery, Utilization, and Environmental Effects","id":"ITEM-1","issue":"21","issued":{"date-parts":[["2015"]]},"page":"2330-2337","publisher":"Taylor &amp; Francis","title":"Characterization of micro algal biomass through FTIR/TGA/CHN analysis: Application to Scenedesmus sp.","type":"article-journal","volume":"37"},"uris":["http://www.mendeley.com/documents/?uuid=df8ba872-7a29-49aa-8587-cd2e9921a4e0"]}],"mendeley":{"formattedCitation":"[23]","plainTextFormattedCitation":"[23]","previouslyFormattedCitation":"[23]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1A1634">
              <w:rPr>
                <w:noProof/>
                <w:sz w:val="18"/>
                <w:szCs w:val="18"/>
              </w:rPr>
              <w:t>[23]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60CCD" w:rsidRPr="00F96B95" w14:paraId="487A4C62" w14:textId="77777777" w:rsidTr="00DE310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0376FB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 xml:space="preserve">Nannochloropsis sp., Scenedesmus sp., Chlorella sp. </w:t>
            </w:r>
            <w:r w:rsidRPr="00F96B95">
              <w:rPr>
                <w:sz w:val="18"/>
                <w:szCs w:val="18"/>
              </w:rPr>
              <w:t xml:space="preserve">and </w:t>
            </w:r>
            <w:r w:rsidRPr="00F96B95">
              <w:rPr>
                <w:i/>
                <w:iCs/>
                <w:sz w:val="18"/>
                <w:szCs w:val="18"/>
              </w:rPr>
              <w:t>Dunaliella salina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8826D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C–H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B08A8E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2920-2970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C04633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Lipids and</w:t>
            </w:r>
          </w:p>
          <w:p w14:paraId="7451D97B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β-Carotene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11446A" w14:textId="62695810" w:rsidR="00A60CCD" w:rsidRPr="00F96B95" w:rsidRDefault="001A1634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ISSN":"0960-8524","author":[{"dropping-particle":"","family":"Meng","given":"Yingying","non-dropping-particle":"","parse-names":false,"suffix":""},{"dropping-particle":"","family":"Yao","given":"Changhong","non-dropping-particle":"","parse-names":false,"suffix":""},{"dropping-particle":"","family":"Xue","given":"Song","non-dropping-particle":"","parse-names":false,"suffix":""},{"dropping-particle":"","family":"Yang","given":"Haibo","non-dropping-particle":"","parse-names":false,"suffix":""}],"container-title":"Bioresource technology","id":"ITEM-1","issued":{"date-parts":[["2014"]]},"page":"347-354","publisher":"Elsevier","title":"Application of Fourier transform infrared (FT-IR) spectroscopy in determination of microalgal compositions","type":"article-journal","volume":"151"},"uris":["http://www.mendeley.com/documents/?uuid=e2ca2b19-a628-484e-a0b4-b9f0b43a47ee"]}],"mendeley":{"formattedCitation":"[24]","plainTextFormattedCitation":"[24]","previouslyFormattedCitation":"[24]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1A1634">
              <w:rPr>
                <w:noProof/>
                <w:sz w:val="18"/>
                <w:szCs w:val="18"/>
              </w:rPr>
              <w:t>[24]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60CCD" w:rsidRPr="00F96B95" w14:paraId="1F8DCE0D" w14:textId="77777777" w:rsidTr="00DE310C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D11616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 xml:space="preserve">Nannochloropsis sp., Chlorella sp. </w:t>
            </w:r>
            <w:r w:rsidRPr="00F96B95">
              <w:rPr>
                <w:sz w:val="18"/>
                <w:szCs w:val="18"/>
              </w:rPr>
              <w:t>and</w:t>
            </w:r>
            <w:r w:rsidRPr="00F96B95">
              <w:rPr>
                <w:i/>
                <w:iCs/>
                <w:sz w:val="18"/>
                <w:szCs w:val="18"/>
              </w:rPr>
              <w:t xml:space="preserve"> Dunaliella salina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49033C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O-H/N-H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0E0C50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3300-3400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FB01BF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Water, protein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7EEE6F" w14:textId="36889EA3" w:rsidR="00A60CCD" w:rsidRPr="00F96B95" w:rsidRDefault="001A1634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>ADDIN CSL_CITATION {"citationItems":[{"id":"ITEM-1","itemData":{"author":[{"dropping-particle":"","family":"Calderón-Vergara","given":"Luz A","non-dropping-particle":"","parse-names":false,"suffix":""},{"dropping-particle":"","family":"Díaz-Sánchez","given":"Luis M","non-dropping-particle":"","parse-names":false,"suffix":""},{"dropping-particle":"","family":"Blanco-Tirado","given":"Cristian","non-dropping-particle":"","parse-names":false,"suffix":""},{"dropping-particle":"","family":"Combariza","given":"Marianny Y","non-dropping-particle":"","parse-names":false,"suffix":""}],"container-title":"Analytical Methods","id":"ITEM-1","issue":"33","issued":{"date-parts":[["2024"]]},"page":"5652-5664","publisher":"Royal Society of Chemistry","title":"Comparative profiling of Chlorella vulgaris cells, extracts, and intact chloroplasts using electron transfer matrix-assisted laser desorption/ionization mass spectrometry (ET-MALDI-MS)","type":"article-journal","volume":"16"},"uris":["http://www.mendeley.com/documents/?uuid=ae75bc5f-35fe-48b8-b2a4-667f5bed5326"]}],"mendeley":{"formattedCitation":"[25]","plainTextFormattedCitation":"[25]"},"properties":{"noteIndex":0},"schema":"https://github.com/citation-style-language/schema/raw/master/csl-citation.json"}</w:instrText>
            </w:r>
            <w:r>
              <w:rPr>
                <w:sz w:val="18"/>
                <w:szCs w:val="18"/>
              </w:rPr>
              <w:fldChar w:fldCharType="separate"/>
            </w:r>
            <w:r w:rsidRPr="001A1634">
              <w:rPr>
                <w:noProof/>
                <w:sz w:val="18"/>
                <w:szCs w:val="18"/>
              </w:rPr>
              <w:t>[25]</w:t>
            </w:r>
            <w:r>
              <w:rPr>
                <w:sz w:val="18"/>
                <w:szCs w:val="18"/>
              </w:rPr>
              <w:fldChar w:fldCharType="end"/>
            </w:r>
          </w:p>
        </w:tc>
      </w:tr>
      <w:tr w:rsidR="00A60CCD" w:rsidRPr="00F96B95" w14:paraId="203203E7" w14:textId="77777777" w:rsidTr="00DE310C">
        <w:trPr>
          <w:jc w:val="center"/>
        </w:trPr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1E268544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i/>
                <w:iCs/>
                <w:sz w:val="18"/>
                <w:szCs w:val="18"/>
              </w:rPr>
              <w:t>C. vulgaris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6D3528D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All above functional group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3412C4B0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400-4000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F106921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sz w:val="18"/>
                <w:szCs w:val="18"/>
              </w:rPr>
              <w:t>The functional group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vAlign w:val="center"/>
          </w:tcPr>
          <w:p w14:paraId="439E04FC" w14:textId="77777777" w:rsidR="00A60CCD" w:rsidRPr="00F96B95" w:rsidRDefault="00A60CCD" w:rsidP="00966C4C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F96B95">
              <w:rPr>
                <w:rFonts w:asciiTheme="majorBidi" w:hAnsiTheme="majorBidi" w:cstheme="majorBidi"/>
                <w:sz w:val="18"/>
                <w:szCs w:val="18"/>
              </w:rPr>
              <w:t>This study</w:t>
            </w:r>
          </w:p>
        </w:tc>
      </w:tr>
    </w:tbl>
    <w:p w14:paraId="39CC6BEB" w14:textId="77777777" w:rsidR="00A60CCD" w:rsidRDefault="00A60CCD" w:rsidP="00966C4C">
      <w:pPr>
        <w:spacing w:line="276" w:lineRule="auto"/>
        <w:jc w:val="both"/>
        <w:rPr>
          <w:sz w:val="24"/>
        </w:rPr>
      </w:pPr>
    </w:p>
    <w:p w14:paraId="74CDA3B8" w14:textId="77777777" w:rsidR="00716717" w:rsidRPr="005B37E5" w:rsidRDefault="00716717" w:rsidP="00716717">
      <w:pPr>
        <w:spacing w:line="276" w:lineRule="auto"/>
        <w:jc w:val="both"/>
        <w:rPr>
          <w:sz w:val="24"/>
        </w:rPr>
      </w:pPr>
    </w:p>
    <w:p w14:paraId="28E4B641" w14:textId="715847AC" w:rsidR="00A4236F" w:rsidRDefault="00DB0303" w:rsidP="00966C4C">
      <w:pPr>
        <w:spacing w:line="276" w:lineRule="auto"/>
      </w:pPr>
      <w:r>
        <w:rPr>
          <w:cs/>
        </w:rPr>
        <w:t>‎</w:t>
      </w:r>
      <w:r>
        <w:t xml:space="preserve"> </w:t>
      </w:r>
      <w:r w:rsidRPr="00083960">
        <w:rPr>
          <w:b/>
          <w:bCs/>
          <w:sz w:val="24"/>
          <w:szCs w:val="32"/>
        </w:rPr>
        <w:t>References</w:t>
      </w:r>
    </w:p>
    <w:p w14:paraId="5E9AB0E9" w14:textId="1A9A9C61" w:rsidR="001A1634" w:rsidRPr="001A1634" w:rsidRDefault="008D5932" w:rsidP="00305485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8D5932">
        <w:rPr>
          <w:sz w:val="16"/>
          <w:szCs w:val="20"/>
        </w:rPr>
        <w:fldChar w:fldCharType="begin" w:fldLock="1"/>
      </w:r>
      <w:r w:rsidRPr="008D5932">
        <w:rPr>
          <w:sz w:val="16"/>
          <w:szCs w:val="20"/>
        </w:rPr>
        <w:instrText xml:space="preserve">ADDIN Mendeley Bibliography CSL_BIBLIOGRAPHY </w:instrText>
      </w:r>
      <w:r w:rsidRPr="008D5932">
        <w:rPr>
          <w:sz w:val="16"/>
          <w:szCs w:val="20"/>
        </w:rPr>
        <w:fldChar w:fldCharType="separate"/>
      </w:r>
      <w:r w:rsidR="001A1634" w:rsidRPr="001A1634">
        <w:rPr>
          <w:rFonts w:cs="Times New Roman"/>
          <w:noProof/>
          <w:sz w:val="16"/>
        </w:rPr>
        <w:t xml:space="preserve">1. </w:t>
      </w:r>
      <w:r w:rsidR="001A1634" w:rsidRPr="001A1634">
        <w:rPr>
          <w:rFonts w:cs="Times New Roman"/>
          <w:noProof/>
          <w:sz w:val="16"/>
        </w:rPr>
        <w:tab/>
        <w:t xml:space="preserve">Drosou C, </w:t>
      </w:r>
      <w:r w:rsidR="00305485" w:rsidRPr="00305485">
        <w:rPr>
          <w:rFonts w:cs="Times New Roman"/>
          <w:noProof/>
          <w:sz w:val="16"/>
        </w:rPr>
        <w:t>Kyriakopoulou K, Bimpilas A, Tsimogiannis D, Krokida M</w:t>
      </w:r>
      <w:r w:rsidR="001A1634" w:rsidRPr="001A1634">
        <w:rPr>
          <w:rFonts w:cs="Times New Roman"/>
          <w:noProof/>
          <w:sz w:val="16"/>
        </w:rPr>
        <w:t xml:space="preserve"> (2015) A comparative study on different extraction techniques to recover red grape pomace polyphenols from vinification byproducts. Ind Crops Prod 75:141–149</w:t>
      </w:r>
      <w:r w:rsidR="0023391B">
        <w:rPr>
          <w:rFonts w:cs="Times New Roman"/>
          <w:noProof/>
          <w:sz w:val="16"/>
        </w:rPr>
        <w:t xml:space="preserve">. </w:t>
      </w:r>
      <w:r w:rsidR="0023391B" w:rsidRPr="0023391B">
        <w:rPr>
          <w:rFonts w:cs="Times New Roman"/>
          <w:noProof/>
          <w:sz w:val="16"/>
        </w:rPr>
        <w:t>https://doi.org/10.1016/j.indcrop.2015.05.063</w:t>
      </w:r>
    </w:p>
    <w:p w14:paraId="6F81D0BB" w14:textId="4DF760A8" w:rsidR="001A1634" w:rsidRPr="001A1634" w:rsidRDefault="001A1634" w:rsidP="00305485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lastRenderedPageBreak/>
        <w:t xml:space="preserve">2. </w:t>
      </w:r>
      <w:r w:rsidRPr="001A1634">
        <w:rPr>
          <w:rFonts w:cs="Times New Roman"/>
          <w:noProof/>
          <w:sz w:val="16"/>
        </w:rPr>
        <w:tab/>
        <w:t>Ainsworth EA, Gillespie KM (2007) Estimation of total phenolic content and other oxidation substrates in plant tissues using Folin–Ciocalteu reagent. Nat Protoc 2:875–877</w:t>
      </w:r>
      <w:r w:rsidR="00305485">
        <w:rPr>
          <w:rFonts w:cs="Times New Roman"/>
          <w:noProof/>
          <w:sz w:val="16"/>
        </w:rPr>
        <w:t xml:space="preserve">. </w:t>
      </w:r>
      <w:r w:rsidR="00305485" w:rsidRPr="00305485">
        <w:rPr>
          <w:rFonts w:cs="Times New Roman"/>
          <w:noProof/>
          <w:sz w:val="16"/>
        </w:rPr>
        <w:t>https://doi.org/10.1038/nprot.2007.102</w:t>
      </w:r>
    </w:p>
    <w:p w14:paraId="623179F6" w14:textId="5FA1B7F4" w:rsidR="001A1634" w:rsidRPr="001A1634" w:rsidRDefault="001A1634" w:rsidP="00F430F9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3. </w:t>
      </w:r>
      <w:r w:rsidRPr="001A1634">
        <w:rPr>
          <w:rFonts w:cs="Times New Roman"/>
          <w:noProof/>
          <w:sz w:val="16"/>
        </w:rPr>
        <w:tab/>
        <w:t xml:space="preserve">Thaipong K, </w:t>
      </w:r>
      <w:r w:rsidR="00F430F9" w:rsidRPr="00F430F9">
        <w:rPr>
          <w:rFonts w:cs="Times New Roman"/>
          <w:noProof/>
          <w:sz w:val="16"/>
        </w:rPr>
        <w:t>Boonprakob U, Crosby K, Cisneros-Zevallos L, Byrne DH</w:t>
      </w:r>
      <w:r w:rsidRPr="001A1634">
        <w:rPr>
          <w:rFonts w:cs="Times New Roman"/>
          <w:noProof/>
          <w:sz w:val="16"/>
        </w:rPr>
        <w:t xml:space="preserve"> (2006) Comparison of ABTS, DPPH, FRAP, and ORAC assays for estimating antioxidant activity from guava fruit extracts. J food Compos Anal 19:669–675</w:t>
      </w:r>
      <w:r w:rsidR="00F430F9">
        <w:rPr>
          <w:rFonts w:cs="Times New Roman"/>
          <w:noProof/>
          <w:sz w:val="16"/>
        </w:rPr>
        <w:t xml:space="preserve">. </w:t>
      </w:r>
      <w:r w:rsidR="00F430F9" w:rsidRPr="00F430F9">
        <w:rPr>
          <w:rFonts w:cs="Times New Roman"/>
          <w:noProof/>
          <w:sz w:val="16"/>
        </w:rPr>
        <w:t>https://doi.org/10.1016/j.jfca.2006.01.003</w:t>
      </w:r>
    </w:p>
    <w:p w14:paraId="1F20BF17" w14:textId="793E0138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4. </w:t>
      </w:r>
      <w:r w:rsidRPr="001A1634">
        <w:rPr>
          <w:rFonts w:cs="Times New Roman"/>
          <w:noProof/>
          <w:sz w:val="16"/>
        </w:rPr>
        <w:tab/>
        <w:t>El-Morshedy SE-D, Ibrahim SMA, Alyan A, Abdelmaksoud A (2020) Heat transfer deterioration mechanism for water at supercritical pressure. Int J Thermofluids 7:100020</w:t>
      </w:r>
      <w:r w:rsidR="0023391B">
        <w:rPr>
          <w:rFonts w:cs="Times New Roman"/>
          <w:noProof/>
          <w:sz w:val="16"/>
        </w:rPr>
        <w:t xml:space="preserve">. </w:t>
      </w:r>
      <w:r w:rsidR="0023391B" w:rsidRPr="003E5DEB">
        <w:rPr>
          <w:rFonts w:cs="Times New Roman"/>
          <w:noProof/>
          <w:sz w:val="16"/>
          <w:szCs w:val="16"/>
        </w:rPr>
        <w:t>https://doi.org/10.1016/j.ijft.2020.100020</w:t>
      </w:r>
    </w:p>
    <w:p w14:paraId="464F9E56" w14:textId="5EDDE14A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5. </w:t>
      </w:r>
      <w:r w:rsidRPr="001A1634">
        <w:rPr>
          <w:rFonts w:cs="Times New Roman"/>
          <w:noProof/>
          <w:sz w:val="16"/>
        </w:rPr>
        <w:tab/>
        <w:t>Wu H-W, Li E, Sun Y, Dong B (2021) Research on the operation safety evaluation of urban rail stations based on the improved TOPSIS method and entropy weight method. J Rail Transp Plan Manag 20:100262</w:t>
      </w:r>
      <w:r w:rsidR="0023391B">
        <w:rPr>
          <w:rFonts w:cs="Times New Roman"/>
          <w:noProof/>
          <w:sz w:val="16"/>
        </w:rPr>
        <w:t xml:space="preserve">. </w:t>
      </w:r>
      <w:r w:rsidR="0023391B" w:rsidRPr="003E5DEB">
        <w:rPr>
          <w:rFonts w:cs="Times New Roman"/>
          <w:noProof/>
          <w:sz w:val="16"/>
          <w:szCs w:val="16"/>
        </w:rPr>
        <w:t>https://doi.org/10.1016/j.jrtpm.2021.100262</w:t>
      </w:r>
    </w:p>
    <w:p w14:paraId="777A1FEE" w14:textId="55B15225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6. </w:t>
      </w:r>
      <w:r w:rsidRPr="001A1634">
        <w:rPr>
          <w:rFonts w:cs="Times New Roman"/>
          <w:noProof/>
          <w:sz w:val="16"/>
        </w:rPr>
        <w:tab/>
        <w:t>Zaharescu T, Bumbac M, Nicolescu CM (2024) Stability effects of added biomass on microalgae styrene–butadiene–styrene composites. J Therm Anal Calorim 149:10793–10805</w:t>
      </w:r>
      <w:r w:rsidR="002E7DB6">
        <w:rPr>
          <w:rFonts w:cs="Times New Roman"/>
          <w:noProof/>
          <w:sz w:val="16"/>
        </w:rPr>
        <w:t xml:space="preserve">. </w:t>
      </w:r>
      <w:r w:rsidR="002E7DB6" w:rsidRPr="003E5DEB">
        <w:rPr>
          <w:rFonts w:cs="Times New Roman"/>
          <w:noProof/>
          <w:sz w:val="16"/>
          <w:szCs w:val="16"/>
        </w:rPr>
        <w:t>https://doi.org/10.1007/s10973-024-13419-7</w:t>
      </w:r>
    </w:p>
    <w:p w14:paraId="2327F3BC" w14:textId="786A2305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7. </w:t>
      </w:r>
      <w:r w:rsidRPr="001A1634">
        <w:rPr>
          <w:rFonts w:cs="Times New Roman"/>
          <w:noProof/>
          <w:sz w:val="16"/>
        </w:rPr>
        <w:tab/>
        <w:t>Morais FP, Simões RMS, Curto JMR (2020) Biopolymeric delivery systems for cosmetic applications using chlorella vulgaris algae and tea tree essential oil. Polymers (Basel) 12:2689</w:t>
      </w:r>
      <w:r w:rsidR="002E7DB6">
        <w:rPr>
          <w:rFonts w:cs="Times New Roman"/>
          <w:noProof/>
          <w:sz w:val="16"/>
        </w:rPr>
        <w:t xml:space="preserve">. </w:t>
      </w:r>
      <w:r w:rsidR="002E7DB6" w:rsidRPr="003E5DEB">
        <w:rPr>
          <w:rFonts w:cs="Times New Roman"/>
          <w:noProof/>
          <w:sz w:val="16"/>
          <w:szCs w:val="16"/>
        </w:rPr>
        <w:t>https://doi.org/10.3390/polym12112689</w:t>
      </w:r>
    </w:p>
    <w:p w14:paraId="4EBE39F4" w14:textId="049B39DE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8. </w:t>
      </w:r>
      <w:r w:rsidRPr="001A1634">
        <w:rPr>
          <w:rFonts w:cs="Times New Roman"/>
          <w:noProof/>
          <w:sz w:val="16"/>
        </w:rPr>
        <w:tab/>
        <w:t>El-Naggar NE-A, Hussein MH, Shaaban-Dessuuki SA, Dalal SR (2020) Production, extraction and characterization of Chlorella vulgaris soluble polysaccharides and their applications in AgNPs biosynthesis and biostimulation of plant growth. Sci Rep 10:3011</w:t>
      </w:r>
      <w:r w:rsidR="002E7DB6">
        <w:rPr>
          <w:rFonts w:cs="Times New Roman"/>
          <w:noProof/>
          <w:sz w:val="16"/>
        </w:rPr>
        <w:t xml:space="preserve">. </w:t>
      </w:r>
      <w:r w:rsidR="002E7DB6" w:rsidRPr="003E5DEB">
        <w:rPr>
          <w:rFonts w:cs="Times New Roman"/>
          <w:noProof/>
          <w:sz w:val="16"/>
          <w:szCs w:val="16"/>
        </w:rPr>
        <w:t>https://doi.org/10.1038/s41598-020-59945-w</w:t>
      </w:r>
    </w:p>
    <w:p w14:paraId="72C22A7E" w14:textId="666B292B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9. </w:t>
      </w:r>
      <w:r w:rsidRPr="001A1634">
        <w:rPr>
          <w:rFonts w:cs="Times New Roman"/>
          <w:noProof/>
          <w:sz w:val="16"/>
        </w:rPr>
        <w:tab/>
        <w:t xml:space="preserve">Domenici V, </w:t>
      </w:r>
      <w:r w:rsidR="002E7DB6" w:rsidRPr="00B84E3F">
        <w:rPr>
          <w:rFonts w:cs="Times New Roman"/>
          <w:noProof/>
          <w:sz w:val="16"/>
        </w:rPr>
        <w:t>Ancora D, Cifelli M, Serani A, Veracini CA, Zandomeneghi M</w:t>
      </w:r>
      <w:r w:rsidRPr="001A1634">
        <w:rPr>
          <w:rFonts w:cs="Times New Roman"/>
          <w:noProof/>
          <w:sz w:val="16"/>
        </w:rPr>
        <w:t xml:space="preserve"> (2014) Extraction of pigment information from near-UV vis absorption spectra of extra virgin olive oils. J Agric Food Chem 62:9317–9325</w:t>
      </w:r>
      <w:r w:rsidR="002E7DB6">
        <w:rPr>
          <w:rFonts w:cs="Times New Roman"/>
          <w:noProof/>
          <w:sz w:val="16"/>
        </w:rPr>
        <w:t xml:space="preserve">. </w:t>
      </w:r>
      <w:r w:rsidR="00B14701" w:rsidRPr="003E5DEB">
        <w:rPr>
          <w:rFonts w:cs="Times New Roman"/>
          <w:noProof/>
          <w:sz w:val="16"/>
          <w:szCs w:val="16"/>
        </w:rPr>
        <w:t>https://doi.org/10.1021/jf503818k</w:t>
      </w:r>
    </w:p>
    <w:p w14:paraId="1DE51059" w14:textId="7C85040E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10. </w:t>
      </w:r>
      <w:r w:rsidRPr="001A1634">
        <w:rPr>
          <w:rFonts w:cs="Times New Roman"/>
          <w:noProof/>
          <w:sz w:val="16"/>
        </w:rPr>
        <w:tab/>
        <w:t xml:space="preserve">Li K, </w:t>
      </w:r>
      <w:r w:rsidR="00B14701" w:rsidRPr="00C02EF0">
        <w:rPr>
          <w:rFonts w:cs="Times New Roman"/>
          <w:noProof/>
          <w:sz w:val="16"/>
        </w:rPr>
        <w:t>Jiang C, Han SI, Kang S, Chen J, Won D, Kang Y, Bae B, Choi YE, Kim HS, Lee J</w:t>
      </w:r>
      <w:r w:rsidRPr="001A1634">
        <w:rPr>
          <w:rFonts w:cs="Times New Roman"/>
          <w:noProof/>
          <w:sz w:val="16"/>
        </w:rPr>
        <w:t xml:space="preserve"> (2024) Green and efficient method to acquire high-value phycobiliprotein from microalgal biomass involving deep eutectic solvent-based ultrasound-assisted extraction. Food Chem 449:139196</w:t>
      </w:r>
      <w:r w:rsidR="00B14701">
        <w:rPr>
          <w:rFonts w:cs="Times New Roman"/>
          <w:noProof/>
          <w:sz w:val="16"/>
        </w:rPr>
        <w:t xml:space="preserve">. </w:t>
      </w:r>
      <w:r w:rsidR="00B14701" w:rsidRPr="003E5DEB">
        <w:rPr>
          <w:rFonts w:cs="Times New Roman"/>
          <w:noProof/>
          <w:sz w:val="16"/>
          <w:szCs w:val="16"/>
        </w:rPr>
        <w:t>https://doi.org/10.1016/j.foodchem.2024.139196</w:t>
      </w:r>
    </w:p>
    <w:p w14:paraId="77B0E173" w14:textId="3AA4970E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11. </w:t>
      </w:r>
      <w:r w:rsidRPr="001A1634">
        <w:rPr>
          <w:rFonts w:cs="Times New Roman"/>
          <w:noProof/>
          <w:sz w:val="16"/>
        </w:rPr>
        <w:tab/>
        <w:t xml:space="preserve">Zheng H, </w:t>
      </w:r>
      <w:r w:rsidR="00B14701" w:rsidRPr="00B84E3F">
        <w:rPr>
          <w:rFonts w:cs="Times New Roman"/>
          <w:noProof/>
          <w:sz w:val="16"/>
        </w:rPr>
        <w:t>Yin J, Gao Z, Huang H, Ji X, Dou C</w:t>
      </w:r>
      <w:r w:rsidRPr="001A1634">
        <w:rPr>
          <w:rFonts w:cs="Times New Roman"/>
          <w:noProof/>
          <w:sz w:val="16"/>
        </w:rPr>
        <w:t xml:space="preserve"> (2011) Disruption of Chlorella vulgaris cells for the release of biodiesel-producing lipids: a comparison of grinding, ultrasonication, bead milling, enzymatic lysis, and microwaves. Appl Biochem Biotechnol 164:1215–1224</w:t>
      </w:r>
      <w:r w:rsidR="00B14701">
        <w:rPr>
          <w:rFonts w:cs="Times New Roman"/>
          <w:noProof/>
          <w:sz w:val="16"/>
        </w:rPr>
        <w:t xml:space="preserve">. </w:t>
      </w:r>
      <w:r w:rsidR="00B14701" w:rsidRPr="003E5DEB">
        <w:rPr>
          <w:rFonts w:cs="Times New Roman"/>
          <w:noProof/>
          <w:sz w:val="16"/>
          <w:szCs w:val="16"/>
        </w:rPr>
        <w:t>https://doi.org/10.1007/s12010-011-9207-1</w:t>
      </w:r>
    </w:p>
    <w:p w14:paraId="57C5DEAE" w14:textId="2B63E864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12. </w:t>
      </w:r>
      <w:r w:rsidRPr="001A1634">
        <w:rPr>
          <w:rFonts w:cs="Times New Roman"/>
          <w:noProof/>
          <w:sz w:val="16"/>
        </w:rPr>
        <w:tab/>
        <w:t>Bogaerts A, Neyts E, Gijbels R, Van der Mullen J (2002) Gas discharge plasmas and their applications. Spectrochim Acta Part B At Spectrosc 57:609–658</w:t>
      </w:r>
      <w:r w:rsidR="002912F0">
        <w:rPr>
          <w:rFonts w:cs="Times New Roman"/>
          <w:noProof/>
          <w:sz w:val="16"/>
        </w:rPr>
        <w:t xml:space="preserve">. </w:t>
      </w:r>
      <w:r w:rsidR="002912F0" w:rsidRPr="003E5DEB">
        <w:rPr>
          <w:rFonts w:cs="Times New Roman"/>
          <w:noProof/>
          <w:sz w:val="16"/>
          <w:szCs w:val="16"/>
        </w:rPr>
        <w:t>https://doi.org/10.1016/S0584-8547(01)00406-2</w:t>
      </w:r>
    </w:p>
    <w:p w14:paraId="5CFC943F" w14:textId="162DC8A3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13. </w:t>
      </w:r>
      <w:r w:rsidRPr="001A1634">
        <w:rPr>
          <w:rFonts w:cs="Times New Roman"/>
          <w:noProof/>
          <w:sz w:val="16"/>
        </w:rPr>
        <w:tab/>
        <w:t>Ahmed J, Kumar V (2022) Effect of high-pressure treatment on oscillatory rheology, particle size distribution and microstructure of microalgae Chlorella vulgaris and Arthrospira platensis. Algal Res 62:102617</w:t>
      </w:r>
      <w:r w:rsidR="002912F0">
        <w:rPr>
          <w:rFonts w:cs="Times New Roman"/>
          <w:noProof/>
          <w:sz w:val="16"/>
        </w:rPr>
        <w:t xml:space="preserve">. </w:t>
      </w:r>
      <w:r w:rsidR="002912F0" w:rsidRPr="003E5DEB">
        <w:rPr>
          <w:rFonts w:cs="Times New Roman"/>
          <w:noProof/>
          <w:sz w:val="16"/>
          <w:szCs w:val="16"/>
        </w:rPr>
        <w:t>https://doi.org/10.1016/j.algal.2021.102617</w:t>
      </w:r>
    </w:p>
    <w:p w14:paraId="60D02953" w14:textId="3B73BEAD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14. </w:t>
      </w:r>
      <w:r w:rsidRPr="001A1634">
        <w:rPr>
          <w:rFonts w:cs="Times New Roman"/>
          <w:noProof/>
          <w:sz w:val="16"/>
        </w:rPr>
        <w:tab/>
        <w:t>Salmon A (2021) Molecular Resiliency and Aging. Innov Aging 5:161</w:t>
      </w:r>
      <w:r w:rsidR="002912F0">
        <w:rPr>
          <w:rFonts w:cs="Times New Roman"/>
          <w:noProof/>
          <w:sz w:val="16"/>
        </w:rPr>
        <w:t xml:space="preserve">. </w:t>
      </w:r>
      <w:r w:rsidR="002912F0" w:rsidRPr="003E5DEB">
        <w:rPr>
          <w:rFonts w:cs="Times New Roman"/>
          <w:noProof/>
          <w:sz w:val="16"/>
          <w:szCs w:val="16"/>
        </w:rPr>
        <w:t>https://doi.org/10.1093/geroni/igab046.619</w:t>
      </w:r>
    </w:p>
    <w:p w14:paraId="2CCE3955" w14:textId="48CF5E0B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15. </w:t>
      </w:r>
      <w:r w:rsidRPr="001A1634">
        <w:rPr>
          <w:rFonts w:cs="Times New Roman"/>
          <w:noProof/>
          <w:sz w:val="16"/>
        </w:rPr>
        <w:tab/>
        <w:t xml:space="preserve">Wen J, </w:t>
      </w:r>
      <w:r w:rsidR="002912F0" w:rsidRPr="00B84E3F">
        <w:rPr>
          <w:rFonts w:cs="Times New Roman"/>
          <w:noProof/>
          <w:sz w:val="16"/>
        </w:rPr>
        <w:t>Arthur K, Chemmalil L, Muzammil S, Gabrielson J, Jiang Y</w:t>
      </w:r>
      <w:r w:rsidRPr="001A1634">
        <w:rPr>
          <w:rFonts w:cs="Times New Roman"/>
          <w:noProof/>
          <w:sz w:val="16"/>
        </w:rPr>
        <w:t xml:space="preserve"> (2012) Applications of differential scanning calorimetry for thermal stability analysis of proteins: qualification of DSC. J Pharm Sci 101:955–964</w:t>
      </w:r>
      <w:r w:rsidR="002912F0">
        <w:rPr>
          <w:rFonts w:cs="Times New Roman"/>
          <w:noProof/>
          <w:sz w:val="16"/>
        </w:rPr>
        <w:t xml:space="preserve">. </w:t>
      </w:r>
      <w:r w:rsidR="002912F0" w:rsidRPr="003E5DEB">
        <w:rPr>
          <w:rFonts w:cs="Times New Roman"/>
          <w:noProof/>
          <w:sz w:val="16"/>
          <w:szCs w:val="16"/>
        </w:rPr>
        <w:t>https://doi.org/10.1002/jps.22820</w:t>
      </w:r>
    </w:p>
    <w:p w14:paraId="7E7A4618" w14:textId="712FA66D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16. </w:t>
      </w:r>
      <w:r w:rsidRPr="001A1634">
        <w:rPr>
          <w:rFonts w:cs="Times New Roman"/>
          <w:noProof/>
          <w:sz w:val="16"/>
        </w:rPr>
        <w:tab/>
        <w:t xml:space="preserve">Six A, </w:t>
      </w:r>
      <w:r w:rsidR="004D3B56" w:rsidRPr="00C02EF0">
        <w:rPr>
          <w:rFonts w:cs="Times New Roman"/>
          <w:noProof/>
          <w:sz w:val="16"/>
        </w:rPr>
        <w:t>Dauvillee D, Lancelon-Pin C, Dimitriades-Lemaire A, Compadre A, Dubreuil C, Alvarez P, Sassi JF, Li-Beisson Y, Putaux JL, Le Moigne N</w:t>
      </w:r>
      <w:r w:rsidRPr="001A1634">
        <w:rPr>
          <w:rFonts w:cs="Times New Roman"/>
          <w:noProof/>
          <w:sz w:val="16"/>
        </w:rPr>
        <w:t xml:space="preserve"> (2024) From raw microalgae to bioplastics: Conversion of Chlorella vulgaris starch granules into thermoplastic starch. Carbohydr Polym 342:122342</w:t>
      </w:r>
      <w:r w:rsidR="004D3B56">
        <w:rPr>
          <w:rFonts w:cs="Times New Roman"/>
          <w:noProof/>
          <w:sz w:val="16"/>
        </w:rPr>
        <w:t xml:space="preserve">. </w:t>
      </w:r>
      <w:r w:rsidR="004D3B56" w:rsidRPr="003E5DEB">
        <w:rPr>
          <w:rFonts w:cs="Times New Roman"/>
          <w:noProof/>
          <w:sz w:val="16"/>
          <w:szCs w:val="16"/>
        </w:rPr>
        <w:t>https://doi.org/10.1016/j.carbpol.2024.122342</w:t>
      </w:r>
    </w:p>
    <w:p w14:paraId="33E00D37" w14:textId="26973CBF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17. </w:t>
      </w:r>
      <w:r w:rsidRPr="001A1634">
        <w:rPr>
          <w:rFonts w:cs="Times New Roman"/>
          <w:noProof/>
          <w:sz w:val="16"/>
        </w:rPr>
        <w:tab/>
        <w:t>Bhuvana P, Sangeetha P, Anuradha V, Ali MS (2019) Spectral characterization of bioactive compounds from microalgae: N. oculata and C. vulgaris. Biocatal Agric Biotechnol 19:101094</w:t>
      </w:r>
      <w:r w:rsidR="004D3B56">
        <w:rPr>
          <w:rFonts w:cs="Times New Roman"/>
          <w:noProof/>
          <w:sz w:val="16"/>
        </w:rPr>
        <w:t xml:space="preserve">. </w:t>
      </w:r>
      <w:r w:rsidR="004D3B56" w:rsidRPr="003E5DEB">
        <w:rPr>
          <w:rFonts w:cs="Times New Roman"/>
          <w:noProof/>
          <w:sz w:val="16"/>
          <w:szCs w:val="16"/>
        </w:rPr>
        <w:t>https://doi.org/10.1016/j.bcab.2019.101094</w:t>
      </w:r>
    </w:p>
    <w:p w14:paraId="3567D29E" w14:textId="7D9D5877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18. </w:t>
      </w:r>
      <w:r w:rsidRPr="001A1634">
        <w:rPr>
          <w:rFonts w:cs="Times New Roman"/>
          <w:noProof/>
          <w:sz w:val="16"/>
        </w:rPr>
        <w:tab/>
        <w:t xml:space="preserve">Haoujar I, </w:t>
      </w:r>
      <w:r w:rsidR="00D86ACF" w:rsidRPr="00C02EF0">
        <w:rPr>
          <w:rFonts w:cs="Times New Roman"/>
          <w:noProof/>
          <w:sz w:val="16"/>
        </w:rPr>
        <w:t>Cacciola F, Abrini J, Mangraviti D, Giuffrida D, Oulad El Majdoub Y, Kounnoun A, Miceli N, Fernanda Taviano M, Mondello L, Rigano F</w:t>
      </w:r>
      <w:r w:rsidRPr="001A1634">
        <w:rPr>
          <w:rFonts w:cs="Times New Roman"/>
          <w:noProof/>
          <w:sz w:val="16"/>
        </w:rPr>
        <w:t xml:space="preserve"> (2019) The contribution of carotenoids, phenolic compounds, and flavonoids to the antioxidative properties of marine microalgae isolated from Mediterranean Morocco. Molecules 24:4037</w:t>
      </w:r>
      <w:r w:rsidR="00D86ACF">
        <w:rPr>
          <w:rFonts w:cs="Times New Roman"/>
          <w:noProof/>
          <w:sz w:val="16"/>
        </w:rPr>
        <w:t xml:space="preserve">. </w:t>
      </w:r>
      <w:r w:rsidR="00D86ACF" w:rsidRPr="003E5DEB">
        <w:rPr>
          <w:rFonts w:cs="Times New Roman"/>
          <w:noProof/>
          <w:sz w:val="16"/>
          <w:szCs w:val="16"/>
        </w:rPr>
        <w:t>https://doi.org/10.3390/molecules24224037</w:t>
      </w:r>
    </w:p>
    <w:p w14:paraId="6B07D6DB" w14:textId="738B5900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19. </w:t>
      </w:r>
      <w:r w:rsidRPr="001A1634">
        <w:rPr>
          <w:rFonts w:cs="Times New Roman"/>
          <w:noProof/>
          <w:sz w:val="16"/>
        </w:rPr>
        <w:tab/>
        <w:t>Boukaoud A, Chiba Y, Sebbar D (2021) A periodic DFT study of IR spectra of amino acids: An approach toward a better understanding of the NH and OH stretching regions. Vib Spectrosc 116:103280</w:t>
      </w:r>
      <w:r w:rsidR="00D86ACF">
        <w:rPr>
          <w:rFonts w:cs="Times New Roman"/>
          <w:noProof/>
          <w:sz w:val="16"/>
        </w:rPr>
        <w:t xml:space="preserve">. </w:t>
      </w:r>
      <w:r w:rsidR="00D86ACF" w:rsidRPr="003E5DEB">
        <w:rPr>
          <w:rFonts w:cs="Times New Roman"/>
          <w:noProof/>
          <w:sz w:val="16"/>
          <w:szCs w:val="16"/>
        </w:rPr>
        <w:t>https://doi.org/10.1016/j.vibspec.2021.103280</w:t>
      </w:r>
    </w:p>
    <w:p w14:paraId="26CA7922" w14:textId="295984FE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20. </w:t>
      </w:r>
      <w:r w:rsidRPr="001A1634">
        <w:rPr>
          <w:rFonts w:cs="Times New Roman"/>
          <w:noProof/>
          <w:sz w:val="16"/>
        </w:rPr>
        <w:tab/>
        <w:t xml:space="preserve">Ganeson Y, </w:t>
      </w:r>
      <w:r w:rsidR="00D86ACF" w:rsidRPr="00B84E3F">
        <w:rPr>
          <w:rFonts w:cs="Times New Roman"/>
          <w:noProof/>
          <w:sz w:val="16"/>
        </w:rPr>
        <w:t>Paramasivam P, Palanisamy KM, Govindan N, Maniam GP</w:t>
      </w:r>
      <w:r w:rsidRPr="001A1634">
        <w:rPr>
          <w:rFonts w:cs="Times New Roman"/>
          <w:noProof/>
          <w:sz w:val="16"/>
        </w:rPr>
        <w:t xml:space="preserve"> (2024) LCMS and FTIR profiling of microalga Chlorella sp. for cosmetics and skin care applications. Clean Water 2:100028</w:t>
      </w:r>
      <w:r w:rsidR="00D86ACF">
        <w:rPr>
          <w:rFonts w:cs="Times New Roman"/>
          <w:noProof/>
          <w:sz w:val="16"/>
        </w:rPr>
        <w:t xml:space="preserve">. </w:t>
      </w:r>
      <w:r w:rsidR="00D86ACF" w:rsidRPr="003E5DEB">
        <w:rPr>
          <w:rFonts w:cs="Times New Roman"/>
          <w:noProof/>
          <w:sz w:val="16"/>
          <w:szCs w:val="16"/>
        </w:rPr>
        <w:t>https://doi.org/10.1016/j.clwat.2024.100028</w:t>
      </w:r>
    </w:p>
    <w:p w14:paraId="4095E4A5" w14:textId="41B1229C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21. </w:t>
      </w:r>
      <w:r w:rsidRPr="001A1634">
        <w:rPr>
          <w:rFonts w:cs="Times New Roman"/>
          <w:noProof/>
          <w:sz w:val="16"/>
        </w:rPr>
        <w:tab/>
        <w:t>Kanda H, Kusumi K, Zhu L, Wang T (2024) Direct Extraction of Lipids, β-Carotene, and Polyphenolic Compounds from Wet Microalga Dunaliella salina by Liquefied Dimethyl Ether. Mar Drugs 22:438</w:t>
      </w:r>
      <w:r w:rsidR="00D86ACF">
        <w:rPr>
          <w:rFonts w:cs="Times New Roman"/>
          <w:noProof/>
          <w:sz w:val="16"/>
        </w:rPr>
        <w:t xml:space="preserve">. </w:t>
      </w:r>
      <w:r w:rsidR="00D86ACF" w:rsidRPr="003E5DEB">
        <w:rPr>
          <w:rFonts w:cs="Times New Roman"/>
          <w:noProof/>
          <w:sz w:val="16"/>
          <w:szCs w:val="16"/>
        </w:rPr>
        <w:t>https://doi.org/10.3390/md22100438</w:t>
      </w:r>
    </w:p>
    <w:p w14:paraId="517158DE" w14:textId="0EE9EB3A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22. </w:t>
      </w:r>
      <w:r w:rsidRPr="001A1634">
        <w:rPr>
          <w:rFonts w:cs="Times New Roman"/>
          <w:noProof/>
          <w:sz w:val="16"/>
        </w:rPr>
        <w:tab/>
        <w:t>Murdock JN, Wetzel DL (2009) FT-IR microspectroscopy enhances biological and ecological analysis of algae. Appl Spectrosc Rev 44:335–361</w:t>
      </w:r>
      <w:r w:rsidR="00A52FE1">
        <w:rPr>
          <w:rFonts w:cs="Times New Roman"/>
          <w:noProof/>
          <w:sz w:val="16"/>
        </w:rPr>
        <w:t xml:space="preserve">. </w:t>
      </w:r>
      <w:r w:rsidR="00A52FE1" w:rsidRPr="003E5DEB">
        <w:rPr>
          <w:rFonts w:cs="Times New Roman"/>
          <w:noProof/>
          <w:sz w:val="16"/>
          <w:szCs w:val="16"/>
        </w:rPr>
        <w:t>https://doi.org/10.1080/05704920902907440</w:t>
      </w:r>
    </w:p>
    <w:p w14:paraId="046B2F11" w14:textId="5F49292E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23. </w:t>
      </w:r>
      <w:r w:rsidRPr="001A1634">
        <w:rPr>
          <w:rFonts w:cs="Times New Roman"/>
          <w:noProof/>
          <w:sz w:val="16"/>
        </w:rPr>
        <w:tab/>
        <w:t>Sudhakar K, Premalatha M (2015) Characterization of micro algal biomass through FTIR/TGA/CHN analysis: Application to Scenedesmus sp. Energy Sources, Part A Recover Util Environ Eff 37:2330–2337</w:t>
      </w:r>
      <w:r w:rsidR="00A52FE1">
        <w:rPr>
          <w:rFonts w:cs="Times New Roman"/>
          <w:noProof/>
          <w:sz w:val="16"/>
        </w:rPr>
        <w:t xml:space="preserve">. </w:t>
      </w:r>
      <w:r w:rsidR="00A52FE1" w:rsidRPr="003E5DEB">
        <w:rPr>
          <w:rFonts w:cs="Times New Roman"/>
          <w:noProof/>
          <w:sz w:val="16"/>
          <w:szCs w:val="16"/>
        </w:rPr>
        <w:t>https://doi.org/10.1080/15567036.2013.825661</w:t>
      </w:r>
    </w:p>
    <w:p w14:paraId="1EF960AA" w14:textId="72F311FE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t xml:space="preserve">24. </w:t>
      </w:r>
      <w:r w:rsidRPr="001A1634">
        <w:rPr>
          <w:rFonts w:cs="Times New Roman"/>
          <w:noProof/>
          <w:sz w:val="16"/>
        </w:rPr>
        <w:tab/>
        <w:t>Meng Y, Yao C, Xue S, Yang H (2014) Application of Fourier transform infrared (FT-IR) spectroscopy in determination of microalgal compositions. Bioresour Technol 151:347–354</w:t>
      </w:r>
      <w:r w:rsidR="00A52FE1">
        <w:rPr>
          <w:rFonts w:cs="Times New Roman"/>
          <w:noProof/>
          <w:sz w:val="16"/>
        </w:rPr>
        <w:t xml:space="preserve">. </w:t>
      </w:r>
      <w:r w:rsidR="00A52FE1" w:rsidRPr="003E5DEB">
        <w:rPr>
          <w:rFonts w:cs="Times New Roman"/>
          <w:noProof/>
          <w:sz w:val="16"/>
          <w:szCs w:val="16"/>
        </w:rPr>
        <w:t>https://doi.org/10.1016/j.biortech.2013.10.064</w:t>
      </w:r>
    </w:p>
    <w:p w14:paraId="5FFE2A27" w14:textId="4859C83F" w:rsidR="001A1634" w:rsidRPr="001A1634" w:rsidRDefault="001A1634" w:rsidP="001A1634">
      <w:pPr>
        <w:widowControl w:val="0"/>
        <w:autoSpaceDE w:val="0"/>
        <w:autoSpaceDN w:val="0"/>
        <w:adjustRightInd w:val="0"/>
        <w:spacing w:line="240" w:lineRule="auto"/>
        <w:ind w:left="640" w:hanging="640"/>
        <w:rPr>
          <w:rFonts w:cs="Times New Roman"/>
          <w:noProof/>
          <w:sz w:val="16"/>
        </w:rPr>
      </w:pPr>
      <w:r w:rsidRPr="001A1634">
        <w:rPr>
          <w:rFonts w:cs="Times New Roman"/>
          <w:noProof/>
          <w:sz w:val="16"/>
        </w:rPr>
        <w:lastRenderedPageBreak/>
        <w:t xml:space="preserve">25. </w:t>
      </w:r>
      <w:r w:rsidRPr="001A1634">
        <w:rPr>
          <w:rFonts w:cs="Times New Roman"/>
          <w:noProof/>
          <w:sz w:val="16"/>
        </w:rPr>
        <w:tab/>
        <w:t>Calderón-Vergara LA, Díaz-Sánchez LM, Blanco-Tirado C, Combariza MY (2024) Comparative profiling of Chlorella vulgaris cells, extracts, and intact chloroplasts using electron transfer matrix-assisted laser desorption/ionization mass spectrometry (ET-MALDI-MS). Anal Methods 16:5652–5664</w:t>
      </w:r>
      <w:r w:rsidR="00A52FE1">
        <w:rPr>
          <w:rFonts w:cs="Times New Roman"/>
          <w:noProof/>
          <w:sz w:val="16"/>
        </w:rPr>
        <w:t xml:space="preserve">. </w:t>
      </w:r>
      <w:r w:rsidR="00A52FE1" w:rsidRPr="003E5DEB">
        <w:rPr>
          <w:rFonts w:cs="Times New Roman"/>
          <w:noProof/>
          <w:sz w:val="16"/>
          <w:szCs w:val="16"/>
        </w:rPr>
        <w:t>https://doi.org/10.1039/D4AY00846D</w:t>
      </w:r>
    </w:p>
    <w:p w14:paraId="478BB711" w14:textId="5EFD199B" w:rsidR="00FF20D7" w:rsidRPr="00BF6989" w:rsidRDefault="008D5932" w:rsidP="008D5932">
      <w:pPr>
        <w:spacing w:line="276" w:lineRule="auto"/>
        <w:jc w:val="both"/>
        <w:rPr>
          <w:sz w:val="24"/>
          <w:szCs w:val="32"/>
        </w:rPr>
      </w:pPr>
      <w:r w:rsidRPr="008D5932">
        <w:rPr>
          <w:sz w:val="16"/>
          <w:szCs w:val="20"/>
        </w:rPr>
        <w:fldChar w:fldCharType="end"/>
      </w:r>
    </w:p>
    <w:sectPr w:rsidR="00FF20D7" w:rsidRPr="00BF6989" w:rsidSect="00083960">
      <w:footerReference w:type="default" r:id="rId10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BFAD7" w14:textId="77777777" w:rsidR="00722D88" w:rsidRDefault="00722D88" w:rsidP="00DB0303">
      <w:pPr>
        <w:spacing w:after="0" w:line="240" w:lineRule="auto"/>
      </w:pPr>
      <w:r>
        <w:separator/>
      </w:r>
    </w:p>
  </w:endnote>
  <w:endnote w:type="continuationSeparator" w:id="0">
    <w:p w14:paraId="5506C5CA" w14:textId="77777777" w:rsidR="00722D88" w:rsidRDefault="00722D88" w:rsidP="00DB03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08900744"/>
      <w:docPartObj>
        <w:docPartGallery w:val="Page Numbers (Bottom of Page)"/>
        <w:docPartUnique/>
      </w:docPartObj>
    </w:sdtPr>
    <w:sdtContent>
      <w:p w14:paraId="266A95A9" w14:textId="23D70D90" w:rsidR="00DB0303" w:rsidRDefault="00DB030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4A8B2A3" w14:textId="77777777" w:rsidR="00DB0303" w:rsidRDefault="00DB03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EBF1D7" w14:textId="77777777" w:rsidR="00722D88" w:rsidRDefault="00722D88" w:rsidP="00DB0303">
      <w:pPr>
        <w:spacing w:after="0" w:line="240" w:lineRule="auto"/>
      </w:pPr>
      <w:r>
        <w:separator/>
      </w:r>
    </w:p>
  </w:footnote>
  <w:footnote w:type="continuationSeparator" w:id="0">
    <w:p w14:paraId="26DA256F" w14:textId="77777777" w:rsidR="00722D88" w:rsidRDefault="00722D88" w:rsidP="00DB03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2D7539"/>
    <w:multiLevelType w:val="multilevel"/>
    <w:tmpl w:val="DFD21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AE06DE2"/>
    <w:multiLevelType w:val="multilevel"/>
    <w:tmpl w:val="95CC2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86485154">
    <w:abstractNumId w:val="0"/>
  </w:num>
  <w:num w:numId="2" w16cid:durableId="1968968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03"/>
    <w:rsid w:val="0000062E"/>
    <w:rsid w:val="0005687D"/>
    <w:rsid w:val="00064060"/>
    <w:rsid w:val="00075EEC"/>
    <w:rsid w:val="0008116D"/>
    <w:rsid w:val="00081FC6"/>
    <w:rsid w:val="0008353F"/>
    <w:rsid w:val="00083960"/>
    <w:rsid w:val="00090664"/>
    <w:rsid w:val="000F5EF2"/>
    <w:rsid w:val="000F78BD"/>
    <w:rsid w:val="000F7F7D"/>
    <w:rsid w:val="00122EE6"/>
    <w:rsid w:val="001253ED"/>
    <w:rsid w:val="001261A9"/>
    <w:rsid w:val="0013783F"/>
    <w:rsid w:val="001458D4"/>
    <w:rsid w:val="001628AF"/>
    <w:rsid w:val="001741B7"/>
    <w:rsid w:val="001A1634"/>
    <w:rsid w:val="001B0EAF"/>
    <w:rsid w:val="001B7F95"/>
    <w:rsid w:val="001E54C6"/>
    <w:rsid w:val="001E5948"/>
    <w:rsid w:val="0021293D"/>
    <w:rsid w:val="002202F0"/>
    <w:rsid w:val="00220E30"/>
    <w:rsid w:val="00222D11"/>
    <w:rsid w:val="0023391B"/>
    <w:rsid w:val="00244AC4"/>
    <w:rsid w:val="002908C8"/>
    <w:rsid w:val="002912F0"/>
    <w:rsid w:val="002A6D75"/>
    <w:rsid w:val="002A6F10"/>
    <w:rsid w:val="002E7DB6"/>
    <w:rsid w:val="002F69EB"/>
    <w:rsid w:val="00305485"/>
    <w:rsid w:val="00324B3B"/>
    <w:rsid w:val="00340261"/>
    <w:rsid w:val="0036574D"/>
    <w:rsid w:val="00366D54"/>
    <w:rsid w:val="003750EC"/>
    <w:rsid w:val="00383688"/>
    <w:rsid w:val="003B0737"/>
    <w:rsid w:val="003B311E"/>
    <w:rsid w:val="003D6F59"/>
    <w:rsid w:val="003E5DEB"/>
    <w:rsid w:val="003F0ED0"/>
    <w:rsid w:val="00404326"/>
    <w:rsid w:val="004058A8"/>
    <w:rsid w:val="0040616D"/>
    <w:rsid w:val="00416D55"/>
    <w:rsid w:val="00425A16"/>
    <w:rsid w:val="00431CE0"/>
    <w:rsid w:val="00467A36"/>
    <w:rsid w:val="00467CF1"/>
    <w:rsid w:val="00477B24"/>
    <w:rsid w:val="00495C5D"/>
    <w:rsid w:val="004A17D8"/>
    <w:rsid w:val="004A6A35"/>
    <w:rsid w:val="004D05F1"/>
    <w:rsid w:val="004D3B56"/>
    <w:rsid w:val="004F0F4E"/>
    <w:rsid w:val="004F1223"/>
    <w:rsid w:val="00513F95"/>
    <w:rsid w:val="00522E67"/>
    <w:rsid w:val="00531E4E"/>
    <w:rsid w:val="00534A45"/>
    <w:rsid w:val="00561440"/>
    <w:rsid w:val="005617D2"/>
    <w:rsid w:val="005A0319"/>
    <w:rsid w:val="005A6835"/>
    <w:rsid w:val="005B37E5"/>
    <w:rsid w:val="005C1309"/>
    <w:rsid w:val="005D3381"/>
    <w:rsid w:val="005F67D8"/>
    <w:rsid w:val="00615B32"/>
    <w:rsid w:val="00636A9F"/>
    <w:rsid w:val="00642672"/>
    <w:rsid w:val="006556BA"/>
    <w:rsid w:val="00693170"/>
    <w:rsid w:val="006D2F98"/>
    <w:rsid w:val="006E26C1"/>
    <w:rsid w:val="006E6CAA"/>
    <w:rsid w:val="00716717"/>
    <w:rsid w:val="00717A71"/>
    <w:rsid w:val="00722D88"/>
    <w:rsid w:val="00785A19"/>
    <w:rsid w:val="00791A9F"/>
    <w:rsid w:val="007927EC"/>
    <w:rsid w:val="00793D2E"/>
    <w:rsid w:val="0079599A"/>
    <w:rsid w:val="007B2B79"/>
    <w:rsid w:val="007C367E"/>
    <w:rsid w:val="00805D54"/>
    <w:rsid w:val="00886A1D"/>
    <w:rsid w:val="00891628"/>
    <w:rsid w:val="008C1EA1"/>
    <w:rsid w:val="008C4AE9"/>
    <w:rsid w:val="008D5932"/>
    <w:rsid w:val="008F6AB0"/>
    <w:rsid w:val="00906BF3"/>
    <w:rsid w:val="00940C98"/>
    <w:rsid w:val="00960333"/>
    <w:rsid w:val="00966C4C"/>
    <w:rsid w:val="009D06A0"/>
    <w:rsid w:val="009D1EFC"/>
    <w:rsid w:val="009E4DEB"/>
    <w:rsid w:val="00A201DE"/>
    <w:rsid w:val="00A30892"/>
    <w:rsid w:val="00A4236F"/>
    <w:rsid w:val="00A52FE1"/>
    <w:rsid w:val="00A57B53"/>
    <w:rsid w:val="00A60CCD"/>
    <w:rsid w:val="00A9185D"/>
    <w:rsid w:val="00A959CE"/>
    <w:rsid w:val="00AA0993"/>
    <w:rsid w:val="00AF719F"/>
    <w:rsid w:val="00B14701"/>
    <w:rsid w:val="00B27F6F"/>
    <w:rsid w:val="00B32D6E"/>
    <w:rsid w:val="00B6489F"/>
    <w:rsid w:val="00B84E3F"/>
    <w:rsid w:val="00BB2EAF"/>
    <w:rsid w:val="00BC1088"/>
    <w:rsid w:val="00BD0ED2"/>
    <w:rsid w:val="00BF6989"/>
    <w:rsid w:val="00C02EF0"/>
    <w:rsid w:val="00C07F4B"/>
    <w:rsid w:val="00C235BE"/>
    <w:rsid w:val="00C37E99"/>
    <w:rsid w:val="00C65A0E"/>
    <w:rsid w:val="00C77D6C"/>
    <w:rsid w:val="00C9086C"/>
    <w:rsid w:val="00CC346C"/>
    <w:rsid w:val="00CC787D"/>
    <w:rsid w:val="00CE71C0"/>
    <w:rsid w:val="00CF5673"/>
    <w:rsid w:val="00D055BF"/>
    <w:rsid w:val="00D5000E"/>
    <w:rsid w:val="00D86ACF"/>
    <w:rsid w:val="00D87DD7"/>
    <w:rsid w:val="00DB0303"/>
    <w:rsid w:val="00DE310C"/>
    <w:rsid w:val="00DF0DC0"/>
    <w:rsid w:val="00E61A6C"/>
    <w:rsid w:val="00E6336D"/>
    <w:rsid w:val="00E7784F"/>
    <w:rsid w:val="00E8103D"/>
    <w:rsid w:val="00E87015"/>
    <w:rsid w:val="00EA3EC2"/>
    <w:rsid w:val="00EC7FFA"/>
    <w:rsid w:val="00ED004E"/>
    <w:rsid w:val="00F03F83"/>
    <w:rsid w:val="00F069CA"/>
    <w:rsid w:val="00F13506"/>
    <w:rsid w:val="00F24CEC"/>
    <w:rsid w:val="00F30F51"/>
    <w:rsid w:val="00F42D37"/>
    <w:rsid w:val="00F430F9"/>
    <w:rsid w:val="00F55B60"/>
    <w:rsid w:val="00F64B91"/>
    <w:rsid w:val="00F805E2"/>
    <w:rsid w:val="00F96B95"/>
    <w:rsid w:val="00FA38A6"/>
    <w:rsid w:val="00FD0C5F"/>
    <w:rsid w:val="00FE3532"/>
    <w:rsid w:val="00FF20D7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B38683"/>
  <w15:chartTrackingRefBased/>
  <w15:docId w15:val="{18F8B29B-4524-4159-9BE9-4672D7AD9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0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3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3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3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30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30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30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30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3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3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3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3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3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3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3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30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3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3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3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3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3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30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B03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B0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0303"/>
  </w:style>
  <w:style w:type="paragraph" w:styleId="Footer">
    <w:name w:val="footer"/>
    <w:basedOn w:val="Normal"/>
    <w:link w:val="FooterChar"/>
    <w:uiPriority w:val="99"/>
    <w:unhideWhenUsed/>
    <w:rsid w:val="00DB030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0303"/>
  </w:style>
  <w:style w:type="character" w:styleId="LineNumber">
    <w:name w:val="line number"/>
    <w:basedOn w:val="DefaultParagraphFont"/>
    <w:uiPriority w:val="99"/>
    <w:semiHidden/>
    <w:unhideWhenUsed/>
    <w:rsid w:val="00083960"/>
  </w:style>
  <w:style w:type="table" w:customStyle="1" w:styleId="TableGrid4">
    <w:name w:val="Table Grid4"/>
    <w:basedOn w:val="TableNormal"/>
    <w:next w:val="TableGrid"/>
    <w:uiPriority w:val="59"/>
    <w:rsid w:val="00A60CCD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791A9F"/>
    <w:pPr>
      <w:spacing w:after="0" w:line="240" w:lineRule="auto"/>
    </w:pPr>
    <w:rPr>
      <w:rFonts w:ascii="Cambria" w:eastAsia="MS Mincho" w:hAnsi="Cambria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F698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F6989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F6989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F698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F6989"/>
    <w:rPr>
      <w:b/>
      <w:bCs/>
      <w:szCs w:val="20"/>
    </w:rPr>
  </w:style>
  <w:style w:type="paragraph" w:styleId="Revision">
    <w:name w:val="Revision"/>
    <w:hidden/>
    <w:uiPriority w:val="99"/>
    <w:semiHidden/>
    <w:rsid w:val="00222D1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00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11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33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5878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pii/S187881811830896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tandfonline.com/doi/abs/10.1080/15567036.2013.8256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A2A395B7-4D70-445A-A90D-1B79EF46E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8</Pages>
  <Words>8753</Words>
  <Characters>49897</Characters>
  <Application>Microsoft Office Word</Application>
  <DocSecurity>0</DocSecurity>
  <Lines>415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11</cp:revision>
  <dcterms:created xsi:type="dcterms:W3CDTF">2025-06-06T02:08:00Z</dcterms:created>
  <dcterms:modified xsi:type="dcterms:W3CDTF">2025-08-06T10:35:00Z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7th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6th/7th edition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12th edition - Harvard</vt:lpwstr>
  </property>
  <property fmtid="{D5CDD505-2E9C-101B-9397-08002B2CF9AE}" pid="10" name="Mendeley Recent Style Id 4_1">
    <vt:lpwstr>http://www.zotero.org/styles/european-food-research-and-technology</vt:lpwstr>
  </property>
  <property fmtid="{D5CDD505-2E9C-101B-9397-08002B2CF9AE}" pid="11" name="Mendeley Recent Style Name 4_1">
    <vt:lpwstr>European Food Research and Technology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4th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9th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http://www.zotero.org/styles/the-journal-of-supercritical-fluids</vt:lpwstr>
  </property>
  <property fmtid="{D5CDD505-2E9C-101B-9397-08002B2CF9AE}" pid="19" name="Mendeley Recent Style Name 8_1">
    <vt:lpwstr>The Journal of Supercritical Fluids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f9c39d5c-86df-3a97-85ff-5edb0367e309</vt:lpwstr>
  </property>
  <property fmtid="{D5CDD505-2E9C-101B-9397-08002B2CF9AE}" pid="24" name="Mendeley Citation Style_1">
    <vt:lpwstr>http://www.zotero.org/styles/european-food-research-and-technology</vt:lpwstr>
  </property>
</Properties>
</file>