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D77666" w14:textId="77777777" w:rsidR="006A1D64" w:rsidRPr="007F44A3" w:rsidRDefault="006A1D64" w:rsidP="006A1D64">
      <w:pPr>
        <w:tabs>
          <w:tab w:val="left" w:pos="900"/>
        </w:tabs>
        <w:autoSpaceDE w:val="0"/>
        <w:autoSpaceDN w:val="0"/>
        <w:adjustRightInd w:val="0"/>
        <w:spacing w:line="480" w:lineRule="auto"/>
        <w:rPr>
          <w:rFonts w:cstheme="minorHAnsi"/>
          <w:b/>
          <w:i/>
        </w:rPr>
      </w:pPr>
      <w:r w:rsidRPr="007F44A3">
        <w:rPr>
          <w:rFonts w:cstheme="minorHAnsi"/>
          <w:b/>
          <w:i/>
        </w:rPr>
        <w:t>Analysis of balance</w:t>
      </w:r>
    </w:p>
    <w:p w14:paraId="5AE61892" w14:textId="369642F1" w:rsidR="006A1D64" w:rsidRDefault="006A1D64" w:rsidP="006A1D64">
      <w:pPr>
        <w:spacing w:line="480" w:lineRule="auto"/>
        <w:jc w:val="both"/>
        <w:rPr>
          <w:rFonts w:cstheme="minorHAnsi"/>
        </w:rPr>
      </w:pPr>
      <w:r w:rsidRPr="00752183">
        <w:rPr>
          <w:rFonts w:cstheme="minorHAnsi"/>
        </w:rPr>
        <w:tab/>
      </w:r>
      <w:r>
        <w:rPr>
          <w:rFonts w:cstheme="minorHAnsi"/>
        </w:rPr>
        <w:t xml:space="preserve">A </w:t>
      </w:r>
      <w:proofErr w:type="spellStart"/>
      <w:r>
        <w:rPr>
          <w:rFonts w:cstheme="minorHAnsi"/>
        </w:rPr>
        <w:t>Stabilogram</w:t>
      </w:r>
      <w:proofErr w:type="spellEnd"/>
      <w:r>
        <w:rPr>
          <w:rFonts w:cstheme="minorHAnsi"/>
        </w:rPr>
        <w:t xml:space="preserve"> Diffusion Function (SDF) </w:t>
      </w:r>
      <w:r w:rsidRPr="00AE271E">
        <w:rPr>
          <w:rFonts w:cstheme="minorHAnsi"/>
        </w:rPr>
        <w:t>analysis</w:t>
      </w:r>
      <w:r>
        <w:rPr>
          <w:rFonts w:cstheme="minorHAnsi"/>
        </w:rPr>
        <w:t xml:space="preserve"> of the force plate results and their relevance for the present findings are presented in th</w:t>
      </w:r>
      <w:r w:rsidR="00C24625">
        <w:rPr>
          <w:rFonts w:cstheme="minorHAnsi"/>
        </w:rPr>
        <w:t>is</w:t>
      </w:r>
      <w:r>
        <w:rPr>
          <w:rFonts w:cstheme="minorHAnsi"/>
        </w:rPr>
        <w:t xml:space="preserve"> online supplementary material.</w:t>
      </w:r>
    </w:p>
    <w:p w14:paraId="715F4498" w14:textId="77777777" w:rsidR="006A1D64" w:rsidRDefault="006A1D64" w:rsidP="003A6401">
      <w:pPr>
        <w:spacing w:line="480" w:lineRule="auto"/>
        <w:jc w:val="both"/>
        <w:rPr>
          <w:rFonts w:cstheme="minorHAnsi"/>
          <w:b/>
          <w:i/>
        </w:rPr>
      </w:pPr>
    </w:p>
    <w:p w14:paraId="71AB6823" w14:textId="6E169550" w:rsidR="006A1D64" w:rsidRPr="00B26FB7" w:rsidRDefault="00FA4B3E" w:rsidP="003A6401">
      <w:pPr>
        <w:spacing w:line="480" w:lineRule="auto"/>
        <w:jc w:val="both"/>
        <w:rPr>
          <w:rFonts w:cstheme="minorHAnsi"/>
          <w:b/>
          <w:i/>
        </w:rPr>
      </w:pPr>
      <w:r w:rsidRPr="00B26FB7">
        <w:rPr>
          <w:rFonts w:cstheme="minorHAnsi"/>
          <w:b/>
          <w:i/>
        </w:rPr>
        <w:t>Methods</w:t>
      </w:r>
    </w:p>
    <w:p w14:paraId="5576EC53" w14:textId="3425B1FE" w:rsidR="003A6401" w:rsidRPr="00B26FB7" w:rsidRDefault="003A6401" w:rsidP="003A6401">
      <w:pPr>
        <w:spacing w:line="480" w:lineRule="auto"/>
        <w:jc w:val="both"/>
        <w:rPr>
          <w:rFonts w:cstheme="minorHAnsi"/>
        </w:rPr>
      </w:pPr>
      <w:r w:rsidRPr="00B26FB7">
        <w:rPr>
          <w:rFonts w:cstheme="minorHAnsi"/>
        </w:rPr>
        <w:t xml:space="preserve">During experimental trials, subjects stood on a dual force plate (AMTI </w:t>
      </w:r>
      <w:proofErr w:type="spellStart"/>
      <w:r w:rsidRPr="00B26FB7">
        <w:rPr>
          <w:rFonts w:cstheme="minorHAnsi"/>
        </w:rPr>
        <w:t>Accusway</w:t>
      </w:r>
      <w:r w:rsidRPr="00B26FB7">
        <w:rPr>
          <w:rFonts w:cstheme="minorHAnsi"/>
          <w:vertAlign w:val="superscript"/>
        </w:rPr>
        <w:t>TM</w:t>
      </w:r>
      <w:proofErr w:type="spellEnd"/>
      <w:r w:rsidRPr="00B26FB7">
        <w:rPr>
          <w:rFonts w:cstheme="minorHAnsi"/>
        </w:rPr>
        <w:t xml:space="preserve">) that allowed separate monitoring of the forces and torques exerted by each foot. Sampling rate was 200 Hz.  Fifteen dependent variables were derived from the force plate data.  </w:t>
      </w:r>
    </w:p>
    <w:p w14:paraId="4E5522B1" w14:textId="77777777" w:rsidR="003A6401" w:rsidRPr="00B26FB7" w:rsidRDefault="003A6401" w:rsidP="003A6401">
      <w:pPr>
        <w:spacing w:line="480" w:lineRule="auto"/>
        <w:jc w:val="both"/>
        <w:rPr>
          <w:rFonts w:cstheme="minorHAnsi"/>
        </w:rPr>
      </w:pPr>
      <w:r w:rsidRPr="00B26FB7">
        <w:rPr>
          <w:rFonts w:cstheme="minorHAnsi"/>
        </w:rPr>
        <w:t xml:space="preserve"> The force plate variables were divided into three groups:</w:t>
      </w:r>
    </w:p>
    <w:p w14:paraId="3320ACE1" w14:textId="77777777" w:rsidR="003A6401" w:rsidRPr="00B26FB7" w:rsidRDefault="003A6401" w:rsidP="003A6401">
      <w:pPr>
        <w:pStyle w:val="ListParagraph"/>
        <w:numPr>
          <w:ilvl w:val="0"/>
          <w:numId w:val="1"/>
        </w:numPr>
        <w:spacing w:line="480" w:lineRule="auto"/>
        <w:jc w:val="both"/>
        <w:rPr>
          <w:rFonts w:cstheme="minorHAnsi"/>
        </w:rPr>
      </w:pPr>
      <w:r w:rsidRPr="00B26FB7">
        <w:rPr>
          <w:rFonts w:cstheme="minorHAnsi"/>
        </w:rPr>
        <w:t>Anterior-Posterior Center of Pressure (COP</w:t>
      </w:r>
      <w:r w:rsidRPr="00B26FB7">
        <w:rPr>
          <w:rFonts w:cstheme="minorHAnsi"/>
          <w:vertAlign w:val="subscript"/>
        </w:rPr>
        <w:t>AP</w:t>
      </w:r>
      <w:r w:rsidRPr="00B26FB7">
        <w:rPr>
          <w:rFonts w:cstheme="minorHAnsi"/>
        </w:rPr>
        <w:t>), which characterized how the subject’s COP moved in the fore-aft plane,</w:t>
      </w:r>
    </w:p>
    <w:p w14:paraId="0794FFA5" w14:textId="77777777" w:rsidR="003A6401" w:rsidRPr="00B26FB7" w:rsidRDefault="003A6401" w:rsidP="003A6401">
      <w:pPr>
        <w:pStyle w:val="ListParagraph"/>
        <w:numPr>
          <w:ilvl w:val="0"/>
          <w:numId w:val="1"/>
        </w:numPr>
        <w:spacing w:line="480" w:lineRule="auto"/>
        <w:jc w:val="both"/>
        <w:rPr>
          <w:rFonts w:cstheme="minorHAnsi"/>
        </w:rPr>
      </w:pPr>
      <w:r w:rsidRPr="00B26FB7">
        <w:rPr>
          <w:rFonts w:cstheme="minorHAnsi"/>
        </w:rPr>
        <w:t>Medial Lateral Center of Pressure (COP</w:t>
      </w:r>
      <w:r w:rsidRPr="00B26FB7">
        <w:rPr>
          <w:rFonts w:cstheme="minorHAnsi"/>
          <w:vertAlign w:val="subscript"/>
        </w:rPr>
        <w:t>ML</w:t>
      </w:r>
      <w:r w:rsidRPr="00B26FB7">
        <w:rPr>
          <w:rFonts w:cstheme="minorHAnsi"/>
        </w:rPr>
        <w:t>), which characterized the subject’s COP motion in the right-left plane, and</w:t>
      </w:r>
    </w:p>
    <w:p w14:paraId="7A20107D" w14:textId="77777777" w:rsidR="003A6401" w:rsidRPr="00B26FB7" w:rsidRDefault="003A6401" w:rsidP="003A6401">
      <w:pPr>
        <w:pStyle w:val="ListParagraph"/>
        <w:numPr>
          <w:ilvl w:val="0"/>
          <w:numId w:val="1"/>
        </w:numPr>
        <w:spacing w:line="480" w:lineRule="auto"/>
        <w:jc w:val="both"/>
        <w:rPr>
          <w:rFonts w:cstheme="minorHAnsi"/>
        </w:rPr>
      </w:pPr>
      <w:r w:rsidRPr="00B26FB7">
        <w:rPr>
          <w:rFonts w:cstheme="minorHAnsi"/>
        </w:rPr>
        <w:t>Weight Fraction (WF), which characterized how the subject distributed their weight between their two feet over time.</w:t>
      </w:r>
    </w:p>
    <w:p w14:paraId="2A3BD9DA" w14:textId="3C420C5A" w:rsidR="003A6401" w:rsidRPr="00B26FB7" w:rsidRDefault="003A6401" w:rsidP="003A6401">
      <w:pPr>
        <w:spacing w:line="480" w:lineRule="auto"/>
        <w:jc w:val="both"/>
        <w:rPr>
          <w:rFonts w:cstheme="minorHAnsi"/>
        </w:rPr>
      </w:pPr>
      <w:r w:rsidRPr="00B26FB7">
        <w:rPr>
          <w:rFonts w:cstheme="minorHAnsi"/>
        </w:rPr>
        <w:tab/>
      </w:r>
      <w:r w:rsidR="00DB160E" w:rsidRPr="00B26FB7">
        <w:rPr>
          <w:rFonts w:cstheme="minorHAnsi"/>
        </w:rPr>
        <w:t>Center of Pressure (</w:t>
      </w:r>
      <w:r w:rsidRPr="00B26FB7">
        <w:rPr>
          <w:rFonts w:cstheme="minorHAnsi"/>
        </w:rPr>
        <w:t>COP</w:t>
      </w:r>
      <w:r w:rsidR="00DB160E" w:rsidRPr="00B26FB7">
        <w:rPr>
          <w:rFonts w:cstheme="minorHAnsi"/>
        </w:rPr>
        <w:t>)</w:t>
      </w:r>
      <w:r w:rsidRPr="00B26FB7">
        <w:rPr>
          <w:rFonts w:cstheme="minorHAnsi"/>
        </w:rPr>
        <w:t xml:space="preserve"> trajectories in quiet passive stance are dominated by stochasticity and metrics such as mean sway amplitude and velocit</w:t>
      </w:r>
      <w:r w:rsidR="00DB160E" w:rsidRPr="00B26FB7">
        <w:rPr>
          <w:rFonts w:cstheme="minorHAnsi"/>
        </w:rPr>
        <w:t>y</w:t>
      </w:r>
      <w:r w:rsidRPr="00B26FB7">
        <w:rPr>
          <w:rFonts w:cstheme="minorHAnsi"/>
        </w:rPr>
        <w:t xml:space="preserve">, are inadequate to describe fully postural </w:t>
      </w:r>
      <w:r w:rsidR="00DB160E" w:rsidRPr="00B26FB7">
        <w:rPr>
          <w:rFonts w:cstheme="minorHAnsi"/>
        </w:rPr>
        <w:t xml:space="preserve">sway </w:t>
      </w:r>
      <w:r w:rsidRPr="00B26FB7">
        <w:rPr>
          <w:rFonts w:cstheme="minorHAnsi"/>
        </w:rPr>
        <w:fldChar w:fldCharType="begin"/>
      </w:r>
      <w:r w:rsidR="007F44A3">
        <w:rPr>
          <w:rFonts w:cstheme="minorHAnsi"/>
        </w:rPr>
        <w:instrText xml:space="preserve"> ADDIN EN.CITE &lt;EndNote&gt;&lt;Cite&gt;&lt;Author&gt;Bakshi&lt;/Author&gt;&lt;Year&gt;2014&lt;/Year&gt;&lt;RecNum&gt;80&lt;/RecNum&gt;&lt;DisplayText&gt;(Bakshi A et al., 2014;Collins JJ and De Luca CJ, 1993)&lt;/DisplayText&gt;&lt;record&gt;&lt;rec-number&gt;80&lt;/rec-number&gt;&lt;foreign-keys&gt;&lt;key app="EN" db-id="fv0reav5d0xav3e90aupwttq0vfvx0ex9s0v" timestamp="1681592354"&gt;80&lt;/key&gt;&lt;/foreign-keys&gt;&lt;ref-type name="Journal Article"&gt;17&lt;/ref-type&gt;&lt;contributors&gt;&lt;authors&gt;&lt;author&gt;Bakshi, Avijit&lt;/author&gt;&lt;author&gt;DiZio, Paul&lt;/author&gt;&lt;author&gt;Lackner, James R&lt;/author&gt;&lt;/authors&gt;&lt;/contributors&gt;&lt;titles&gt;&lt;title&gt;Statistical analysis of quiet stance sway in 2-D&lt;/title&gt;&lt;secondary-title&gt;Experimental brain research&lt;/secondary-title&gt;&lt;/titles&gt;&lt;periodical&gt;&lt;full-title&gt;Exp Brain Res&lt;/full-title&gt;&lt;abbr-1&gt;Experimental brain research&lt;/abbr-1&gt;&lt;/periodical&gt;&lt;pages&gt;1095-1108&lt;/pages&gt;&lt;volume&gt;232&lt;/volume&gt;&lt;dates&gt;&lt;year&gt;2014&lt;/year&gt;&lt;/dates&gt;&lt;isbn&gt;0014-4819&lt;/isbn&gt;&lt;urls&gt;&lt;/urls&gt;&lt;/record&gt;&lt;/Cite&gt;&lt;Cite&gt;&lt;Author&gt;Collins&lt;/Author&gt;&lt;Year&gt;1993&lt;/Year&gt;&lt;RecNum&gt;79&lt;/RecNum&gt;&lt;record&gt;&lt;rec-number&gt;79&lt;/rec-number&gt;&lt;foreign-keys&gt;&lt;key app="EN" db-id="fv0reav5d0xav3e90aupwttq0vfvx0ex9s0v" timestamp="1681592354"&gt;79&lt;/key&gt;&lt;/foreign-keys&gt;&lt;ref-type name="Journal Article"&gt;17&lt;/ref-type&gt;&lt;contributors&gt;&lt;authors&gt;&lt;author&gt;Collins, James J&lt;/author&gt;&lt;author&gt;De Luca, Carlo J&lt;/author&gt;&lt;/authors&gt;&lt;/contributors&gt;&lt;titles&gt;&lt;title&gt;Open-loop and closed-loop control of posture: a random-walk analysis of center-of-pressure trajectories&lt;/title&gt;&lt;secondary-title&gt;Experimental brain research&lt;/secondary-title&gt;&lt;/titles&gt;&lt;periodical&gt;&lt;full-title&gt;Exp Brain Res&lt;/full-title&gt;&lt;abbr-1&gt;Experimental brain research&lt;/abbr-1&gt;&lt;/periodical&gt;&lt;pages&gt;308-318&lt;/pages&gt;&lt;volume&gt;95&lt;/volume&gt;&lt;dates&gt;&lt;year&gt;1993&lt;/year&gt;&lt;/dates&gt;&lt;isbn&gt;0014-4819&lt;/isbn&gt;&lt;urls&gt;&lt;/urls&gt;&lt;/record&gt;&lt;/Cite&gt;&lt;/EndNote&gt;</w:instrText>
      </w:r>
      <w:r w:rsidRPr="00B26FB7">
        <w:rPr>
          <w:rFonts w:cstheme="minorHAnsi"/>
        </w:rPr>
        <w:fldChar w:fldCharType="separate"/>
      </w:r>
      <w:r w:rsidR="007F44A3">
        <w:rPr>
          <w:rFonts w:cstheme="minorHAnsi"/>
          <w:noProof/>
        </w:rPr>
        <w:t>(Bakshi A et al., 2014;Collins JJ and De Luca CJ, 1993)</w:t>
      </w:r>
      <w:r w:rsidRPr="00B26FB7">
        <w:rPr>
          <w:rFonts w:cstheme="minorHAnsi"/>
        </w:rPr>
        <w:fldChar w:fldCharType="end"/>
      </w:r>
      <w:r w:rsidRPr="00B26FB7">
        <w:rPr>
          <w:rFonts w:cstheme="minorHAnsi"/>
        </w:rPr>
        <w:t xml:space="preserve">. Consequently, we used the </w:t>
      </w:r>
      <w:proofErr w:type="spellStart"/>
      <w:r w:rsidRPr="00B26FB7">
        <w:rPr>
          <w:rFonts w:cstheme="minorHAnsi"/>
        </w:rPr>
        <w:t>Stabilogram</w:t>
      </w:r>
      <w:proofErr w:type="spellEnd"/>
      <w:r w:rsidRPr="00B26FB7">
        <w:rPr>
          <w:rFonts w:cstheme="minorHAnsi"/>
        </w:rPr>
        <w:t xml:space="preserve"> Diffusion Function (SDF), which is sensitive to the stochastic nature of quiet stance. From the force plate measures above, we calculated SDFs,</w:t>
      </w:r>
      <w:r w:rsidRPr="00B26FB7">
        <w:rPr>
          <w:rFonts w:cstheme="minorHAnsi"/>
          <w:bCs/>
          <w:color w:val="000000" w:themeColor="text1"/>
        </w:rPr>
        <w:t xml:space="preserve"> which </w:t>
      </w:r>
      <w:r w:rsidRPr="00B26FB7">
        <w:rPr>
          <w:rFonts w:cstheme="minorHAnsi"/>
          <w:color w:val="000000" w:themeColor="text1"/>
        </w:rPr>
        <w:t xml:space="preserve">measure the mean square displacement (MSD = C) of a time-series as a function of temporal window width </w:t>
      </w:r>
      <w:r w:rsidRPr="00B26FB7">
        <w:rPr>
          <w:rFonts w:cstheme="minorHAnsi"/>
        </w:rPr>
        <w:sym w:font="Symbol" w:char="F044"/>
      </w:r>
      <w:r w:rsidRPr="00B26FB7">
        <w:rPr>
          <w:rFonts w:cstheme="minorHAnsi"/>
        </w:rPr>
        <w:sym w:font="Symbol" w:char="F074"/>
      </w:r>
      <w:r w:rsidRPr="00B26FB7">
        <w:rPr>
          <w:rFonts w:cstheme="minorHAnsi"/>
        </w:rPr>
        <w:t xml:space="preserve"> = </w:t>
      </w:r>
      <w:r w:rsidRPr="00B26FB7">
        <w:rPr>
          <w:rFonts w:cstheme="minorHAnsi"/>
          <w:i/>
          <w:iCs/>
        </w:rPr>
        <w:t>t</w:t>
      </w:r>
      <w:r w:rsidRPr="00B26FB7">
        <w:rPr>
          <w:rFonts w:cstheme="minorHAnsi"/>
          <w:position w:val="-2"/>
          <w:vertAlign w:val="subscript"/>
        </w:rPr>
        <w:t>2</w:t>
      </w:r>
      <w:r w:rsidRPr="00B26FB7">
        <w:rPr>
          <w:rFonts w:cstheme="minorHAnsi"/>
          <w:position w:val="-2"/>
        </w:rPr>
        <w:t xml:space="preserve"> </w:t>
      </w:r>
      <w:r w:rsidRPr="00B26FB7">
        <w:rPr>
          <w:rFonts w:cstheme="minorHAnsi"/>
        </w:rPr>
        <w:t xml:space="preserve">− </w:t>
      </w:r>
      <w:r w:rsidRPr="00B26FB7">
        <w:rPr>
          <w:rFonts w:cstheme="minorHAnsi"/>
          <w:i/>
          <w:iCs/>
        </w:rPr>
        <w:t>t</w:t>
      </w:r>
      <w:r w:rsidRPr="00B26FB7">
        <w:rPr>
          <w:rFonts w:cstheme="minorHAnsi"/>
          <w:position w:val="-2"/>
          <w:vertAlign w:val="subscript"/>
        </w:rPr>
        <w:t>1</w:t>
      </w:r>
      <w:r w:rsidRPr="00B26FB7">
        <w:rPr>
          <w:rFonts w:cstheme="minorHAnsi"/>
          <w:color w:val="000000" w:themeColor="text1"/>
        </w:rPr>
        <w:t xml:space="preserve">. Thus, </w:t>
      </w:r>
      <w:r w:rsidRPr="00B26FB7">
        <w:rPr>
          <w:rFonts w:cstheme="minorHAnsi"/>
          <w:i/>
          <w:iCs/>
        </w:rPr>
        <w:t>C</w:t>
      </w:r>
      <w:r w:rsidRPr="00B26FB7">
        <w:rPr>
          <w:rFonts w:cstheme="minorHAnsi"/>
        </w:rPr>
        <w:t>(</w:t>
      </w:r>
      <w:r w:rsidRPr="00B26FB7">
        <w:rPr>
          <w:rFonts w:cstheme="minorHAnsi"/>
          <w:i/>
          <w:iCs/>
        </w:rPr>
        <w:t>t</w:t>
      </w:r>
      <w:r w:rsidRPr="00B26FB7">
        <w:rPr>
          <w:rFonts w:cstheme="minorHAnsi"/>
          <w:position w:val="-2"/>
          <w:vertAlign w:val="subscript"/>
        </w:rPr>
        <w:t>2</w:t>
      </w:r>
      <w:r w:rsidRPr="00B26FB7">
        <w:rPr>
          <w:rFonts w:cstheme="minorHAnsi"/>
          <w:position w:val="-2"/>
        </w:rPr>
        <w:t xml:space="preserve"> </w:t>
      </w:r>
      <w:r w:rsidRPr="00B26FB7">
        <w:rPr>
          <w:rFonts w:cstheme="minorHAnsi"/>
        </w:rPr>
        <w:t xml:space="preserve">− </w:t>
      </w:r>
      <w:r w:rsidRPr="00B26FB7">
        <w:rPr>
          <w:rFonts w:cstheme="minorHAnsi"/>
          <w:i/>
          <w:iCs/>
        </w:rPr>
        <w:t>t</w:t>
      </w:r>
      <w:r w:rsidRPr="00B26FB7">
        <w:rPr>
          <w:rFonts w:cstheme="minorHAnsi"/>
          <w:position w:val="-2"/>
          <w:vertAlign w:val="subscript"/>
        </w:rPr>
        <w:t>1</w:t>
      </w:r>
      <w:r w:rsidRPr="00B26FB7">
        <w:rPr>
          <w:rFonts w:cstheme="minorHAnsi"/>
        </w:rPr>
        <w:t xml:space="preserve">) = </w:t>
      </w:r>
      <w:r w:rsidRPr="00B26FB7">
        <w:rPr>
          <w:rFonts w:ascii="Cambria Math" w:hAnsi="Cambria Math" w:cs="Cambria Math"/>
          <w:color w:val="000000"/>
          <w:shd w:val="clear" w:color="auto" w:fill="FFFFFF"/>
        </w:rPr>
        <w:t>⟨</w:t>
      </w:r>
      <w:r w:rsidRPr="00B26FB7">
        <w:rPr>
          <w:rFonts w:cstheme="minorHAnsi"/>
          <w:color w:val="000000"/>
          <w:shd w:val="clear" w:color="auto" w:fill="FFFFFF"/>
        </w:rPr>
        <w:t>[</w:t>
      </w:r>
      <w:r w:rsidRPr="00B26FB7">
        <w:rPr>
          <w:rFonts w:cstheme="minorHAnsi"/>
        </w:rPr>
        <w:sym w:font="Symbol" w:char="F071"/>
      </w:r>
      <w:r w:rsidRPr="00B26FB7">
        <w:rPr>
          <w:rFonts w:cstheme="minorHAnsi"/>
        </w:rPr>
        <w:t>(</w:t>
      </w:r>
      <w:r w:rsidRPr="00B26FB7">
        <w:rPr>
          <w:rFonts w:cstheme="minorHAnsi"/>
          <w:i/>
          <w:iCs/>
        </w:rPr>
        <w:t>t</w:t>
      </w:r>
      <w:r w:rsidRPr="00B26FB7">
        <w:rPr>
          <w:rFonts w:cstheme="minorHAnsi"/>
          <w:position w:val="-2"/>
          <w:vertAlign w:val="subscript"/>
        </w:rPr>
        <w:t>2</w:t>
      </w:r>
      <w:r w:rsidRPr="00B26FB7">
        <w:rPr>
          <w:rFonts w:cstheme="minorHAnsi"/>
        </w:rPr>
        <w:t xml:space="preserve">) − </w:t>
      </w:r>
      <w:r w:rsidRPr="00B26FB7">
        <w:rPr>
          <w:rFonts w:cstheme="minorHAnsi"/>
        </w:rPr>
        <w:sym w:font="Symbol" w:char="F071"/>
      </w:r>
      <w:r w:rsidRPr="00B26FB7">
        <w:rPr>
          <w:rFonts w:cstheme="minorHAnsi"/>
        </w:rPr>
        <w:t xml:space="preserve"> (</w:t>
      </w:r>
      <w:r w:rsidRPr="00B26FB7">
        <w:rPr>
          <w:rFonts w:cstheme="minorHAnsi"/>
          <w:i/>
          <w:iCs/>
        </w:rPr>
        <w:t>t</w:t>
      </w:r>
      <w:r w:rsidRPr="00B26FB7">
        <w:rPr>
          <w:rFonts w:cstheme="minorHAnsi"/>
          <w:position w:val="-2"/>
          <w:vertAlign w:val="subscript"/>
        </w:rPr>
        <w:t>1</w:t>
      </w:r>
      <w:r w:rsidRPr="00B26FB7">
        <w:rPr>
          <w:rFonts w:cstheme="minorHAnsi"/>
        </w:rPr>
        <w:t>)]</w:t>
      </w:r>
      <w:r w:rsidRPr="00B26FB7">
        <w:rPr>
          <w:rFonts w:cstheme="minorHAnsi"/>
          <w:position w:val="8"/>
        </w:rPr>
        <w:t>2</w:t>
      </w:r>
      <w:r w:rsidRPr="00B26FB7">
        <w:rPr>
          <w:rFonts w:ascii="Cambria Math" w:hAnsi="Cambria Math" w:cs="Cambria Math"/>
          <w:color w:val="000000"/>
          <w:shd w:val="clear" w:color="auto" w:fill="FFFFFF"/>
        </w:rPr>
        <w:t>⟩</w:t>
      </w:r>
      <w:r w:rsidRPr="00B26FB7">
        <w:rPr>
          <w:rFonts w:cstheme="minorHAnsi"/>
        </w:rPr>
        <w:t xml:space="preserve">, where </w:t>
      </w:r>
      <w:r w:rsidRPr="00B26FB7">
        <w:rPr>
          <w:rFonts w:cstheme="minorHAnsi"/>
        </w:rPr>
        <w:sym w:font="Symbol" w:char="F071"/>
      </w:r>
      <w:r w:rsidRPr="00B26FB7">
        <w:rPr>
          <w:rFonts w:cstheme="minorHAnsi"/>
        </w:rPr>
        <w:t xml:space="preserve"> represents time-series variables (for example, </w:t>
      </w:r>
      <w:r w:rsidRPr="00B26FB7">
        <w:rPr>
          <w:rFonts w:cstheme="minorHAnsi"/>
        </w:rPr>
        <w:lastRenderedPageBreak/>
        <w:t>COP</w:t>
      </w:r>
      <w:r w:rsidRPr="00B26FB7">
        <w:rPr>
          <w:rFonts w:cstheme="minorHAnsi"/>
          <w:vertAlign w:val="subscript"/>
        </w:rPr>
        <w:t>AP</w:t>
      </w:r>
      <w:r w:rsidRPr="00B26FB7">
        <w:rPr>
          <w:rFonts w:cstheme="minorHAnsi"/>
        </w:rPr>
        <w:t>, COP</w:t>
      </w:r>
      <w:r w:rsidRPr="00B26FB7">
        <w:rPr>
          <w:rFonts w:cstheme="minorHAnsi"/>
          <w:vertAlign w:val="subscript"/>
        </w:rPr>
        <w:t>ML</w:t>
      </w:r>
      <w:r w:rsidRPr="00B26FB7">
        <w:rPr>
          <w:rFonts w:cstheme="minorHAnsi"/>
        </w:rPr>
        <w:t xml:space="preserve">, and WF as a function of time t). The SDF characterizes both the stochastic and deterministic features of postural sway </w:t>
      </w:r>
      <w:r w:rsidRPr="00B26FB7">
        <w:rPr>
          <w:rFonts w:cstheme="minorHAnsi"/>
        </w:rPr>
        <w:fldChar w:fldCharType="begin"/>
      </w:r>
      <w:r w:rsidR="007F44A3">
        <w:rPr>
          <w:rFonts w:cstheme="minorHAnsi"/>
        </w:rPr>
        <w:instrText xml:space="preserve"> ADDIN EN.CITE &lt;EndNote&gt;&lt;Cite&gt;&lt;Author&gt;De Luca&lt;/Author&gt;&lt;Year&gt;1995&lt;/Year&gt;&lt;RecNum&gt;74&lt;/RecNum&gt;&lt;DisplayText&gt;(De Luca C and Collins J, 1995)&lt;/DisplayText&gt;&lt;record&gt;&lt;rec-number&gt;74&lt;/rec-number&gt;&lt;foreign-keys&gt;&lt;key app="EN" db-id="fv0reav5d0xav3e90aupwttq0vfvx0ex9s0v" timestamp="1676925102"&gt;74&lt;/key&gt;&lt;/foreign-keys&gt;&lt;ref-type name="Journal Article"&gt;17&lt;/ref-type&gt;&lt;contributors&gt;&lt;authors&gt;&lt;author&gt;De Luca, CJ&lt;/author&gt;&lt;author&gt;Collins, JJ&lt;/author&gt;&lt;/authors&gt;&lt;/contributors&gt;&lt;titles&gt;&lt;title&gt;The effects of visual input on open-loop and closed-loop postural control mechanisms&lt;/title&gt;&lt;secondary-title&gt;Exp Brain Res&lt;/secondary-title&gt;&lt;/titles&gt;&lt;periodical&gt;&lt;full-title&gt;Exp Brain Res&lt;/full-title&gt;&lt;abbr-1&gt;Experimental brain research&lt;/abbr-1&gt;&lt;/periodical&gt;&lt;pages&gt;151-163&lt;/pages&gt;&lt;volume&gt;103&lt;/volume&gt;&lt;dates&gt;&lt;year&gt;1995&lt;/year&gt;&lt;/dates&gt;&lt;urls&gt;&lt;/urls&gt;&lt;/record&gt;&lt;/Cite&gt;&lt;/EndNote&gt;</w:instrText>
      </w:r>
      <w:r w:rsidRPr="00B26FB7">
        <w:rPr>
          <w:rFonts w:cstheme="minorHAnsi"/>
        </w:rPr>
        <w:fldChar w:fldCharType="separate"/>
      </w:r>
      <w:r w:rsidR="007F44A3">
        <w:rPr>
          <w:rFonts w:cstheme="minorHAnsi"/>
          <w:noProof/>
        </w:rPr>
        <w:t>(De Luca C and Collins J, 1995)</w:t>
      </w:r>
      <w:r w:rsidRPr="00B26FB7">
        <w:rPr>
          <w:rFonts w:cstheme="minorHAnsi"/>
        </w:rPr>
        <w:fldChar w:fldCharType="end"/>
      </w:r>
      <w:r w:rsidRPr="00B26FB7">
        <w:rPr>
          <w:rFonts w:cstheme="minorHAnsi"/>
        </w:rPr>
        <w:t>. Each SDF trace is further characterized by the following metrics, which generate five additional dependent variables used in the statistics:</w:t>
      </w:r>
    </w:p>
    <w:p w14:paraId="552155C3" w14:textId="77777777" w:rsidR="003A6401" w:rsidRPr="00B26FB7" w:rsidRDefault="003A6401" w:rsidP="003A6401">
      <w:pPr>
        <w:pStyle w:val="ListParagraph"/>
        <w:numPr>
          <w:ilvl w:val="0"/>
          <w:numId w:val="2"/>
        </w:numPr>
        <w:spacing w:line="480" w:lineRule="auto"/>
        <w:jc w:val="both"/>
        <w:rPr>
          <w:rFonts w:cstheme="minorHAnsi"/>
        </w:rPr>
      </w:pPr>
      <w:r w:rsidRPr="00B26FB7">
        <w:rPr>
          <w:rFonts w:cstheme="minorHAnsi"/>
        </w:rPr>
        <w:t>SDF Area—The total Area under each of the SDF traces.</w:t>
      </w:r>
    </w:p>
    <w:p w14:paraId="7AE4044F" w14:textId="77777777" w:rsidR="003A6401" w:rsidRPr="00B26FB7" w:rsidRDefault="003A6401" w:rsidP="003A6401">
      <w:pPr>
        <w:pStyle w:val="ListParagraph"/>
        <w:numPr>
          <w:ilvl w:val="0"/>
          <w:numId w:val="2"/>
        </w:numPr>
        <w:spacing w:line="480" w:lineRule="auto"/>
        <w:jc w:val="both"/>
        <w:rPr>
          <w:rFonts w:cstheme="minorHAnsi"/>
        </w:rPr>
      </w:pPr>
      <w:r w:rsidRPr="00B26FB7">
        <w:rPr>
          <w:rFonts w:cstheme="minorHAnsi"/>
        </w:rPr>
        <w:t>Hurst Exponent (H) – Exponent 2H determined by the slope of log(C) plotted against log(</w:t>
      </w:r>
      <w:r w:rsidRPr="00B26FB7">
        <w:rPr>
          <w:rFonts w:cstheme="minorHAnsi"/>
        </w:rPr>
        <w:sym w:font="Symbol" w:char="F044"/>
      </w:r>
      <w:r w:rsidRPr="00B26FB7">
        <w:rPr>
          <w:rFonts w:cstheme="minorHAnsi"/>
        </w:rPr>
        <w:sym w:font="Symbol" w:char="F074"/>
      </w:r>
      <w:r w:rsidRPr="00B26FB7">
        <w:rPr>
          <w:rFonts w:cstheme="minorHAnsi"/>
        </w:rPr>
        <w:t>) at the shortest time scale (</w:t>
      </w:r>
      <w:r w:rsidRPr="00B26FB7">
        <w:rPr>
          <w:rFonts w:cstheme="minorHAnsi"/>
        </w:rPr>
        <w:sym w:font="Symbol" w:char="F044"/>
      </w:r>
      <w:r w:rsidRPr="00B26FB7">
        <w:rPr>
          <w:rFonts w:cstheme="minorHAnsi"/>
        </w:rPr>
        <w:sym w:font="Symbol" w:char="F074"/>
      </w:r>
      <w:r w:rsidRPr="00B26FB7">
        <w:rPr>
          <w:rFonts w:cstheme="minorHAnsi"/>
        </w:rPr>
        <w:sym w:font="Symbol" w:char="F0AE"/>
      </w:r>
      <w:r w:rsidRPr="00B26FB7">
        <w:rPr>
          <w:rFonts w:cstheme="minorHAnsi"/>
        </w:rPr>
        <w:t>0), where  C=</w:t>
      </w:r>
      <w:r w:rsidRPr="00B26FB7">
        <w:rPr>
          <w:rFonts w:ascii="Cambria Math" w:hAnsi="Cambria Math" w:cs="Cambria Math"/>
          <w:color w:val="000000"/>
          <w:shd w:val="clear" w:color="auto" w:fill="FFFFFF"/>
        </w:rPr>
        <w:t>⟨</w:t>
      </w:r>
      <w:r w:rsidRPr="00B26FB7">
        <w:rPr>
          <w:rFonts w:cstheme="minorHAnsi"/>
        </w:rPr>
        <w:sym w:font="Symbol" w:char="F044"/>
      </w:r>
      <w:r w:rsidRPr="00B26FB7">
        <w:rPr>
          <w:rFonts w:cstheme="minorHAnsi"/>
        </w:rPr>
        <w:sym w:font="Symbol" w:char="F071"/>
      </w:r>
      <w:r w:rsidRPr="00B26FB7">
        <w:rPr>
          <w:rFonts w:cstheme="minorHAnsi"/>
          <w:vertAlign w:val="superscript"/>
        </w:rPr>
        <w:t>2</w:t>
      </w:r>
      <w:r w:rsidRPr="00B26FB7">
        <w:rPr>
          <w:rFonts w:ascii="Cambria Math" w:hAnsi="Cambria Math" w:cs="Cambria Math"/>
          <w:color w:val="000000"/>
          <w:shd w:val="clear" w:color="auto" w:fill="FFFFFF"/>
        </w:rPr>
        <w:t>⟩</w:t>
      </w:r>
      <w:r w:rsidRPr="00B26FB7">
        <w:rPr>
          <w:rFonts w:cstheme="minorHAnsi"/>
          <w:color w:val="000000"/>
          <w:shd w:val="clear" w:color="auto" w:fill="FFFFFF"/>
        </w:rPr>
        <w:t xml:space="preserve"> </w:t>
      </w:r>
      <w:r w:rsidRPr="00B26FB7">
        <w:rPr>
          <w:rFonts w:cstheme="minorHAnsi"/>
        </w:rPr>
        <w:t xml:space="preserve">= </w:t>
      </w:r>
      <w:proofErr w:type="spellStart"/>
      <w:r w:rsidRPr="00B26FB7">
        <w:rPr>
          <w:rFonts w:cstheme="minorHAnsi"/>
        </w:rPr>
        <w:t>D</w:t>
      </w:r>
      <w:r w:rsidRPr="00B26FB7">
        <w:rPr>
          <w:rFonts w:cstheme="minorHAnsi"/>
          <w:vertAlign w:val="subscript"/>
        </w:rPr>
        <w:t>eff</w:t>
      </w:r>
      <w:proofErr w:type="spellEnd"/>
      <w:r w:rsidRPr="00B26FB7">
        <w:rPr>
          <w:rFonts w:cstheme="minorHAnsi"/>
        </w:rPr>
        <w:t xml:space="preserve"> </w:t>
      </w:r>
      <w:r w:rsidRPr="00B26FB7">
        <w:rPr>
          <w:rFonts w:cstheme="minorHAnsi"/>
        </w:rPr>
        <w:sym w:font="Symbol" w:char="F044"/>
      </w:r>
      <w:r w:rsidRPr="00B26FB7">
        <w:rPr>
          <w:rFonts w:cstheme="minorHAnsi"/>
        </w:rPr>
        <w:sym w:font="Symbol" w:char="F074"/>
      </w:r>
      <w:r w:rsidRPr="00B26FB7">
        <w:rPr>
          <w:rFonts w:cstheme="minorHAnsi"/>
          <w:vertAlign w:val="superscript"/>
        </w:rPr>
        <w:t xml:space="preserve">2H </w:t>
      </w:r>
      <w:r w:rsidRPr="00B26FB7">
        <w:rPr>
          <w:rFonts w:cstheme="minorHAnsi"/>
        </w:rPr>
        <w:t>.</w:t>
      </w:r>
      <w:r w:rsidRPr="00B26FB7">
        <w:rPr>
          <w:rFonts w:cstheme="minorHAnsi"/>
          <w:vertAlign w:val="superscript"/>
        </w:rPr>
        <w:t xml:space="preserve"> </w:t>
      </w:r>
      <w:r w:rsidRPr="00B26FB7">
        <w:rPr>
          <w:rFonts w:cstheme="minorHAnsi"/>
        </w:rPr>
        <w:t xml:space="preserve">   </w:t>
      </w:r>
    </w:p>
    <w:p w14:paraId="18864F2D" w14:textId="77777777" w:rsidR="003A6401" w:rsidRPr="00B26FB7" w:rsidRDefault="003A6401" w:rsidP="003A6401">
      <w:pPr>
        <w:pStyle w:val="ListParagraph"/>
        <w:numPr>
          <w:ilvl w:val="0"/>
          <w:numId w:val="2"/>
        </w:numPr>
        <w:spacing w:line="480" w:lineRule="auto"/>
        <w:jc w:val="both"/>
        <w:rPr>
          <w:rFonts w:cstheme="minorHAnsi"/>
        </w:rPr>
      </w:pPr>
      <w:r w:rsidRPr="00B26FB7">
        <w:rPr>
          <w:rFonts w:cstheme="minorHAnsi"/>
        </w:rPr>
        <w:t xml:space="preserve">Critical Point (t*) – the </w:t>
      </w:r>
      <w:r w:rsidRPr="00B26FB7">
        <w:rPr>
          <w:rFonts w:eastAsia="Times New Roman" w:cstheme="minorHAnsi"/>
          <w:color w:val="000000"/>
        </w:rPr>
        <w:t>time at which the exponent H =0.5. </w:t>
      </w:r>
    </w:p>
    <w:p w14:paraId="73982A37" w14:textId="77777777" w:rsidR="003A6401" w:rsidRPr="00B26FB7" w:rsidRDefault="003A6401" w:rsidP="003A6401">
      <w:pPr>
        <w:pStyle w:val="ListParagraph"/>
        <w:numPr>
          <w:ilvl w:val="0"/>
          <w:numId w:val="2"/>
        </w:numPr>
        <w:spacing w:line="480" w:lineRule="auto"/>
        <w:jc w:val="both"/>
        <w:rPr>
          <w:rFonts w:cstheme="minorHAnsi"/>
        </w:rPr>
      </w:pPr>
      <w:r w:rsidRPr="00B26FB7">
        <w:rPr>
          <w:rFonts w:cstheme="minorHAnsi"/>
        </w:rPr>
        <w:t>Effective Diffusion Coefficient (</w:t>
      </w:r>
      <w:proofErr w:type="spellStart"/>
      <w:r w:rsidRPr="00B26FB7">
        <w:rPr>
          <w:rFonts w:cstheme="minorHAnsi"/>
        </w:rPr>
        <w:t>D</w:t>
      </w:r>
      <w:r w:rsidRPr="00B26FB7">
        <w:rPr>
          <w:rFonts w:cstheme="minorHAnsi"/>
          <w:vertAlign w:val="subscript"/>
        </w:rPr>
        <w:t>eff</w:t>
      </w:r>
      <w:proofErr w:type="spellEnd"/>
      <w:r w:rsidRPr="00B26FB7">
        <w:rPr>
          <w:rFonts w:cstheme="minorHAnsi"/>
        </w:rPr>
        <w:t>) – The upfront constant that me</w:t>
      </w:r>
      <w:r w:rsidRPr="00B26FB7">
        <w:rPr>
          <w:rFonts w:eastAsia="Times New Roman" w:cstheme="minorHAnsi"/>
          <w:color w:val="000000"/>
        </w:rPr>
        <w:t>asures the stochastic activity on average.</w:t>
      </w:r>
    </w:p>
    <w:p w14:paraId="2F987B04" w14:textId="77777777" w:rsidR="003A6401" w:rsidRPr="00B26FB7" w:rsidRDefault="003A6401" w:rsidP="003A6401">
      <w:pPr>
        <w:pStyle w:val="ListParagraph"/>
        <w:numPr>
          <w:ilvl w:val="0"/>
          <w:numId w:val="2"/>
        </w:numPr>
        <w:spacing w:line="480" w:lineRule="auto"/>
        <w:jc w:val="both"/>
        <w:rPr>
          <w:rFonts w:eastAsia="Times New Roman" w:cstheme="minorHAnsi"/>
        </w:rPr>
      </w:pPr>
      <w:r w:rsidRPr="00B26FB7">
        <w:rPr>
          <w:rFonts w:cstheme="minorHAnsi"/>
        </w:rPr>
        <w:t>SDF Halfway Magnitude (t</w:t>
      </w:r>
      <w:r w:rsidRPr="00B26FB7">
        <w:rPr>
          <w:rFonts w:cstheme="minorHAnsi"/>
          <w:vertAlign w:val="subscript"/>
        </w:rPr>
        <w:t>1/2</w:t>
      </w:r>
      <w:r w:rsidRPr="00B26FB7">
        <w:rPr>
          <w:rFonts w:cstheme="minorHAnsi"/>
        </w:rPr>
        <w:t xml:space="preserve">)– </w:t>
      </w:r>
      <w:r w:rsidRPr="00B26FB7">
        <w:rPr>
          <w:rFonts w:eastAsia="Times New Roman" w:cstheme="minorHAnsi"/>
          <w:color w:val="000000"/>
        </w:rPr>
        <w:t xml:space="preserve">The mean square displacement at the halfway value of the largest temporal bin analyzed, at time bin width </w:t>
      </w:r>
      <w:r w:rsidRPr="00B26FB7">
        <w:rPr>
          <w:rFonts w:cstheme="minorHAnsi"/>
        </w:rPr>
        <w:sym w:font="Symbol" w:char="F044"/>
      </w:r>
      <w:r w:rsidRPr="00B26FB7">
        <w:rPr>
          <w:rFonts w:cstheme="minorHAnsi"/>
        </w:rPr>
        <w:sym w:font="Symbol" w:char="F074"/>
      </w:r>
      <w:r w:rsidRPr="00B26FB7">
        <w:rPr>
          <w:rFonts w:eastAsia="Times New Roman" w:cstheme="minorHAnsi"/>
          <w:color w:val="000000"/>
        </w:rPr>
        <w:t>=1 s.</w:t>
      </w:r>
    </w:p>
    <w:p w14:paraId="07B405D3" w14:textId="7B755457" w:rsidR="003A6401" w:rsidRPr="00CF6A46" w:rsidRDefault="003A6401" w:rsidP="003A6401">
      <w:pPr>
        <w:spacing w:line="480" w:lineRule="auto"/>
        <w:ind w:left="360"/>
        <w:jc w:val="both"/>
        <w:rPr>
          <w:rFonts w:cstheme="minorHAnsi"/>
        </w:rPr>
      </w:pPr>
      <w:r w:rsidRPr="00CF6A46">
        <w:rPr>
          <w:rFonts w:cstheme="minorHAnsi"/>
        </w:rPr>
        <w:t>We performed three 3-way MANOVAs, one for each group of variables in the three areas of interest.  The MANOVAs tested for main effects of the independent variables</w:t>
      </w:r>
      <w:r w:rsidR="00B26FB7" w:rsidRPr="00CF6A46">
        <w:rPr>
          <w:rFonts w:cstheme="minorHAnsi"/>
        </w:rPr>
        <w:t xml:space="preserve"> -</w:t>
      </w:r>
      <w:r w:rsidRPr="00CF6A46">
        <w:rPr>
          <w:rFonts w:cstheme="minorHAnsi"/>
        </w:rPr>
        <w:t xml:space="preserve"> 1. Epoch with three </w:t>
      </w:r>
      <w:r w:rsidR="00F161A7">
        <w:rPr>
          <w:rFonts w:cstheme="minorHAnsi"/>
        </w:rPr>
        <w:t>Phases</w:t>
      </w:r>
      <w:r w:rsidR="00F161A7" w:rsidRPr="00CF6A46">
        <w:rPr>
          <w:rFonts w:cstheme="minorHAnsi"/>
        </w:rPr>
        <w:t xml:space="preserve"> </w:t>
      </w:r>
      <w:r w:rsidRPr="00CF6A46">
        <w:rPr>
          <w:rFonts w:cstheme="minorHAnsi"/>
        </w:rPr>
        <w:t>(</w:t>
      </w:r>
      <w:r w:rsidR="00F161A7">
        <w:rPr>
          <w:rFonts w:cstheme="minorHAnsi"/>
        </w:rPr>
        <w:t>1</w:t>
      </w:r>
      <w:r w:rsidRPr="00CF6A46">
        <w:rPr>
          <w:rFonts w:cstheme="minorHAnsi"/>
        </w:rPr>
        <w:t xml:space="preserve">, </w:t>
      </w:r>
      <w:r w:rsidR="00F161A7">
        <w:rPr>
          <w:rFonts w:cstheme="minorHAnsi"/>
        </w:rPr>
        <w:t>2</w:t>
      </w:r>
      <w:r w:rsidRPr="00CF6A46">
        <w:rPr>
          <w:rFonts w:cstheme="minorHAnsi"/>
        </w:rPr>
        <w:t xml:space="preserve">, </w:t>
      </w:r>
      <w:r w:rsidR="00F161A7">
        <w:rPr>
          <w:rFonts w:cstheme="minorHAnsi"/>
        </w:rPr>
        <w:t>3</w:t>
      </w:r>
      <w:r w:rsidRPr="00CF6A46">
        <w:rPr>
          <w:rFonts w:cstheme="minorHAnsi"/>
        </w:rPr>
        <w:t xml:space="preserve">), 2. Task with two levels (Free, Pointing), and 3.  Tool with two levels (rod, no-rod).  We also tested for significance of all possible interactions among the three independent variables.    Table </w:t>
      </w:r>
      <w:r w:rsidR="00122EAC">
        <w:rPr>
          <w:rFonts w:cstheme="minorHAnsi"/>
        </w:rPr>
        <w:t>2</w:t>
      </w:r>
      <w:r w:rsidR="00A01DC1" w:rsidRPr="00CF6A46">
        <w:rPr>
          <w:rFonts w:cstheme="minorHAnsi"/>
        </w:rPr>
        <w:t xml:space="preserve"> </w:t>
      </w:r>
      <w:r w:rsidRPr="00CF6A46">
        <w:rPr>
          <w:rFonts w:cstheme="minorHAnsi"/>
        </w:rPr>
        <w:t>shows the full testing structure in detail.</w:t>
      </w:r>
    </w:p>
    <w:p w14:paraId="04DD62B6" w14:textId="77777777" w:rsidR="00FA4B3E" w:rsidRPr="00CF6A46" w:rsidRDefault="00FA4B3E" w:rsidP="003A6401">
      <w:pPr>
        <w:spacing w:line="480" w:lineRule="auto"/>
        <w:ind w:left="360"/>
        <w:jc w:val="both"/>
        <w:rPr>
          <w:rFonts w:cstheme="minorHAnsi"/>
        </w:rPr>
      </w:pPr>
    </w:p>
    <w:p w14:paraId="6B043FB9" w14:textId="484DABEA" w:rsidR="0029637B" w:rsidRPr="00CF6A46" w:rsidRDefault="0029637B" w:rsidP="0029637B">
      <w:pPr>
        <w:spacing w:line="480" w:lineRule="auto"/>
        <w:jc w:val="both"/>
        <w:rPr>
          <w:rFonts w:cstheme="minorHAnsi"/>
          <w:b/>
        </w:rPr>
      </w:pPr>
      <w:r w:rsidRPr="00CF6A46">
        <w:rPr>
          <w:rFonts w:cstheme="minorHAnsi"/>
          <w:b/>
        </w:rPr>
        <w:t>Force Plate Results</w:t>
      </w:r>
    </w:p>
    <w:p w14:paraId="3C04AA4F" w14:textId="531DF71C" w:rsidR="003A6401" w:rsidRPr="00CF6A46" w:rsidRDefault="00B26FB7" w:rsidP="003A6401">
      <w:pPr>
        <w:spacing w:line="480" w:lineRule="auto"/>
        <w:jc w:val="both"/>
        <w:rPr>
          <w:rFonts w:cstheme="minorHAnsi"/>
        </w:rPr>
      </w:pPr>
      <w:r w:rsidRPr="00CF6A46">
        <w:rPr>
          <w:rFonts w:cstheme="minorHAnsi"/>
        </w:rPr>
        <w:tab/>
      </w:r>
      <w:r w:rsidR="003A6401" w:rsidRPr="00CF6A46">
        <w:rPr>
          <w:rFonts w:cstheme="minorHAnsi"/>
        </w:rPr>
        <w:t xml:space="preserve">The statistical results for the Force Plate Data are shown in </w:t>
      </w:r>
      <w:r w:rsidR="003A6401" w:rsidRPr="007F44A3">
        <w:rPr>
          <w:rFonts w:cstheme="minorHAnsi"/>
        </w:rPr>
        <w:t xml:space="preserve">Table </w:t>
      </w:r>
      <w:r w:rsidR="00C24625" w:rsidRPr="007F44A3">
        <w:rPr>
          <w:rFonts w:cstheme="minorHAnsi"/>
        </w:rPr>
        <w:t>2</w:t>
      </w:r>
      <w:r w:rsidR="003A6401" w:rsidRPr="007F44A3">
        <w:rPr>
          <w:rFonts w:cstheme="minorHAnsi"/>
        </w:rPr>
        <w:t>.</w:t>
      </w:r>
      <w:r w:rsidR="003A6401" w:rsidRPr="00CF6A46">
        <w:rPr>
          <w:rFonts w:cstheme="minorHAnsi"/>
        </w:rPr>
        <w:t xml:space="preserve">  The degrees of freedom for the multivariate </w:t>
      </w:r>
      <w:proofErr w:type="gramStart"/>
      <w:r w:rsidR="003A6401" w:rsidRPr="00CF6A46">
        <w:rPr>
          <w:rFonts w:cstheme="minorHAnsi"/>
        </w:rPr>
        <w:t>effects</w:t>
      </w:r>
      <w:proofErr w:type="gramEnd"/>
      <w:r w:rsidR="003A6401" w:rsidRPr="00CF6A46">
        <w:rPr>
          <w:rFonts w:cstheme="minorHAnsi"/>
        </w:rPr>
        <w:t xml:space="preserve"> tests involving Epoch are </w:t>
      </w:r>
      <w:r w:rsidR="003A6401" w:rsidRPr="00B26FB7">
        <w:rPr>
          <w:rFonts w:cstheme="minorHAnsi"/>
        </w:rPr>
        <w:t xml:space="preserve">F(5,19), </w:t>
      </w:r>
      <w:r w:rsidR="003A6401" w:rsidRPr="00CF6A46">
        <w:rPr>
          <w:rFonts w:cstheme="minorHAnsi"/>
        </w:rPr>
        <w:t xml:space="preserve">and for those just involving Task and Tool are F(5,7).  The degrees of freedom for the univariate ANOVAs are all F(2,22) and </w:t>
      </w:r>
      <w:r w:rsidR="003A6401" w:rsidRPr="00CF6A46">
        <w:rPr>
          <w:rFonts w:cstheme="minorHAnsi"/>
        </w:rPr>
        <w:lastRenderedPageBreak/>
        <w:t>for the follow up post hoc contrasts involving Epoch are F(1,11).  The significance levels and Partial Eta Squared (</w:t>
      </w:r>
      <w:r w:rsidR="003A6401" w:rsidRPr="00CF6A46">
        <w:rPr>
          <w:rFonts w:cstheme="minorHAnsi"/>
        </w:rPr>
        <w:t></w:t>
      </w:r>
      <w:r w:rsidR="003A6401" w:rsidRPr="00CF6A46">
        <w:rPr>
          <w:rFonts w:cstheme="minorHAnsi"/>
          <w:vertAlign w:val="superscript"/>
        </w:rPr>
        <w:t>2</w:t>
      </w:r>
      <w:r w:rsidR="003A6401" w:rsidRPr="00CF6A46">
        <w:rPr>
          <w:rFonts w:cstheme="minorHAnsi"/>
        </w:rPr>
        <w:t xml:space="preserve">) effect sizes are shown in Table </w:t>
      </w:r>
      <w:r w:rsidR="00C24625">
        <w:rPr>
          <w:rFonts w:cstheme="minorHAnsi"/>
        </w:rPr>
        <w:t>2</w:t>
      </w:r>
      <w:r w:rsidR="003A6401" w:rsidRPr="00CF6A46">
        <w:rPr>
          <w:rFonts w:cstheme="minorHAnsi"/>
        </w:rPr>
        <w:t xml:space="preserve">. </w:t>
      </w:r>
      <w:r w:rsidR="003A6401" w:rsidRPr="00B26FB7">
        <w:rPr>
          <w:rFonts w:cstheme="minorHAnsi"/>
        </w:rPr>
        <w:t xml:space="preserve">Figures </w:t>
      </w:r>
      <w:r w:rsidR="00C82164">
        <w:rPr>
          <w:rFonts w:cstheme="minorHAnsi"/>
        </w:rPr>
        <w:t>6</w:t>
      </w:r>
      <w:r w:rsidR="00C82164" w:rsidRPr="00B26FB7">
        <w:rPr>
          <w:rFonts w:cstheme="minorHAnsi"/>
        </w:rPr>
        <w:t xml:space="preserve"> </w:t>
      </w:r>
      <w:r w:rsidR="003A6401" w:rsidRPr="00B26FB7">
        <w:rPr>
          <w:rFonts w:cstheme="minorHAnsi"/>
        </w:rPr>
        <w:t xml:space="preserve">shows the </w:t>
      </w:r>
      <w:proofErr w:type="spellStart"/>
      <w:r w:rsidR="003A6401" w:rsidRPr="00B26FB7">
        <w:rPr>
          <w:rFonts w:cstheme="minorHAnsi"/>
        </w:rPr>
        <w:t>Stabilogram</w:t>
      </w:r>
      <w:proofErr w:type="spellEnd"/>
      <w:r w:rsidR="003A6401" w:rsidRPr="00B26FB7">
        <w:rPr>
          <w:rFonts w:cstheme="minorHAnsi"/>
        </w:rPr>
        <w:t xml:space="preserve"> Diffusion Functions (SDF) for the AP components of the COP fluctuations. The statistical details of </w:t>
      </w:r>
      <w:r w:rsidR="003A6401" w:rsidRPr="00CF6A46">
        <w:rPr>
          <w:rFonts w:cstheme="minorHAnsi"/>
        </w:rPr>
        <w:t xml:space="preserve">the five parameters characterizing the SDF are shown in the AP COP MANOVA section of Table </w:t>
      </w:r>
      <w:r w:rsidR="003C30BC">
        <w:rPr>
          <w:rFonts w:cstheme="minorHAnsi"/>
        </w:rPr>
        <w:t>2</w:t>
      </w:r>
      <w:r w:rsidR="003A6401" w:rsidRPr="00CF6A46">
        <w:rPr>
          <w:rFonts w:cstheme="minorHAnsi"/>
        </w:rPr>
        <w:t>.  The only significant multivariate effect in the AP COP MANOVA is for the Epoch independent variable (</w:t>
      </w:r>
      <w:r w:rsidR="003A6401" w:rsidRPr="00B26FB7">
        <w:rPr>
          <w:rFonts w:cstheme="minorHAnsi"/>
        </w:rPr>
        <w:sym w:font="Symbol" w:char="F051"/>
      </w:r>
      <w:r w:rsidR="003A6401" w:rsidRPr="00B26FB7">
        <w:rPr>
          <w:rFonts w:cstheme="minorHAnsi"/>
        </w:rPr>
        <w:t xml:space="preserve">=2.9, F(5,19)=10.9, p &lt;.001 , </w:t>
      </w:r>
      <w:r w:rsidR="003A6401" w:rsidRPr="00B26FB7">
        <w:rPr>
          <w:rFonts w:cstheme="minorHAnsi"/>
        </w:rPr>
        <w:sym w:font="Symbol" w:char="F068"/>
      </w:r>
      <w:r w:rsidR="003A6401" w:rsidRPr="00B26FB7">
        <w:rPr>
          <w:rFonts w:cstheme="minorHAnsi"/>
          <w:vertAlign w:val="superscript"/>
        </w:rPr>
        <w:t>2</w:t>
      </w:r>
      <w:r w:rsidR="003A6401" w:rsidRPr="00B26FB7">
        <w:rPr>
          <w:rFonts w:cstheme="minorHAnsi"/>
        </w:rPr>
        <w:t xml:space="preserve">=.74), there were no Task or Tool effects.  Visual inspection of Figure </w:t>
      </w:r>
      <w:r w:rsidR="00C82164">
        <w:rPr>
          <w:rFonts w:cstheme="minorHAnsi"/>
        </w:rPr>
        <w:t>6</w:t>
      </w:r>
      <w:r w:rsidR="00C82164" w:rsidRPr="00B26FB7">
        <w:rPr>
          <w:rFonts w:cstheme="minorHAnsi"/>
        </w:rPr>
        <w:t xml:space="preserve"> </w:t>
      </w:r>
      <w:r w:rsidR="003A6401" w:rsidRPr="00B26FB7">
        <w:rPr>
          <w:rFonts w:cstheme="minorHAnsi"/>
        </w:rPr>
        <w:t>suggests</w:t>
      </w:r>
      <w:r w:rsidR="003A6401" w:rsidRPr="00CF6A46">
        <w:rPr>
          <w:rFonts w:cstheme="minorHAnsi"/>
        </w:rPr>
        <w:t xml:space="preserve"> that this was at least in part due to the higher mean square displacement (MSD) in </w:t>
      </w:r>
      <w:r w:rsidR="00F161A7">
        <w:rPr>
          <w:rFonts w:cstheme="minorHAnsi"/>
        </w:rPr>
        <w:t>Phase 3</w:t>
      </w:r>
      <w:r w:rsidR="003A6401" w:rsidRPr="00CF6A46">
        <w:rPr>
          <w:rFonts w:cstheme="minorHAnsi"/>
        </w:rPr>
        <w:t xml:space="preserve"> versus </w:t>
      </w:r>
      <w:r w:rsidR="00F161A7">
        <w:rPr>
          <w:rFonts w:cstheme="minorHAnsi"/>
        </w:rPr>
        <w:t>Phase 2</w:t>
      </w:r>
      <w:r w:rsidR="00F161A7" w:rsidRPr="00CF6A46">
        <w:rPr>
          <w:rFonts w:cstheme="minorHAnsi"/>
        </w:rPr>
        <w:t xml:space="preserve"> </w:t>
      </w:r>
      <w:r w:rsidR="003A6401" w:rsidRPr="00CF6A46">
        <w:rPr>
          <w:rFonts w:cstheme="minorHAnsi"/>
        </w:rPr>
        <w:t xml:space="preserve">and/or </w:t>
      </w:r>
      <w:r w:rsidR="00F161A7">
        <w:rPr>
          <w:rFonts w:cstheme="minorHAnsi"/>
        </w:rPr>
        <w:t>Phase 1</w:t>
      </w:r>
      <w:r w:rsidR="003A6401" w:rsidRPr="00CF6A46">
        <w:rPr>
          <w:rFonts w:cstheme="minorHAnsi"/>
        </w:rPr>
        <w:t xml:space="preserve">.  This conclusion is supported by the significant SDF Area univariate ANOVA.  In addition to the SDF Area (p&lt;.03, </w:t>
      </w:r>
      <w:r w:rsidR="003A6401" w:rsidRPr="00B26FB7">
        <w:rPr>
          <w:rFonts w:cstheme="minorHAnsi"/>
        </w:rPr>
        <w:sym w:font="Symbol" w:char="F068"/>
      </w:r>
      <w:r w:rsidR="003A6401" w:rsidRPr="00B26FB7">
        <w:rPr>
          <w:rFonts w:cstheme="minorHAnsi"/>
          <w:vertAlign w:val="superscript"/>
        </w:rPr>
        <w:t>2</w:t>
      </w:r>
      <w:r w:rsidR="003A6401" w:rsidRPr="00B26FB7">
        <w:rPr>
          <w:rFonts w:cstheme="minorHAnsi"/>
        </w:rPr>
        <w:t xml:space="preserve">=.28), the Hurst Exponent (p&lt;001, </w:t>
      </w:r>
      <w:r w:rsidR="003A6401" w:rsidRPr="00B26FB7">
        <w:rPr>
          <w:rFonts w:cstheme="minorHAnsi"/>
        </w:rPr>
        <w:sym w:font="Symbol" w:char="F068"/>
      </w:r>
      <w:r w:rsidR="003A6401" w:rsidRPr="00B26FB7">
        <w:rPr>
          <w:rFonts w:cstheme="minorHAnsi"/>
          <w:vertAlign w:val="superscript"/>
        </w:rPr>
        <w:t>2</w:t>
      </w:r>
      <w:r w:rsidR="003A6401" w:rsidRPr="00B26FB7">
        <w:rPr>
          <w:rFonts w:cstheme="minorHAnsi"/>
        </w:rPr>
        <w:t xml:space="preserve">=.69) and halfway magnitude (p&lt;.03, </w:t>
      </w:r>
      <w:r w:rsidR="003A6401" w:rsidRPr="00B26FB7">
        <w:rPr>
          <w:rFonts w:cstheme="minorHAnsi"/>
        </w:rPr>
        <w:sym w:font="Symbol" w:char="F068"/>
      </w:r>
      <w:r w:rsidR="003A6401" w:rsidRPr="00B26FB7">
        <w:rPr>
          <w:rFonts w:cstheme="minorHAnsi"/>
          <w:vertAlign w:val="superscript"/>
        </w:rPr>
        <w:t>2</w:t>
      </w:r>
      <w:r w:rsidR="003A6401" w:rsidRPr="00B26FB7">
        <w:rPr>
          <w:rFonts w:cstheme="minorHAnsi"/>
        </w:rPr>
        <w:t xml:space="preserve">=.28) were significantly affected by Epoch.  </w:t>
      </w:r>
      <w:r w:rsidR="003A6401" w:rsidRPr="00CF6A46">
        <w:rPr>
          <w:rFonts w:cstheme="minorHAnsi"/>
        </w:rPr>
        <w:t xml:space="preserve">The post </w:t>
      </w:r>
      <w:proofErr w:type="spellStart"/>
      <w:r w:rsidR="003A6401" w:rsidRPr="00CF6A46">
        <w:rPr>
          <w:rFonts w:cstheme="minorHAnsi"/>
        </w:rPr>
        <w:t>hocs</w:t>
      </w:r>
      <w:proofErr w:type="spellEnd"/>
      <w:r w:rsidR="003A6401" w:rsidRPr="00CF6A46">
        <w:rPr>
          <w:rFonts w:cstheme="minorHAnsi"/>
        </w:rPr>
        <w:t xml:space="preserve"> show that for the Hurst Exponent both </w:t>
      </w:r>
      <w:r w:rsidR="00B81708">
        <w:rPr>
          <w:rFonts w:cstheme="minorHAnsi"/>
        </w:rPr>
        <w:t>Phase 1</w:t>
      </w:r>
      <w:r w:rsidR="003A6401" w:rsidRPr="00CF6A46">
        <w:rPr>
          <w:rFonts w:cstheme="minorHAnsi"/>
        </w:rPr>
        <w:t xml:space="preserve"> vs </w:t>
      </w:r>
      <w:r w:rsidR="00B81708">
        <w:rPr>
          <w:rFonts w:cstheme="minorHAnsi"/>
        </w:rPr>
        <w:t>2</w:t>
      </w:r>
      <w:r w:rsidR="00B81708" w:rsidRPr="00CF6A46">
        <w:rPr>
          <w:rFonts w:cstheme="minorHAnsi"/>
        </w:rPr>
        <w:t xml:space="preserve"> </w:t>
      </w:r>
      <w:r w:rsidR="003A6401" w:rsidRPr="00CF6A46">
        <w:rPr>
          <w:rFonts w:cstheme="minorHAnsi"/>
        </w:rPr>
        <w:t xml:space="preserve">and </w:t>
      </w:r>
      <w:r w:rsidR="00B81708">
        <w:rPr>
          <w:rFonts w:cstheme="minorHAnsi"/>
        </w:rPr>
        <w:t>Phase 2</w:t>
      </w:r>
      <w:r w:rsidR="00B81708" w:rsidRPr="00CF6A46">
        <w:rPr>
          <w:rFonts w:cstheme="minorHAnsi"/>
        </w:rPr>
        <w:t xml:space="preserve"> </w:t>
      </w:r>
      <w:r w:rsidR="003A6401" w:rsidRPr="00CF6A46">
        <w:rPr>
          <w:rFonts w:cstheme="minorHAnsi"/>
        </w:rPr>
        <w:t xml:space="preserve">vs </w:t>
      </w:r>
      <w:r w:rsidR="00B81708">
        <w:rPr>
          <w:rFonts w:cstheme="minorHAnsi"/>
        </w:rPr>
        <w:t>3</w:t>
      </w:r>
      <w:r w:rsidR="00B81708" w:rsidRPr="00CF6A46">
        <w:rPr>
          <w:rFonts w:cstheme="minorHAnsi"/>
        </w:rPr>
        <w:t xml:space="preserve"> </w:t>
      </w:r>
      <w:r w:rsidR="003A6401" w:rsidRPr="00CF6A46">
        <w:rPr>
          <w:rFonts w:cstheme="minorHAnsi"/>
        </w:rPr>
        <w:t xml:space="preserve">differences were statistically significant.  For the SDF Halfway Magnitude values only a linear combination of the effects in the three </w:t>
      </w:r>
      <w:r w:rsidR="0004408A">
        <w:rPr>
          <w:rFonts w:cstheme="minorHAnsi"/>
        </w:rPr>
        <w:t>Phase</w:t>
      </w:r>
      <w:r w:rsidR="0004408A" w:rsidRPr="00CF6A46">
        <w:rPr>
          <w:rFonts w:cstheme="minorHAnsi"/>
        </w:rPr>
        <w:t xml:space="preserve">s </w:t>
      </w:r>
      <w:r w:rsidR="003A6401" w:rsidRPr="00CF6A46">
        <w:rPr>
          <w:rFonts w:cstheme="minorHAnsi"/>
        </w:rPr>
        <w:t>of Epoch can account for the significance.</w:t>
      </w:r>
    </w:p>
    <w:p w14:paraId="0450CAB7" w14:textId="2549F459" w:rsidR="003A6401" w:rsidRPr="00C8342D" w:rsidRDefault="00C24625" w:rsidP="003A6401">
      <w:pPr>
        <w:spacing w:line="480" w:lineRule="auto"/>
        <w:jc w:val="both"/>
        <w:rPr>
          <w:rFonts w:cstheme="minorHAnsi"/>
        </w:rPr>
      </w:pPr>
      <w:r>
        <w:rPr>
          <w:rFonts w:cstheme="minorHAnsi"/>
        </w:rPr>
        <w:tab/>
      </w:r>
      <w:r w:rsidR="003A6401" w:rsidRPr="00CF6A46">
        <w:rPr>
          <w:rFonts w:cstheme="minorHAnsi"/>
        </w:rPr>
        <w:t xml:space="preserve">Figure </w:t>
      </w:r>
      <w:r w:rsidR="00C82164">
        <w:rPr>
          <w:rFonts w:cstheme="minorHAnsi"/>
        </w:rPr>
        <w:t>7</w:t>
      </w:r>
      <w:r w:rsidR="00C82164" w:rsidRPr="00CF6A46">
        <w:rPr>
          <w:rFonts w:cstheme="minorHAnsi"/>
        </w:rPr>
        <w:t xml:space="preserve"> </w:t>
      </w:r>
      <w:r w:rsidR="003A6401" w:rsidRPr="00CF6A46">
        <w:rPr>
          <w:rFonts w:cstheme="minorHAnsi"/>
        </w:rPr>
        <w:t xml:space="preserve">shows the SDF for the ML component of the COP fluctuations.  Statistical details for the five dependent variables derived from the SDF are shown in the ML COP MANOVA section of Table </w:t>
      </w:r>
      <w:r w:rsidR="003C30BC">
        <w:rPr>
          <w:rFonts w:cstheme="minorHAnsi"/>
        </w:rPr>
        <w:t>2</w:t>
      </w:r>
      <w:r w:rsidR="003A6401" w:rsidRPr="00CF6A46">
        <w:rPr>
          <w:rFonts w:cstheme="minorHAnsi"/>
        </w:rPr>
        <w:t>.  The only significant multivariate effect is for Epoch (</w:t>
      </w:r>
      <w:r w:rsidR="003A6401" w:rsidRPr="00B26FB7">
        <w:rPr>
          <w:rFonts w:cstheme="minorHAnsi"/>
        </w:rPr>
        <w:sym w:font="Symbol" w:char="F051"/>
      </w:r>
      <w:r w:rsidR="003A6401" w:rsidRPr="00B26FB7">
        <w:rPr>
          <w:rFonts w:cstheme="minorHAnsi"/>
        </w:rPr>
        <w:t xml:space="preserve">=1.3, F(5,19)=4.9, p&lt;.01, </w:t>
      </w:r>
      <w:r w:rsidR="003A6401" w:rsidRPr="00B26FB7">
        <w:rPr>
          <w:rFonts w:cstheme="minorHAnsi"/>
        </w:rPr>
        <w:sym w:font="Symbol" w:char="F068"/>
      </w:r>
      <w:r w:rsidR="003A6401" w:rsidRPr="00B26FB7">
        <w:rPr>
          <w:rFonts w:cstheme="minorHAnsi"/>
          <w:vertAlign w:val="superscript"/>
        </w:rPr>
        <w:t>2</w:t>
      </w:r>
      <w:r w:rsidR="003A6401" w:rsidRPr="00B26FB7">
        <w:rPr>
          <w:rFonts w:cstheme="minorHAnsi"/>
        </w:rPr>
        <w:t xml:space="preserve">=.56), no </w:t>
      </w:r>
      <w:r w:rsidR="003A6401" w:rsidRPr="00CF6A46">
        <w:rPr>
          <w:rFonts w:cstheme="minorHAnsi"/>
        </w:rPr>
        <w:t xml:space="preserve">Free versus Pointing differences were found, nor were any Tool effects found. The pattern of significant univariate ANOVAs for these dependent variables is similar to that for the AP COP but for </w:t>
      </w:r>
      <w:r w:rsidR="003A6401" w:rsidRPr="00C8342D">
        <w:rPr>
          <w:rFonts w:cstheme="minorHAnsi"/>
        </w:rPr>
        <w:t xml:space="preserve">the ML COP, the Diffusion Coefficient is also significantly affected by Epoch (Area p&lt;.04, </w:t>
      </w:r>
      <w:r w:rsidR="003A6401" w:rsidRPr="00C8342D">
        <w:rPr>
          <w:rFonts w:cstheme="minorHAnsi"/>
        </w:rPr>
        <w:sym w:font="Symbol" w:char="F068"/>
      </w:r>
      <w:r w:rsidR="003A6401" w:rsidRPr="00C8342D">
        <w:rPr>
          <w:rFonts w:cstheme="minorHAnsi"/>
          <w:vertAlign w:val="superscript"/>
        </w:rPr>
        <w:t>2</w:t>
      </w:r>
      <w:r w:rsidR="003A6401" w:rsidRPr="00C8342D">
        <w:rPr>
          <w:rFonts w:cstheme="minorHAnsi"/>
        </w:rPr>
        <w:t xml:space="preserve">=.27; Hurst p&lt;.01, </w:t>
      </w:r>
      <w:r w:rsidR="003A6401" w:rsidRPr="00C8342D">
        <w:rPr>
          <w:rFonts w:cstheme="minorHAnsi"/>
        </w:rPr>
        <w:sym w:font="Symbol" w:char="F068"/>
      </w:r>
      <w:r w:rsidR="003A6401" w:rsidRPr="00C8342D">
        <w:rPr>
          <w:rFonts w:cstheme="minorHAnsi"/>
          <w:vertAlign w:val="superscript"/>
        </w:rPr>
        <w:t>2</w:t>
      </w:r>
      <w:r w:rsidR="003A6401" w:rsidRPr="00C8342D">
        <w:rPr>
          <w:rFonts w:cstheme="minorHAnsi"/>
        </w:rPr>
        <w:t xml:space="preserve">=.39; Diffusion Coefficient p&lt;.05, </w:t>
      </w:r>
      <w:r w:rsidR="003A6401" w:rsidRPr="00C8342D">
        <w:rPr>
          <w:rFonts w:cstheme="minorHAnsi"/>
        </w:rPr>
        <w:sym w:font="Symbol" w:char="F068"/>
      </w:r>
      <w:r w:rsidR="003A6401" w:rsidRPr="00C8342D">
        <w:rPr>
          <w:rFonts w:cstheme="minorHAnsi"/>
          <w:vertAlign w:val="superscript"/>
        </w:rPr>
        <w:t>2</w:t>
      </w:r>
      <w:r w:rsidR="003A6401" w:rsidRPr="00C8342D">
        <w:rPr>
          <w:rFonts w:cstheme="minorHAnsi"/>
        </w:rPr>
        <w:t xml:space="preserve">=.28; and Halfway Magnitude p&lt;.02, </w:t>
      </w:r>
      <w:r w:rsidR="003A6401" w:rsidRPr="00C8342D">
        <w:rPr>
          <w:rFonts w:cstheme="minorHAnsi"/>
        </w:rPr>
        <w:sym w:font="Symbol" w:char="F068"/>
      </w:r>
      <w:r w:rsidR="003A6401" w:rsidRPr="00C8342D">
        <w:rPr>
          <w:rFonts w:cstheme="minorHAnsi"/>
          <w:vertAlign w:val="superscript"/>
        </w:rPr>
        <w:t>2</w:t>
      </w:r>
      <w:r w:rsidR="003A6401" w:rsidRPr="00C8342D">
        <w:rPr>
          <w:rFonts w:cstheme="minorHAnsi"/>
        </w:rPr>
        <w:t xml:space="preserve">=.31).  Unlike for AP COP, where the post hoc tests showed there were a mixture of effects from the different </w:t>
      </w:r>
      <w:r w:rsidR="005C425D">
        <w:rPr>
          <w:rFonts w:cstheme="minorHAnsi"/>
        </w:rPr>
        <w:t>Phase</w:t>
      </w:r>
      <w:r w:rsidR="005C425D" w:rsidRPr="00C8342D">
        <w:rPr>
          <w:rFonts w:cstheme="minorHAnsi"/>
        </w:rPr>
        <w:t xml:space="preserve">s </w:t>
      </w:r>
      <w:r w:rsidR="003A6401" w:rsidRPr="00C8342D">
        <w:rPr>
          <w:rFonts w:cstheme="minorHAnsi"/>
        </w:rPr>
        <w:t xml:space="preserve">of Epoch causing the significant results, in the ML case the post </w:t>
      </w:r>
      <w:r w:rsidR="003A6401" w:rsidRPr="00C8342D">
        <w:rPr>
          <w:rFonts w:cstheme="minorHAnsi"/>
        </w:rPr>
        <w:lastRenderedPageBreak/>
        <w:t xml:space="preserve">hoc tests show that, without exception, it is the difference between </w:t>
      </w:r>
      <w:r w:rsidR="00EE0231">
        <w:rPr>
          <w:rFonts w:cstheme="minorHAnsi"/>
        </w:rPr>
        <w:t>Phase 2</w:t>
      </w:r>
      <w:r w:rsidR="003A6401" w:rsidRPr="00C8342D">
        <w:rPr>
          <w:rFonts w:cstheme="minorHAnsi"/>
        </w:rPr>
        <w:t xml:space="preserve"> and </w:t>
      </w:r>
      <w:r w:rsidR="00EE0231">
        <w:rPr>
          <w:rFonts w:cstheme="minorHAnsi"/>
        </w:rPr>
        <w:t>3</w:t>
      </w:r>
      <w:r w:rsidR="00EE0231" w:rsidRPr="00C8342D">
        <w:rPr>
          <w:rFonts w:cstheme="minorHAnsi"/>
        </w:rPr>
        <w:t xml:space="preserve"> </w:t>
      </w:r>
      <w:r w:rsidR="003A6401" w:rsidRPr="00C8342D">
        <w:rPr>
          <w:rFonts w:cstheme="minorHAnsi"/>
        </w:rPr>
        <w:t xml:space="preserve">of Epoch that is responsible for the statistically significant results. </w:t>
      </w:r>
    </w:p>
    <w:p w14:paraId="4F8773C7" w14:textId="3E67E1A5" w:rsidR="003A6401" w:rsidRPr="00CF6A46" w:rsidRDefault="00C24625" w:rsidP="007F44A3">
      <w:pPr>
        <w:spacing w:line="480" w:lineRule="auto"/>
        <w:jc w:val="both"/>
        <w:rPr>
          <w:rFonts w:cstheme="minorHAnsi"/>
        </w:rPr>
      </w:pPr>
      <w:r>
        <w:rPr>
          <w:rFonts w:cstheme="minorHAnsi"/>
        </w:rPr>
        <w:tab/>
      </w:r>
      <w:r w:rsidR="003A6401" w:rsidRPr="00C8342D">
        <w:rPr>
          <w:rFonts w:cstheme="minorHAnsi"/>
        </w:rPr>
        <w:t xml:space="preserve">Figure </w:t>
      </w:r>
      <w:r w:rsidR="00C82164">
        <w:rPr>
          <w:rFonts w:cstheme="minorHAnsi"/>
        </w:rPr>
        <w:t>8</w:t>
      </w:r>
      <w:r w:rsidR="00C82164" w:rsidRPr="00C8342D">
        <w:rPr>
          <w:rFonts w:cstheme="minorHAnsi"/>
        </w:rPr>
        <w:t xml:space="preserve"> </w:t>
      </w:r>
      <w:r w:rsidR="003A6401" w:rsidRPr="00C8342D">
        <w:rPr>
          <w:rFonts w:cstheme="minorHAnsi"/>
        </w:rPr>
        <w:t xml:space="preserve">shows the SDF for Weight Fraction (WF), and the WF MANOVA section of Table </w:t>
      </w:r>
      <w:r w:rsidR="003C30BC">
        <w:rPr>
          <w:rFonts w:cstheme="minorHAnsi"/>
        </w:rPr>
        <w:t>2</w:t>
      </w:r>
      <w:r w:rsidR="003A6401" w:rsidRPr="00C8342D">
        <w:rPr>
          <w:rFonts w:cstheme="minorHAnsi"/>
        </w:rPr>
        <w:t xml:space="preserve"> has the statistical details. For the WF SDF, it is difficult by visual inspection to discern any consistent pattern of differences across the conditions. Note that the left and right feet have the same SDF traces since WF</w:t>
      </w:r>
      <w:r w:rsidR="003A6401" w:rsidRPr="00C8342D">
        <w:rPr>
          <w:rFonts w:cstheme="minorHAnsi"/>
          <w:vertAlign w:val="subscript"/>
        </w:rPr>
        <w:t>RT</w:t>
      </w:r>
      <w:r w:rsidR="003A6401" w:rsidRPr="00C8342D">
        <w:rPr>
          <w:rFonts w:cstheme="minorHAnsi"/>
        </w:rPr>
        <w:t xml:space="preserve"> +WF</w:t>
      </w:r>
      <w:r w:rsidR="003A6401" w:rsidRPr="00C8342D">
        <w:rPr>
          <w:rFonts w:cstheme="minorHAnsi"/>
          <w:vertAlign w:val="subscript"/>
        </w:rPr>
        <w:t>LT</w:t>
      </w:r>
      <w:r w:rsidR="003A6401" w:rsidRPr="00C8342D">
        <w:rPr>
          <w:rFonts w:cstheme="minorHAnsi"/>
        </w:rPr>
        <w:t xml:space="preserve">=1, so </w:t>
      </w:r>
      <w:r w:rsidR="003A6401" w:rsidRPr="00C8342D">
        <w:rPr>
          <w:rFonts w:cstheme="minorHAnsi"/>
        </w:rPr>
        <w:sym w:font="Symbol" w:char="F044"/>
      </w:r>
      <w:r w:rsidR="003A6401" w:rsidRPr="00C8342D">
        <w:rPr>
          <w:rFonts w:cstheme="minorHAnsi"/>
        </w:rPr>
        <w:t>WF</w:t>
      </w:r>
      <w:r w:rsidR="003A6401" w:rsidRPr="00C8342D">
        <w:rPr>
          <w:rFonts w:cstheme="minorHAnsi"/>
          <w:vertAlign w:val="subscript"/>
        </w:rPr>
        <w:t>RT</w:t>
      </w:r>
      <w:r w:rsidR="003A6401" w:rsidRPr="00C8342D">
        <w:rPr>
          <w:rFonts w:cstheme="minorHAnsi"/>
        </w:rPr>
        <w:t>=</w:t>
      </w:r>
      <w:r w:rsidR="003A6401" w:rsidRPr="00C8342D">
        <w:rPr>
          <w:rFonts w:cstheme="minorHAnsi"/>
        </w:rPr>
        <w:sym w:font="Symbol" w:char="F044"/>
      </w:r>
      <w:r w:rsidR="003A6401" w:rsidRPr="00C8342D">
        <w:rPr>
          <w:rFonts w:cstheme="minorHAnsi"/>
        </w:rPr>
        <w:t>WF</w:t>
      </w:r>
      <w:r w:rsidR="003A6401" w:rsidRPr="00C8342D">
        <w:rPr>
          <w:rFonts w:cstheme="minorHAnsi"/>
          <w:vertAlign w:val="subscript"/>
        </w:rPr>
        <w:t>LT</w:t>
      </w:r>
      <w:r w:rsidR="003A6401" w:rsidRPr="00C8342D">
        <w:rPr>
          <w:rFonts w:cstheme="minorHAnsi"/>
        </w:rPr>
        <w:t>, and the MSD of fluctuations will be identical for both feet.  As was the case for the two COP MANOVAs, the only significant multivariate main effect is for Epoch (</w:t>
      </w:r>
      <w:r w:rsidR="003A6401" w:rsidRPr="00C8342D">
        <w:rPr>
          <w:rFonts w:cstheme="minorHAnsi"/>
        </w:rPr>
        <w:sym w:font="Symbol" w:char="F051"/>
      </w:r>
      <w:r w:rsidR="003A6401" w:rsidRPr="00C8342D">
        <w:rPr>
          <w:rFonts w:cstheme="minorHAnsi"/>
        </w:rPr>
        <w:t xml:space="preserve">=1.2, F(5,19)=4.6, p&lt;.01, </w:t>
      </w:r>
      <w:r w:rsidR="003A6401" w:rsidRPr="00C8342D">
        <w:rPr>
          <w:rFonts w:cstheme="minorHAnsi"/>
        </w:rPr>
        <w:sym w:font="Symbol" w:char="F068"/>
      </w:r>
      <w:r w:rsidR="003A6401" w:rsidRPr="00C8342D">
        <w:rPr>
          <w:rFonts w:cstheme="minorHAnsi"/>
          <w:vertAlign w:val="superscript"/>
        </w:rPr>
        <w:t>2</w:t>
      </w:r>
      <w:r w:rsidR="003A6401" w:rsidRPr="00C8342D">
        <w:rPr>
          <w:rFonts w:cstheme="minorHAnsi"/>
        </w:rPr>
        <w:t>=.55</w:t>
      </w:r>
      <w:r w:rsidR="00C151AD" w:rsidRPr="00C8342D">
        <w:rPr>
          <w:rFonts w:cstheme="minorHAnsi"/>
        </w:rPr>
        <w:t>). T</w:t>
      </w:r>
      <w:r w:rsidR="003A6401" w:rsidRPr="00C8342D">
        <w:rPr>
          <w:rFonts w:cstheme="minorHAnsi"/>
        </w:rPr>
        <w:t xml:space="preserve">here </w:t>
      </w:r>
      <w:r w:rsidR="00C151AD" w:rsidRPr="00C8342D">
        <w:rPr>
          <w:rFonts w:cstheme="minorHAnsi"/>
        </w:rPr>
        <w:t xml:space="preserve">are </w:t>
      </w:r>
      <w:r w:rsidR="003A6401" w:rsidRPr="00C8342D">
        <w:rPr>
          <w:rFonts w:cstheme="minorHAnsi"/>
        </w:rPr>
        <w:t xml:space="preserve">no significant Task or Tool effects.  But unlike in the COP MANOVAs, the significance only results from the Hurst Exponent ANOVA, which is highly significant at p=.004, </w:t>
      </w:r>
      <w:r w:rsidR="003A6401" w:rsidRPr="00C8342D">
        <w:rPr>
          <w:rFonts w:cstheme="minorHAnsi"/>
        </w:rPr>
        <w:sym w:font="Symbol" w:char="F068"/>
      </w:r>
      <w:r w:rsidR="003A6401" w:rsidRPr="00C8342D">
        <w:rPr>
          <w:rFonts w:cstheme="minorHAnsi"/>
          <w:vertAlign w:val="superscript"/>
        </w:rPr>
        <w:t>2</w:t>
      </w:r>
      <w:r w:rsidR="003A6401" w:rsidRPr="00C8342D">
        <w:rPr>
          <w:rFonts w:cstheme="minorHAnsi"/>
        </w:rPr>
        <w:t xml:space="preserve">=.40. Since this exponent is computed at a very short-time-scale, it implies the WF SDFs show differences across Epoch only at very short time-scales.  The post hoc contrasts show that this effect results from differences between the </w:t>
      </w:r>
      <w:r w:rsidR="00732F95">
        <w:rPr>
          <w:rFonts w:cstheme="minorHAnsi"/>
        </w:rPr>
        <w:t>2nd</w:t>
      </w:r>
      <w:r w:rsidR="00732F95" w:rsidRPr="00C8342D">
        <w:rPr>
          <w:rFonts w:cstheme="minorHAnsi"/>
        </w:rPr>
        <w:t xml:space="preserve"> </w:t>
      </w:r>
      <w:r w:rsidR="003A6401" w:rsidRPr="00C8342D">
        <w:rPr>
          <w:rFonts w:cstheme="minorHAnsi"/>
        </w:rPr>
        <w:t xml:space="preserve">and </w:t>
      </w:r>
      <w:r w:rsidR="00732F95">
        <w:rPr>
          <w:rFonts w:cstheme="minorHAnsi"/>
        </w:rPr>
        <w:t>3rd</w:t>
      </w:r>
      <w:r w:rsidR="00732F95" w:rsidRPr="00C8342D">
        <w:rPr>
          <w:rFonts w:cstheme="minorHAnsi"/>
        </w:rPr>
        <w:t xml:space="preserve"> </w:t>
      </w:r>
      <w:r w:rsidR="00732F95">
        <w:rPr>
          <w:rFonts w:cstheme="minorHAnsi"/>
        </w:rPr>
        <w:t>Phases</w:t>
      </w:r>
      <w:r w:rsidR="00732F95" w:rsidRPr="00C8342D">
        <w:rPr>
          <w:rFonts w:cstheme="minorHAnsi"/>
        </w:rPr>
        <w:t xml:space="preserve"> </w:t>
      </w:r>
      <w:r w:rsidR="003A6401" w:rsidRPr="00C8342D">
        <w:rPr>
          <w:rFonts w:cstheme="minorHAnsi"/>
        </w:rPr>
        <w:t>of Epoch.  There is also a significant multivariate Epoch x Tool interaction (</w:t>
      </w:r>
      <w:r w:rsidR="003A6401" w:rsidRPr="00C8342D">
        <w:rPr>
          <w:rFonts w:cstheme="minorHAnsi"/>
        </w:rPr>
        <w:sym w:font="Symbol" w:char="F051"/>
      </w:r>
      <w:r w:rsidR="003A6401" w:rsidRPr="00C8342D">
        <w:rPr>
          <w:rFonts w:cstheme="minorHAnsi"/>
        </w:rPr>
        <w:t xml:space="preserve">=.9, F(5,19)=3.5, p&lt;.03, </w:t>
      </w:r>
      <w:r w:rsidR="003A6401" w:rsidRPr="00C8342D">
        <w:rPr>
          <w:rFonts w:cstheme="minorHAnsi"/>
        </w:rPr>
        <w:sym w:font="Symbol" w:char="F068"/>
      </w:r>
      <w:r w:rsidR="003A6401" w:rsidRPr="00C8342D">
        <w:rPr>
          <w:rFonts w:cstheme="minorHAnsi"/>
          <w:vertAlign w:val="superscript"/>
        </w:rPr>
        <w:t>2</w:t>
      </w:r>
      <w:r w:rsidR="003A6401" w:rsidRPr="00C8342D">
        <w:rPr>
          <w:rFonts w:cstheme="minorHAnsi"/>
        </w:rPr>
        <w:t xml:space="preserve">=.48) that results from significant Hurst Exponent and Critical Point dependent variable ANOVAs.   The Hurst Exponent post </w:t>
      </w:r>
      <w:proofErr w:type="spellStart"/>
      <w:r w:rsidR="003A6401" w:rsidRPr="00C8342D">
        <w:rPr>
          <w:rFonts w:cstheme="minorHAnsi"/>
        </w:rPr>
        <w:t>hocs</w:t>
      </w:r>
      <w:proofErr w:type="spellEnd"/>
      <w:r w:rsidR="003A6401" w:rsidRPr="00C8342D">
        <w:rPr>
          <w:rFonts w:cstheme="minorHAnsi"/>
        </w:rPr>
        <w:t xml:space="preserve"> show that the significant difference is due primarily to the difference between the </w:t>
      </w:r>
      <w:r w:rsidR="00B81708">
        <w:rPr>
          <w:rFonts w:cstheme="minorHAnsi"/>
        </w:rPr>
        <w:t>Phase 1</w:t>
      </w:r>
      <w:r w:rsidR="00B81708" w:rsidRPr="00C8342D">
        <w:rPr>
          <w:rFonts w:cstheme="minorHAnsi"/>
        </w:rPr>
        <w:t xml:space="preserve"> </w:t>
      </w:r>
      <w:r w:rsidR="003A6401" w:rsidRPr="00C8342D">
        <w:rPr>
          <w:rFonts w:cstheme="minorHAnsi"/>
        </w:rPr>
        <w:t xml:space="preserve">and </w:t>
      </w:r>
      <w:r w:rsidR="00B81708">
        <w:rPr>
          <w:rFonts w:cstheme="minorHAnsi"/>
        </w:rPr>
        <w:t>2</w:t>
      </w:r>
      <w:r w:rsidR="00B81708" w:rsidRPr="00C8342D">
        <w:rPr>
          <w:rFonts w:cstheme="minorHAnsi"/>
        </w:rPr>
        <w:t xml:space="preserve"> </w:t>
      </w:r>
      <w:r w:rsidR="003A6401" w:rsidRPr="00C8342D">
        <w:rPr>
          <w:rFonts w:cstheme="minorHAnsi"/>
        </w:rPr>
        <w:t xml:space="preserve">levels of Epoch.  This is the only case where a significant difference between these two Epoch </w:t>
      </w:r>
      <w:r w:rsidR="005C425D">
        <w:rPr>
          <w:rFonts w:cstheme="minorHAnsi"/>
        </w:rPr>
        <w:t>Phase</w:t>
      </w:r>
      <w:r w:rsidR="005C425D" w:rsidRPr="00C8342D">
        <w:rPr>
          <w:rFonts w:cstheme="minorHAnsi"/>
        </w:rPr>
        <w:t xml:space="preserve">s </w:t>
      </w:r>
      <w:r w:rsidR="003A6401" w:rsidRPr="00C8342D">
        <w:rPr>
          <w:rFonts w:cstheme="minorHAnsi"/>
        </w:rPr>
        <w:t xml:space="preserve">was observed.  For the Critical Point dependent variable, the post </w:t>
      </w:r>
      <w:proofErr w:type="spellStart"/>
      <w:r w:rsidR="003A6401" w:rsidRPr="00C8342D">
        <w:rPr>
          <w:rFonts w:cstheme="minorHAnsi"/>
        </w:rPr>
        <w:t>hocs</w:t>
      </w:r>
      <w:proofErr w:type="spellEnd"/>
      <w:r w:rsidR="003A6401" w:rsidRPr="00C8342D">
        <w:rPr>
          <w:rFonts w:cstheme="minorHAnsi"/>
        </w:rPr>
        <w:t xml:space="preserve"> show that the differences between the </w:t>
      </w:r>
      <w:r w:rsidR="00B81708">
        <w:rPr>
          <w:rFonts w:cstheme="minorHAnsi"/>
        </w:rPr>
        <w:t>1st</w:t>
      </w:r>
      <w:r w:rsidR="00B81708" w:rsidRPr="00C8342D">
        <w:rPr>
          <w:rFonts w:cstheme="minorHAnsi"/>
        </w:rPr>
        <w:t xml:space="preserve"> </w:t>
      </w:r>
      <w:r w:rsidR="003A6401" w:rsidRPr="00C8342D">
        <w:rPr>
          <w:rFonts w:cstheme="minorHAnsi"/>
        </w:rPr>
        <w:t xml:space="preserve">and </w:t>
      </w:r>
      <w:r w:rsidR="00B81708">
        <w:rPr>
          <w:rFonts w:cstheme="minorHAnsi"/>
        </w:rPr>
        <w:t>2nd</w:t>
      </w:r>
      <w:r w:rsidR="00B81708" w:rsidRPr="00C8342D">
        <w:rPr>
          <w:rFonts w:cstheme="minorHAnsi"/>
        </w:rPr>
        <w:t xml:space="preserve"> </w:t>
      </w:r>
      <w:r w:rsidR="00B81708">
        <w:rPr>
          <w:rFonts w:cstheme="minorHAnsi"/>
        </w:rPr>
        <w:t>Phases</w:t>
      </w:r>
      <w:r w:rsidR="003A6401" w:rsidRPr="00C8342D">
        <w:rPr>
          <w:rFonts w:cstheme="minorHAnsi"/>
        </w:rPr>
        <w:t xml:space="preserve"> of Epoch, as well as those between </w:t>
      </w:r>
      <w:r w:rsidR="005C425D">
        <w:rPr>
          <w:rFonts w:cstheme="minorHAnsi"/>
        </w:rPr>
        <w:t>2nd</w:t>
      </w:r>
      <w:r w:rsidR="005C425D" w:rsidRPr="00C8342D">
        <w:rPr>
          <w:rFonts w:cstheme="minorHAnsi"/>
        </w:rPr>
        <w:t xml:space="preserve"> </w:t>
      </w:r>
      <w:r w:rsidR="003A6401" w:rsidRPr="00C8342D">
        <w:rPr>
          <w:rFonts w:cstheme="minorHAnsi"/>
        </w:rPr>
        <w:t xml:space="preserve">and </w:t>
      </w:r>
      <w:r w:rsidR="005C425D">
        <w:rPr>
          <w:rFonts w:cstheme="minorHAnsi"/>
        </w:rPr>
        <w:t>3rd</w:t>
      </w:r>
      <w:r w:rsidR="005C425D" w:rsidRPr="00C8342D">
        <w:rPr>
          <w:rFonts w:cstheme="minorHAnsi"/>
        </w:rPr>
        <w:t xml:space="preserve"> </w:t>
      </w:r>
      <w:r w:rsidR="003A6401" w:rsidRPr="00C8342D">
        <w:rPr>
          <w:rFonts w:cstheme="minorHAnsi"/>
        </w:rPr>
        <w:t xml:space="preserve">are significant. Unlike for the AHT data, for the force plate data the only significant independent variable is Epoch.  There is no effect of Task or Tool; in fact, none of the balance metrics show Task or Tool dependency as the AHT measures did.   </w:t>
      </w:r>
      <w:r w:rsidR="00A01DC1" w:rsidRPr="00C8342D">
        <w:rPr>
          <w:rFonts w:cstheme="minorHAnsi"/>
        </w:rPr>
        <w:t>U</w:t>
      </w:r>
      <w:r w:rsidR="003A6401" w:rsidRPr="00C8342D">
        <w:rPr>
          <w:rFonts w:cstheme="minorHAnsi"/>
        </w:rPr>
        <w:t>nlike for the AHT data, the only</w:t>
      </w:r>
      <w:r w:rsidR="003A6401" w:rsidRPr="00CF6A46">
        <w:rPr>
          <w:rFonts w:cstheme="minorHAnsi"/>
        </w:rPr>
        <w:t xml:space="preserve"> significant interaction is between Epoch and </w:t>
      </w:r>
      <w:r w:rsidR="003A6401" w:rsidRPr="00CF6A46">
        <w:rPr>
          <w:rFonts w:cstheme="minorHAnsi"/>
        </w:rPr>
        <w:lastRenderedPageBreak/>
        <w:t>Tool.  Since the rod added additional weight on the right hand, the effect of its presence affected the WF fluctuations more when the arm and rod became laterally extended than when extended forward.</w:t>
      </w:r>
    </w:p>
    <w:p w14:paraId="0FA516A5" w14:textId="63B19B4C" w:rsidR="003A6401" w:rsidRPr="00CF6A46" w:rsidRDefault="003A6401" w:rsidP="003C30BC">
      <w:pPr>
        <w:spacing w:line="480" w:lineRule="auto"/>
        <w:jc w:val="both"/>
        <w:rPr>
          <w:rFonts w:cstheme="minorHAnsi"/>
        </w:rPr>
      </w:pPr>
      <w:r w:rsidRPr="00CF6A46">
        <w:rPr>
          <w:rFonts w:cstheme="minorHAnsi"/>
        </w:rPr>
        <w:t>Overall, among the balance metrics from the force plate, the dependent measures derived from the SDFs of COP</w:t>
      </w:r>
      <w:r w:rsidRPr="00CF6A46">
        <w:rPr>
          <w:rFonts w:cstheme="minorHAnsi"/>
          <w:vertAlign w:val="subscript"/>
        </w:rPr>
        <w:t>AP</w:t>
      </w:r>
      <w:r w:rsidRPr="00CF6A46">
        <w:rPr>
          <w:rFonts w:cstheme="minorHAnsi"/>
        </w:rPr>
        <w:t>, COP</w:t>
      </w:r>
      <w:r w:rsidRPr="00CF6A46">
        <w:rPr>
          <w:rFonts w:cstheme="minorHAnsi"/>
          <w:vertAlign w:val="subscript"/>
        </w:rPr>
        <w:t>ML</w:t>
      </w:r>
      <w:r w:rsidRPr="00CF6A46">
        <w:rPr>
          <w:rFonts w:cstheme="minorHAnsi"/>
        </w:rPr>
        <w:t xml:space="preserve"> and WF showed significant effects for Epoch.</w:t>
      </w:r>
      <w:r w:rsidR="003C30BC">
        <w:rPr>
          <w:rFonts w:cstheme="minorHAnsi"/>
        </w:rPr>
        <w:t xml:space="preserve">  </w:t>
      </w:r>
      <w:r w:rsidRPr="00CF6A46">
        <w:rPr>
          <w:rFonts w:cstheme="minorHAnsi"/>
        </w:rPr>
        <w:t>Are the</w:t>
      </w:r>
      <w:r w:rsidR="000E706E" w:rsidRPr="00CF6A46">
        <w:rPr>
          <w:rFonts w:cstheme="minorHAnsi"/>
        </w:rPr>
        <w:t>se</w:t>
      </w:r>
      <w:r w:rsidRPr="00CF6A46">
        <w:rPr>
          <w:rFonts w:cstheme="minorHAnsi"/>
        </w:rPr>
        <w:t xml:space="preserve"> effects arising due to the</w:t>
      </w:r>
      <w:r w:rsidR="00A4366B" w:rsidRPr="00CF6A46">
        <w:rPr>
          <w:rFonts w:cstheme="minorHAnsi"/>
        </w:rPr>
        <w:t xml:space="preserve"> visual flow effects or </w:t>
      </w:r>
      <w:r w:rsidRPr="00CF6A46">
        <w:rPr>
          <w:rFonts w:cstheme="minorHAnsi"/>
        </w:rPr>
        <w:t>illusory self-motion and displacement, or is it the physical arm deviation influencing posture? The arm deviation variables (angular position, and average velocity during the arm deviation) showed significant effects both due to Epoch (</w:t>
      </w:r>
      <w:r w:rsidR="00B81708">
        <w:rPr>
          <w:rFonts w:cstheme="minorHAnsi"/>
        </w:rPr>
        <w:t>Phases 1</w:t>
      </w:r>
      <w:r w:rsidRPr="00CF6A46">
        <w:rPr>
          <w:rFonts w:cstheme="minorHAnsi"/>
        </w:rPr>
        <w:t>,</w:t>
      </w:r>
      <w:r w:rsidR="00B81708">
        <w:rPr>
          <w:rFonts w:cstheme="minorHAnsi"/>
        </w:rPr>
        <w:t xml:space="preserve"> 2, 3</w:t>
      </w:r>
      <w:r w:rsidRPr="00CF6A46">
        <w:rPr>
          <w:rFonts w:cstheme="minorHAnsi"/>
        </w:rPr>
        <w:t xml:space="preserve">) and the Task (Free vs. Pointing). By contrast, among the postural balance metrics from the force plate, the dependent variables derived from the SDFs of COP and WF showed significant effects due to Epoch but not Task. </w:t>
      </w:r>
      <w:r w:rsidRPr="00CF6A46">
        <w:rPr>
          <w:rFonts w:cstheme="minorHAnsi"/>
          <w:b/>
        </w:rPr>
        <w:t xml:space="preserve">This supports that effects on </w:t>
      </w:r>
      <w:r w:rsidR="00A4366B" w:rsidRPr="00CF6A46">
        <w:rPr>
          <w:rFonts w:cstheme="minorHAnsi"/>
          <w:b/>
        </w:rPr>
        <w:t xml:space="preserve">postural </w:t>
      </w:r>
      <w:r w:rsidRPr="00CF6A46">
        <w:rPr>
          <w:rFonts w:cstheme="minorHAnsi"/>
          <w:b/>
        </w:rPr>
        <w:t xml:space="preserve">balance originate from visual motion and are not confounded by the arm being </w:t>
      </w:r>
      <w:r w:rsidR="00A4366B" w:rsidRPr="00CF6A46">
        <w:rPr>
          <w:rFonts w:cstheme="minorHAnsi"/>
          <w:b/>
        </w:rPr>
        <w:t xml:space="preserve">laterally </w:t>
      </w:r>
      <w:r w:rsidRPr="00CF6A46">
        <w:rPr>
          <w:rFonts w:cstheme="minorHAnsi"/>
          <w:b/>
        </w:rPr>
        <w:t>deviated more in the free conditions versus less so in the pointing conditions.</w:t>
      </w:r>
      <w:r w:rsidRPr="00CF6A46">
        <w:rPr>
          <w:rFonts w:cstheme="minorHAnsi"/>
        </w:rPr>
        <w:t xml:space="preserve">  </w:t>
      </w:r>
    </w:p>
    <w:p w14:paraId="4B626E44" w14:textId="77777777" w:rsidR="006F5F0F" w:rsidRPr="00CF6A46" w:rsidRDefault="006F5F0F">
      <w:pPr>
        <w:rPr>
          <w:rFonts w:cstheme="minorHAnsi"/>
        </w:rPr>
      </w:pPr>
    </w:p>
    <w:p w14:paraId="6A6C9E39" w14:textId="77777777" w:rsidR="006F7E74" w:rsidRPr="00CF6A46" w:rsidRDefault="006F7E74" w:rsidP="006F7E74">
      <w:pPr>
        <w:rPr>
          <w:rFonts w:cstheme="minorHAnsi"/>
          <w:b/>
        </w:rPr>
      </w:pPr>
      <w:r w:rsidRPr="00CF6A46">
        <w:rPr>
          <w:rFonts w:cstheme="minorHAnsi"/>
          <w:b/>
        </w:rPr>
        <w:t>Discussion</w:t>
      </w:r>
    </w:p>
    <w:p w14:paraId="63FEE778" w14:textId="77777777" w:rsidR="006F7E74" w:rsidRPr="00CF6A46" w:rsidRDefault="006F7E74" w:rsidP="006F7E74">
      <w:pPr>
        <w:rPr>
          <w:rFonts w:cstheme="minorHAnsi"/>
        </w:rPr>
      </w:pPr>
    </w:p>
    <w:p w14:paraId="4502C813" w14:textId="2F9FAE05" w:rsidR="006F7E74" w:rsidRPr="00CF6A46" w:rsidRDefault="007555E7" w:rsidP="006F7E74">
      <w:pPr>
        <w:spacing w:line="480" w:lineRule="auto"/>
        <w:jc w:val="both"/>
        <w:rPr>
          <w:rFonts w:cstheme="minorHAnsi"/>
        </w:rPr>
      </w:pPr>
      <w:r>
        <w:rPr>
          <w:rFonts w:cstheme="minorHAnsi"/>
        </w:rPr>
        <w:tab/>
      </w:r>
      <w:r w:rsidR="006F7E74" w:rsidRPr="00CF6A46">
        <w:rPr>
          <w:rFonts w:cstheme="minorHAnsi"/>
        </w:rPr>
        <w:t xml:space="preserve">Subjects in any small interval of time were mostly standing in a quiet stance. Quiet stance COP traces are dominated by stochasticity, which is why we used the SDF analysis to characterize postural changes. The COP component in the forward-backward direction showed significant changes after the onset of self-motion perception. Specifically, the short-time-scale power law exponent and the critical point (location in the temporal window axis where the SDF traces inflect from concave to convex, or Brownian to corrective motion) showed differences between </w:t>
      </w:r>
      <w:r w:rsidR="00EE0231">
        <w:rPr>
          <w:rFonts w:cstheme="minorHAnsi"/>
        </w:rPr>
        <w:t>Phase 1</w:t>
      </w:r>
      <w:r w:rsidR="00EE0231" w:rsidRPr="00CF6A46">
        <w:rPr>
          <w:rFonts w:cstheme="minorHAnsi"/>
        </w:rPr>
        <w:t xml:space="preserve"> </w:t>
      </w:r>
      <w:r w:rsidR="006F7E74" w:rsidRPr="00CF6A46">
        <w:rPr>
          <w:rFonts w:cstheme="minorHAnsi"/>
        </w:rPr>
        <w:t>and during self-motion intervals.</w:t>
      </w:r>
    </w:p>
    <w:p w14:paraId="16C266CF" w14:textId="77777777" w:rsidR="006F7E74" w:rsidRPr="00CF6A46" w:rsidRDefault="006F7E74" w:rsidP="006F7E74">
      <w:pPr>
        <w:rPr>
          <w:rFonts w:cstheme="minorHAnsi"/>
        </w:rPr>
      </w:pPr>
    </w:p>
    <w:p w14:paraId="3AEEC7E0" w14:textId="475FC989" w:rsidR="006F7E74" w:rsidRPr="00CF6A46" w:rsidRDefault="006F7E74" w:rsidP="006F7E74">
      <w:pPr>
        <w:spacing w:line="480" w:lineRule="auto"/>
        <w:jc w:val="both"/>
        <w:rPr>
          <w:rFonts w:cstheme="minorHAnsi"/>
        </w:rPr>
      </w:pPr>
      <w:r w:rsidRPr="00CF6A46">
        <w:rPr>
          <w:rFonts w:cstheme="minorHAnsi"/>
        </w:rPr>
        <w:lastRenderedPageBreak/>
        <w:tab/>
      </w:r>
      <w:proofErr w:type="spellStart"/>
      <w:r w:rsidRPr="00CF6A46">
        <w:rPr>
          <w:rFonts w:cstheme="minorHAnsi"/>
        </w:rPr>
        <w:t>Previc</w:t>
      </w:r>
      <w:proofErr w:type="spellEnd"/>
      <w:r w:rsidRPr="00CF6A46">
        <w:rPr>
          <w:rFonts w:cstheme="minorHAnsi"/>
        </w:rPr>
        <w:t xml:space="preserve"> and colleagues were the first to raise the important question whether moving visual arrays could influence postural and joystick control. They wondered whether a “giant hand” type illusion could be induced visually that would be analogous to that experienced in flight when a pilot feels that his or her commands to the aircraft are not being followed because it feels as if a giant hand were tilting the aircraft in roll. In a series of early experiments, they measured postural sway and stick control under conditions of various patterns of moving visual stimulation </w:t>
      </w:r>
      <w:r w:rsidRPr="00B26FB7">
        <w:rPr>
          <w:rFonts w:cstheme="minorHAnsi"/>
        </w:rPr>
        <w:fldChar w:fldCharType="begin">
          <w:fldData xml:space="preserve">PEVuZE5vdGU+PENpdGU+PEF1dGhvcj5QcmV2aWM8L0F1dGhvcj48WWVhcj4xOTkzPC9ZZWFyPjxS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</w:fldData>
        </w:fldChar>
      </w:r>
      <w:r w:rsidR="007F44A3">
        <w:rPr>
          <w:rFonts w:cstheme="minorHAnsi"/>
        </w:rPr>
        <w:instrText xml:space="preserve"> ADDIN EN.CITE </w:instrText>
      </w:r>
      <w:r w:rsidR="007F44A3">
        <w:rPr>
          <w:rFonts w:cstheme="minorHAnsi"/>
        </w:rPr>
        <w:fldChar w:fldCharType="begin">
          <w:fldData xml:space="preserve">PEVuZE5vdGU+PENpdGU+PEF1dGhvcj5QcmV2aWM8L0F1dGhvcj48WWVhcj4xOTkzPC9ZZWFyPjxS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</w:fldData>
        </w:fldChar>
      </w:r>
      <w:r w:rsidR="007F44A3">
        <w:rPr>
          <w:rFonts w:cstheme="minorHAnsi"/>
        </w:rPr>
        <w:instrText xml:space="preserve"> ADDIN EN.CITE.DATA </w:instrText>
      </w:r>
      <w:r w:rsidR="007F44A3">
        <w:rPr>
          <w:rFonts w:cstheme="minorHAnsi"/>
        </w:rPr>
      </w:r>
      <w:r w:rsidR="007F44A3">
        <w:rPr>
          <w:rFonts w:cstheme="minorHAnsi"/>
        </w:rPr>
        <w:fldChar w:fldCharType="end"/>
      </w:r>
      <w:r w:rsidRPr="00B26FB7">
        <w:rPr>
          <w:rFonts w:cstheme="minorHAnsi"/>
        </w:rPr>
      </w:r>
      <w:r w:rsidRPr="00B26FB7">
        <w:rPr>
          <w:rFonts w:cstheme="minorHAnsi"/>
        </w:rPr>
        <w:fldChar w:fldCharType="separate"/>
      </w:r>
      <w:r w:rsidR="007F44A3">
        <w:rPr>
          <w:rFonts w:cstheme="minorHAnsi"/>
          <w:noProof/>
        </w:rPr>
        <w:t>(Previc FH and Donnelly M, 1993;Previc FH and Ercoline WR, 2004;Previc FH et al., 1993;Previc FH and Mullen TJ, 1991;Previc FH and Neel RL, 1995)</w:t>
      </w:r>
      <w:r w:rsidRPr="00B26FB7">
        <w:rPr>
          <w:rFonts w:cstheme="minorHAnsi"/>
        </w:rPr>
        <w:fldChar w:fldCharType="end"/>
      </w:r>
      <w:r w:rsidRPr="00B26FB7">
        <w:rPr>
          <w:rFonts w:cstheme="minorHAnsi"/>
        </w:rPr>
        <w:t>. They also looked at the relationship between the onset of visual m</w:t>
      </w:r>
      <w:r w:rsidRPr="00CF6A46">
        <w:rPr>
          <w:rFonts w:cstheme="minorHAnsi"/>
        </w:rPr>
        <w:t>otion and that of apparent self-motion, “</w:t>
      </w:r>
      <w:proofErr w:type="spellStart"/>
      <w:r w:rsidRPr="00CF6A46">
        <w:rPr>
          <w:rFonts w:cstheme="minorHAnsi"/>
        </w:rPr>
        <w:t>vection</w:t>
      </w:r>
      <w:proofErr w:type="spellEnd"/>
      <w:r w:rsidRPr="00CF6A46">
        <w:rPr>
          <w:rFonts w:cstheme="minorHAnsi"/>
        </w:rPr>
        <w:t>”, and postural change. In one study, subjects standing on a force plate viewed a visual scene projected on a screen subtending 93</w:t>
      </w:r>
      <w:r w:rsidRPr="00B26FB7">
        <w:rPr>
          <w:rFonts w:cstheme="minorHAnsi"/>
        </w:rPr>
        <w:sym w:font="Symbol" w:char="F0B0"/>
      </w:r>
      <w:r w:rsidRPr="00B26FB7">
        <w:rPr>
          <w:rFonts w:cstheme="minorHAnsi"/>
        </w:rPr>
        <w:t xml:space="preserve"> horizontally and 81</w:t>
      </w:r>
      <w:r w:rsidRPr="00B26FB7">
        <w:rPr>
          <w:rFonts w:cstheme="minorHAnsi"/>
        </w:rPr>
        <w:sym w:font="Symbol" w:char="F0B0"/>
      </w:r>
      <w:r w:rsidRPr="00B26FB7">
        <w:rPr>
          <w:rFonts w:cstheme="minorHAnsi"/>
        </w:rPr>
        <w:t xml:space="preserve"> vertically </w:t>
      </w:r>
      <w:r w:rsidRPr="00B26FB7">
        <w:rPr>
          <w:rFonts w:cstheme="minorHAnsi"/>
        </w:rPr>
        <w:fldChar w:fldCharType="begin"/>
      </w:r>
      <w:r w:rsidR="007F44A3">
        <w:rPr>
          <w:rFonts w:cstheme="minorHAnsi"/>
        </w:rPr>
        <w:instrText xml:space="preserve"> ADDIN EN.CITE &lt;EndNote&gt;&lt;Cite&gt;&lt;Author&gt;Previc&lt;/Author&gt;&lt;Year&gt;1991&lt;/Year&gt;&lt;RecNum&gt;56&lt;/RecNum&gt;&lt;DisplayText&gt;(Previc FH and Mullen TJ, 1991)&lt;/DisplayText&gt;&lt;record&gt;&lt;rec-number&gt;56&lt;/rec-number&gt;&lt;foreign-keys&gt;&lt;key app="EN" db-id="fv0reav5d0xav3e90aupwttq0vfvx0ex9s0v" timestamp="1676602387"&gt;56&lt;/key&gt;&lt;/foreign-keys&gt;&lt;ref-type name="Journal Article"&gt;17&lt;/ref-type&gt;&lt;contributors&gt;&lt;authors&gt;&lt;author&gt;Previc, Fred H&lt;/author&gt;&lt;author&gt;Mullen, Thomas J&lt;/author&gt;&lt;/authors&gt;&lt;/contributors&gt;&lt;titles&gt;&lt;title&gt;A comparison of the latencies of visually induced postural change and self-motion perception&lt;/title&gt;&lt;secondary-title&gt;Journal of Vestibular Research&lt;/secondary-title&gt;&lt;/titles&gt;&lt;periodical&gt;&lt;full-title&gt;Journal of Vestibular Research&lt;/full-title&gt;&lt;/periodical&gt;&lt;pages&gt;317-323&lt;/pages&gt;&lt;volume&gt;1&lt;/volume&gt;&lt;number&gt;3&lt;/number&gt;&lt;dates&gt;&lt;year&gt;1991&lt;/year&gt;&lt;/dates&gt;&lt;isbn&gt;0957-4271&lt;/isbn&gt;&lt;urls&gt;&lt;/urls&gt;&lt;/record&gt;&lt;/Cite&gt;&lt;/EndNote&gt;</w:instrText>
      </w:r>
      <w:r w:rsidRPr="00B26FB7">
        <w:rPr>
          <w:rFonts w:cstheme="minorHAnsi"/>
        </w:rPr>
        <w:fldChar w:fldCharType="separate"/>
      </w:r>
      <w:r w:rsidR="007F44A3">
        <w:rPr>
          <w:rFonts w:cstheme="minorHAnsi"/>
          <w:noProof/>
        </w:rPr>
        <w:t>(Previc FH and Mullen TJ, 1991)</w:t>
      </w:r>
      <w:r w:rsidRPr="00B26FB7">
        <w:rPr>
          <w:rFonts w:cstheme="minorHAnsi"/>
        </w:rPr>
        <w:fldChar w:fldCharType="end"/>
      </w:r>
      <w:r w:rsidRPr="00B26FB7">
        <w:rPr>
          <w:rFonts w:cstheme="minorHAnsi"/>
        </w:rPr>
        <w:t>. The visual scene consisting of 100 small white squares against a dark background, could be rotated at 25</w:t>
      </w:r>
      <w:r w:rsidRPr="00B26FB7">
        <w:rPr>
          <w:rFonts w:cstheme="minorHAnsi"/>
        </w:rPr>
        <w:sym w:font="Symbol" w:char="F0B0"/>
      </w:r>
      <w:r w:rsidRPr="00B26FB7">
        <w:rPr>
          <w:rFonts w:cstheme="minorHAnsi"/>
        </w:rPr>
        <w:t xml:space="preserve">/sec in clockwise or counterclockwise roll. After 10 sec of viewing the scene static, it was then set in motion for 50 sec. Postural changes to stimulus motion occurred in less than 5 sec, and </w:t>
      </w:r>
      <w:proofErr w:type="spellStart"/>
      <w:r w:rsidRPr="00B26FB7">
        <w:rPr>
          <w:rFonts w:cstheme="minorHAnsi"/>
        </w:rPr>
        <w:t>vection</w:t>
      </w:r>
      <w:proofErr w:type="spellEnd"/>
      <w:r w:rsidRPr="00B26FB7">
        <w:rPr>
          <w:rFonts w:cstheme="minorHAnsi"/>
        </w:rPr>
        <w:t xml:space="preserve"> occurred at just over 7 sec. Most </w:t>
      </w:r>
      <w:r w:rsidRPr="00CF6A46">
        <w:rPr>
          <w:rFonts w:cstheme="minorHAnsi"/>
        </w:rPr>
        <w:t xml:space="preserve">subjects first postural change was a lateral shift of COP about 1.5 cm leftward for CCW visual motion and rightward for CW roll motion stimulation.  Despite the slight lag in </w:t>
      </w:r>
      <w:proofErr w:type="spellStart"/>
      <w:r w:rsidRPr="00CF6A46">
        <w:rPr>
          <w:rFonts w:cstheme="minorHAnsi"/>
        </w:rPr>
        <w:t>vection</w:t>
      </w:r>
      <w:proofErr w:type="spellEnd"/>
      <w:r w:rsidRPr="00CF6A46">
        <w:rPr>
          <w:rFonts w:cstheme="minorHAnsi"/>
        </w:rPr>
        <w:t xml:space="preserve"> onset to force plate changes, ratings of </w:t>
      </w:r>
      <w:proofErr w:type="spellStart"/>
      <w:r w:rsidRPr="00CF6A46">
        <w:rPr>
          <w:rFonts w:cstheme="minorHAnsi"/>
        </w:rPr>
        <w:t>vection</w:t>
      </w:r>
      <w:proofErr w:type="spellEnd"/>
      <w:r w:rsidRPr="00CF6A46">
        <w:rPr>
          <w:rFonts w:cstheme="minorHAnsi"/>
        </w:rPr>
        <w:t xml:space="preserve"> magnitude and onset showed a strong correlation with force plate changes reflecting postural shifts. Our SDF analysis shows postural changes that are in accord with </w:t>
      </w:r>
      <w:proofErr w:type="spellStart"/>
      <w:r w:rsidRPr="00CF6A46">
        <w:rPr>
          <w:rFonts w:cstheme="minorHAnsi"/>
        </w:rPr>
        <w:t>Previc</w:t>
      </w:r>
      <w:proofErr w:type="spellEnd"/>
      <w:r w:rsidRPr="00CF6A46">
        <w:rPr>
          <w:rFonts w:cstheme="minorHAnsi"/>
        </w:rPr>
        <w:t xml:space="preserve"> and Mullen’s observations.</w:t>
      </w:r>
    </w:p>
    <w:p w14:paraId="1A2CF4A2" w14:textId="56D3E62A" w:rsidR="003A6401" w:rsidRPr="00CF6A46" w:rsidRDefault="003A6401">
      <w:pPr>
        <w:rPr>
          <w:rFonts w:cstheme="minorHAnsi"/>
        </w:rPr>
      </w:pPr>
    </w:p>
    <w:p w14:paraId="7F0E26F6" w14:textId="5CF99B29" w:rsidR="00413A7E" w:rsidRPr="00CF6A46" w:rsidRDefault="00413A7E">
      <w:pPr>
        <w:rPr>
          <w:rFonts w:cstheme="minorHAnsi"/>
        </w:rPr>
      </w:pPr>
    </w:p>
    <w:p w14:paraId="6EC24E08" w14:textId="2F387674" w:rsidR="00413A7E" w:rsidRPr="00CF6A46" w:rsidRDefault="00413A7E">
      <w:pPr>
        <w:rPr>
          <w:rFonts w:cstheme="minorHAnsi"/>
        </w:rPr>
      </w:pPr>
    </w:p>
    <w:p w14:paraId="24250933" w14:textId="6373EC54" w:rsidR="00413A7E" w:rsidRDefault="00413A7E">
      <w:pPr>
        <w:rPr>
          <w:rFonts w:cstheme="minorHAnsi"/>
        </w:rPr>
      </w:pPr>
    </w:p>
    <w:p w14:paraId="713E4DEB" w14:textId="77777777" w:rsidR="007F44A3" w:rsidRPr="00CF6A46" w:rsidRDefault="007F44A3">
      <w:pPr>
        <w:rPr>
          <w:rFonts w:cstheme="minorHAnsi"/>
        </w:rPr>
      </w:pPr>
    </w:p>
    <w:p w14:paraId="478A7925" w14:textId="77777777" w:rsidR="007E5FA2" w:rsidRDefault="007E5FA2">
      <w:pPr>
        <w:rPr>
          <w:rFonts w:cstheme="minorHAnsi"/>
          <w:b/>
        </w:rPr>
      </w:pPr>
    </w:p>
    <w:p w14:paraId="49B19ABB" w14:textId="2760CC4D" w:rsidR="003A6401" w:rsidRPr="00CF6A46" w:rsidRDefault="006A03D5">
      <w:pPr>
        <w:rPr>
          <w:rFonts w:cstheme="minorHAnsi"/>
          <w:b/>
        </w:rPr>
      </w:pPr>
      <w:r w:rsidRPr="00CF6A46">
        <w:rPr>
          <w:rFonts w:cstheme="minorHAnsi"/>
          <w:b/>
        </w:rPr>
        <w:lastRenderedPageBreak/>
        <w:t>Figure Captions</w:t>
      </w:r>
    </w:p>
    <w:p w14:paraId="2CA5EC09" w14:textId="77777777" w:rsidR="006A03D5" w:rsidRPr="00CF6A46" w:rsidRDefault="006A03D5">
      <w:pPr>
        <w:rPr>
          <w:rFonts w:cstheme="minorHAnsi"/>
          <w:b/>
        </w:rPr>
      </w:pPr>
    </w:p>
    <w:p w14:paraId="3D89D465" w14:textId="32485760" w:rsidR="003A6401" w:rsidRPr="00CF6A46" w:rsidRDefault="003A6401" w:rsidP="003A6401">
      <w:pPr>
        <w:spacing w:afterLines="40" w:after="96" w:line="480" w:lineRule="auto"/>
        <w:contextualSpacing/>
        <w:jc w:val="both"/>
        <w:rPr>
          <w:rFonts w:cstheme="minorHAnsi"/>
        </w:rPr>
      </w:pPr>
      <w:r w:rsidRPr="00CF6A46">
        <w:rPr>
          <w:rFonts w:cstheme="minorHAnsi"/>
          <w:b/>
        </w:rPr>
        <w:t xml:space="preserve">Figure </w:t>
      </w:r>
      <w:r w:rsidR="00C82164">
        <w:rPr>
          <w:rFonts w:cstheme="minorHAnsi"/>
          <w:b/>
        </w:rPr>
        <w:t>6</w:t>
      </w:r>
      <w:r w:rsidRPr="00CF6A46">
        <w:rPr>
          <w:rFonts w:cstheme="minorHAnsi"/>
        </w:rPr>
        <w:t xml:space="preserve">. The </w:t>
      </w:r>
      <w:proofErr w:type="spellStart"/>
      <w:r w:rsidRPr="00CF6A46">
        <w:rPr>
          <w:rFonts w:cstheme="minorHAnsi"/>
        </w:rPr>
        <w:t>Stabilogram</w:t>
      </w:r>
      <w:proofErr w:type="spellEnd"/>
      <w:r w:rsidRPr="00CF6A46">
        <w:rPr>
          <w:rFonts w:cstheme="minorHAnsi"/>
        </w:rPr>
        <w:t xml:space="preserve"> Diffusion Functions (SDFs, see method section for details) for the fluctuations in the anterior-posterior (AP) component of the Center of Pressure (CP), “CP</w:t>
      </w:r>
      <w:r w:rsidRPr="00CF6A46">
        <w:rPr>
          <w:rFonts w:cstheme="minorHAnsi"/>
          <w:vertAlign w:val="subscript"/>
        </w:rPr>
        <w:t xml:space="preserve">AP </w:t>
      </w:r>
      <w:proofErr w:type="spellStart"/>
      <w:r w:rsidRPr="00CF6A46">
        <w:rPr>
          <w:rFonts w:cstheme="minorHAnsi"/>
        </w:rPr>
        <w:t>fluc</w:t>
      </w:r>
      <w:proofErr w:type="spellEnd"/>
      <w:r w:rsidRPr="00CF6A46">
        <w:rPr>
          <w:rFonts w:cstheme="minorHAnsi"/>
        </w:rPr>
        <w:t>”. The SDF is computed for temporal windows of variable sizes, up to a maximum width of 2 s. The top panels represent the free conditions, bottom panels the pointing conditions. The Left and right panels are for no-rod and rod conditions, respectively.</w:t>
      </w:r>
    </w:p>
    <w:p w14:paraId="6BA60613" w14:textId="1C4CCEF3" w:rsidR="003A6401" w:rsidRPr="00CF6A46" w:rsidRDefault="003A6401" w:rsidP="003A6401">
      <w:pPr>
        <w:spacing w:afterLines="40" w:after="96" w:line="480" w:lineRule="auto"/>
        <w:contextualSpacing/>
        <w:jc w:val="both"/>
        <w:rPr>
          <w:rFonts w:cstheme="minorHAnsi"/>
        </w:rPr>
      </w:pPr>
      <w:r w:rsidRPr="00CF6A46">
        <w:rPr>
          <w:rFonts w:cstheme="minorHAnsi"/>
          <w:b/>
        </w:rPr>
        <w:t xml:space="preserve">Figure </w:t>
      </w:r>
      <w:r w:rsidR="00C82164">
        <w:rPr>
          <w:rFonts w:cstheme="minorHAnsi"/>
          <w:b/>
        </w:rPr>
        <w:t>7</w:t>
      </w:r>
      <w:r w:rsidRPr="00CF6A46">
        <w:rPr>
          <w:rFonts w:cstheme="minorHAnsi"/>
        </w:rPr>
        <w:t>. SDF for fluctuation in the CP's mediolateral (ML) component, i.e., CP</w:t>
      </w:r>
      <w:r w:rsidRPr="00CF6A46">
        <w:rPr>
          <w:rFonts w:cstheme="minorHAnsi"/>
          <w:vertAlign w:val="subscript"/>
        </w:rPr>
        <w:t>ML</w:t>
      </w:r>
      <w:r w:rsidRPr="00CF6A46">
        <w:rPr>
          <w:rFonts w:cstheme="minorHAnsi"/>
        </w:rPr>
        <w:t xml:space="preserve"> fluctuations. </w:t>
      </w:r>
    </w:p>
    <w:p w14:paraId="5B43E982" w14:textId="49AC0848" w:rsidR="003A6401" w:rsidRPr="00CF6A46" w:rsidRDefault="003A6401" w:rsidP="003A6401">
      <w:pPr>
        <w:spacing w:afterLines="40" w:after="96" w:line="480" w:lineRule="auto"/>
        <w:contextualSpacing/>
        <w:jc w:val="both"/>
        <w:rPr>
          <w:rFonts w:cstheme="minorHAnsi"/>
        </w:rPr>
      </w:pPr>
      <w:bookmarkStart w:id="0" w:name="_GoBack"/>
      <w:r w:rsidRPr="00CF6A46">
        <w:rPr>
          <w:rFonts w:cstheme="minorHAnsi"/>
          <w:b/>
        </w:rPr>
        <w:t>Figure</w:t>
      </w:r>
      <w:bookmarkEnd w:id="0"/>
      <w:r w:rsidRPr="00CF6A46">
        <w:rPr>
          <w:rFonts w:cstheme="minorHAnsi"/>
          <w:b/>
        </w:rPr>
        <w:t xml:space="preserve"> </w:t>
      </w:r>
      <w:r w:rsidR="00C82164">
        <w:rPr>
          <w:rFonts w:cstheme="minorHAnsi"/>
          <w:b/>
        </w:rPr>
        <w:t>8</w:t>
      </w:r>
      <w:r w:rsidRPr="00CF6A46">
        <w:rPr>
          <w:rFonts w:cstheme="minorHAnsi"/>
        </w:rPr>
        <w:t>. SDF of the weight fraction (WF) fluctuations under either foot (as noted in text, WFs under both feet will give precisely the same traces).</w:t>
      </w:r>
    </w:p>
    <w:p w14:paraId="21BA7210" w14:textId="7B54858D" w:rsidR="007F44A3" w:rsidRDefault="007F44A3">
      <w:pPr>
        <w:rPr>
          <w:rFonts w:cstheme="minorHAnsi"/>
        </w:rPr>
      </w:pPr>
    </w:p>
    <w:p w14:paraId="749474AC" w14:textId="17CC352B" w:rsidR="00595C70" w:rsidRPr="00595C70" w:rsidRDefault="00595C70">
      <w:pPr>
        <w:rPr>
          <w:rFonts w:cstheme="minorHAnsi"/>
          <w:b/>
        </w:rPr>
      </w:pPr>
      <w:r w:rsidRPr="00595C70">
        <w:rPr>
          <w:rFonts w:cstheme="minorHAnsi"/>
          <w:b/>
        </w:rPr>
        <w:t>References</w:t>
      </w:r>
    </w:p>
    <w:p w14:paraId="60E530DE" w14:textId="77777777" w:rsidR="007F44A3" w:rsidRDefault="007F44A3">
      <w:pPr>
        <w:rPr>
          <w:rFonts w:cstheme="minorHAnsi"/>
        </w:rPr>
      </w:pPr>
    </w:p>
    <w:p w14:paraId="06759CB2" w14:textId="77777777" w:rsidR="007F44A3" w:rsidRPr="007F44A3" w:rsidRDefault="007F44A3" w:rsidP="007F44A3">
      <w:pPr>
        <w:pStyle w:val="EndNoteBibliography"/>
      </w:pPr>
      <w:r>
        <w:rPr>
          <w:rFonts w:cstheme="minorHAnsi"/>
        </w:rPr>
        <w:fldChar w:fldCharType="begin"/>
      </w:r>
      <w:r>
        <w:rPr>
          <w:rFonts w:cstheme="minorHAnsi"/>
        </w:rPr>
        <w:instrText xml:space="preserve"> ADDIN EN.REFLIST </w:instrText>
      </w:r>
      <w:r>
        <w:rPr>
          <w:rFonts w:cstheme="minorHAnsi"/>
        </w:rPr>
        <w:fldChar w:fldCharType="separate"/>
      </w:r>
      <w:r w:rsidRPr="007F44A3">
        <w:t>Bakshi A, DiZio P, Lackner JR (2014), Statistical analysis of quiet stance sway in 2-D. Experimental brain research 232:1095-1108.</w:t>
      </w:r>
    </w:p>
    <w:p w14:paraId="36C8C190" w14:textId="77777777" w:rsidR="007F44A3" w:rsidRPr="007F44A3" w:rsidRDefault="007F44A3" w:rsidP="007F44A3">
      <w:pPr>
        <w:pStyle w:val="EndNoteBibliography"/>
      </w:pPr>
      <w:r w:rsidRPr="007F44A3">
        <w:t>Collins JJ, De Luca CJ (1993), Open-loop and closed-loop control of posture: a random-walk analysis of center-of-pressure trajectories. Experimental brain research 95:308-318.</w:t>
      </w:r>
    </w:p>
    <w:p w14:paraId="4D249BE8" w14:textId="77777777" w:rsidR="007F44A3" w:rsidRPr="007F44A3" w:rsidRDefault="007F44A3" w:rsidP="007F44A3">
      <w:pPr>
        <w:pStyle w:val="EndNoteBibliography"/>
      </w:pPr>
      <w:r w:rsidRPr="007F44A3">
        <w:t>De Luca C, Collins J (1995), The effects of visual input on open-loop and closed-loop postural control mechanisms. Experimental brain research 103:151-163.</w:t>
      </w:r>
    </w:p>
    <w:p w14:paraId="0C8CBB71" w14:textId="77777777" w:rsidR="007F44A3" w:rsidRPr="007F44A3" w:rsidRDefault="007F44A3" w:rsidP="007F44A3">
      <w:pPr>
        <w:pStyle w:val="EndNoteBibliography"/>
      </w:pPr>
      <w:r w:rsidRPr="007F44A3">
        <w:t>Previc FH, Donnelly M (1993), The effects of visual depth and eccentricity on manual bias, induced motion, and vection. Perception 22:929-945.</w:t>
      </w:r>
    </w:p>
    <w:p w14:paraId="20145E81" w14:textId="77777777" w:rsidR="007F44A3" w:rsidRPr="007F44A3" w:rsidRDefault="007F44A3" w:rsidP="007F44A3">
      <w:pPr>
        <w:pStyle w:val="EndNoteBibliography"/>
      </w:pPr>
      <w:r w:rsidRPr="007F44A3">
        <w:t>Previc FH, Ercoline WR (2004) Spatial disorientation in aviation. Aiaa.</w:t>
      </w:r>
    </w:p>
    <w:p w14:paraId="08A84E43" w14:textId="77777777" w:rsidR="007F44A3" w:rsidRPr="007F44A3" w:rsidRDefault="007F44A3" w:rsidP="007F44A3">
      <w:pPr>
        <w:pStyle w:val="EndNoteBibliography"/>
      </w:pPr>
      <w:r w:rsidRPr="007F44A3">
        <w:t>Previc FH, Kenyon RV, Boer ER, Johnson BH (1993), The effects of background visual roll stimulation on postural and manual control and self-motion perception. Perception &amp; psychophysics 54:93-107.</w:t>
      </w:r>
    </w:p>
    <w:p w14:paraId="670BC853" w14:textId="77777777" w:rsidR="007F44A3" w:rsidRPr="007F44A3" w:rsidRDefault="007F44A3" w:rsidP="007F44A3">
      <w:pPr>
        <w:pStyle w:val="EndNoteBibliography"/>
      </w:pPr>
      <w:r w:rsidRPr="007F44A3">
        <w:t>Previc FH, Mullen TJ (1991), A comparison of the latencies of visually induced postural change and self-motion perception. Journal of Vestibular Research 1:317-323.</w:t>
      </w:r>
    </w:p>
    <w:p w14:paraId="0898FE02" w14:textId="77777777" w:rsidR="007F44A3" w:rsidRPr="007F44A3" w:rsidRDefault="007F44A3" w:rsidP="007F44A3">
      <w:pPr>
        <w:pStyle w:val="EndNoteBibliography"/>
      </w:pPr>
      <w:r w:rsidRPr="007F44A3">
        <w:t>Previc FH, Neel RL (1995), The effects of visual surround eccentricity and size on manual and postural control. Journal of Vestibular Research: Equilibrium &amp; Orientation.</w:t>
      </w:r>
    </w:p>
    <w:p w14:paraId="5761FB90" w14:textId="4A10FBCF" w:rsidR="003A6401" w:rsidRPr="00CF6A46" w:rsidRDefault="007F44A3">
      <w:pPr>
        <w:rPr>
          <w:rFonts w:cstheme="minorHAnsi"/>
        </w:rPr>
      </w:pPr>
      <w:r>
        <w:rPr>
          <w:rFonts w:cstheme="minorHAnsi"/>
        </w:rPr>
        <w:fldChar w:fldCharType="end"/>
      </w:r>
    </w:p>
    <w:sectPr w:rsidR="003A6401" w:rsidRPr="00CF6A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756C0"/>
    <w:multiLevelType w:val="hybridMultilevel"/>
    <w:tmpl w:val="21E23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AA14D7"/>
    <w:multiLevelType w:val="hybridMultilevel"/>
    <w:tmpl w:val="75BAC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D834ED2-383B-4FA9-B1AE-5A8D3F6A8E30}"/>
    <w:docVar w:name="dgnword-eventsink" w:val="1409992565392"/>
    <w:docVar w:name="EN.Layout" w:val="&lt;ENLayout&gt;&lt;Style&gt;Neuroscienc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v0reav5d0xav3e90aupwttq0vfvx0ex9s0v&quot;&gt;NIH R21 Oct ref from Paul&lt;record-ids&gt;&lt;item&gt;56&lt;/item&gt;&lt;item&gt;58&lt;/item&gt;&lt;item&gt;66&lt;/item&gt;&lt;item&gt;68&lt;/item&gt;&lt;item&gt;69&lt;/item&gt;&lt;item&gt;74&lt;/item&gt;&lt;item&gt;79&lt;/item&gt;&lt;item&gt;80&lt;/item&gt;&lt;/record-ids&gt;&lt;/item&gt;&lt;/Libraries&gt;"/>
  </w:docVars>
  <w:rsids>
    <w:rsidRoot w:val="003A6401"/>
    <w:rsid w:val="0004408A"/>
    <w:rsid w:val="00091EF7"/>
    <w:rsid w:val="000A725E"/>
    <w:rsid w:val="000B0AFA"/>
    <w:rsid w:val="000E706E"/>
    <w:rsid w:val="00122EAC"/>
    <w:rsid w:val="001C41A0"/>
    <w:rsid w:val="002110E7"/>
    <w:rsid w:val="002266BB"/>
    <w:rsid w:val="002427EA"/>
    <w:rsid w:val="0029637B"/>
    <w:rsid w:val="00316B3E"/>
    <w:rsid w:val="00390578"/>
    <w:rsid w:val="003A6401"/>
    <w:rsid w:val="003A6FB3"/>
    <w:rsid w:val="003C30BC"/>
    <w:rsid w:val="00400886"/>
    <w:rsid w:val="00413A7E"/>
    <w:rsid w:val="0043062E"/>
    <w:rsid w:val="00461B9F"/>
    <w:rsid w:val="00563025"/>
    <w:rsid w:val="00570486"/>
    <w:rsid w:val="00581A93"/>
    <w:rsid w:val="00595C70"/>
    <w:rsid w:val="005C425D"/>
    <w:rsid w:val="006855B1"/>
    <w:rsid w:val="006A03D5"/>
    <w:rsid w:val="006A184A"/>
    <w:rsid w:val="006A1D64"/>
    <w:rsid w:val="006F5F0F"/>
    <w:rsid w:val="006F7E74"/>
    <w:rsid w:val="00732F95"/>
    <w:rsid w:val="007555E7"/>
    <w:rsid w:val="007E5FA2"/>
    <w:rsid w:val="007F44A3"/>
    <w:rsid w:val="009D4ED7"/>
    <w:rsid w:val="00A01DC1"/>
    <w:rsid w:val="00A4366B"/>
    <w:rsid w:val="00A95AD1"/>
    <w:rsid w:val="00AA1152"/>
    <w:rsid w:val="00B02836"/>
    <w:rsid w:val="00B26FB7"/>
    <w:rsid w:val="00B81708"/>
    <w:rsid w:val="00C11547"/>
    <w:rsid w:val="00C151AD"/>
    <w:rsid w:val="00C24625"/>
    <w:rsid w:val="00C54A28"/>
    <w:rsid w:val="00C82164"/>
    <w:rsid w:val="00C8342D"/>
    <w:rsid w:val="00CF6A46"/>
    <w:rsid w:val="00DB160E"/>
    <w:rsid w:val="00E1085E"/>
    <w:rsid w:val="00E9204B"/>
    <w:rsid w:val="00EE0231"/>
    <w:rsid w:val="00F161A7"/>
    <w:rsid w:val="00FA4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E6D78"/>
  <w15:chartTrackingRefBased/>
  <w15:docId w15:val="{5F36A3E7-2CBB-4844-A578-4503D68DD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6401"/>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6401"/>
    <w:pPr>
      <w:ind w:left="720"/>
      <w:contextualSpacing/>
    </w:pPr>
  </w:style>
  <w:style w:type="character" w:styleId="CommentReference">
    <w:name w:val="annotation reference"/>
    <w:basedOn w:val="DefaultParagraphFont"/>
    <w:uiPriority w:val="99"/>
    <w:semiHidden/>
    <w:unhideWhenUsed/>
    <w:rsid w:val="003A6401"/>
    <w:rPr>
      <w:sz w:val="16"/>
      <w:szCs w:val="16"/>
    </w:rPr>
  </w:style>
  <w:style w:type="paragraph" w:styleId="CommentText">
    <w:name w:val="annotation text"/>
    <w:basedOn w:val="Normal"/>
    <w:link w:val="CommentTextChar"/>
    <w:uiPriority w:val="99"/>
    <w:unhideWhenUsed/>
    <w:rsid w:val="003A6401"/>
    <w:rPr>
      <w:sz w:val="20"/>
      <w:szCs w:val="20"/>
    </w:rPr>
  </w:style>
  <w:style w:type="character" w:customStyle="1" w:styleId="CommentTextChar">
    <w:name w:val="Comment Text Char"/>
    <w:basedOn w:val="DefaultParagraphFont"/>
    <w:link w:val="CommentText"/>
    <w:uiPriority w:val="99"/>
    <w:rsid w:val="003A6401"/>
    <w:rPr>
      <w:sz w:val="20"/>
      <w:szCs w:val="20"/>
    </w:rPr>
  </w:style>
  <w:style w:type="paragraph" w:styleId="BalloonText">
    <w:name w:val="Balloon Text"/>
    <w:basedOn w:val="Normal"/>
    <w:link w:val="BalloonTextChar"/>
    <w:uiPriority w:val="99"/>
    <w:semiHidden/>
    <w:unhideWhenUsed/>
    <w:rsid w:val="003A64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640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E706E"/>
    <w:rPr>
      <w:b/>
      <w:bCs/>
    </w:rPr>
  </w:style>
  <w:style w:type="character" w:customStyle="1" w:styleId="CommentSubjectChar">
    <w:name w:val="Comment Subject Char"/>
    <w:basedOn w:val="CommentTextChar"/>
    <w:link w:val="CommentSubject"/>
    <w:uiPriority w:val="99"/>
    <w:semiHidden/>
    <w:rsid w:val="000E706E"/>
    <w:rPr>
      <w:b/>
      <w:bCs/>
      <w:sz w:val="20"/>
      <w:szCs w:val="20"/>
    </w:rPr>
  </w:style>
  <w:style w:type="paragraph" w:customStyle="1" w:styleId="EndNoteBibliographyTitle">
    <w:name w:val="EndNote Bibliography Title"/>
    <w:basedOn w:val="Normal"/>
    <w:link w:val="EndNoteBibliographyTitleChar"/>
    <w:rsid w:val="007F44A3"/>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F44A3"/>
    <w:rPr>
      <w:rFonts w:ascii="Calibri" w:hAnsi="Calibri" w:cs="Calibri"/>
      <w:noProof/>
      <w:sz w:val="24"/>
      <w:szCs w:val="24"/>
    </w:rPr>
  </w:style>
  <w:style w:type="paragraph" w:customStyle="1" w:styleId="EndNoteBibliography">
    <w:name w:val="EndNote Bibliography"/>
    <w:basedOn w:val="Normal"/>
    <w:link w:val="EndNoteBibliographyChar"/>
    <w:rsid w:val="007F44A3"/>
    <w:rPr>
      <w:rFonts w:ascii="Calibri" w:hAnsi="Calibri" w:cs="Calibri"/>
      <w:noProof/>
    </w:rPr>
  </w:style>
  <w:style w:type="character" w:customStyle="1" w:styleId="EndNoteBibliographyChar">
    <w:name w:val="EndNote Bibliography Char"/>
    <w:basedOn w:val="DefaultParagraphFont"/>
    <w:link w:val="EndNoteBibliography"/>
    <w:rsid w:val="007F44A3"/>
    <w:rPr>
      <w:rFonts w:ascii="Calibri" w:hAnsi="Calibri" w:cs="Calibri"/>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2419</Words>
  <Characters>13793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Brandeis University</Company>
  <LinksUpToDate>false</LinksUpToDate>
  <CharactersWithSpaces>16180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Avijit Bakshi</dc:creator>
  <cp:keywords/>
  <dc:description/>
  <cp:lastModifiedBy>Avijit Bakshi</cp:lastModifiedBy>
  <cp:revision>3</cp:revision>
  <dcterms:created xsi:type="dcterms:W3CDTF">2024-07-26T20:44:00Z</dcterms:created>
  <dcterms:modified xsi:type="dcterms:W3CDTF">2024-07-26T20:44:00Z</dcterms:modified>
</cp:coreProperties>
</file>