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autoSpaceDE w:val="0"/>
        <w:autoSpaceDN w:val="0"/>
        <w:adjustRightInd w:val="0"/>
        <w:snapToGrid w:val="0"/>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Electronic Supplementary Materials</w:t>
      </w:r>
    </w:p>
    <w:p>
      <w:pPr>
        <w:autoSpaceDE w:val="0"/>
        <w:autoSpaceDN w:val="0"/>
        <w:adjustRightInd w:val="0"/>
        <w:snapToGrid w:val="0"/>
        <w:spacing w:line="480" w:lineRule="auto"/>
        <w:jc w:val="left"/>
        <w:rPr>
          <w:rFonts w:ascii="Times New Roman" w:hAnsi="Times New Roman" w:cs="Times New Roman"/>
          <w:b/>
          <w:bCs/>
          <w:sz w:val="24"/>
          <w:szCs w:val="24"/>
        </w:rPr>
      </w:pPr>
    </w:p>
    <w:p>
      <w:pPr>
        <w:autoSpaceDE w:val="0"/>
        <w:autoSpaceDN w:val="0"/>
        <w:adjustRightInd w:val="0"/>
        <w:snapToGrid w:val="0"/>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Three-times-weekly Administration of </w:t>
      </w:r>
      <w:proofErr w:type="spellStart"/>
      <w:r>
        <w:rPr>
          <w:rFonts w:ascii="Times New Roman" w:hAnsi="Times New Roman" w:cs="Times New Roman"/>
          <w:b/>
          <w:bCs/>
          <w:sz w:val="24"/>
          <w:szCs w:val="24"/>
        </w:rPr>
        <w:t>Teriparatide</w:t>
      </w:r>
      <w:proofErr w:type="spellEnd"/>
      <w:r>
        <w:rPr>
          <w:rFonts w:ascii="Times New Roman" w:hAnsi="Times New Roman" w:cs="Times New Roman"/>
          <w:b/>
          <w:bCs/>
          <w:sz w:val="24"/>
          <w:szCs w:val="24"/>
        </w:rPr>
        <w:t xml:space="preserve"> Improves Vertebral and Peripheral Bone Density, </w:t>
      </w:r>
      <w:proofErr w:type="spellStart"/>
      <w:r>
        <w:rPr>
          <w:rFonts w:ascii="Times New Roman" w:hAnsi="Times New Roman" w:cs="Times New Roman"/>
          <w:b/>
          <w:bCs/>
          <w:sz w:val="24"/>
          <w:szCs w:val="24"/>
        </w:rPr>
        <w:t>Microarchitecture</w:t>
      </w:r>
      <w:proofErr w:type="spellEnd"/>
      <w:r>
        <w:rPr>
          <w:rFonts w:ascii="Times New Roman" w:hAnsi="Times New Roman" w:cs="Times New Roman"/>
          <w:b/>
          <w:bCs/>
          <w:sz w:val="24"/>
          <w:szCs w:val="24"/>
        </w:rPr>
        <w:t xml:space="preserve">, and Mechanical Properties Without Accelerating Bone </w:t>
      </w:r>
      <w:proofErr w:type="spellStart"/>
      <w:r>
        <w:rPr>
          <w:rFonts w:ascii="Times New Roman" w:hAnsi="Times New Roman" w:cs="Times New Roman"/>
          <w:b/>
          <w:bCs/>
          <w:sz w:val="24"/>
          <w:szCs w:val="24"/>
        </w:rPr>
        <w:t>Resorption</w:t>
      </w:r>
      <w:proofErr w:type="spellEnd"/>
      <w:r>
        <w:rPr>
          <w:rFonts w:ascii="Times New Roman" w:hAnsi="Times New Roman" w:cs="Times New Roman"/>
          <w:b/>
          <w:bCs/>
          <w:sz w:val="24"/>
          <w:szCs w:val="24"/>
        </w:rPr>
        <w:t xml:space="preserve"> in </w:t>
      </w:r>
      <w:proofErr w:type="spellStart"/>
      <w:r>
        <w:rPr>
          <w:rFonts w:ascii="Times New Roman" w:hAnsi="Times New Roman" w:cs="Times New Roman"/>
          <w:b/>
          <w:bCs/>
          <w:sz w:val="24"/>
          <w:szCs w:val="24"/>
        </w:rPr>
        <w:t>Ovariectomized</w:t>
      </w:r>
      <w:proofErr w:type="spellEnd"/>
      <w:r>
        <w:rPr>
          <w:rFonts w:ascii="Times New Roman" w:hAnsi="Times New Roman" w:cs="Times New Roman"/>
          <w:b/>
          <w:bCs/>
          <w:sz w:val="24"/>
          <w:szCs w:val="24"/>
        </w:rPr>
        <w:t xml:space="preserve"> Rats</w:t>
      </w:r>
    </w:p>
    <w:p>
      <w:pPr>
        <w:snapToGrid w:val="0"/>
        <w:spacing w:line="480" w:lineRule="auto"/>
        <w:jc w:val="left"/>
        <w:rPr>
          <w:rFonts w:ascii="Times New Roman" w:hAnsi="Times New Roman" w:cs="Times New Roman"/>
          <w:b/>
          <w:bCs/>
          <w:kern w:val="0"/>
          <w:sz w:val="24"/>
          <w:szCs w:val="24"/>
        </w:rPr>
      </w:pPr>
    </w:p>
    <w:p>
      <w:pPr>
        <w:spacing w:line="480" w:lineRule="auto"/>
        <w:jc w:val="left"/>
        <w:rPr>
          <w:rFonts w:ascii="Times New Roman" w:eastAsia="HGMaruGothicMPRO" w:hAnsi="Times New Roman" w:cs="Times New Roman"/>
          <w:kern w:val="0"/>
          <w:sz w:val="24"/>
          <w:szCs w:val="24"/>
        </w:rPr>
      </w:pPr>
      <w:proofErr w:type="spellStart"/>
      <w:r>
        <w:rPr>
          <w:rFonts w:ascii="Times New Roman" w:eastAsia="HGMaruGothicMPRO" w:hAnsi="Times New Roman" w:cs="Times New Roman"/>
          <w:kern w:val="0"/>
          <w:sz w:val="24"/>
          <w:szCs w:val="24"/>
        </w:rPr>
        <w:t>Ryoko</w:t>
      </w:r>
      <w:proofErr w:type="spellEnd"/>
      <w:r>
        <w:rPr>
          <w:rFonts w:ascii="Times New Roman" w:eastAsia="HGMaruGothicMPRO" w:hAnsi="Times New Roman" w:cs="Times New Roman"/>
          <w:kern w:val="0"/>
          <w:sz w:val="24"/>
          <w:szCs w:val="24"/>
        </w:rPr>
        <w:t xml:space="preserve"> Takao-Kawabata · Yukihiro </w:t>
      </w:r>
      <w:proofErr w:type="spellStart"/>
      <w:r>
        <w:rPr>
          <w:rFonts w:ascii="Times New Roman" w:eastAsia="HGMaruGothicMPRO" w:hAnsi="Times New Roman" w:cs="Times New Roman"/>
          <w:kern w:val="0"/>
          <w:sz w:val="24"/>
          <w:szCs w:val="24"/>
        </w:rPr>
        <w:t>Isogai</w:t>
      </w:r>
      <w:proofErr w:type="spellEnd"/>
      <w:r>
        <w:rPr>
          <w:rFonts w:ascii="Times New Roman" w:eastAsia="HGMaruGothicMPRO" w:hAnsi="Times New Roman" w:cs="Times New Roman"/>
          <w:kern w:val="0"/>
          <w:sz w:val="24"/>
          <w:szCs w:val="24"/>
        </w:rPr>
        <w:t xml:space="preserve"> ·</w:t>
      </w:r>
      <w:r>
        <w:rPr>
          <w:rStyle w:val="px101"/>
          <w:rFonts w:ascii="Times New Roman" w:hAnsi="Times New Roman" w:cs="Times New Roman"/>
          <w:sz w:val="24"/>
          <w:szCs w:val="24"/>
        </w:rPr>
        <w:t xml:space="preserve"> </w:t>
      </w:r>
      <w:proofErr w:type="spellStart"/>
      <w:r>
        <w:rPr>
          <w:rStyle w:val="px101"/>
          <w:rFonts w:ascii="Times New Roman" w:hAnsi="Times New Roman" w:cs="Times New Roman"/>
          <w:sz w:val="24"/>
          <w:szCs w:val="24"/>
        </w:rPr>
        <w:t>Aya</w:t>
      </w:r>
      <w:proofErr w:type="spellEnd"/>
      <w:r>
        <w:rPr>
          <w:rStyle w:val="px101"/>
          <w:rFonts w:ascii="Times New Roman" w:hAnsi="Times New Roman" w:cs="Times New Roman"/>
          <w:sz w:val="24"/>
          <w:szCs w:val="24"/>
        </w:rPr>
        <w:t xml:space="preserve"> Shimomura · Yukari </w:t>
      </w:r>
      <w:proofErr w:type="spellStart"/>
      <w:r>
        <w:rPr>
          <w:rStyle w:val="px101"/>
          <w:rFonts w:ascii="Times New Roman" w:hAnsi="Times New Roman" w:cs="Times New Roman"/>
          <w:sz w:val="24"/>
          <w:szCs w:val="24"/>
        </w:rPr>
        <w:t>Shimazu</w:t>
      </w:r>
      <w:proofErr w:type="spellEnd"/>
      <w:r>
        <w:rPr>
          <w:rStyle w:val="px101"/>
          <w:rFonts w:ascii="Times New Roman" w:hAnsi="Times New Roman" w:cs="Times New Roman"/>
          <w:sz w:val="24"/>
          <w:szCs w:val="24"/>
        </w:rPr>
        <w:t xml:space="preserve"> · </w:t>
      </w:r>
      <w:proofErr w:type="spellStart"/>
      <w:r>
        <w:rPr>
          <w:rStyle w:val="px101"/>
          <w:rFonts w:ascii="Times New Roman" w:hAnsi="Times New Roman" w:cs="Times New Roman"/>
          <w:sz w:val="24"/>
          <w:szCs w:val="24"/>
        </w:rPr>
        <w:t>Emika</w:t>
      </w:r>
      <w:proofErr w:type="spellEnd"/>
      <w:r>
        <w:rPr>
          <w:rStyle w:val="px101"/>
          <w:rFonts w:ascii="Times New Roman" w:hAnsi="Times New Roman" w:cs="Times New Roman"/>
          <w:sz w:val="24"/>
          <w:szCs w:val="24"/>
        </w:rPr>
        <w:t xml:space="preserve"> Sugimoto · Osamu </w:t>
      </w:r>
      <w:proofErr w:type="spellStart"/>
      <w:r>
        <w:rPr>
          <w:rStyle w:val="px101"/>
          <w:rFonts w:ascii="Times New Roman" w:hAnsi="Times New Roman" w:cs="Times New Roman"/>
          <w:sz w:val="24"/>
          <w:szCs w:val="24"/>
        </w:rPr>
        <w:t>Nakazono</w:t>
      </w:r>
      <w:proofErr w:type="spellEnd"/>
      <w:r>
        <w:rPr>
          <w:rStyle w:val="px101"/>
          <w:rFonts w:ascii="Times New Roman" w:hAnsi="Times New Roman" w:cs="Times New Roman"/>
          <w:sz w:val="24"/>
          <w:szCs w:val="24"/>
        </w:rPr>
        <w:t xml:space="preserve"> · </w:t>
      </w:r>
      <w:r>
        <w:rPr>
          <w:rFonts w:ascii="Times New Roman" w:eastAsia="HGMaruGothicMPRO" w:hAnsi="Times New Roman" w:cs="Times New Roman"/>
          <w:kern w:val="0"/>
          <w:sz w:val="24"/>
          <w:szCs w:val="24"/>
        </w:rPr>
        <w:t xml:space="preserve">Ichiro </w:t>
      </w:r>
      <w:proofErr w:type="spellStart"/>
      <w:r>
        <w:rPr>
          <w:rFonts w:ascii="Times New Roman" w:eastAsia="HGMaruGothicMPRO" w:hAnsi="Times New Roman" w:cs="Times New Roman"/>
          <w:kern w:val="0"/>
          <w:sz w:val="24"/>
          <w:szCs w:val="24"/>
        </w:rPr>
        <w:t>Ikegaki</w:t>
      </w:r>
      <w:proofErr w:type="spellEnd"/>
      <w:r>
        <w:rPr>
          <w:rFonts w:ascii="Times New Roman" w:eastAsia="HGMaruGothicMPRO" w:hAnsi="Times New Roman" w:cs="Times New Roman"/>
          <w:kern w:val="0"/>
          <w:sz w:val="24"/>
          <w:szCs w:val="24"/>
        </w:rPr>
        <w:t xml:space="preserve"> ·</w:t>
      </w:r>
      <w:r>
        <w:rPr>
          <w:rStyle w:val="px101"/>
          <w:rFonts w:ascii="Times New Roman" w:hAnsi="Times New Roman" w:cs="Times New Roman"/>
          <w:sz w:val="24"/>
          <w:szCs w:val="24"/>
        </w:rPr>
        <w:t xml:space="preserve"> </w:t>
      </w:r>
      <w:r>
        <w:rPr>
          <w:rFonts w:ascii="Times New Roman" w:eastAsia="HGMaruGothicMPRO" w:hAnsi="Times New Roman" w:cs="Times New Roman"/>
          <w:kern w:val="0"/>
          <w:sz w:val="24"/>
          <w:szCs w:val="24"/>
        </w:rPr>
        <w:t xml:space="preserve">Hiroshi </w:t>
      </w:r>
      <w:proofErr w:type="spellStart"/>
      <w:r>
        <w:rPr>
          <w:rFonts w:ascii="Times New Roman" w:eastAsia="HGMaruGothicMPRO" w:hAnsi="Times New Roman" w:cs="Times New Roman"/>
          <w:kern w:val="0"/>
          <w:sz w:val="24"/>
          <w:szCs w:val="24"/>
        </w:rPr>
        <w:t>Kuriyama</w:t>
      </w:r>
      <w:proofErr w:type="spellEnd"/>
      <w:r>
        <w:rPr>
          <w:rFonts w:ascii="Times New Roman" w:eastAsia="HGMaruGothicMPRO" w:hAnsi="Times New Roman" w:cs="Times New Roman"/>
          <w:kern w:val="0"/>
          <w:sz w:val="24"/>
          <w:szCs w:val="24"/>
        </w:rPr>
        <w:t xml:space="preserve"> ·</w:t>
      </w:r>
      <w:r>
        <w:rPr>
          <w:rStyle w:val="px101"/>
          <w:rFonts w:ascii="Times New Roman" w:hAnsi="Times New Roman" w:cs="Times New Roman"/>
          <w:sz w:val="24"/>
          <w:szCs w:val="24"/>
        </w:rPr>
        <w:t xml:space="preserve"> </w:t>
      </w:r>
      <w:r>
        <w:rPr>
          <w:rFonts w:ascii="Times New Roman" w:eastAsia="HGMaruGothicMPRO" w:hAnsi="Times New Roman" w:cs="Times New Roman"/>
          <w:kern w:val="0"/>
          <w:sz w:val="24"/>
          <w:szCs w:val="24"/>
        </w:rPr>
        <w:t xml:space="preserve">Shinya Tanaka · Hiromi </w:t>
      </w:r>
      <w:proofErr w:type="spellStart"/>
      <w:r>
        <w:rPr>
          <w:rFonts w:ascii="Times New Roman" w:eastAsia="HGMaruGothicMPRO" w:hAnsi="Times New Roman" w:cs="Times New Roman"/>
          <w:kern w:val="0"/>
          <w:sz w:val="24"/>
          <w:szCs w:val="24"/>
        </w:rPr>
        <w:t>Oda</w:t>
      </w:r>
      <w:proofErr w:type="spellEnd"/>
      <w:r>
        <w:rPr>
          <w:rFonts w:ascii="Times New Roman" w:eastAsia="HGMaruGothicMPRO" w:hAnsi="Times New Roman" w:cs="Times New Roman"/>
          <w:kern w:val="0"/>
          <w:sz w:val="24"/>
          <w:szCs w:val="24"/>
        </w:rPr>
        <w:t xml:space="preserve"> · </w:t>
      </w:r>
      <w:proofErr w:type="spellStart"/>
      <w:r>
        <w:rPr>
          <w:rFonts w:ascii="Times New Roman" w:eastAsia="HGMaruGothicMPRO" w:hAnsi="Times New Roman" w:cs="Times New Roman"/>
          <w:kern w:val="0"/>
          <w:sz w:val="24"/>
          <w:szCs w:val="24"/>
        </w:rPr>
        <w:t>Toshinori</w:t>
      </w:r>
      <w:proofErr w:type="spellEnd"/>
      <w:r>
        <w:rPr>
          <w:rFonts w:ascii="Times New Roman" w:eastAsia="HGMaruGothicMPRO" w:hAnsi="Times New Roman" w:cs="Times New Roman"/>
          <w:kern w:val="0"/>
          <w:sz w:val="24"/>
          <w:szCs w:val="24"/>
        </w:rPr>
        <w:t xml:space="preserve"> </w:t>
      </w:r>
      <w:proofErr w:type="spellStart"/>
      <w:r>
        <w:rPr>
          <w:rFonts w:ascii="Times New Roman" w:eastAsia="HGMaruGothicMPRO" w:hAnsi="Times New Roman" w:cs="Times New Roman"/>
          <w:kern w:val="0"/>
          <w:sz w:val="24"/>
          <w:szCs w:val="24"/>
        </w:rPr>
        <w:t>Ishizuya</w:t>
      </w:r>
      <w:proofErr w:type="spellEnd"/>
    </w:p>
    <w:p>
      <w:pPr>
        <w:spacing w:line="480" w:lineRule="auto"/>
        <w:jc w:val="left"/>
        <w:rPr>
          <w:rFonts w:ascii="Times New Roman" w:eastAsia="HGMaruGothicMPRO" w:hAnsi="Times New Roman" w:cs="Times New Roman"/>
          <w:kern w:val="0"/>
          <w:sz w:val="24"/>
          <w:szCs w:val="24"/>
        </w:rPr>
      </w:pPr>
    </w:p>
    <w:p>
      <w:pPr>
        <w:spacing w:line="480" w:lineRule="auto"/>
        <w:jc w:val="left"/>
        <w:rPr>
          <w:rFonts w:ascii="Times New Roman" w:eastAsia="HGMaruGothicMPRO" w:hAnsi="Times New Roman" w:cs="Times New Roman"/>
          <w:b/>
          <w:kern w:val="0"/>
          <w:sz w:val="24"/>
          <w:szCs w:val="24"/>
        </w:rPr>
      </w:pPr>
      <w:r>
        <w:rPr>
          <w:rFonts w:ascii="Times New Roman" w:eastAsia="HGMaruGothicMPRO" w:hAnsi="Times New Roman" w:cs="Times New Roman"/>
          <w:b/>
          <w:kern w:val="0"/>
          <w:sz w:val="24"/>
          <w:szCs w:val="24"/>
        </w:rPr>
        <w:t>Contents</w:t>
      </w:r>
    </w:p>
    <w:p>
      <w:pPr>
        <w:spacing w:line="480" w:lineRule="auto"/>
        <w:jc w:val="left"/>
        <w:rPr>
          <w:rFonts w:ascii="Times New Roman" w:eastAsia="HGMaruGothicMPRO" w:hAnsi="Times New Roman" w:cs="Times New Roman"/>
          <w:kern w:val="0"/>
          <w:sz w:val="24"/>
          <w:szCs w:val="24"/>
        </w:rPr>
      </w:pPr>
      <w:r>
        <w:rPr>
          <w:rFonts w:ascii="Times New Roman" w:eastAsia="HGMaruGothicMPRO" w:hAnsi="Times New Roman" w:cs="Times New Roman"/>
          <w:kern w:val="0"/>
          <w:sz w:val="24"/>
          <w:szCs w:val="24"/>
        </w:rPr>
        <w:t>Serum Biochemistry</w:t>
      </w:r>
    </w:p>
    <w:p>
      <w:pPr>
        <w:spacing w:line="480" w:lineRule="auto"/>
        <w:jc w:val="left"/>
        <w:rPr>
          <w:rFonts w:ascii="Times New Roman" w:eastAsia="HGMaruGothicMPRO" w:hAnsi="Times New Roman" w:cs="Times New Roman"/>
          <w:kern w:val="0"/>
          <w:sz w:val="24"/>
          <w:szCs w:val="24"/>
        </w:rPr>
      </w:pPr>
      <w:r>
        <w:rPr>
          <w:rFonts w:ascii="Times New Roman" w:eastAsia="HGMaruGothicMPRO" w:hAnsi="Times New Roman" w:cs="Times New Roman"/>
          <w:kern w:val="0"/>
          <w:sz w:val="24"/>
          <w:szCs w:val="24"/>
        </w:rPr>
        <w:t>Measurement of Bone Mineral Density (BMD)</w:t>
      </w:r>
    </w:p>
    <w:p>
      <w:pPr>
        <w:spacing w:line="480" w:lineRule="auto"/>
        <w:jc w:val="left"/>
        <w:rPr>
          <w:rFonts w:ascii="Times New Roman" w:eastAsia="HGMaruGothicMPRO" w:hAnsi="Times New Roman" w:cs="Times New Roman"/>
          <w:kern w:val="0"/>
          <w:sz w:val="24"/>
          <w:szCs w:val="24"/>
        </w:rPr>
      </w:pPr>
      <w:r>
        <w:rPr>
          <w:rFonts w:ascii="Times New Roman" w:eastAsia="HGMaruGothicMPRO" w:hAnsi="Times New Roman" w:cs="Times New Roman"/>
          <w:kern w:val="0"/>
          <w:sz w:val="24"/>
          <w:szCs w:val="24"/>
        </w:rPr>
        <w:t xml:space="preserve">Successful Establishment of Osteoporosis by </w:t>
      </w:r>
      <w:proofErr w:type="spellStart"/>
      <w:r>
        <w:rPr>
          <w:rFonts w:ascii="Times New Roman" w:eastAsia="HGMaruGothicMPRO" w:hAnsi="Times New Roman" w:cs="Times New Roman"/>
          <w:kern w:val="0"/>
          <w:sz w:val="24"/>
          <w:szCs w:val="24"/>
        </w:rPr>
        <w:t>Ovariectomy</w:t>
      </w:r>
      <w:proofErr w:type="spellEnd"/>
      <w:r>
        <w:rPr>
          <w:rFonts w:ascii="Times New Roman" w:eastAsia="HGMaruGothicMPRO" w:hAnsi="Times New Roman" w:cs="Times New Roman"/>
          <w:kern w:val="0"/>
          <w:sz w:val="24"/>
          <w:szCs w:val="24"/>
        </w:rPr>
        <w:t xml:space="preserve"> (OVX)</w:t>
      </w:r>
    </w:p>
    <w:p>
      <w:pPr>
        <w:spacing w:line="480" w:lineRule="auto"/>
        <w:jc w:val="left"/>
        <w:rPr>
          <w:rFonts w:ascii="Times New Roman" w:eastAsia="HGMaruGothicMPRO" w:hAnsi="Times New Roman" w:cs="Times New Roman"/>
          <w:kern w:val="0"/>
          <w:sz w:val="24"/>
          <w:szCs w:val="24"/>
        </w:rPr>
      </w:pPr>
      <w:r>
        <w:rPr>
          <w:rFonts w:ascii="Times New Roman" w:eastAsia="HGMaruGothicMPRO" w:hAnsi="Times New Roman" w:cs="Times New Roman"/>
          <w:kern w:val="0"/>
          <w:sz w:val="24"/>
          <w:szCs w:val="24"/>
        </w:rPr>
        <w:t>References</w:t>
      </w:r>
    </w:p>
    <w:p>
      <w:pPr>
        <w:spacing w:line="480" w:lineRule="auto"/>
        <w:jc w:val="left"/>
        <w:rPr>
          <w:rFonts w:ascii="Times New Roman" w:eastAsia="HGMaruGothicMPRO" w:hAnsi="Times New Roman" w:cs="Times New Roman"/>
          <w:kern w:val="0"/>
          <w:sz w:val="24"/>
          <w:szCs w:val="24"/>
        </w:rPr>
      </w:pPr>
      <w:bookmarkStart w:id="0" w:name="_GoBack"/>
      <w:bookmarkEnd w:id="0"/>
    </w:p>
    <w:p>
      <w:pPr>
        <w:widowControl/>
        <w:jc w:val="left"/>
        <w:rPr>
          <w:rFonts w:ascii="Times New Roman" w:eastAsia="HGMaruGothicMPRO" w:hAnsi="Times New Roman" w:cs="Times New Roman"/>
          <w:kern w:val="0"/>
          <w:sz w:val="24"/>
          <w:szCs w:val="24"/>
        </w:rPr>
      </w:pPr>
      <w:r>
        <w:rPr>
          <w:rFonts w:ascii="Times New Roman" w:eastAsia="HGMaruGothicMPRO" w:hAnsi="Times New Roman" w:cs="Times New Roman"/>
          <w:kern w:val="0"/>
          <w:sz w:val="24"/>
          <w:szCs w:val="24"/>
        </w:rPr>
        <w:br w:type="page"/>
      </w:r>
    </w:p>
    <w:p>
      <w:pPr>
        <w:snapToGrid w:val="0"/>
        <w:spacing w:line="480" w:lineRule="auto"/>
        <w:jc w:val="left"/>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Serum </w:t>
      </w:r>
      <w:r>
        <w:rPr>
          <w:rFonts w:ascii="Times New Roman" w:hAnsi="Times New Roman" w:cs="Times New Roman"/>
          <w:b/>
          <w:sz w:val="24"/>
          <w:szCs w:val="24"/>
        </w:rPr>
        <w:t>Biochemistry</w:t>
      </w:r>
    </w:p>
    <w:p>
      <w:pPr>
        <w:snapToGrid w:val="0"/>
        <w:spacing w:line="480" w:lineRule="auto"/>
        <w:jc w:val="left"/>
        <w:rPr>
          <w:rFonts w:ascii="Times New Roman" w:hAnsi="Times New Roman" w:cs="Times New Roman"/>
          <w:sz w:val="24"/>
          <w:szCs w:val="24"/>
        </w:rPr>
      </w:pPr>
    </w:p>
    <w:p>
      <w:pPr>
        <w:snapToGrid w:val="0"/>
        <w:spacing w:line="480" w:lineRule="auto"/>
        <w:jc w:val="left"/>
        <w:rPr>
          <w:rFonts w:ascii="Times New Roman" w:hAnsi="Times New Roman" w:cs="Times New Roman"/>
          <w:sz w:val="24"/>
          <w:szCs w:val="24"/>
        </w:rPr>
      </w:pPr>
      <w:proofErr w:type="spellStart"/>
      <w:r>
        <w:rPr>
          <w:rFonts w:ascii="Times New Roman" w:hAnsi="Times New Roman" w:cs="Times New Roman"/>
          <w:sz w:val="24"/>
          <w:szCs w:val="24"/>
        </w:rPr>
        <w:t>Osteocalcin</w:t>
      </w:r>
      <w:proofErr w:type="spellEnd"/>
      <w:r>
        <w:rPr>
          <w:rFonts w:ascii="Times New Roman" w:hAnsi="Times New Roman" w:cs="Times New Roman"/>
          <w:sz w:val="24"/>
          <w:szCs w:val="24"/>
        </w:rPr>
        <w:t xml:space="preserve"> was assayed as a bone formation marker using an enzyme-linked </w:t>
      </w:r>
      <w:proofErr w:type="spellStart"/>
      <w:r>
        <w:rPr>
          <w:rFonts w:ascii="Times New Roman" w:hAnsi="Times New Roman" w:cs="Times New Roman"/>
          <w:sz w:val="24"/>
          <w:szCs w:val="24"/>
        </w:rPr>
        <w:t>immunosorbent</w:t>
      </w:r>
      <w:proofErr w:type="spellEnd"/>
      <w:r>
        <w:rPr>
          <w:rFonts w:ascii="Times New Roman" w:hAnsi="Times New Roman" w:cs="Times New Roman"/>
          <w:sz w:val="24"/>
          <w:szCs w:val="24"/>
        </w:rPr>
        <w:t xml:space="preserve"> assay (ELISA) (</w:t>
      </w:r>
      <w:proofErr w:type="spellStart"/>
      <w:r>
        <w:rPr>
          <w:rFonts w:ascii="Times New Roman" w:hAnsi="Times New Roman" w:cs="Times New Roman"/>
          <w:sz w:val="24"/>
          <w:szCs w:val="24"/>
        </w:rPr>
        <w:t>Osteocalcin</w:t>
      </w:r>
      <w:proofErr w:type="spellEnd"/>
      <w:r>
        <w:rPr>
          <w:rFonts w:ascii="Times New Roman" w:hAnsi="Times New Roman" w:cs="Times New Roman"/>
          <w:sz w:val="24"/>
          <w:szCs w:val="24"/>
        </w:rPr>
        <w:t>, rat ELISA System; GE Healthcare Bio-Science, Piscataway, NJ, USA). Type I collagen C-</w:t>
      </w:r>
      <w:proofErr w:type="spellStart"/>
      <w:r>
        <w:rPr>
          <w:rFonts w:ascii="Times New Roman" w:hAnsi="Times New Roman" w:cs="Times New Roman"/>
          <w:sz w:val="24"/>
          <w:szCs w:val="24"/>
        </w:rPr>
        <w:t>telopeptide</w:t>
      </w:r>
      <w:proofErr w:type="spellEnd"/>
      <w:r>
        <w:rPr>
          <w:rFonts w:ascii="Times New Roman" w:hAnsi="Times New Roman" w:cs="Times New Roman"/>
          <w:sz w:val="24"/>
          <w:szCs w:val="24"/>
        </w:rPr>
        <w:t xml:space="preserve"> was analyzed as a bone </w:t>
      </w:r>
      <w:proofErr w:type="spellStart"/>
      <w:r>
        <w:rPr>
          <w:rFonts w:ascii="Times New Roman" w:hAnsi="Times New Roman" w:cs="Times New Roman"/>
          <w:sz w:val="24"/>
          <w:szCs w:val="24"/>
        </w:rPr>
        <w:t>resorption</w:t>
      </w:r>
      <w:proofErr w:type="spellEnd"/>
      <w:r>
        <w:rPr>
          <w:rFonts w:ascii="Times New Roman" w:hAnsi="Times New Roman" w:cs="Times New Roman"/>
          <w:sz w:val="24"/>
          <w:szCs w:val="24"/>
        </w:rPr>
        <w:t xml:space="preserve"> marker using </w:t>
      </w:r>
      <w:proofErr w:type="spellStart"/>
      <w:r>
        <w:rPr>
          <w:rFonts w:ascii="Times New Roman" w:hAnsi="Times New Roman" w:cs="Times New Roman"/>
          <w:sz w:val="24"/>
          <w:szCs w:val="24"/>
        </w:rPr>
        <w:t>RatLaps</w:t>
      </w:r>
      <w:proofErr w:type="spellEnd"/>
      <w:r>
        <w:rPr>
          <w:rFonts w:ascii="Times New Roman" w:hAnsi="Times New Roman" w:cs="Times New Roman"/>
          <w:sz w:val="24"/>
          <w:szCs w:val="24"/>
        </w:rPr>
        <w:t xml:space="preserve"> ELISA (Nordic Bioscience Diagnostics, </w:t>
      </w:r>
      <w:proofErr w:type="spellStart"/>
      <w:r>
        <w:rPr>
          <w:rFonts w:ascii="Times New Roman" w:hAnsi="Times New Roman" w:cs="Times New Roman"/>
          <w:sz w:val="24"/>
          <w:szCs w:val="24"/>
        </w:rPr>
        <w:t>Herlev</w:t>
      </w:r>
      <w:proofErr w:type="spellEnd"/>
      <w:r>
        <w:rPr>
          <w:rFonts w:ascii="Times New Roman" w:hAnsi="Times New Roman" w:cs="Times New Roman"/>
          <w:sz w:val="24"/>
          <w:szCs w:val="24"/>
        </w:rPr>
        <w:t xml:space="preserve">, Denmark). Calcium was measured using the methyl </w:t>
      </w:r>
      <w:proofErr w:type="spellStart"/>
      <w:r>
        <w:rPr>
          <w:rFonts w:ascii="Times New Roman" w:hAnsi="Times New Roman" w:cs="Times New Roman"/>
          <w:sz w:val="24"/>
          <w:szCs w:val="24"/>
        </w:rPr>
        <w:t>xylenol</w:t>
      </w:r>
      <w:proofErr w:type="spellEnd"/>
      <w:r>
        <w:rPr>
          <w:rFonts w:ascii="Times New Roman" w:hAnsi="Times New Roman" w:cs="Times New Roman"/>
          <w:sz w:val="24"/>
          <w:szCs w:val="24"/>
        </w:rPr>
        <w:t xml:space="preserve"> blue method (Calcium E-HA test Wako, Wako Pure Chemical Industries, Osaka, Japan). Inorganic phosphorous was assayed using the </w:t>
      </w:r>
      <w:proofErr w:type="spellStart"/>
      <w:r>
        <w:rPr>
          <w:rFonts w:ascii="Times New Roman" w:hAnsi="Times New Roman" w:cs="Times New Roman"/>
          <w:sz w:val="24"/>
          <w:szCs w:val="24"/>
        </w:rPr>
        <w:t>purine</w:t>
      </w:r>
      <w:proofErr w:type="spellEnd"/>
      <w:r>
        <w:rPr>
          <w:rFonts w:ascii="Times New Roman" w:hAnsi="Times New Roman" w:cs="Times New Roman"/>
          <w:sz w:val="24"/>
          <w:szCs w:val="24"/>
        </w:rPr>
        <w:t xml:space="preserve">-nucleoside </w:t>
      </w:r>
      <w:proofErr w:type="spellStart"/>
      <w:r>
        <w:rPr>
          <w:rFonts w:ascii="Times New Roman" w:hAnsi="Times New Roman" w:cs="Times New Roman"/>
          <w:sz w:val="24"/>
          <w:szCs w:val="24"/>
        </w:rPr>
        <w:t>phosphorylase–xanthine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dehydrogenase</w:t>
      </w:r>
      <w:proofErr w:type="spellEnd"/>
      <w:r>
        <w:rPr>
          <w:rFonts w:ascii="Times New Roman" w:hAnsi="Times New Roman" w:cs="Times New Roman"/>
          <w:sz w:val="24"/>
          <w:szCs w:val="24"/>
        </w:rPr>
        <w:t xml:space="preserve"> method (L-type Wako inorganic phosphorous, Wako Pure Chemical Industries). All assays were performed according to the manufacturers’ instructions, and were routinely performed within 3 months of sample collection.</w:t>
      </w:r>
    </w:p>
    <w:p>
      <w:pPr>
        <w:snapToGrid w:val="0"/>
        <w:spacing w:line="480" w:lineRule="auto"/>
        <w:jc w:val="left"/>
        <w:rPr>
          <w:rFonts w:ascii="Times New Roman" w:hAnsi="Times New Roman" w:cs="Times New Roman"/>
          <w:sz w:val="24"/>
          <w:szCs w:val="24"/>
        </w:rPr>
      </w:pPr>
    </w:p>
    <w:p>
      <w:pPr>
        <w:snapToGrid w:val="0"/>
        <w:spacing w:line="480" w:lineRule="auto"/>
        <w:jc w:val="left"/>
        <w:rPr>
          <w:rFonts w:ascii="Times New Roman" w:hAnsi="Times New Roman" w:cs="Times New Roman"/>
          <w:b/>
          <w:bCs/>
          <w:iCs/>
          <w:sz w:val="24"/>
          <w:szCs w:val="24"/>
        </w:rPr>
      </w:pPr>
      <w:r>
        <w:rPr>
          <w:rFonts w:ascii="Times New Roman" w:hAnsi="Times New Roman" w:cs="Times New Roman"/>
          <w:b/>
          <w:bCs/>
          <w:iCs/>
          <w:sz w:val="24"/>
          <w:szCs w:val="24"/>
        </w:rPr>
        <w:t>Measurement of Bone Mineral Density (BMD)</w:t>
      </w:r>
    </w:p>
    <w:p>
      <w:pPr>
        <w:snapToGrid w:val="0"/>
        <w:spacing w:line="480" w:lineRule="auto"/>
        <w:jc w:val="left"/>
        <w:rPr>
          <w:rFonts w:ascii="Times New Roman" w:hAnsi="Times New Roman" w:cs="Times New Roman"/>
          <w:sz w:val="24"/>
          <w:szCs w:val="24"/>
        </w:rPr>
      </w:pPr>
    </w:p>
    <w:p>
      <w:pPr>
        <w:snapToGrid w:val="0"/>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BMD of the tibia, vertebral cylinders, and right femur was determined using dual energy X-ray </w:t>
      </w:r>
      <w:proofErr w:type="spellStart"/>
      <w:r>
        <w:rPr>
          <w:rFonts w:ascii="Times New Roman" w:hAnsi="Times New Roman" w:cs="Times New Roman"/>
          <w:sz w:val="24"/>
          <w:szCs w:val="24"/>
        </w:rPr>
        <w:t>absorptiometry</w:t>
      </w:r>
      <w:proofErr w:type="spellEnd"/>
      <w:r>
        <w:rPr>
          <w:rFonts w:ascii="Times New Roman" w:hAnsi="Times New Roman" w:cs="Times New Roman"/>
          <w:sz w:val="24"/>
          <w:szCs w:val="24"/>
        </w:rPr>
        <w:t xml:space="preserve"> (DXA; DCS-600EX-3R, </w:t>
      </w:r>
      <w:proofErr w:type="spellStart"/>
      <w:r>
        <w:rPr>
          <w:rFonts w:ascii="Times New Roman" w:hAnsi="Times New Roman" w:cs="Times New Roman"/>
          <w:sz w:val="24"/>
          <w:szCs w:val="24"/>
        </w:rPr>
        <w:t>Aloka</w:t>
      </w:r>
      <w:proofErr w:type="spellEnd"/>
      <w:r>
        <w:rPr>
          <w:rFonts w:ascii="Times New Roman" w:hAnsi="Times New Roman" w:cs="Times New Roman"/>
          <w:sz w:val="24"/>
          <w:szCs w:val="24"/>
        </w:rPr>
        <w:t xml:space="preserve">, Tokyo, Japan). </w:t>
      </w:r>
    </w:p>
    <w:p>
      <w:pPr>
        <w:snapToGrid w:val="0"/>
        <w:spacing w:line="480" w:lineRule="auto"/>
        <w:ind w:firstLine="810"/>
        <w:jc w:val="left"/>
        <w:rPr>
          <w:rFonts w:ascii="Times New Roman" w:hAnsi="Times New Roman" w:cs="Times New Roman"/>
          <w:sz w:val="24"/>
          <w:szCs w:val="24"/>
        </w:rPr>
      </w:pPr>
      <w:r>
        <w:rPr>
          <w:rFonts w:ascii="Times New Roman" w:hAnsi="Times New Roman" w:cs="Times New Roman"/>
          <w:sz w:val="24"/>
          <w:szCs w:val="24"/>
        </w:rPr>
        <w:t xml:space="preserve">BMD of the tibia was measured under </w:t>
      </w:r>
      <w:proofErr w:type="spellStart"/>
      <w:r>
        <w:rPr>
          <w:rFonts w:ascii="Times New Roman" w:hAnsi="Times New Roman" w:cs="Times New Roman"/>
          <w:sz w:val="24"/>
          <w:szCs w:val="24"/>
        </w:rPr>
        <w:t>ketamine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xylazine</w:t>
      </w:r>
      <w:proofErr w:type="spellEnd"/>
      <w:r>
        <w:rPr>
          <w:rFonts w:ascii="Times New Roman" w:hAnsi="Times New Roman" w:cs="Times New Roman"/>
          <w:sz w:val="24"/>
          <w:szCs w:val="24"/>
        </w:rPr>
        <w:t xml:space="preserve"> anesthesia (approximately 6.7 mg/kg </w:t>
      </w:r>
      <w:proofErr w:type="spellStart"/>
      <w:r>
        <w:rPr>
          <w:rFonts w:ascii="Times New Roman" w:hAnsi="Times New Roman" w:cs="Times New Roman"/>
          <w:sz w:val="24"/>
          <w:szCs w:val="24"/>
        </w:rPr>
        <w:t>ketamine</w:t>
      </w:r>
      <w:proofErr w:type="spellEnd"/>
      <w:r>
        <w:rPr>
          <w:rFonts w:ascii="Times New Roman" w:hAnsi="Times New Roman" w:cs="Times New Roman"/>
          <w:sz w:val="24"/>
          <w:szCs w:val="24"/>
        </w:rPr>
        <w:t xml:space="preserve"> and 3.3 mg/kg </w:t>
      </w:r>
      <w:proofErr w:type="spellStart"/>
      <w:r>
        <w:rPr>
          <w:rFonts w:ascii="Times New Roman" w:hAnsi="Times New Roman" w:cs="Times New Roman"/>
          <w:sz w:val="24"/>
          <w:szCs w:val="24"/>
        </w:rPr>
        <w:t>xylazine</w:t>
      </w:r>
      <w:proofErr w:type="spellEnd"/>
      <w:r>
        <w:rPr>
          <w:rFonts w:ascii="Times New Roman" w:hAnsi="Times New Roman" w:cs="Times New Roman"/>
          <w:sz w:val="24"/>
          <w:szCs w:val="24"/>
        </w:rPr>
        <w:t>, intramuscular), at the following times: before surgery (−3M), and at 0, 3, 6,</w:t>
      </w:r>
      <w:r>
        <w:rPr>
          <w:rFonts w:ascii="Times New Roman" w:hAnsi="Times New Roman" w:cs="Times New Roman"/>
          <w:b/>
          <w:sz w:val="24"/>
          <w:szCs w:val="24"/>
        </w:rPr>
        <w:t xml:space="preserve"> </w:t>
      </w:r>
      <w:r>
        <w:rPr>
          <w:rFonts w:ascii="Times New Roman" w:hAnsi="Times New Roman" w:cs="Times New Roman"/>
          <w:sz w:val="24"/>
          <w:szCs w:val="24"/>
        </w:rPr>
        <w:t xml:space="preserve">and 12M during the treatment period. We measured BMD in the tibia because </w:t>
      </w:r>
      <w:proofErr w:type="spellStart"/>
      <w:r>
        <w:rPr>
          <w:rFonts w:ascii="Times New Roman" w:hAnsi="Times New Roman" w:cs="Times New Roman"/>
          <w:sz w:val="24"/>
          <w:szCs w:val="24"/>
        </w:rPr>
        <w:t>metaphysis</w:t>
      </w:r>
      <w:proofErr w:type="spellEnd"/>
      <w:r>
        <w:rPr>
          <w:rFonts w:ascii="Times New Roman" w:hAnsi="Times New Roman" w:cs="Times New Roman"/>
          <w:sz w:val="24"/>
          <w:szCs w:val="24"/>
        </w:rPr>
        <w:t xml:space="preserve"> of long bones illustrates the effects of </w:t>
      </w:r>
      <w:proofErr w:type="spellStart"/>
      <w:r>
        <w:rPr>
          <w:rFonts w:ascii="Times New Roman" w:hAnsi="Times New Roman" w:cs="Times New Roman"/>
          <w:sz w:val="24"/>
          <w:szCs w:val="24"/>
        </w:rPr>
        <w:t>ovariectomy</w:t>
      </w:r>
      <w:proofErr w:type="spellEnd"/>
      <w:r>
        <w:rPr>
          <w:rFonts w:ascii="Times New Roman" w:hAnsi="Times New Roman" w:cs="Times New Roman"/>
          <w:sz w:val="24"/>
          <w:szCs w:val="24"/>
        </w:rPr>
        <w:t xml:space="preserve"> and parathyroid hormone treatment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&lt;EndNote&gt;&lt;Cite&gt;&lt;Author&gt;Kishi&lt;/Author&gt;&lt;Year&gt;1998&lt;/Year&gt;&lt;RecNum&gt;68&lt;/RecNum&gt;&lt;DisplayText&gt;[1]&lt;/DisplayText&gt;&lt;record&gt;&lt;rec-number&gt;68&lt;/rec-number&gt;&lt;foreign-keys&gt;&lt;key app="EN" db-id="rv09zzr20esrtnepwzdvts57averfdxtxtxt"&gt;68&lt;/key&gt;&lt;/foreign-keys&gt;&lt;ref-type name="Journal Article"&gt;17&lt;/ref-type&gt;&lt;contributors&gt;&lt;authors&gt;&lt;author&gt;Kishi, T.&lt;/author&gt;&lt;author&gt;Hagino, H.&lt;/author&gt;&lt;author&gt;Kishimoto, H.&lt;/author&gt;&lt;author&gt;Nagashima, H.&lt;/author&gt;&lt;/authors&gt;&lt;/contributors&gt;&lt;auth-address&gt;Department of Orthopedic Surgery, Faculty of Medicine, Tottori University, Yonago, Japan.&lt;/auth-address&gt;&lt;titles&gt;&lt;title&gt;Bone responses at various skeletal sites to human parathyroid hormone in ovariectomized rats: effects of long-term administration, withdrawal, and readministration&lt;/title&gt;&lt;secondary-title&gt;Bone&lt;/secondary-title&gt;&lt;/titles&gt;&lt;pages&gt;515-22&lt;/pages&gt;&lt;volume&gt;22&lt;/volume&gt;&lt;number&gt;5&lt;/number&gt;&lt;edition&gt;1998/05/26&lt;/edition&gt;&lt;keywords&gt;&lt;keyword&gt;Absorptiometry, Photon&lt;/keyword&gt;&lt;keyword&gt;Animals&lt;/keyword&gt;&lt;keyword&gt;Biomechanics&lt;/keyword&gt;&lt;keyword&gt;Bone Density/*drug effects&lt;/keyword&gt;&lt;keyword&gt;Dose-Response Relationship, Drug&lt;/keyword&gt;&lt;keyword&gt;Female&lt;/keyword&gt;&lt;keyword&gt;Femur/*drug effects/physiology&lt;/keyword&gt;&lt;keyword&gt;Lumbar Vertebrae/*drug effects/physiology&lt;/keyword&gt;&lt;keyword&gt;Ovariectomy&lt;/keyword&gt;&lt;keyword&gt;Rats&lt;/keyword&gt;&lt;keyword&gt;Rats, Wistar&lt;/keyword&gt;&lt;keyword&gt;Skull/*drug effects/physiology&lt;/keyword&gt;&lt;keyword&gt;Teriparatide/administration &amp;amp; dosage/*pharmacology&lt;/keyword&gt;&lt;keyword&gt;Tibia/*drug effects/physiology&lt;/keyword&gt;&lt;/keywords&gt;&lt;dates&gt;&lt;year&gt;1998&lt;/year&gt;&lt;pub-dates&gt;&lt;date&gt;May&lt;/date&gt;&lt;/pub-dates&gt;&lt;/dates&gt;&lt;isbn&gt;8756-3282 (Print)&amp;#xD;1873-2763 (Linking)&lt;/isbn&gt;&lt;accession-num&gt;9600786&lt;/accession-num&gt;&lt;urls&gt;&lt;related-urls&gt;&lt;url&gt;http://www.ncbi.nlm.nih.gov/entrez/query.fcgi?cmd=Retrieve&amp;amp;db=PubMed&amp;amp;dopt=Citation&amp;amp;list_uids=9600786&lt;/url&gt;&lt;/related-urls&gt;&lt;/urls&gt;&lt;electronic-resource-num&gt;S8756-3282(98)00045-3 [pii]&lt;/electronic-resource-num&gt;&lt;language&gt;eng&lt;/language&gt;&lt;/record&gt;&lt;/Cite&gt;&lt;/EndNote&gt;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 w:tooltip="Kishi, 1998 #68" w:history="1">
        <w:r>
          <w:rPr>
            <w:rFonts w:ascii="Times New Roman" w:hAnsi="Times New Roman" w:cs="Times New Roman"/>
            <w:noProof/>
            <w:sz w:val="24"/>
            <w:szCs w:val="24"/>
          </w:rPr>
          <w:t>1</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The rats were placed in the prone position on the DXA scanning table. The left tibia was scanned at a pitch of 1 mm and scan speed of 25 mm/min. BMD was calculated from the values for bone mineral content and bone area for three regions of the tibia (proximal, shaft, and distal).</w:t>
      </w:r>
    </w:p>
    <w:p>
      <w:pPr>
        <w:snapToGrid w:val="0"/>
        <w:spacing w:line="480" w:lineRule="auto"/>
        <w:ind w:firstLine="851"/>
        <w:jc w:val="left"/>
        <w:rPr>
          <w:rFonts w:ascii="Times New Roman" w:hAnsi="Times New Roman" w:cs="Times New Roman"/>
          <w:sz w:val="24"/>
          <w:szCs w:val="24"/>
        </w:rPr>
      </w:pPr>
      <w:r>
        <w:rPr>
          <w:rFonts w:ascii="Times New Roman" w:hAnsi="Times New Roman" w:cs="Times New Roman"/>
          <w:sz w:val="24"/>
          <w:szCs w:val="24"/>
        </w:rPr>
        <w:lastRenderedPageBreak/>
        <w:t xml:space="preserve">Bone density of the isolated lumbar vertebral cylinders and the right femora were measured using DXA (DCS-600EX-3R; </w:t>
      </w:r>
      <w:proofErr w:type="spellStart"/>
      <w:r>
        <w:rPr>
          <w:rFonts w:ascii="Times New Roman" w:hAnsi="Times New Roman" w:cs="Times New Roman"/>
          <w:sz w:val="24"/>
          <w:szCs w:val="24"/>
        </w:rPr>
        <w:t>Aloka</w:t>
      </w:r>
      <w:proofErr w:type="spellEnd"/>
      <w:r>
        <w:rPr>
          <w:rFonts w:ascii="Times New Roman" w:hAnsi="Times New Roman" w:cs="Times New Roman"/>
          <w:sz w:val="24"/>
          <w:szCs w:val="24"/>
        </w:rPr>
        <w:t>). The specimens were placed on the scanning table ventral side up, and scanned at a pitch of 1 mm and scan speed of 25 mm/min. BMD was calculated from the values for bone mineral content and bone area. The femur was divided into three regions for analysis (proximal, shaft, and distal).</w:t>
      </w:r>
    </w:p>
    <w:p>
      <w:pPr>
        <w:snapToGrid w:val="0"/>
        <w:spacing w:line="480" w:lineRule="auto"/>
        <w:jc w:val="left"/>
        <w:rPr>
          <w:rFonts w:ascii="Times New Roman" w:hAnsi="Times New Roman" w:cs="Times New Roman"/>
          <w:sz w:val="24"/>
          <w:szCs w:val="24"/>
        </w:rPr>
      </w:pPr>
    </w:p>
    <w:p>
      <w:pPr>
        <w:snapToGrid w:val="0"/>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Successful Establishment of Osteoporosis by </w:t>
      </w:r>
      <w:proofErr w:type="spellStart"/>
      <w:r>
        <w:rPr>
          <w:rFonts w:ascii="Times New Roman" w:hAnsi="Times New Roman" w:cs="Times New Roman"/>
          <w:b/>
          <w:sz w:val="24"/>
          <w:szCs w:val="24"/>
        </w:rPr>
        <w:t>Ovariectomy</w:t>
      </w:r>
      <w:proofErr w:type="spellEnd"/>
      <w:r>
        <w:rPr>
          <w:rFonts w:ascii="Times New Roman" w:hAnsi="Times New Roman" w:cs="Times New Roman"/>
          <w:b/>
          <w:sz w:val="24"/>
          <w:szCs w:val="24"/>
        </w:rPr>
        <w:t xml:space="preserve"> (OVX)</w:t>
      </w:r>
    </w:p>
    <w:p>
      <w:pPr>
        <w:snapToGrid w:val="0"/>
        <w:spacing w:line="480" w:lineRule="auto"/>
        <w:jc w:val="left"/>
        <w:rPr>
          <w:rFonts w:ascii="Times New Roman" w:hAnsi="Times New Roman" w:cs="Times New Roman"/>
          <w:sz w:val="24"/>
          <w:szCs w:val="24"/>
        </w:rPr>
      </w:pPr>
    </w:p>
    <w:p>
      <w:pPr>
        <w:snapToGrid w:val="0"/>
        <w:spacing w:line="480" w:lineRule="auto"/>
        <w:jc w:val="left"/>
        <w:rPr>
          <w:rFonts w:ascii="Times New Roman" w:hAnsi="Times New Roman" w:cs="Times New Roman"/>
          <w:sz w:val="24"/>
          <w:szCs w:val="24"/>
        </w:rPr>
      </w:pPr>
      <w:r>
        <w:rPr>
          <w:rFonts w:ascii="Times New Roman" w:hAnsi="Times New Roman" w:cs="Times New Roman"/>
          <w:sz w:val="24"/>
          <w:szCs w:val="24"/>
        </w:rPr>
        <w:t xml:space="preserve">As expected, OVX induced osteoporosis based on the observed changes in BMD and results of micro-CT (in-text Tables 1–3; in-text Fig. 3). Micro-CT (in-text Fig. 3) showed that OVX led to deteriorations in the </w:t>
      </w:r>
      <w:proofErr w:type="spellStart"/>
      <w:r>
        <w:rPr>
          <w:rFonts w:ascii="Times New Roman" w:hAnsi="Times New Roman" w:cs="Times New Roman"/>
          <w:sz w:val="24"/>
          <w:szCs w:val="24"/>
        </w:rPr>
        <w:t>trabecular</w:t>
      </w:r>
      <w:proofErr w:type="spellEnd"/>
      <w:r>
        <w:rPr>
          <w:rFonts w:ascii="Times New Roman" w:hAnsi="Times New Roman" w:cs="Times New Roman"/>
          <w:sz w:val="24"/>
          <w:szCs w:val="24"/>
        </w:rPr>
        <w:t xml:space="preserve"> architecture of the lumbar vertebra (in-text Table 1) at baseline and at the end of the study. Similar changes were also observed in the </w:t>
      </w:r>
      <w:proofErr w:type="spellStart"/>
      <w:r>
        <w:rPr>
          <w:rFonts w:ascii="Times New Roman" w:hAnsi="Times New Roman" w:cs="Times New Roman"/>
          <w:sz w:val="24"/>
          <w:szCs w:val="24"/>
        </w:rPr>
        <w:t>trabecular</w:t>
      </w:r>
      <w:proofErr w:type="spellEnd"/>
      <w:r>
        <w:rPr>
          <w:rFonts w:ascii="Times New Roman" w:hAnsi="Times New Roman" w:cs="Times New Roman"/>
          <w:sz w:val="24"/>
          <w:szCs w:val="24"/>
        </w:rPr>
        <w:t xml:space="preserve"> and cortical architectures of the proximal femur (in-text Table 1) and femoral shaft (in-text Table 2). The changes in micro-CT variables indicate that OVX led to a change in </w:t>
      </w:r>
      <w:proofErr w:type="spellStart"/>
      <w:r>
        <w:rPr>
          <w:rFonts w:ascii="Times New Roman" w:hAnsi="Times New Roman" w:cs="Times New Roman"/>
          <w:sz w:val="24"/>
          <w:szCs w:val="24"/>
        </w:rPr>
        <w:t>trabecular</w:t>
      </w:r>
      <w:proofErr w:type="spellEnd"/>
      <w:r>
        <w:rPr>
          <w:rFonts w:ascii="Times New Roman" w:hAnsi="Times New Roman" w:cs="Times New Roman"/>
          <w:sz w:val="24"/>
          <w:szCs w:val="24"/>
        </w:rPr>
        <w:t xml:space="preserve"> bone to an abnormal rod-like structure with low connectivity. Although OVX did not elicit clear changes in cortical bone in the femoral neck between the OVX and Sham groups (in-text Table 2), it did cause deteriorations in the micro-CT variables related to the femoral intra-</w:t>
      </w:r>
      <w:proofErr w:type="spellStart"/>
      <w:r>
        <w:rPr>
          <w:rFonts w:ascii="Times New Roman" w:hAnsi="Times New Roman" w:cs="Times New Roman"/>
          <w:sz w:val="24"/>
          <w:szCs w:val="24"/>
        </w:rPr>
        <w:t>trochanter</w:t>
      </w:r>
      <w:proofErr w:type="spellEnd"/>
      <w:r>
        <w:rPr>
          <w:rFonts w:ascii="Times New Roman" w:hAnsi="Times New Roman" w:cs="Times New Roman"/>
          <w:sz w:val="24"/>
          <w:szCs w:val="24"/>
        </w:rPr>
        <w:t xml:space="preserve"> and intra-</w:t>
      </w:r>
      <w:proofErr w:type="spellStart"/>
      <w:r>
        <w:rPr>
          <w:rFonts w:ascii="Times New Roman" w:hAnsi="Times New Roman" w:cs="Times New Roman"/>
          <w:sz w:val="24"/>
          <w:szCs w:val="24"/>
        </w:rPr>
        <w:t>trochanter</w:t>
      </w:r>
      <w:proofErr w:type="spellEnd"/>
      <w:r>
        <w:rPr>
          <w:rFonts w:ascii="Times New Roman" w:hAnsi="Times New Roman" w:cs="Times New Roman"/>
          <w:sz w:val="24"/>
          <w:szCs w:val="24"/>
        </w:rPr>
        <w:t xml:space="preserve"> cortical bone compared with the Sham group (in-text Table 2). OVX also led to deficits in BMD and the architecture of the femoral shaft compared with the Sham group; however, the change in the BMD of the cortical bone in the femoral shaft was slower than in </w:t>
      </w:r>
      <w:proofErr w:type="spellStart"/>
      <w:r>
        <w:rPr>
          <w:rFonts w:ascii="Times New Roman" w:hAnsi="Times New Roman" w:cs="Times New Roman"/>
          <w:sz w:val="24"/>
          <w:szCs w:val="24"/>
        </w:rPr>
        <w:t>cancellous</w:t>
      </w:r>
      <w:proofErr w:type="spellEnd"/>
      <w:r>
        <w:rPr>
          <w:rFonts w:ascii="Times New Roman" w:hAnsi="Times New Roman" w:cs="Times New Roman"/>
          <w:sz w:val="24"/>
          <w:szCs w:val="24"/>
        </w:rPr>
        <w:t xml:space="preserve"> bone-rich areas, similar to the changes in the </w:t>
      </w:r>
      <w:proofErr w:type="spellStart"/>
      <w:r>
        <w:rPr>
          <w:rFonts w:ascii="Times New Roman" w:hAnsi="Times New Roman" w:cs="Times New Roman"/>
          <w:sz w:val="24"/>
          <w:szCs w:val="24"/>
        </w:rPr>
        <w:t>tibial</w:t>
      </w:r>
      <w:proofErr w:type="spellEnd"/>
      <w:r>
        <w:rPr>
          <w:rFonts w:ascii="Times New Roman" w:hAnsi="Times New Roman" w:cs="Times New Roman"/>
          <w:sz w:val="24"/>
          <w:szCs w:val="24"/>
        </w:rPr>
        <w:t xml:space="preserve"> shaft. These changes in BMD and architecture in the OVX group were also accompanied by reductions in loading strength (ultimate load), stiffness, breaking energy of the lumbar vertebra, and ultimate load of the femoral shaft (in-text Tables 1–3). Taken together, these results confirm that OVX successfully induced </w:t>
      </w:r>
      <w:r>
        <w:rPr>
          <w:rFonts w:ascii="Times New Roman" w:hAnsi="Times New Roman" w:cs="Times New Roman"/>
          <w:sz w:val="24"/>
          <w:szCs w:val="24"/>
        </w:rPr>
        <w:lastRenderedPageBreak/>
        <w:t>osteoporosis in these rats.</w:t>
      </w:r>
    </w:p>
    <w:p>
      <w:pPr>
        <w:snapToGrid w:val="0"/>
        <w:spacing w:line="480" w:lineRule="auto"/>
        <w:jc w:val="left"/>
        <w:rPr>
          <w:rFonts w:ascii="Times New Roman" w:hAnsi="Times New Roman" w:cs="Times New Roman"/>
          <w:sz w:val="24"/>
          <w:szCs w:val="24"/>
        </w:rPr>
      </w:pPr>
    </w:p>
    <w:p>
      <w:pPr>
        <w:spacing w:line="480" w:lineRule="auto"/>
        <w:jc w:val="left"/>
        <w:rPr>
          <w:rFonts w:ascii="Times New Roman" w:eastAsia="HGMaruGothicMPRO" w:hAnsi="Times New Roman" w:cs="Times New Roman"/>
          <w:b/>
          <w:kern w:val="0"/>
          <w:sz w:val="24"/>
          <w:szCs w:val="24"/>
        </w:rPr>
      </w:pPr>
      <w:r>
        <w:rPr>
          <w:rFonts w:ascii="Times New Roman" w:eastAsia="HGMaruGothicMPRO" w:hAnsi="Times New Roman" w:cs="Times New Roman"/>
          <w:b/>
          <w:kern w:val="0"/>
          <w:sz w:val="24"/>
          <w:szCs w:val="24"/>
        </w:rPr>
        <w:t>References</w:t>
      </w:r>
    </w:p>
    <w:p>
      <w:pPr>
        <w:snapToGrid w:val="0"/>
        <w:spacing w:line="480" w:lineRule="auto"/>
        <w:jc w:val="left"/>
        <w:rPr>
          <w:rFonts w:ascii="Times New Roman" w:hAnsi="Times New Roman" w:cs="Times New Roman"/>
          <w:bCs/>
          <w:sz w:val="24"/>
          <w:szCs w:val="24"/>
        </w:rPr>
      </w:pPr>
    </w:p>
    <w:p>
      <w:pPr>
        <w:spacing w:line="480" w:lineRule="auto"/>
        <w:ind w:left="720" w:hanging="720"/>
        <w:jc w:val="left"/>
        <w:rPr>
          <w:rFonts w:ascii="Times New Roman" w:hAnsi="Times New Roman" w:cs="Times New Roman"/>
          <w:bCs/>
          <w:noProof/>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EN.REFLIST </w:instrText>
      </w:r>
      <w:r>
        <w:rPr>
          <w:rFonts w:ascii="Times New Roman" w:hAnsi="Times New Roman" w:cs="Times New Roman"/>
          <w:bCs/>
          <w:sz w:val="24"/>
          <w:szCs w:val="24"/>
        </w:rPr>
        <w:fldChar w:fldCharType="separate"/>
      </w:r>
      <w:bookmarkStart w:id="1" w:name="_ENREF_1"/>
      <w:r>
        <w:rPr>
          <w:rFonts w:ascii="Times New Roman" w:hAnsi="Times New Roman" w:cs="Times New Roman"/>
          <w:bCs/>
          <w:noProof/>
          <w:sz w:val="24"/>
          <w:szCs w:val="24"/>
        </w:rPr>
        <w:t>1.</w:t>
      </w:r>
      <w:r>
        <w:rPr>
          <w:rFonts w:ascii="Times New Roman" w:hAnsi="Times New Roman" w:cs="Times New Roman"/>
          <w:bCs/>
          <w:noProof/>
          <w:sz w:val="24"/>
          <w:szCs w:val="24"/>
        </w:rPr>
        <w:tab/>
        <w:t>Kishi T, Hagino H, Kishimoto H, Nagashima H (1998) Bone responses at various skeletal sites to human parathyroid hormone in ovariectomized rats: effects of long-term administration, withdrawal, and readministration. Bone 22:515-522</w:t>
      </w:r>
      <w:bookmarkEnd w:id="1"/>
    </w:p>
    <w:p>
      <w:pPr>
        <w:spacing w:line="480" w:lineRule="auto"/>
        <w:jc w:val="left"/>
        <w:rPr>
          <w:rFonts w:ascii="Times New Roman" w:hAnsi="Times New Roman" w:cs="Times New Roman"/>
          <w:bCs/>
          <w:noProof/>
          <w:sz w:val="24"/>
          <w:szCs w:val="24"/>
        </w:rPr>
      </w:pPr>
    </w:p>
    <w:p>
      <w:pPr>
        <w:spacing w:line="480" w:lineRule="auto"/>
        <w:jc w:val="left"/>
        <w:rPr>
          <w:rFonts w:ascii="Times New Roman" w:eastAsia="HGMaruGothicMPRO" w:hAnsi="Times New Roman" w:cs="Times New Roman"/>
          <w:kern w:val="0"/>
          <w:sz w:val="24"/>
          <w:szCs w:val="24"/>
        </w:rPr>
      </w:pPr>
      <w:r>
        <w:rPr>
          <w:rFonts w:ascii="Times New Roman" w:hAnsi="Times New Roman" w:cs="Times New Roman"/>
          <w:bCs/>
          <w:sz w:val="24"/>
          <w:szCs w:val="24"/>
        </w:rPr>
        <w:fldChar w:fldCharType="end"/>
      </w:r>
    </w:p>
    <w:p>
      <w:pPr>
        <w:widowControl/>
        <w:jc w:val="left"/>
        <w:rPr>
          <w:rFonts w:ascii="Times New Roman" w:hAnsi="Times New Roman" w:cs="Times New Roman"/>
          <w:b/>
          <w:bCs/>
          <w:sz w:val="24"/>
          <w:szCs w:val="24"/>
        </w:rPr>
      </w:pPr>
    </w:p>
    <w:sectPr>
      <w:pgSz w:w="12242" w:h="15842" w:code="1"/>
      <w:pgMar w:top="1418" w:right="1418" w:bottom="1418"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
        <w:separator/>
      </w:r>
    </w:p>
  </w:endnote>
  <w:endnote w:type="continuationSeparator" w:id="0">
    <w:p>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HGMaruGothicMPRO">
    <w:altName w:val="MS Gothic"/>
    <w:charset w:val="80"/>
    <w:family w:val="modern"/>
    <w:pitch w:val="variable"/>
    <w:sig w:usb0="00000000"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
        <w:separator/>
      </w:r>
    </w:p>
  </w:footnote>
  <w:footnote w:type="continuationSeparator" w:id="0">
    <w:p>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8D0790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64D3C"/>
    <w:multiLevelType w:val="hybridMultilevel"/>
    <w:tmpl w:val="E3B682F0"/>
    <w:lvl w:ilvl="0" w:tplc="D09ED9D2">
      <w:start w:val="1"/>
      <w:numFmt w:val="decimal"/>
      <w:lvlText w:val="%1)"/>
      <w:lvlJc w:val="left"/>
      <w:pPr>
        <w:tabs>
          <w:tab w:val="num" w:pos="571"/>
        </w:tabs>
        <w:ind w:left="571" w:hanging="360"/>
      </w:pPr>
      <w:rPr>
        <w:rFonts w:ascii="Palatino Linotype" w:eastAsia="MS Mincho" w:hAnsi="Palatino Linotyp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4F364E6"/>
    <w:multiLevelType w:val="singleLevel"/>
    <w:tmpl w:val="318E69CE"/>
    <w:lvl w:ilvl="0">
      <w:numFmt w:val="none"/>
      <w:lvlText w:val="(B)"/>
      <w:lvlJc w:val="left"/>
      <w:rPr>
        <w:rFonts w:ascii="Arial" w:hAnsi="Arial" w:cs="Arial" w:hint="default"/>
        <w:sz w:val="36"/>
        <w:szCs w:val="36"/>
      </w:rPr>
    </w:lvl>
  </w:abstractNum>
  <w:abstractNum w:abstractNumId="3">
    <w:nsid w:val="17210484"/>
    <w:multiLevelType w:val="hybridMultilevel"/>
    <w:tmpl w:val="8FCAC552"/>
    <w:lvl w:ilvl="0" w:tplc="D05A3036">
      <w:numFmt w:val="bullet"/>
      <w:suff w:val="space"/>
      <w:lvlText w:val="・"/>
      <w:lvlJc w:val="left"/>
      <w:pPr>
        <w:ind w:left="260" w:hanging="260"/>
      </w:pPr>
      <w:rPr>
        <w:rFonts w:ascii="MS Mincho" w:eastAsia="MS Mincho" w:hAnsi="MS Mincho" w:hint="eastAsia"/>
        <w:w w:val="28"/>
      </w:rPr>
    </w:lvl>
    <w:lvl w:ilvl="1" w:tplc="000B0409">
      <w:start w:val="1"/>
      <w:numFmt w:val="bullet"/>
      <w:lvlText w:val=""/>
      <w:lvlJc w:val="left"/>
      <w:pPr>
        <w:tabs>
          <w:tab w:val="num" w:pos="960"/>
        </w:tabs>
        <w:ind w:left="960" w:hanging="480"/>
      </w:pPr>
      <w:rPr>
        <w:rFonts w:ascii="Wingdings" w:hAnsi="Wingdings" w:cs="Wingdings" w:hint="default"/>
      </w:rPr>
    </w:lvl>
    <w:lvl w:ilvl="2" w:tplc="000D0409">
      <w:start w:val="1"/>
      <w:numFmt w:val="bullet"/>
      <w:lvlText w:val=""/>
      <w:lvlJc w:val="left"/>
      <w:pPr>
        <w:tabs>
          <w:tab w:val="num" w:pos="1440"/>
        </w:tabs>
        <w:ind w:left="1440" w:hanging="480"/>
      </w:pPr>
      <w:rPr>
        <w:rFonts w:ascii="Wingdings" w:hAnsi="Wingdings" w:cs="Wingdings" w:hint="default"/>
      </w:rPr>
    </w:lvl>
    <w:lvl w:ilvl="3" w:tplc="00010409">
      <w:start w:val="1"/>
      <w:numFmt w:val="bullet"/>
      <w:lvlText w:val=""/>
      <w:lvlJc w:val="left"/>
      <w:pPr>
        <w:tabs>
          <w:tab w:val="num" w:pos="1920"/>
        </w:tabs>
        <w:ind w:left="1920" w:hanging="480"/>
      </w:pPr>
      <w:rPr>
        <w:rFonts w:ascii="Wingdings" w:hAnsi="Wingdings" w:cs="Wingdings" w:hint="default"/>
      </w:rPr>
    </w:lvl>
    <w:lvl w:ilvl="4" w:tplc="000B0409">
      <w:start w:val="1"/>
      <w:numFmt w:val="bullet"/>
      <w:lvlText w:val=""/>
      <w:lvlJc w:val="left"/>
      <w:pPr>
        <w:tabs>
          <w:tab w:val="num" w:pos="2400"/>
        </w:tabs>
        <w:ind w:left="2400" w:hanging="480"/>
      </w:pPr>
      <w:rPr>
        <w:rFonts w:ascii="Wingdings" w:hAnsi="Wingdings" w:cs="Wingdings" w:hint="default"/>
      </w:rPr>
    </w:lvl>
    <w:lvl w:ilvl="5" w:tplc="000D0409">
      <w:start w:val="1"/>
      <w:numFmt w:val="bullet"/>
      <w:lvlText w:val=""/>
      <w:lvlJc w:val="left"/>
      <w:pPr>
        <w:tabs>
          <w:tab w:val="num" w:pos="2880"/>
        </w:tabs>
        <w:ind w:left="2880" w:hanging="480"/>
      </w:pPr>
      <w:rPr>
        <w:rFonts w:ascii="Wingdings" w:hAnsi="Wingdings" w:cs="Wingdings" w:hint="default"/>
      </w:rPr>
    </w:lvl>
    <w:lvl w:ilvl="6" w:tplc="00010409">
      <w:start w:val="1"/>
      <w:numFmt w:val="bullet"/>
      <w:lvlText w:val=""/>
      <w:lvlJc w:val="left"/>
      <w:pPr>
        <w:tabs>
          <w:tab w:val="num" w:pos="3360"/>
        </w:tabs>
        <w:ind w:left="3360" w:hanging="480"/>
      </w:pPr>
      <w:rPr>
        <w:rFonts w:ascii="Wingdings" w:hAnsi="Wingdings" w:cs="Wingdings" w:hint="default"/>
      </w:rPr>
    </w:lvl>
    <w:lvl w:ilvl="7" w:tplc="000B0409">
      <w:start w:val="1"/>
      <w:numFmt w:val="bullet"/>
      <w:lvlText w:val=""/>
      <w:lvlJc w:val="left"/>
      <w:pPr>
        <w:tabs>
          <w:tab w:val="num" w:pos="3840"/>
        </w:tabs>
        <w:ind w:left="3840" w:hanging="480"/>
      </w:pPr>
      <w:rPr>
        <w:rFonts w:ascii="Wingdings" w:hAnsi="Wingdings" w:cs="Wingdings" w:hint="default"/>
      </w:rPr>
    </w:lvl>
    <w:lvl w:ilvl="8" w:tplc="000D0409">
      <w:start w:val="1"/>
      <w:numFmt w:val="bullet"/>
      <w:lvlText w:val=""/>
      <w:lvlJc w:val="left"/>
      <w:pPr>
        <w:tabs>
          <w:tab w:val="num" w:pos="4320"/>
        </w:tabs>
        <w:ind w:left="4320" w:hanging="480"/>
      </w:pPr>
      <w:rPr>
        <w:rFonts w:ascii="Wingdings" w:hAnsi="Wingdings" w:cs="Wingdings" w:hint="default"/>
      </w:rPr>
    </w:lvl>
  </w:abstractNum>
  <w:abstractNum w:abstractNumId="4">
    <w:nsid w:val="1AA71E1F"/>
    <w:multiLevelType w:val="multilevel"/>
    <w:tmpl w:val="6F56D358"/>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nsid w:val="233D0909"/>
    <w:multiLevelType w:val="hybridMultilevel"/>
    <w:tmpl w:val="D1D0D202"/>
    <w:lvl w:ilvl="0" w:tplc="3138A486">
      <w:start w:val="1"/>
      <w:numFmt w:val="decimal"/>
      <w:lvlText w:val="%1."/>
      <w:lvlJc w:val="left"/>
      <w:pPr>
        <w:ind w:left="360" w:hanging="360"/>
      </w:pPr>
      <w:rPr>
        <w:rFonts w:hint="default"/>
        <w:color w:val="auto"/>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nsid w:val="243E04B4"/>
    <w:multiLevelType w:val="singleLevel"/>
    <w:tmpl w:val="5B6A83B4"/>
    <w:lvl w:ilvl="0">
      <w:numFmt w:val="none"/>
      <w:lvlText w:val="(A)"/>
      <w:lvlJc w:val="left"/>
      <w:rPr>
        <w:rFonts w:ascii="Arial" w:hAnsi="Arial" w:cs="Arial" w:hint="default"/>
        <w:sz w:val="36"/>
        <w:szCs w:val="36"/>
      </w:rPr>
    </w:lvl>
  </w:abstractNum>
  <w:abstractNum w:abstractNumId="7">
    <w:nsid w:val="2F575EDA"/>
    <w:multiLevelType w:val="hybridMultilevel"/>
    <w:tmpl w:val="89307C6E"/>
    <w:lvl w:ilvl="0" w:tplc="8C52E30A">
      <w:start w:val="1"/>
      <w:numFmt w:val="upperLetter"/>
      <w:suff w:val="space"/>
      <w:lvlText w:val="(%1)"/>
      <w:lvlJc w:val="left"/>
      <w:pPr>
        <w:ind w:left="340" w:hanging="340"/>
      </w:pPr>
      <w:rPr>
        <w:rFonts w:hint="default"/>
      </w:rPr>
    </w:lvl>
    <w:lvl w:ilvl="1" w:tplc="00170409">
      <w:start w:val="1"/>
      <w:numFmt w:val="aiueoFullWidth"/>
      <w:lvlText w:val="(%2)"/>
      <w:lvlJc w:val="left"/>
      <w:pPr>
        <w:tabs>
          <w:tab w:val="num" w:pos="960"/>
        </w:tabs>
        <w:ind w:left="960" w:hanging="480"/>
      </w:pPr>
    </w:lvl>
    <w:lvl w:ilvl="2" w:tplc="00110409">
      <w:start w:val="1"/>
      <w:numFmt w:val="decimalEnclosedCircle"/>
      <w:lvlText w:val="%3"/>
      <w:lvlJc w:val="left"/>
      <w:pPr>
        <w:tabs>
          <w:tab w:val="num" w:pos="1440"/>
        </w:tabs>
        <w:ind w:left="1440" w:hanging="480"/>
      </w:pPr>
    </w:lvl>
    <w:lvl w:ilvl="3" w:tplc="000F0409">
      <w:start w:val="1"/>
      <w:numFmt w:val="decimal"/>
      <w:lvlText w:val="%4."/>
      <w:lvlJc w:val="left"/>
      <w:pPr>
        <w:tabs>
          <w:tab w:val="num" w:pos="1920"/>
        </w:tabs>
        <w:ind w:left="1920" w:hanging="480"/>
      </w:pPr>
    </w:lvl>
    <w:lvl w:ilvl="4" w:tplc="00170409">
      <w:start w:val="1"/>
      <w:numFmt w:val="aiueoFullWidth"/>
      <w:lvlText w:val="(%5)"/>
      <w:lvlJc w:val="left"/>
      <w:pPr>
        <w:tabs>
          <w:tab w:val="num" w:pos="2400"/>
        </w:tabs>
        <w:ind w:left="2400" w:hanging="480"/>
      </w:pPr>
    </w:lvl>
    <w:lvl w:ilvl="5" w:tplc="00110409">
      <w:start w:val="1"/>
      <w:numFmt w:val="decimalEnclosedCircle"/>
      <w:lvlText w:val="%6"/>
      <w:lvlJc w:val="left"/>
      <w:pPr>
        <w:tabs>
          <w:tab w:val="num" w:pos="2880"/>
        </w:tabs>
        <w:ind w:left="2880" w:hanging="480"/>
      </w:pPr>
    </w:lvl>
    <w:lvl w:ilvl="6" w:tplc="000F0409">
      <w:start w:val="1"/>
      <w:numFmt w:val="decimal"/>
      <w:lvlText w:val="%7."/>
      <w:lvlJc w:val="left"/>
      <w:pPr>
        <w:tabs>
          <w:tab w:val="num" w:pos="3360"/>
        </w:tabs>
        <w:ind w:left="3360" w:hanging="480"/>
      </w:pPr>
    </w:lvl>
    <w:lvl w:ilvl="7" w:tplc="00170409">
      <w:start w:val="1"/>
      <w:numFmt w:val="aiueoFullWidth"/>
      <w:lvlText w:val="(%8)"/>
      <w:lvlJc w:val="left"/>
      <w:pPr>
        <w:tabs>
          <w:tab w:val="num" w:pos="3840"/>
        </w:tabs>
        <w:ind w:left="3840" w:hanging="480"/>
      </w:pPr>
    </w:lvl>
    <w:lvl w:ilvl="8" w:tplc="00110409">
      <w:start w:val="1"/>
      <w:numFmt w:val="decimalEnclosedCircle"/>
      <w:lvlText w:val="%9"/>
      <w:lvlJc w:val="left"/>
      <w:pPr>
        <w:tabs>
          <w:tab w:val="num" w:pos="4320"/>
        </w:tabs>
        <w:ind w:left="4320" w:hanging="480"/>
      </w:pPr>
    </w:lvl>
  </w:abstractNum>
  <w:abstractNum w:abstractNumId="8">
    <w:nsid w:val="2FED56EC"/>
    <w:multiLevelType w:val="hybridMultilevel"/>
    <w:tmpl w:val="EBD02A60"/>
    <w:lvl w:ilvl="0" w:tplc="0C7E9CB6">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333006E3"/>
    <w:multiLevelType w:val="hybridMultilevel"/>
    <w:tmpl w:val="F87EB132"/>
    <w:lvl w:ilvl="0" w:tplc="F8685DA4">
      <w:numFmt w:val="bullet"/>
      <w:lvlText w:val="○"/>
      <w:lvlJc w:val="left"/>
      <w:pPr>
        <w:tabs>
          <w:tab w:val="num" w:pos="360"/>
        </w:tabs>
        <w:ind w:left="360" w:hanging="360"/>
      </w:pPr>
      <w:rPr>
        <w:rFonts w:ascii="MS Mincho" w:eastAsia="MS Mincho" w:hAnsi="MS Mincho"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0">
    <w:nsid w:val="3C3F0B80"/>
    <w:multiLevelType w:val="hybridMultilevel"/>
    <w:tmpl w:val="1778C6C0"/>
    <w:lvl w:ilvl="0" w:tplc="9952B27A">
      <w:start w:val="1"/>
      <w:numFmt w:val="decimalFullWidth"/>
      <w:lvlText w:val="%1）"/>
      <w:lvlJc w:val="left"/>
      <w:pPr>
        <w:tabs>
          <w:tab w:val="num" w:pos="520"/>
        </w:tabs>
        <w:ind w:left="520" w:hanging="520"/>
      </w:pPr>
      <w:rPr>
        <w:rFonts w:hint="eastAsia"/>
      </w:rPr>
    </w:lvl>
    <w:lvl w:ilvl="1" w:tplc="8A58566A">
      <w:start w:val="1"/>
      <w:numFmt w:val="decimal"/>
      <w:suff w:val="space"/>
      <w:lvlText w:val="%2)"/>
      <w:lvlJc w:val="left"/>
      <w:pPr>
        <w:ind w:left="720" w:hanging="240"/>
      </w:pPr>
      <w:rPr>
        <w:rFonts w:hint="default"/>
      </w:rPr>
    </w:lvl>
    <w:lvl w:ilvl="2" w:tplc="00110409">
      <w:start w:val="1"/>
      <w:numFmt w:val="decimalEnclosedCircle"/>
      <w:lvlText w:val="%3"/>
      <w:lvlJc w:val="left"/>
      <w:pPr>
        <w:tabs>
          <w:tab w:val="num" w:pos="1440"/>
        </w:tabs>
        <w:ind w:left="1440" w:hanging="480"/>
      </w:pPr>
    </w:lvl>
    <w:lvl w:ilvl="3" w:tplc="000F0409">
      <w:start w:val="1"/>
      <w:numFmt w:val="decimal"/>
      <w:lvlText w:val="%4."/>
      <w:lvlJc w:val="left"/>
      <w:pPr>
        <w:tabs>
          <w:tab w:val="num" w:pos="1920"/>
        </w:tabs>
        <w:ind w:left="1920" w:hanging="480"/>
      </w:pPr>
    </w:lvl>
    <w:lvl w:ilvl="4" w:tplc="00170409">
      <w:start w:val="1"/>
      <w:numFmt w:val="aiueoFullWidth"/>
      <w:lvlText w:val="(%5)"/>
      <w:lvlJc w:val="left"/>
      <w:pPr>
        <w:tabs>
          <w:tab w:val="num" w:pos="2400"/>
        </w:tabs>
        <w:ind w:left="2400" w:hanging="480"/>
      </w:pPr>
    </w:lvl>
    <w:lvl w:ilvl="5" w:tplc="00110409">
      <w:start w:val="1"/>
      <w:numFmt w:val="decimalEnclosedCircle"/>
      <w:lvlText w:val="%6"/>
      <w:lvlJc w:val="left"/>
      <w:pPr>
        <w:tabs>
          <w:tab w:val="num" w:pos="2880"/>
        </w:tabs>
        <w:ind w:left="2880" w:hanging="480"/>
      </w:pPr>
    </w:lvl>
    <w:lvl w:ilvl="6" w:tplc="000F0409">
      <w:start w:val="1"/>
      <w:numFmt w:val="decimal"/>
      <w:lvlText w:val="%7."/>
      <w:lvlJc w:val="left"/>
      <w:pPr>
        <w:tabs>
          <w:tab w:val="num" w:pos="3360"/>
        </w:tabs>
        <w:ind w:left="3360" w:hanging="480"/>
      </w:pPr>
    </w:lvl>
    <w:lvl w:ilvl="7" w:tplc="00170409">
      <w:start w:val="1"/>
      <w:numFmt w:val="aiueoFullWidth"/>
      <w:lvlText w:val="(%8)"/>
      <w:lvlJc w:val="left"/>
      <w:pPr>
        <w:tabs>
          <w:tab w:val="num" w:pos="3840"/>
        </w:tabs>
        <w:ind w:left="3840" w:hanging="480"/>
      </w:pPr>
    </w:lvl>
    <w:lvl w:ilvl="8" w:tplc="00110409">
      <w:start w:val="1"/>
      <w:numFmt w:val="decimalEnclosedCircle"/>
      <w:lvlText w:val="%9"/>
      <w:lvlJc w:val="left"/>
      <w:pPr>
        <w:tabs>
          <w:tab w:val="num" w:pos="4320"/>
        </w:tabs>
        <w:ind w:left="4320" w:hanging="480"/>
      </w:pPr>
    </w:lvl>
  </w:abstractNum>
  <w:abstractNum w:abstractNumId="11">
    <w:nsid w:val="416B6BC0"/>
    <w:multiLevelType w:val="hybridMultilevel"/>
    <w:tmpl w:val="D47C1A48"/>
    <w:lvl w:ilvl="0" w:tplc="3E5C1D94">
      <w:start w:val="1"/>
      <w:numFmt w:val="decimalFullWidth"/>
      <w:lvlText w:val="%1）"/>
      <w:lvlJc w:val="left"/>
      <w:pPr>
        <w:tabs>
          <w:tab w:val="num" w:pos="520"/>
        </w:tabs>
        <w:ind w:left="520" w:hanging="520"/>
      </w:pPr>
      <w:rPr>
        <w:rFonts w:hint="eastAsia"/>
        <w:b/>
        <w:bCs/>
        <w:color w:val="0000FF"/>
      </w:rPr>
    </w:lvl>
    <w:lvl w:ilvl="1" w:tplc="00170409">
      <w:start w:val="1"/>
      <w:numFmt w:val="aiueoFullWidth"/>
      <w:lvlText w:val="(%2)"/>
      <w:lvlJc w:val="left"/>
      <w:pPr>
        <w:tabs>
          <w:tab w:val="num" w:pos="960"/>
        </w:tabs>
        <w:ind w:left="960" w:hanging="480"/>
      </w:pPr>
    </w:lvl>
    <w:lvl w:ilvl="2" w:tplc="00110409">
      <w:start w:val="1"/>
      <w:numFmt w:val="decimalEnclosedCircle"/>
      <w:lvlText w:val="%3"/>
      <w:lvlJc w:val="left"/>
      <w:pPr>
        <w:tabs>
          <w:tab w:val="num" w:pos="1440"/>
        </w:tabs>
        <w:ind w:left="1440" w:hanging="480"/>
      </w:pPr>
    </w:lvl>
    <w:lvl w:ilvl="3" w:tplc="000F0409">
      <w:start w:val="1"/>
      <w:numFmt w:val="decimal"/>
      <w:lvlText w:val="%4."/>
      <w:lvlJc w:val="left"/>
      <w:pPr>
        <w:tabs>
          <w:tab w:val="num" w:pos="1920"/>
        </w:tabs>
        <w:ind w:left="1920" w:hanging="480"/>
      </w:pPr>
    </w:lvl>
    <w:lvl w:ilvl="4" w:tplc="00170409">
      <w:start w:val="1"/>
      <w:numFmt w:val="aiueoFullWidth"/>
      <w:lvlText w:val="(%5)"/>
      <w:lvlJc w:val="left"/>
      <w:pPr>
        <w:tabs>
          <w:tab w:val="num" w:pos="2400"/>
        </w:tabs>
        <w:ind w:left="2400" w:hanging="480"/>
      </w:pPr>
    </w:lvl>
    <w:lvl w:ilvl="5" w:tplc="00110409">
      <w:start w:val="1"/>
      <w:numFmt w:val="decimalEnclosedCircle"/>
      <w:lvlText w:val="%6"/>
      <w:lvlJc w:val="left"/>
      <w:pPr>
        <w:tabs>
          <w:tab w:val="num" w:pos="2880"/>
        </w:tabs>
        <w:ind w:left="2880" w:hanging="480"/>
      </w:pPr>
    </w:lvl>
    <w:lvl w:ilvl="6" w:tplc="000F0409">
      <w:start w:val="1"/>
      <w:numFmt w:val="decimal"/>
      <w:lvlText w:val="%7."/>
      <w:lvlJc w:val="left"/>
      <w:pPr>
        <w:tabs>
          <w:tab w:val="num" w:pos="3360"/>
        </w:tabs>
        <w:ind w:left="3360" w:hanging="480"/>
      </w:pPr>
    </w:lvl>
    <w:lvl w:ilvl="7" w:tplc="00170409">
      <w:start w:val="1"/>
      <w:numFmt w:val="aiueoFullWidth"/>
      <w:lvlText w:val="(%8)"/>
      <w:lvlJc w:val="left"/>
      <w:pPr>
        <w:tabs>
          <w:tab w:val="num" w:pos="3840"/>
        </w:tabs>
        <w:ind w:left="3840" w:hanging="480"/>
      </w:pPr>
    </w:lvl>
    <w:lvl w:ilvl="8" w:tplc="00110409">
      <w:start w:val="1"/>
      <w:numFmt w:val="decimalEnclosedCircle"/>
      <w:lvlText w:val="%9"/>
      <w:lvlJc w:val="left"/>
      <w:pPr>
        <w:tabs>
          <w:tab w:val="num" w:pos="4320"/>
        </w:tabs>
        <w:ind w:left="4320" w:hanging="480"/>
      </w:pPr>
    </w:lvl>
  </w:abstractNum>
  <w:abstractNum w:abstractNumId="12">
    <w:nsid w:val="53163EDE"/>
    <w:multiLevelType w:val="hybridMultilevel"/>
    <w:tmpl w:val="FFC61C18"/>
    <w:lvl w:ilvl="0" w:tplc="9AE0EB16">
      <w:start w:val="1"/>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nsid w:val="5AFC36BA"/>
    <w:multiLevelType w:val="hybridMultilevel"/>
    <w:tmpl w:val="6ADAB020"/>
    <w:lvl w:ilvl="0" w:tplc="EDE866D6">
      <w:start w:val="1"/>
      <w:numFmt w:val="decimal"/>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nsid w:val="5F9F1565"/>
    <w:multiLevelType w:val="hybridMultilevel"/>
    <w:tmpl w:val="6F56D358"/>
    <w:lvl w:ilvl="0" w:tplc="9AE0EB16">
      <w:start w:val="1"/>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nsid w:val="682C3F96"/>
    <w:multiLevelType w:val="hybridMultilevel"/>
    <w:tmpl w:val="4CFA902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nsid w:val="772D4B96"/>
    <w:multiLevelType w:val="singleLevel"/>
    <w:tmpl w:val="5B6A83B4"/>
    <w:lvl w:ilvl="0">
      <w:numFmt w:val="none"/>
      <w:lvlText w:val="(A)"/>
      <w:lvlJc w:val="left"/>
      <w:rPr>
        <w:rFonts w:ascii="Arial" w:hAnsi="Arial" w:cs="Arial" w:hint="default"/>
        <w:sz w:val="36"/>
        <w:szCs w:val="36"/>
      </w:rPr>
    </w:lvl>
  </w:abstractNum>
  <w:num w:numId="1">
    <w:abstractNumId w:val="14"/>
  </w:num>
  <w:num w:numId="2">
    <w:abstractNumId w:val="4"/>
  </w:num>
  <w:num w:numId="3">
    <w:abstractNumId w:val="12"/>
  </w:num>
  <w:num w:numId="4">
    <w:abstractNumId w:val="9"/>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11"/>
  </w:num>
  <w:num w:numId="9">
    <w:abstractNumId w:val="6"/>
  </w:num>
  <w:num w:numId="10">
    <w:abstractNumId w:val="2"/>
  </w:num>
  <w:num w:numId="11">
    <w:abstractNumId w:val="7"/>
  </w:num>
  <w:num w:numId="12">
    <w:abstractNumId w:val="16"/>
  </w:num>
  <w:num w:numId="13">
    <w:abstractNumId w:val="13"/>
  </w:num>
  <w:num w:numId="14">
    <w:abstractNumId w:val="8"/>
  </w:num>
  <w:num w:numId="15">
    <w:abstractNumId w:val="15"/>
  </w:num>
  <w:num w:numId="16">
    <w:abstractNumId w:val="5"/>
  </w:num>
  <w:num w:numId="1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D. Smith">
    <w15:presenceInfo w15:providerId="None" w15:userId="Nicholas D. Smith"/>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revisionView w:inkAnnotations="0"/>
  <w:trackRevisions/>
  <w:defaultTabStop w:val="851"/>
  <w:displayHorizontalDrawingGridEvery w:val="0"/>
  <w:displayVerticalDrawingGridEvery w:val="2"/>
  <w:characterSpacingControl w:val="compressPunctuation"/>
  <w:hdrShapeDefaults>
    <o:shapedefaults v:ext="edit" spidmax="348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EN.InstantFormat" w:val="&lt;ENInstantFormat&gt;&lt;Enabled&gt;0&lt;/Enabled&gt;&lt;ScanUnformatted&gt;1&lt;/ScanUnformatted&gt;&lt;ScanChanges&gt;1&lt;/ScanChanges&gt;&lt;Suspended&gt;0&lt;/Suspended&gt;&lt;/ENInstantFormat&gt;"/>
    <w:docVar w:name="EN.Layout" w:val="&lt;ENLayout&gt;&lt;Style&gt;Calcified Tissue In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Libraries&gt;"/>
  </w:docVar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4818">
      <v:textbox inset="5.85pt,.7pt,5.85pt,.7pt"/>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cs="Century"/>
      <w:snapToGrid w:val="0"/>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252"/>
        <w:tab w:val="right" w:pos="8504"/>
      </w:tabs>
      <w:snapToGrid w:val="0"/>
    </w:pPr>
  </w:style>
  <w:style w:type="paragraph" w:styleId="Footer">
    <w:name w:val="footer"/>
    <w:basedOn w:val="Normal"/>
    <w:pPr>
      <w:tabs>
        <w:tab w:val="center" w:pos="4252"/>
        <w:tab w:val="right" w:pos="8504"/>
      </w:tabs>
      <w:snapToGrid w:val="0"/>
    </w:pPr>
  </w:style>
  <w:style w:type="character" w:styleId="LineNumber">
    <w:name w:val="line number"/>
    <w:basedOn w:val="DefaultParagraphFont"/>
  </w:style>
  <w:style w:type="character" w:customStyle="1" w:styleId="px101">
    <w:name w:val="px101"/>
    <w:rPr>
      <w:color w:val="auto"/>
      <w:sz w:val="18"/>
      <w:szCs w:val="18"/>
    </w:rPr>
  </w:style>
  <w:style w:type="character" w:styleId="PageNumber">
    <w:name w:val="page number"/>
    <w:basedOn w:val="DefaultParagraphFont"/>
  </w:style>
  <w:style w:type="paragraph" w:styleId="ListParagraph">
    <w:name w:val="List Paragraph"/>
    <w:basedOn w:val="Normal"/>
    <w:qFormat/>
    <w:pPr>
      <w:ind w:leftChars="400" w:left="400"/>
    </w:pPr>
    <w:rPr>
      <w:rFonts w:cs="Times New Roman"/>
      <w:snapToGrid/>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napToGrid w:val="0"/>
      <w:kern w:val="2"/>
      <w:sz w:val="16"/>
      <w:szCs w:val="16"/>
      <w:lang w:val="en-US" w:eastAsia="ja-JP"/>
    </w:rPr>
  </w:style>
  <w:style w:type="character" w:styleId="CommentReference">
    <w:name w:val="annotation reference"/>
    <w:rPr>
      <w:sz w:val="18"/>
      <w:szCs w:val="18"/>
    </w:rPr>
  </w:style>
  <w:style w:type="paragraph" w:styleId="CommentText">
    <w:name w:val="annotation text"/>
    <w:basedOn w:val="Normal"/>
    <w:link w:val="CommentTextChar"/>
    <w:pPr>
      <w:jc w:val="left"/>
    </w:pPr>
  </w:style>
  <w:style w:type="character" w:customStyle="1" w:styleId="CommentTextChar">
    <w:name w:val="Comment Text Char"/>
    <w:link w:val="CommentText"/>
    <w:rPr>
      <w:rFonts w:cs="Century"/>
      <w:snapToGrid w:val="0"/>
      <w:kern w:val="2"/>
      <w:sz w:val="21"/>
      <w:szCs w:val="21"/>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cs="Century"/>
      <w:b/>
      <w:bCs/>
      <w:snapToGrid w:val="0"/>
      <w:kern w:val="2"/>
      <w:sz w:val="21"/>
      <w:szCs w:val="21"/>
    </w:rPr>
  </w:style>
  <w:style w:type="character" w:styleId="Hyperlink">
    <w:name w:val="Hyperlink"/>
    <w:rPr>
      <w:color w:val="0000FF"/>
      <w:u w:val="single"/>
    </w:rPr>
  </w:style>
  <w:style w:type="paragraph" w:styleId="Revision">
    <w:name w:val="Revision"/>
    <w:hidden/>
    <w:uiPriority w:val="99"/>
    <w:semiHidden/>
    <w:rPr>
      <w:rFonts w:cs="Century"/>
      <w:snapToGrid w:val="0"/>
      <w:kern w:val="2"/>
      <w:sz w:val="21"/>
      <w:szCs w:val="21"/>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widowControl/>
      <w:spacing w:before="100" w:beforeAutospacing="1" w:after="100" w:afterAutospacing="1"/>
      <w:jc w:val="left"/>
    </w:pPr>
    <w:rPr>
      <w:rFonts w:ascii="MS PGothic" w:eastAsia="MS PGothic" w:hAnsi="MS PGothic" w:cs="MS PGothic"/>
      <w:snapToGrid/>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1555116">
      <w:bodyDiv w:val="1"/>
      <w:marLeft w:val="0"/>
      <w:marRight w:val="0"/>
      <w:marTop w:val="0"/>
      <w:marBottom w:val="0"/>
      <w:divBdr>
        <w:top w:val="none" w:sz="0" w:space="0" w:color="auto"/>
        <w:left w:val="none" w:sz="0" w:space="0" w:color="auto"/>
        <w:bottom w:val="none" w:sz="0" w:space="0" w:color="auto"/>
        <w:right w:val="none" w:sz="0" w:space="0" w:color="auto"/>
      </w:divBdr>
    </w:div>
    <w:div w:id="833181069">
      <w:bodyDiv w:val="1"/>
      <w:marLeft w:val="0"/>
      <w:marRight w:val="0"/>
      <w:marTop w:val="0"/>
      <w:marBottom w:val="0"/>
      <w:divBdr>
        <w:top w:val="none" w:sz="0" w:space="0" w:color="auto"/>
        <w:left w:val="none" w:sz="0" w:space="0" w:color="auto"/>
        <w:bottom w:val="none" w:sz="0" w:space="0" w:color="auto"/>
        <w:right w:val="none" w:sz="0" w:space="0" w:color="auto"/>
      </w:divBdr>
    </w:div>
    <w:div w:id="1515803547">
      <w:bodyDiv w:val="1"/>
      <w:marLeft w:val="0"/>
      <w:marRight w:val="0"/>
      <w:marTop w:val="0"/>
      <w:marBottom w:val="0"/>
      <w:divBdr>
        <w:top w:val="none" w:sz="0" w:space="0" w:color="auto"/>
        <w:left w:val="none" w:sz="0" w:space="0" w:color="auto"/>
        <w:bottom w:val="none" w:sz="0" w:space="0" w:color="auto"/>
        <w:right w:val="none" w:sz="0" w:space="0" w:color="auto"/>
      </w:divBdr>
    </w:div>
    <w:div w:id="1908874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970</Words>
  <Characters>5530</Characters>
  <Application>Microsoft Office Word</Application>
  <DocSecurity>0</DocSecurity>
  <PresentationFormat/>
  <Lines>46</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旭化成グループ</Company>
  <LinksUpToDate>false</LinksUpToDate>
  <CharactersWithSpaces>6488</CharactersWithSpaces>
  <SharedDoc>false</SharedDoc>
  <HyperlinkBase/>
  <HLinks>
    <vt:vector size="324" baseType="variant">
      <vt:variant>
        <vt:i4>4521995</vt:i4>
      </vt:variant>
      <vt:variant>
        <vt:i4>325</vt:i4>
      </vt:variant>
      <vt:variant>
        <vt:i4>0</vt:i4>
      </vt:variant>
      <vt:variant>
        <vt:i4>5</vt:i4>
      </vt:variant>
      <vt:variant>
        <vt:lpwstr/>
      </vt:variant>
      <vt:variant>
        <vt:lpwstr>_ENREF_45</vt:lpwstr>
      </vt:variant>
      <vt:variant>
        <vt:i4>4521995</vt:i4>
      </vt:variant>
      <vt:variant>
        <vt:i4>322</vt:i4>
      </vt:variant>
      <vt:variant>
        <vt:i4>0</vt:i4>
      </vt:variant>
      <vt:variant>
        <vt:i4>5</vt:i4>
      </vt:variant>
      <vt:variant>
        <vt:lpwstr/>
      </vt:variant>
      <vt:variant>
        <vt:lpwstr>_ENREF_44</vt:lpwstr>
      </vt:variant>
      <vt:variant>
        <vt:i4>4521995</vt:i4>
      </vt:variant>
      <vt:variant>
        <vt:i4>314</vt:i4>
      </vt:variant>
      <vt:variant>
        <vt:i4>0</vt:i4>
      </vt:variant>
      <vt:variant>
        <vt:i4>5</vt:i4>
      </vt:variant>
      <vt:variant>
        <vt:lpwstr/>
      </vt:variant>
      <vt:variant>
        <vt:lpwstr>_ENREF_43</vt:lpwstr>
      </vt:variant>
      <vt:variant>
        <vt:i4>4521995</vt:i4>
      </vt:variant>
      <vt:variant>
        <vt:i4>308</vt:i4>
      </vt:variant>
      <vt:variant>
        <vt:i4>0</vt:i4>
      </vt:variant>
      <vt:variant>
        <vt:i4>5</vt:i4>
      </vt:variant>
      <vt:variant>
        <vt:lpwstr/>
      </vt:variant>
      <vt:variant>
        <vt:lpwstr>_ENREF_42</vt:lpwstr>
      </vt:variant>
      <vt:variant>
        <vt:i4>4521995</vt:i4>
      </vt:variant>
      <vt:variant>
        <vt:i4>305</vt:i4>
      </vt:variant>
      <vt:variant>
        <vt:i4>0</vt:i4>
      </vt:variant>
      <vt:variant>
        <vt:i4>5</vt:i4>
      </vt:variant>
      <vt:variant>
        <vt:lpwstr/>
      </vt:variant>
      <vt:variant>
        <vt:lpwstr>_ENREF_41</vt:lpwstr>
      </vt:variant>
      <vt:variant>
        <vt:i4>4521995</vt:i4>
      </vt:variant>
      <vt:variant>
        <vt:i4>297</vt:i4>
      </vt:variant>
      <vt:variant>
        <vt:i4>0</vt:i4>
      </vt:variant>
      <vt:variant>
        <vt:i4>5</vt:i4>
      </vt:variant>
      <vt:variant>
        <vt:lpwstr/>
      </vt:variant>
      <vt:variant>
        <vt:lpwstr>_ENREF_40</vt:lpwstr>
      </vt:variant>
      <vt:variant>
        <vt:i4>4521995</vt:i4>
      </vt:variant>
      <vt:variant>
        <vt:i4>289</vt:i4>
      </vt:variant>
      <vt:variant>
        <vt:i4>0</vt:i4>
      </vt:variant>
      <vt:variant>
        <vt:i4>5</vt:i4>
      </vt:variant>
      <vt:variant>
        <vt:lpwstr/>
      </vt:variant>
      <vt:variant>
        <vt:lpwstr>_ENREF_4</vt:lpwstr>
      </vt:variant>
      <vt:variant>
        <vt:i4>4390923</vt:i4>
      </vt:variant>
      <vt:variant>
        <vt:i4>286</vt:i4>
      </vt:variant>
      <vt:variant>
        <vt:i4>0</vt:i4>
      </vt:variant>
      <vt:variant>
        <vt:i4>5</vt:i4>
      </vt:variant>
      <vt:variant>
        <vt:lpwstr/>
      </vt:variant>
      <vt:variant>
        <vt:lpwstr>_ENREF_2</vt:lpwstr>
      </vt:variant>
      <vt:variant>
        <vt:i4>4194315</vt:i4>
      </vt:variant>
      <vt:variant>
        <vt:i4>278</vt:i4>
      </vt:variant>
      <vt:variant>
        <vt:i4>0</vt:i4>
      </vt:variant>
      <vt:variant>
        <vt:i4>5</vt:i4>
      </vt:variant>
      <vt:variant>
        <vt:lpwstr/>
      </vt:variant>
      <vt:variant>
        <vt:lpwstr>_ENREF_15</vt:lpwstr>
      </vt:variant>
      <vt:variant>
        <vt:i4>4194315</vt:i4>
      </vt:variant>
      <vt:variant>
        <vt:i4>272</vt:i4>
      </vt:variant>
      <vt:variant>
        <vt:i4>0</vt:i4>
      </vt:variant>
      <vt:variant>
        <vt:i4>5</vt:i4>
      </vt:variant>
      <vt:variant>
        <vt:lpwstr/>
      </vt:variant>
      <vt:variant>
        <vt:lpwstr>_ENREF_15</vt:lpwstr>
      </vt:variant>
      <vt:variant>
        <vt:i4>4325387</vt:i4>
      </vt:variant>
      <vt:variant>
        <vt:i4>266</vt:i4>
      </vt:variant>
      <vt:variant>
        <vt:i4>0</vt:i4>
      </vt:variant>
      <vt:variant>
        <vt:i4>5</vt:i4>
      </vt:variant>
      <vt:variant>
        <vt:lpwstr/>
      </vt:variant>
      <vt:variant>
        <vt:lpwstr>_ENREF_39</vt:lpwstr>
      </vt:variant>
      <vt:variant>
        <vt:i4>4194315</vt:i4>
      </vt:variant>
      <vt:variant>
        <vt:i4>260</vt:i4>
      </vt:variant>
      <vt:variant>
        <vt:i4>0</vt:i4>
      </vt:variant>
      <vt:variant>
        <vt:i4>5</vt:i4>
      </vt:variant>
      <vt:variant>
        <vt:lpwstr/>
      </vt:variant>
      <vt:variant>
        <vt:lpwstr>_ENREF_15</vt:lpwstr>
      </vt:variant>
      <vt:variant>
        <vt:i4>4194315</vt:i4>
      </vt:variant>
      <vt:variant>
        <vt:i4>254</vt:i4>
      </vt:variant>
      <vt:variant>
        <vt:i4>0</vt:i4>
      </vt:variant>
      <vt:variant>
        <vt:i4>5</vt:i4>
      </vt:variant>
      <vt:variant>
        <vt:lpwstr/>
      </vt:variant>
      <vt:variant>
        <vt:lpwstr>_ENREF_16</vt:lpwstr>
      </vt:variant>
      <vt:variant>
        <vt:i4>4194315</vt:i4>
      </vt:variant>
      <vt:variant>
        <vt:i4>251</vt:i4>
      </vt:variant>
      <vt:variant>
        <vt:i4>0</vt:i4>
      </vt:variant>
      <vt:variant>
        <vt:i4>5</vt:i4>
      </vt:variant>
      <vt:variant>
        <vt:lpwstr/>
      </vt:variant>
      <vt:variant>
        <vt:lpwstr>_ENREF_15</vt:lpwstr>
      </vt:variant>
      <vt:variant>
        <vt:i4>4325387</vt:i4>
      </vt:variant>
      <vt:variant>
        <vt:i4>243</vt:i4>
      </vt:variant>
      <vt:variant>
        <vt:i4>0</vt:i4>
      </vt:variant>
      <vt:variant>
        <vt:i4>5</vt:i4>
      </vt:variant>
      <vt:variant>
        <vt:lpwstr/>
      </vt:variant>
      <vt:variant>
        <vt:lpwstr>_ENREF_38</vt:lpwstr>
      </vt:variant>
      <vt:variant>
        <vt:i4>4521995</vt:i4>
      </vt:variant>
      <vt:variant>
        <vt:i4>237</vt:i4>
      </vt:variant>
      <vt:variant>
        <vt:i4>0</vt:i4>
      </vt:variant>
      <vt:variant>
        <vt:i4>5</vt:i4>
      </vt:variant>
      <vt:variant>
        <vt:lpwstr/>
      </vt:variant>
      <vt:variant>
        <vt:lpwstr>_ENREF_4</vt:lpwstr>
      </vt:variant>
      <vt:variant>
        <vt:i4>4194315</vt:i4>
      </vt:variant>
      <vt:variant>
        <vt:i4>231</vt:i4>
      </vt:variant>
      <vt:variant>
        <vt:i4>0</vt:i4>
      </vt:variant>
      <vt:variant>
        <vt:i4>5</vt:i4>
      </vt:variant>
      <vt:variant>
        <vt:lpwstr/>
      </vt:variant>
      <vt:variant>
        <vt:lpwstr>_ENREF_13</vt:lpwstr>
      </vt:variant>
      <vt:variant>
        <vt:i4>4456459</vt:i4>
      </vt:variant>
      <vt:variant>
        <vt:i4>228</vt:i4>
      </vt:variant>
      <vt:variant>
        <vt:i4>0</vt:i4>
      </vt:variant>
      <vt:variant>
        <vt:i4>5</vt:i4>
      </vt:variant>
      <vt:variant>
        <vt:lpwstr/>
      </vt:variant>
      <vt:variant>
        <vt:lpwstr>_ENREF_5</vt:lpwstr>
      </vt:variant>
      <vt:variant>
        <vt:i4>4325387</vt:i4>
      </vt:variant>
      <vt:variant>
        <vt:i4>225</vt:i4>
      </vt:variant>
      <vt:variant>
        <vt:i4>0</vt:i4>
      </vt:variant>
      <vt:variant>
        <vt:i4>5</vt:i4>
      </vt:variant>
      <vt:variant>
        <vt:lpwstr/>
      </vt:variant>
      <vt:variant>
        <vt:lpwstr>_ENREF_3</vt:lpwstr>
      </vt:variant>
      <vt:variant>
        <vt:i4>4194315</vt:i4>
      </vt:variant>
      <vt:variant>
        <vt:i4>217</vt:i4>
      </vt:variant>
      <vt:variant>
        <vt:i4>0</vt:i4>
      </vt:variant>
      <vt:variant>
        <vt:i4>5</vt:i4>
      </vt:variant>
      <vt:variant>
        <vt:lpwstr/>
      </vt:variant>
      <vt:variant>
        <vt:lpwstr>_ENREF_16</vt:lpwstr>
      </vt:variant>
      <vt:variant>
        <vt:i4>4194315</vt:i4>
      </vt:variant>
      <vt:variant>
        <vt:i4>209</vt:i4>
      </vt:variant>
      <vt:variant>
        <vt:i4>0</vt:i4>
      </vt:variant>
      <vt:variant>
        <vt:i4>5</vt:i4>
      </vt:variant>
      <vt:variant>
        <vt:lpwstr/>
      </vt:variant>
      <vt:variant>
        <vt:lpwstr>_ENREF_16</vt:lpwstr>
      </vt:variant>
      <vt:variant>
        <vt:i4>4325387</vt:i4>
      </vt:variant>
      <vt:variant>
        <vt:i4>201</vt:i4>
      </vt:variant>
      <vt:variant>
        <vt:i4>0</vt:i4>
      </vt:variant>
      <vt:variant>
        <vt:i4>5</vt:i4>
      </vt:variant>
      <vt:variant>
        <vt:lpwstr/>
      </vt:variant>
      <vt:variant>
        <vt:lpwstr>_ENREF_37</vt:lpwstr>
      </vt:variant>
      <vt:variant>
        <vt:i4>4325387</vt:i4>
      </vt:variant>
      <vt:variant>
        <vt:i4>198</vt:i4>
      </vt:variant>
      <vt:variant>
        <vt:i4>0</vt:i4>
      </vt:variant>
      <vt:variant>
        <vt:i4>5</vt:i4>
      </vt:variant>
      <vt:variant>
        <vt:lpwstr/>
      </vt:variant>
      <vt:variant>
        <vt:lpwstr>_ENREF_36</vt:lpwstr>
      </vt:variant>
      <vt:variant>
        <vt:i4>4325387</vt:i4>
      </vt:variant>
      <vt:variant>
        <vt:i4>190</vt:i4>
      </vt:variant>
      <vt:variant>
        <vt:i4>0</vt:i4>
      </vt:variant>
      <vt:variant>
        <vt:i4>5</vt:i4>
      </vt:variant>
      <vt:variant>
        <vt:lpwstr/>
      </vt:variant>
      <vt:variant>
        <vt:lpwstr>_ENREF_35</vt:lpwstr>
      </vt:variant>
      <vt:variant>
        <vt:i4>4325387</vt:i4>
      </vt:variant>
      <vt:variant>
        <vt:i4>184</vt:i4>
      </vt:variant>
      <vt:variant>
        <vt:i4>0</vt:i4>
      </vt:variant>
      <vt:variant>
        <vt:i4>5</vt:i4>
      </vt:variant>
      <vt:variant>
        <vt:lpwstr/>
      </vt:variant>
      <vt:variant>
        <vt:lpwstr>_ENREF_34</vt:lpwstr>
      </vt:variant>
      <vt:variant>
        <vt:i4>4325387</vt:i4>
      </vt:variant>
      <vt:variant>
        <vt:i4>178</vt:i4>
      </vt:variant>
      <vt:variant>
        <vt:i4>0</vt:i4>
      </vt:variant>
      <vt:variant>
        <vt:i4>5</vt:i4>
      </vt:variant>
      <vt:variant>
        <vt:lpwstr/>
      </vt:variant>
      <vt:variant>
        <vt:lpwstr>_ENREF_33</vt:lpwstr>
      </vt:variant>
      <vt:variant>
        <vt:i4>4325387</vt:i4>
      </vt:variant>
      <vt:variant>
        <vt:i4>172</vt:i4>
      </vt:variant>
      <vt:variant>
        <vt:i4>0</vt:i4>
      </vt:variant>
      <vt:variant>
        <vt:i4>5</vt:i4>
      </vt:variant>
      <vt:variant>
        <vt:lpwstr/>
      </vt:variant>
      <vt:variant>
        <vt:lpwstr>_ENREF_32</vt:lpwstr>
      </vt:variant>
      <vt:variant>
        <vt:i4>4325387</vt:i4>
      </vt:variant>
      <vt:variant>
        <vt:i4>166</vt:i4>
      </vt:variant>
      <vt:variant>
        <vt:i4>0</vt:i4>
      </vt:variant>
      <vt:variant>
        <vt:i4>5</vt:i4>
      </vt:variant>
      <vt:variant>
        <vt:lpwstr/>
      </vt:variant>
      <vt:variant>
        <vt:lpwstr>_ENREF_31</vt:lpwstr>
      </vt:variant>
      <vt:variant>
        <vt:i4>4325387</vt:i4>
      </vt:variant>
      <vt:variant>
        <vt:i4>160</vt:i4>
      </vt:variant>
      <vt:variant>
        <vt:i4>0</vt:i4>
      </vt:variant>
      <vt:variant>
        <vt:i4>5</vt:i4>
      </vt:variant>
      <vt:variant>
        <vt:lpwstr/>
      </vt:variant>
      <vt:variant>
        <vt:lpwstr>_ENREF_30</vt:lpwstr>
      </vt:variant>
      <vt:variant>
        <vt:i4>4390923</vt:i4>
      </vt:variant>
      <vt:variant>
        <vt:i4>152</vt:i4>
      </vt:variant>
      <vt:variant>
        <vt:i4>0</vt:i4>
      </vt:variant>
      <vt:variant>
        <vt:i4>5</vt:i4>
      </vt:variant>
      <vt:variant>
        <vt:lpwstr/>
      </vt:variant>
      <vt:variant>
        <vt:lpwstr>_ENREF_29</vt:lpwstr>
      </vt:variant>
      <vt:variant>
        <vt:i4>4390923</vt:i4>
      </vt:variant>
      <vt:variant>
        <vt:i4>146</vt:i4>
      </vt:variant>
      <vt:variant>
        <vt:i4>0</vt:i4>
      </vt:variant>
      <vt:variant>
        <vt:i4>5</vt:i4>
      </vt:variant>
      <vt:variant>
        <vt:lpwstr/>
      </vt:variant>
      <vt:variant>
        <vt:lpwstr>_ENREF_28</vt:lpwstr>
      </vt:variant>
      <vt:variant>
        <vt:i4>4390923</vt:i4>
      </vt:variant>
      <vt:variant>
        <vt:i4>140</vt:i4>
      </vt:variant>
      <vt:variant>
        <vt:i4>0</vt:i4>
      </vt:variant>
      <vt:variant>
        <vt:i4>5</vt:i4>
      </vt:variant>
      <vt:variant>
        <vt:lpwstr/>
      </vt:variant>
      <vt:variant>
        <vt:lpwstr>_ENREF_24</vt:lpwstr>
      </vt:variant>
      <vt:variant>
        <vt:i4>4390923</vt:i4>
      </vt:variant>
      <vt:variant>
        <vt:i4>132</vt:i4>
      </vt:variant>
      <vt:variant>
        <vt:i4>0</vt:i4>
      </vt:variant>
      <vt:variant>
        <vt:i4>5</vt:i4>
      </vt:variant>
      <vt:variant>
        <vt:lpwstr/>
      </vt:variant>
      <vt:variant>
        <vt:lpwstr>_ENREF_21</vt:lpwstr>
      </vt:variant>
      <vt:variant>
        <vt:i4>4390923</vt:i4>
      </vt:variant>
      <vt:variant>
        <vt:i4>124</vt:i4>
      </vt:variant>
      <vt:variant>
        <vt:i4>0</vt:i4>
      </vt:variant>
      <vt:variant>
        <vt:i4>5</vt:i4>
      </vt:variant>
      <vt:variant>
        <vt:lpwstr/>
      </vt:variant>
      <vt:variant>
        <vt:lpwstr>_ENREF_20</vt:lpwstr>
      </vt:variant>
      <vt:variant>
        <vt:i4>4194315</vt:i4>
      </vt:variant>
      <vt:variant>
        <vt:i4>118</vt:i4>
      </vt:variant>
      <vt:variant>
        <vt:i4>0</vt:i4>
      </vt:variant>
      <vt:variant>
        <vt:i4>5</vt:i4>
      </vt:variant>
      <vt:variant>
        <vt:lpwstr/>
      </vt:variant>
      <vt:variant>
        <vt:lpwstr>_ENREF_17</vt:lpwstr>
      </vt:variant>
      <vt:variant>
        <vt:i4>4194315</vt:i4>
      </vt:variant>
      <vt:variant>
        <vt:i4>110</vt:i4>
      </vt:variant>
      <vt:variant>
        <vt:i4>0</vt:i4>
      </vt:variant>
      <vt:variant>
        <vt:i4>5</vt:i4>
      </vt:variant>
      <vt:variant>
        <vt:lpwstr/>
      </vt:variant>
      <vt:variant>
        <vt:lpwstr>_ENREF_16</vt:lpwstr>
      </vt:variant>
      <vt:variant>
        <vt:i4>4194315</vt:i4>
      </vt:variant>
      <vt:variant>
        <vt:i4>107</vt:i4>
      </vt:variant>
      <vt:variant>
        <vt:i4>0</vt:i4>
      </vt:variant>
      <vt:variant>
        <vt:i4>5</vt:i4>
      </vt:variant>
      <vt:variant>
        <vt:lpwstr/>
      </vt:variant>
      <vt:variant>
        <vt:lpwstr>_ENREF_15</vt:lpwstr>
      </vt:variant>
      <vt:variant>
        <vt:i4>4521995</vt:i4>
      </vt:variant>
      <vt:variant>
        <vt:i4>99</vt:i4>
      </vt:variant>
      <vt:variant>
        <vt:i4>0</vt:i4>
      </vt:variant>
      <vt:variant>
        <vt:i4>5</vt:i4>
      </vt:variant>
      <vt:variant>
        <vt:lpwstr/>
      </vt:variant>
      <vt:variant>
        <vt:lpwstr>_ENREF_4</vt:lpwstr>
      </vt:variant>
      <vt:variant>
        <vt:i4>4194315</vt:i4>
      </vt:variant>
      <vt:variant>
        <vt:i4>93</vt:i4>
      </vt:variant>
      <vt:variant>
        <vt:i4>0</vt:i4>
      </vt:variant>
      <vt:variant>
        <vt:i4>5</vt:i4>
      </vt:variant>
      <vt:variant>
        <vt:lpwstr/>
      </vt:variant>
      <vt:variant>
        <vt:lpwstr>_ENREF_14</vt:lpwstr>
      </vt:variant>
      <vt:variant>
        <vt:i4>4194315</vt:i4>
      </vt:variant>
      <vt:variant>
        <vt:i4>87</vt:i4>
      </vt:variant>
      <vt:variant>
        <vt:i4>0</vt:i4>
      </vt:variant>
      <vt:variant>
        <vt:i4>5</vt:i4>
      </vt:variant>
      <vt:variant>
        <vt:lpwstr/>
      </vt:variant>
      <vt:variant>
        <vt:lpwstr>_ENREF_13</vt:lpwstr>
      </vt:variant>
      <vt:variant>
        <vt:i4>4325387</vt:i4>
      </vt:variant>
      <vt:variant>
        <vt:i4>84</vt:i4>
      </vt:variant>
      <vt:variant>
        <vt:i4>0</vt:i4>
      </vt:variant>
      <vt:variant>
        <vt:i4>5</vt:i4>
      </vt:variant>
      <vt:variant>
        <vt:lpwstr/>
      </vt:variant>
      <vt:variant>
        <vt:lpwstr>_ENREF_3</vt:lpwstr>
      </vt:variant>
      <vt:variant>
        <vt:i4>4194315</vt:i4>
      </vt:variant>
      <vt:variant>
        <vt:i4>76</vt:i4>
      </vt:variant>
      <vt:variant>
        <vt:i4>0</vt:i4>
      </vt:variant>
      <vt:variant>
        <vt:i4>5</vt:i4>
      </vt:variant>
      <vt:variant>
        <vt:lpwstr/>
      </vt:variant>
      <vt:variant>
        <vt:lpwstr>_ENREF_13</vt:lpwstr>
      </vt:variant>
      <vt:variant>
        <vt:i4>4456459</vt:i4>
      </vt:variant>
      <vt:variant>
        <vt:i4>73</vt:i4>
      </vt:variant>
      <vt:variant>
        <vt:i4>0</vt:i4>
      </vt:variant>
      <vt:variant>
        <vt:i4>5</vt:i4>
      </vt:variant>
      <vt:variant>
        <vt:lpwstr/>
      </vt:variant>
      <vt:variant>
        <vt:lpwstr>_ENREF_5</vt:lpwstr>
      </vt:variant>
      <vt:variant>
        <vt:i4>4325387</vt:i4>
      </vt:variant>
      <vt:variant>
        <vt:i4>70</vt:i4>
      </vt:variant>
      <vt:variant>
        <vt:i4>0</vt:i4>
      </vt:variant>
      <vt:variant>
        <vt:i4>5</vt:i4>
      </vt:variant>
      <vt:variant>
        <vt:lpwstr/>
      </vt:variant>
      <vt:variant>
        <vt:lpwstr>_ENREF_3</vt:lpwstr>
      </vt:variant>
      <vt:variant>
        <vt:i4>4194315</vt:i4>
      </vt:variant>
      <vt:variant>
        <vt:i4>62</vt:i4>
      </vt:variant>
      <vt:variant>
        <vt:i4>0</vt:i4>
      </vt:variant>
      <vt:variant>
        <vt:i4>5</vt:i4>
      </vt:variant>
      <vt:variant>
        <vt:lpwstr/>
      </vt:variant>
      <vt:variant>
        <vt:lpwstr>_ENREF_12</vt:lpwstr>
      </vt:variant>
      <vt:variant>
        <vt:i4>4194315</vt:i4>
      </vt:variant>
      <vt:variant>
        <vt:i4>59</vt:i4>
      </vt:variant>
      <vt:variant>
        <vt:i4>0</vt:i4>
      </vt:variant>
      <vt:variant>
        <vt:i4>5</vt:i4>
      </vt:variant>
      <vt:variant>
        <vt:lpwstr/>
      </vt:variant>
      <vt:variant>
        <vt:lpwstr>_ENREF_11</vt:lpwstr>
      </vt:variant>
      <vt:variant>
        <vt:i4>4194315</vt:i4>
      </vt:variant>
      <vt:variant>
        <vt:i4>51</vt:i4>
      </vt:variant>
      <vt:variant>
        <vt:i4>0</vt:i4>
      </vt:variant>
      <vt:variant>
        <vt:i4>5</vt:i4>
      </vt:variant>
      <vt:variant>
        <vt:lpwstr/>
      </vt:variant>
      <vt:variant>
        <vt:lpwstr>_ENREF_10</vt:lpwstr>
      </vt:variant>
      <vt:variant>
        <vt:i4>4718603</vt:i4>
      </vt:variant>
      <vt:variant>
        <vt:i4>48</vt:i4>
      </vt:variant>
      <vt:variant>
        <vt:i4>0</vt:i4>
      </vt:variant>
      <vt:variant>
        <vt:i4>5</vt:i4>
      </vt:variant>
      <vt:variant>
        <vt:lpwstr/>
      </vt:variant>
      <vt:variant>
        <vt:lpwstr>_ENREF_9</vt:lpwstr>
      </vt:variant>
      <vt:variant>
        <vt:i4>4653067</vt:i4>
      </vt:variant>
      <vt:variant>
        <vt:i4>40</vt:i4>
      </vt:variant>
      <vt:variant>
        <vt:i4>0</vt:i4>
      </vt:variant>
      <vt:variant>
        <vt:i4>5</vt:i4>
      </vt:variant>
      <vt:variant>
        <vt:lpwstr/>
      </vt:variant>
      <vt:variant>
        <vt:lpwstr>_ENREF_6</vt:lpwstr>
      </vt:variant>
      <vt:variant>
        <vt:i4>4456459</vt:i4>
      </vt:variant>
      <vt:variant>
        <vt:i4>32</vt:i4>
      </vt:variant>
      <vt:variant>
        <vt:i4>0</vt:i4>
      </vt:variant>
      <vt:variant>
        <vt:i4>5</vt:i4>
      </vt:variant>
      <vt:variant>
        <vt:lpwstr/>
      </vt:variant>
      <vt:variant>
        <vt:lpwstr>_ENREF_5</vt:lpwstr>
      </vt:variant>
      <vt:variant>
        <vt:i4>4521995</vt:i4>
      </vt:variant>
      <vt:variant>
        <vt:i4>24</vt:i4>
      </vt:variant>
      <vt:variant>
        <vt:i4>0</vt:i4>
      </vt:variant>
      <vt:variant>
        <vt:i4>5</vt:i4>
      </vt:variant>
      <vt:variant>
        <vt:lpwstr/>
      </vt:variant>
      <vt:variant>
        <vt:lpwstr>_ENREF_4</vt:lpwstr>
      </vt:variant>
      <vt:variant>
        <vt:i4>4325387</vt:i4>
      </vt:variant>
      <vt:variant>
        <vt:i4>18</vt:i4>
      </vt:variant>
      <vt:variant>
        <vt:i4>0</vt:i4>
      </vt:variant>
      <vt:variant>
        <vt:i4>5</vt:i4>
      </vt:variant>
      <vt:variant>
        <vt:lpwstr/>
      </vt:variant>
      <vt:variant>
        <vt:lpwstr>_ENREF_3</vt:lpwstr>
      </vt:variant>
      <vt:variant>
        <vt:i4>4390923</vt:i4>
      </vt:variant>
      <vt:variant>
        <vt:i4>10</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旭化成ファーマ　高尾亮子</dc:creator>
  <cp:lastModifiedBy>Daniel McGowan</cp:lastModifiedBy>
  <cp:revision>2</cp:revision>
  <cp:lastPrinted>2014-08-12T10:53:00Z</cp:lastPrinted>
  <dcterms:created xsi:type="dcterms:W3CDTF">2014-12-22T04:04:00Z</dcterms:created>
  <dcterms:modified xsi:type="dcterms:W3CDTF">2014-12-22T04:04:00Z</dcterms:modified>
</cp:coreProperties>
</file>