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0156" w14:textId="77777777" w:rsidR="000D7F04" w:rsidRPr="000D7F04" w:rsidRDefault="000D7F04" w:rsidP="000D7F04">
      <w:pPr>
        <w:spacing w:after="200" w:line="240" w:lineRule="auto"/>
        <w:ind w:left="720" w:hanging="720"/>
        <w:rPr>
          <w:rFonts w:ascii="Calibri" w:eastAsia="Calibri" w:hAnsi="Calibri" w:cs="Calibri"/>
          <w:noProof/>
          <w:sz w:val="20"/>
        </w:rPr>
      </w:pPr>
    </w:p>
    <w:p w14:paraId="65230B18" w14:textId="77777777" w:rsidR="000D7F04" w:rsidRPr="000D7F04" w:rsidRDefault="000D7F04" w:rsidP="000D7F04">
      <w:pPr>
        <w:keepNext/>
        <w:spacing w:after="200" w:line="240" w:lineRule="auto"/>
        <w:outlineLvl w:val="0"/>
        <w:rPr>
          <w:rFonts w:ascii="Calibri" w:eastAsia="SimHei" w:hAnsi="Calibri" w:cs="Calibri"/>
          <w:b/>
          <w:bCs/>
          <w:sz w:val="32"/>
          <w:szCs w:val="28"/>
        </w:rPr>
      </w:pPr>
      <w:r w:rsidRPr="000D7F04">
        <w:rPr>
          <w:rFonts w:ascii="Calibri" w:eastAsia="SimHei" w:hAnsi="Calibri" w:cs="Calibri"/>
          <w:b/>
          <w:bCs/>
          <w:sz w:val="32"/>
          <w:szCs w:val="28"/>
        </w:rPr>
        <w:t>Supplementary Materials</w:t>
      </w:r>
    </w:p>
    <w:p w14:paraId="0C6D832B" w14:textId="77777777" w:rsidR="000D7F04" w:rsidRPr="000D7F04" w:rsidRDefault="000D7F04" w:rsidP="000D7F04">
      <w:pPr>
        <w:spacing w:before="60" w:after="0" w:line="240" w:lineRule="auto"/>
        <w:rPr>
          <w:rFonts w:ascii="Calibri" w:eastAsia="Calibri" w:hAnsi="Calibri" w:cs="Calibri"/>
          <w:b/>
          <w:sz w:val="20"/>
        </w:rPr>
      </w:pPr>
      <w:r w:rsidRPr="000D7F04">
        <w:rPr>
          <w:rFonts w:ascii="Calibri" w:eastAsia="Calibri" w:hAnsi="Calibri" w:cs="Calibri"/>
          <w:b/>
          <w:sz w:val="20"/>
        </w:rPr>
        <w:t>Figure S1: Kaplan–Meier curve for persistence in treatment</w:t>
      </w:r>
    </w:p>
    <w:p w14:paraId="604DCE3A" w14:textId="77777777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bookmarkStart w:id="0" w:name="_Ref167960826"/>
      <w:bookmarkStart w:id="1" w:name="_Toc174027020"/>
      <w:bookmarkStart w:id="2" w:name="_Toc178001608"/>
      <w:r w:rsidRPr="000D7F04">
        <w:rPr>
          <w:rFonts w:ascii="Calibri" w:eastAsia="Calibri" w:hAnsi="Calibri" w:cs="Calibri"/>
          <w:b/>
          <w:bCs/>
          <w:noProof/>
          <w:color w:val="000000"/>
          <w:sz w:val="20"/>
          <w:szCs w:val="18"/>
        </w:rPr>
        <w:drawing>
          <wp:inline distT="0" distB="0" distL="0" distR="0" wp14:anchorId="7BB23EA7" wp14:editId="001A8DC6">
            <wp:extent cx="4060898" cy="3171825"/>
            <wp:effectExtent l="0" t="0" r="0" b="0"/>
            <wp:docPr id="106353890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3890" name="Picture 1" descr="A graph with numbers and line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9075" cy="317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br w:type="page"/>
      </w:r>
    </w:p>
    <w:p w14:paraId="23ED7D76" w14:textId="77777777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lastRenderedPageBreak/>
        <w:t>Supplementary Table S1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ab/>
      </w:r>
      <w:bookmarkStart w:id="3" w:name="_Ref175669236"/>
      <w:bookmarkStart w:id="4" w:name="_Toc178001562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Full eligibility criteria for the </w:t>
      </w:r>
      <w:bookmarkEnd w:id="3"/>
      <w:bookmarkEnd w:id="4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EAP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7F04" w:rsidRPr="000D7F04" w14:paraId="483D4C7C" w14:textId="77777777" w:rsidTr="00F56113">
        <w:tc>
          <w:tcPr>
            <w:tcW w:w="9016" w:type="dxa"/>
          </w:tcPr>
          <w:p w14:paraId="68F2CB0B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 xml:space="preserve">Confirmed diagnosis of XLH by familial history or confirmation of </w:t>
            </w:r>
            <w:r w:rsidRPr="000D7F04">
              <w:rPr>
                <w:rFonts w:eastAsia="Calibri"/>
                <w:i/>
                <w:iCs/>
                <w:sz w:val="20"/>
              </w:rPr>
              <w:t>PHEX</w:t>
            </w:r>
            <w:r w:rsidRPr="000D7F04">
              <w:rPr>
                <w:rFonts w:eastAsia="Calibri"/>
                <w:sz w:val="20"/>
              </w:rPr>
              <w:t xml:space="preserve"> mutation</w:t>
            </w:r>
          </w:p>
          <w:p w14:paraId="45644128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≥18 years of age</w:t>
            </w:r>
          </w:p>
          <w:p w14:paraId="32248568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Debilitating symptoms including, but not limited to, pain, stiffness and fatigue</w:t>
            </w:r>
          </w:p>
          <w:p w14:paraId="3E1EB382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At least one of the following:</w:t>
            </w:r>
          </w:p>
          <w:p w14:paraId="3AD95C11" w14:textId="77777777" w:rsidR="000D7F04" w:rsidRPr="000D7F04" w:rsidRDefault="000D7F04" w:rsidP="000D7F04">
            <w:pPr>
              <w:numPr>
                <w:ilvl w:val="1"/>
                <w:numId w:val="0"/>
              </w:numPr>
              <w:spacing w:before="20" w:after="60"/>
              <w:ind w:left="34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Non-healing or slow-healing fractures or pseudofractures</w:t>
            </w:r>
          </w:p>
          <w:p w14:paraId="3FADC9D9" w14:textId="77777777" w:rsidR="000D7F04" w:rsidRPr="000D7F04" w:rsidRDefault="000D7F04" w:rsidP="000D7F04">
            <w:pPr>
              <w:numPr>
                <w:ilvl w:val="1"/>
                <w:numId w:val="0"/>
              </w:numPr>
              <w:spacing w:before="20" w:after="60"/>
              <w:ind w:left="34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Moderate or severe pain, stiffness and/or fatigue that, in the view of the treating physician, is attributable to XLH and impacts quality of life</w:t>
            </w:r>
          </w:p>
          <w:p w14:paraId="0925633A" w14:textId="77777777" w:rsidR="000D7F04" w:rsidRPr="000D7F04" w:rsidRDefault="000D7F04" w:rsidP="000D7F04">
            <w:pPr>
              <w:numPr>
                <w:ilvl w:val="1"/>
                <w:numId w:val="0"/>
              </w:numPr>
              <w:spacing w:before="20" w:after="60"/>
              <w:ind w:left="34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Has undergone or requires orthopaedic surgery, dental surgery with bone involvement, or spinal surgery for a predefined period before and after surgery (3 months pre-surgery and post-surgery until 6 months after surgical wound healing; to be defined and confirmed by the treating clinician)</w:t>
            </w:r>
          </w:p>
          <w:p w14:paraId="7A5C4FEE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Persistent symptoms despite prior treatment with phosphate/active vitamin D supplements</w:t>
            </w:r>
          </w:p>
          <w:p w14:paraId="42734F94" w14:textId="3F0DEF8A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Patient consents to discontinue phosphate/activate vitamin D supplements) before starting burosumab</w:t>
            </w:r>
          </w:p>
          <w:p w14:paraId="5CC0ACD1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Patient does not have any of the following contraindications:</w:t>
            </w:r>
          </w:p>
          <w:p w14:paraId="66B2B5C6" w14:textId="77777777" w:rsidR="000D7F04" w:rsidRPr="000D7F04" w:rsidRDefault="000D7F04" w:rsidP="000D7F04">
            <w:pPr>
              <w:numPr>
                <w:ilvl w:val="1"/>
                <w:numId w:val="0"/>
              </w:numPr>
              <w:spacing w:before="20" w:after="60"/>
              <w:ind w:left="34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Hypersensitivity to the active substance or to any of the excipients</w:t>
            </w:r>
          </w:p>
          <w:p w14:paraId="70F463B0" w14:textId="77777777" w:rsidR="000D7F04" w:rsidRPr="000D7F04" w:rsidRDefault="000D7F04" w:rsidP="000D7F04">
            <w:pPr>
              <w:numPr>
                <w:ilvl w:val="1"/>
                <w:numId w:val="0"/>
              </w:numPr>
              <w:spacing w:before="20" w:after="60"/>
              <w:ind w:left="34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Concurrent administration with phosphate and/or activate vitamin D</w:t>
            </w:r>
          </w:p>
          <w:p w14:paraId="6AA15351" w14:textId="77777777" w:rsidR="000D7F04" w:rsidRPr="000D7F04" w:rsidRDefault="000D7F04" w:rsidP="000D7F04">
            <w:pPr>
              <w:numPr>
                <w:ilvl w:val="1"/>
                <w:numId w:val="0"/>
              </w:numPr>
              <w:spacing w:before="20" w:after="60"/>
              <w:ind w:left="34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Fasting serum phosphate above the normal range for age (risk of hyperphosphataemia)</w:t>
            </w:r>
          </w:p>
          <w:p w14:paraId="4A063858" w14:textId="77777777" w:rsidR="000D7F04" w:rsidRPr="000D7F04" w:rsidRDefault="000D7F04" w:rsidP="000D7F04">
            <w:pPr>
              <w:numPr>
                <w:ilvl w:val="1"/>
                <w:numId w:val="0"/>
              </w:numPr>
              <w:spacing w:before="20" w:after="60"/>
              <w:ind w:left="34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Severe renal impairment or end-stage renal disease (chronic kidney disease stage 4/5)</w:t>
            </w:r>
          </w:p>
          <w:p w14:paraId="6BAC73B7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Patient is not currently participating in a burosumab clinical trial</w:t>
            </w:r>
          </w:p>
          <w:p w14:paraId="51E014F6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Patient is not receiving any other investigational medical product</w:t>
            </w:r>
          </w:p>
          <w:p w14:paraId="1C910759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Patient is unable to join an ongoing or upcoming burosumab sponsored clinical trial or investigator-sponsored trial within the same indication</w:t>
            </w:r>
          </w:p>
          <w:p w14:paraId="02D39CFB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No clinically significant comorbidities that would interfere with the administration of burosumab or that would affect safety</w:t>
            </w:r>
          </w:p>
          <w:p w14:paraId="0B39ECC7" w14:textId="77777777" w:rsidR="000D7F04" w:rsidRPr="000D7F04" w:rsidRDefault="000D7F04" w:rsidP="000D7F04">
            <w:pPr>
              <w:spacing w:before="20" w:after="60"/>
              <w:ind w:left="170" w:hanging="170"/>
              <w:contextualSpacing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The healthcare professional responsible for the treatment of the patient will be a consultant at a specialist centre with expertise in bone disease</w:t>
            </w:r>
          </w:p>
        </w:tc>
      </w:tr>
      <w:tr w:rsidR="000D7F04" w:rsidRPr="000D7F04" w14:paraId="4F3DE433" w14:textId="77777777" w:rsidTr="00F56113">
        <w:tc>
          <w:tcPr>
            <w:tcW w:w="9016" w:type="dxa"/>
          </w:tcPr>
          <w:p w14:paraId="72AC18BC" w14:textId="77777777" w:rsidR="000D7F04" w:rsidRPr="000D7F04" w:rsidRDefault="000D7F04" w:rsidP="000D7F04">
            <w:pPr>
              <w:spacing w:before="60"/>
              <w:rPr>
                <w:rFonts w:eastAsia="Calibri"/>
                <w:sz w:val="19"/>
              </w:rPr>
            </w:pPr>
            <w:r w:rsidRPr="000D7F04">
              <w:rPr>
                <w:rFonts w:eastAsia="Calibri"/>
                <w:sz w:val="19"/>
              </w:rPr>
              <w:t xml:space="preserve">EAP, early access programme; </w:t>
            </w:r>
            <w:r w:rsidRPr="000D7F04">
              <w:rPr>
                <w:rFonts w:eastAsia="Calibri"/>
                <w:i/>
                <w:iCs/>
                <w:sz w:val="19"/>
              </w:rPr>
              <w:t>PHEX</w:t>
            </w:r>
            <w:r w:rsidRPr="000D7F04">
              <w:rPr>
                <w:rFonts w:eastAsia="Calibri"/>
                <w:sz w:val="19"/>
              </w:rPr>
              <w:t>, phosphate-regulating endopeptidase homologue, X-linked gene; XLH, X-linked hyposphosphataemia</w:t>
            </w:r>
          </w:p>
        </w:tc>
      </w:tr>
    </w:tbl>
    <w:p w14:paraId="146854C4" w14:textId="77777777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</w:p>
    <w:p w14:paraId="0188ADB0" w14:textId="77777777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br w:type="page"/>
      </w:r>
    </w:p>
    <w:p w14:paraId="737BDB2D" w14:textId="4BE0ECDB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lastRenderedPageBreak/>
        <w:t>Supplementary Table </w:t>
      </w:r>
      <w:bookmarkEnd w:id="0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S2</w:t>
      </w:r>
      <w:r w:rsidR="005653F7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 </w:t>
      </w:r>
      <w:bookmarkEnd w:id="1"/>
      <w:bookmarkEnd w:id="2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D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  <w:t xml:space="preserve">emographic and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anthropometric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  <w:t>data, and medical history at baseline in the full analysis set (n=142)</w:t>
      </w:r>
    </w:p>
    <w:tbl>
      <w:tblPr>
        <w:tblStyle w:val="KKIESRreporttables"/>
        <w:tblW w:w="8286" w:type="dxa"/>
        <w:tblLayout w:type="fixed"/>
        <w:tblLook w:val="04A0" w:firstRow="1" w:lastRow="0" w:firstColumn="1" w:lastColumn="0" w:noHBand="0" w:noVBand="1"/>
      </w:tblPr>
      <w:tblGrid>
        <w:gridCol w:w="1268"/>
        <w:gridCol w:w="5530"/>
        <w:gridCol w:w="1488"/>
      </w:tblGrid>
      <w:tr w:rsidR="000D7F04" w:rsidRPr="000D7F04" w14:paraId="58BC0B66" w14:textId="77777777" w:rsidTr="000D7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268" w:type="dxa"/>
            <w:noWrap/>
            <w:hideMark/>
          </w:tcPr>
          <w:p w14:paraId="71944DE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Variable</w:t>
            </w:r>
          </w:p>
        </w:tc>
        <w:tc>
          <w:tcPr>
            <w:tcW w:w="5530" w:type="dxa"/>
          </w:tcPr>
          <w:p w14:paraId="617E56C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Value</w:t>
            </w:r>
          </w:p>
        </w:tc>
        <w:tc>
          <w:tcPr>
            <w:tcW w:w="1488" w:type="dxa"/>
          </w:tcPr>
          <w:p w14:paraId="46D4473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 xml:space="preserve">Value </w:t>
            </w:r>
          </w:p>
        </w:tc>
      </w:tr>
      <w:tr w:rsidR="000D7F04" w:rsidRPr="000D7F04" w14:paraId="14B94849" w14:textId="77777777" w:rsidTr="00F56113">
        <w:trPr>
          <w:trHeight w:val="340"/>
        </w:trPr>
        <w:tc>
          <w:tcPr>
            <w:tcW w:w="1268" w:type="dxa"/>
            <w:vMerge w:val="restart"/>
            <w:noWrap/>
            <w:hideMark/>
          </w:tcPr>
          <w:p w14:paraId="410E37C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Age (years)</w:t>
            </w:r>
          </w:p>
        </w:tc>
        <w:tc>
          <w:tcPr>
            <w:tcW w:w="5530" w:type="dxa"/>
          </w:tcPr>
          <w:p w14:paraId="597E7A1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Mean (SD)</w:t>
            </w:r>
          </w:p>
        </w:tc>
        <w:tc>
          <w:tcPr>
            <w:tcW w:w="1488" w:type="dxa"/>
          </w:tcPr>
          <w:p w14:paraId="641F02B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43.4 (14.67)</w:t>
            </w:r>
          </w:p>
        </w:tc>
      </w:tr>
      <w:tr w:rsidR="000D7F04" w:rsidRPr="000D7F04" w14:paraId="49EFDDBD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2316C56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3B9FD2B1" w14:textId="256473A3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SE</w:t>
            </w:r>
          </w:p>
        </w:tc>
        <w:tc>
          <w:tcPr>
            <w:tcW w:w="1488" w:type="dxa"/>
          </w:tcPr>
          <w:p w14:paraId="7D6294B5" w14:textId="3F7C7A16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1.23</w:t>
            </w:r>
          </w:p>
        </w:tc>
      </w:tr>
      <w:tr w:rsidR="000D7F04" w:rsidRPr="000D7F04" w14:paraId="4CDF2917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121A6A6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1A71145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Median</w:t>
            </w:r>
          </w:p>
        </w:tc>
        <w:tc>
          <w:tcPr>
            <w:tcW w:w="1488" w:type="dxa"/>
          </w:tcPr>
          <w:p w14:paraId="7F25168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43</w:t>
            </w:r>
          </w:p>
        </w:tc>
      </w:tr>
      <w:tr w:rsidR="000D7F04" w:rsidRPr="000D7F04" w14:paraId="5B4E5849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2838399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10060E5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Q1, Q3</w:t>
            </w:r>
          </w:p>
        </w:tc>
        <w:tc>
          <w:tcPr>
            <w:tcW w:w="1488" w:type="dxa"/>
          </w:tcPr>
          <w:p w14:paraId="53616AE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32.0, 54.0</w:t>
            </w:r>
          </w:p>
        </w:tc>
      </w:tr>
      <w:tr w:rsidR="000D7F04" w:rsidRPr="000D7F04" w14:paraId="6F964BE4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679DCFD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2C3B7DD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Range</w:t>
            </w:r>
          </w:p>
        </w:tc>
        <w:tc>
          <w:tcPr>
            <w:tcW w:w="1488" w:type="dxa"/>
          </w:tcPr>
          <w:p w14:paraId="0156876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18–83</w:t>
            </w:r>
          </w:p>
        </w:tc>
      </w:tr>
      <w:tr w:rsidR="000D7F04" w:rsidRPr="000D7F04" w14:paraId="7E861608" w14:textId="77777777" w:rsidTr="00F56113">
        <w:trPr>
          <w:trHeight w:val="283"/>
        </w:trPr>
        <w:tc>
          <w:tcPr>
            <w:tcW w:w="1268" w:type="dxa"/>
            <w:noWrap/>
          </w:tcPr>
          <w:p w14:paraId="73EA6E3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Sex, n (%)</w:t>
            </w:r>
          </w:p>
        </w:tc>
        <w:tc>
          <w:tcPr>
            <w:tcW w:w="5530" w:type="dxa"/>
          </w:tcPr>
          <w:p w14:paraId="03938AF4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Female/male</w:t>
            </w:r>
          </w:p>
        </w:tc>
        <w:tc>
          <w:tcPr>
            <w:tcW w:w="1488" w:type="dxa"/>
          </w:tcPr>
          <w:p w14:paraId="4E466B1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91/51 (64/36)</w:t>
            </w:r>
          </w:p>
        </w:tc>
      </w:tr>
      <w:tr w:rsidR="00036EBF" w:rsidRPr="000D7F04" w14:paraId="7E10310B" w14:textId="77777777" w:rsidTr="00036EBF">
        <w:trPr>
          <w:trHeight w:val="283"/>
        </w:trPr>
        <w:tc>
          <w:tcPr>
            <w:tcW w:w="1268" w:type="dxa"/>
            <w:vMerge w:val="restart"/>
            <w:noWrap/>
          </w:tcPr>
          <w:p w14:paraId="3CB3F9C2" w14:textId="3C4D8746" w:rsidR="00036EBF" w:rsidRPr="000D7F04" w:rsidRDefault="00036EBF" w:rsidP="000D7F04">
            <w:pPr>
              <w:spacing w:before="6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Ethni</w:t>
            </w:r>
            <w:r w:rsidR="00572AAC">
              <w:rPr>
                <w:rFonts w:ascii="Calibri" w:eastAsia="Calibri" w:hAnsi="Calibri"/>
              </w:rPr>
              <w:t>city</w:t>
            </w:r>
            <w:r w:rsidR="00466A5E">
              <w:rPr>
                <w:rFonts w:ascii="Calibri" w:eastAsia="Calibri" w:hAnsi="Calibri"/>
              </w:rPr>
              <w:t>, n (%)</w:t>
            </w:r>
          </w:p>
        </w:tc>
        <w:tc>
          <w:tcPr>
            <w:tcW w:w="5530" w:type="dxa"/>
          </w:tcPr>
          <w:p w14:paraId="5F8158B2" w14:textId="476015B7" w:rsidR="00036EBF" w:rsidRPr="000D7F04" w:rsidRDefault="00572AAC" w:rsidP="000D7F04">
            <w:pPr>
              <w:spacing w:before="6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Asian</w:t>
            </w:r>
          </w:p>
        </w:tc>
        <w:tc>
          <w:tcPr>
            <w:tcW w:w="1488" w:type="dxa"/>
          </w:tcPr>
          <w:p w14:paraId="0034A0F9" w14:textId="591CD056" w:rsidR="00036EBF" w:rsidRPr="000D7F04" w:rsidRDefault="00F469CE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 (2)</w:t>
            </w:r>
          </w:p>
        </w:tc>
      </w:tr>
      <w:tr w:rsidR="00036EBF" w:rsidRPr="000D7F04" w14:paraId="43403B42" w14:textId="77777777" w:rsidTr="00036EBF">
        <w:trPr>
          <w:trHeight w:val="283"/>
        </w:trPr>
        <w:tc>
          <w:tcPr>
            <w:tcW w:w="1268" w:type="dxa"/>
            <w:vMerge/>
            <w:noWrap/>
          </w:tcPr>
          <w:p w14:paraId="3DEFF164" w14:textId="77777777" w:rsidR="00036EBF" w:rsidRPr="000D7F04" w:rsidRDefault="00036EBF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390C615F" w14:textId="42C84152" w:rsidR="00036EBF" w:rsidRPr="000D7F04" w:rsidRDefault="00572AAC" w:rsidP="000D7F04">
            <w:pPr>
              <w:spacing w:before="6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Black</w:t>
            </w:r>
          </w:p>
        </w:tc>
        <w:tc>
          <w:tcPr>
            <w:tcW w:w="1488" w:type="dxa"/>
          </w:tcPr>
          <w:p w14:paraId="2B003D66" w14:textId="6CDAB97A" w:rsidR="00036EBF" w:rsidRPr="000D7F04" w:rsidRDefault="005057BC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6 (4)</w:t>
            </w:r>
          </w:p>
        </w:tc>
      </w:tr>
      <w:tr w:rsidR="00036EBF" w:rsidRPr="000D7F04" w14:paraId="73BF7603" w14:textId="77777777" w:rsidTr="00036EBF">
        <w:trPr>
          <w:trHeight w:val="283"/>
        </w:trPr>
        <w:tc>
          <w:tcPr>
            <w:tcW w:w="1268" w:type="dxa"/>
            <w:vMerge/>
            <w:noWrap/>
          </w:tcPr>
          <w:p w14:paraId="76917053" w14:textId="77777777" w:rsidR="00036EBF" w:rsidRPr="000D7F04" w:rsidRDefault="00036EBF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448F09F3" w14:textId="601471E5" w:rsidR="00036EBF" w:rsidRPr="000D7F04" w:rsidRDefault="00572AAC" w:rsidP="000D7F04">
            <w:pPr>
              <w:spacing w:before="6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White </w:t>
            </w:r>
          </w:p>
        </w:tc>
        <w:tc>
          <w:tcPr>
            <w:tcW w:w="1488" w:type="dxa"/>
          </w:tcPr>
          <w:p w14:paraId="3E7D9B66" w14:textId="72AB254A" w:rsidR="00036EBF" w:rsidRPr="000D7F04" w:rsidRDefault="005057BC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109 (77)</w:t>
            </w:r>
          </w:p>
        </w:tc>
      </w:tr>
      <w:tr w:rsidR="00036EBF" w:rsidRPr="000D7F04" w14:paraId="7A40BD86" w14:textId="77777777" w:rsidTr="00036EBF">
        <w:trPr>
          <w:trHeight w:val="283"/>
        </w:trPr>
        <w:tc>
          <w:tcPr>
            <w:tcW w:w="1268" w:type="dxa"/>
            <w:vMerge/>
            <w:noWrap/>
          </w:tcPr>
          <w:p w14:paraId="4F7E0CAE" w14:textId="77777777" w:rsidR="00036EBF" w:rsidRPr="000D7F04" w:rsidRDefault="00036EBF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31B95BEF" w14:textId="098B8D4B" w:rsidR="00036EBF" w:rsidRPr="000D7F04" w:rsidRDefault="00572AAC" w:rsidP="000D7F04">
            <w:pPr>
              <w:spacing w:before="6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Mixed</w:t>
            </w:r>
          </w:p>
        </w:tc>
        <w:tc>
          <w:tcPr>
            <w:tcW w:w="1488" w:type="dxa"/>
          </w:tcPr>
          <w:p w14:paraId="2F08A8CE" w14:textId="2004D018" w:rsidR="00036EBF" w:rsidRPr="000D7F04" w:rsidRDefault="00930B07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 (</w:t>
            </w:r>
            <w:r w:rsidR="00466A5E">
              <w:rPr>
                <w:rFonts w:ascii="Calibri" w:eastAsia="Calibri" w:hAnsi="Calibri"/>
              </w:rPr>
              <w:t>3)</w:t>
            </w:r>
          </w:p>
        </w:tc>
      </w:tr>
      <w:tr w:rsidR="00036EBF" w:rsidRPr="000D7F04" w14:paraId="1DA17C70" w14:textId="77777777" w:rsidTr="00F56113">
        <w:trPr>
          <w:trHeight w:val="283"/>
        </w:trPr>
        <w:tc>
          <w:tcPr>
            <w:tcW w:w="1268" w:type="dxa"/>
            <w:vMerge/>
            <w:noWrap/>
          </w:tcPr>
          <w:p w14:paraId="633D35DD" w14:textId="77777777" w:rsidR="00036EBF" w:rsidRPr="000D7F04" w:rsidRDefault="00036EBF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</w:tcPr>
          <w:p w14:paraId="3E4854EC" w14:textId="23AEC293" w:rsidR="00036EBF" w:rsidRPr="000D7F04" w:rsidRDefault="00572AAC" w:rsidP="000D7F04">
            <w:pPr>
              <w:spacing w:before="6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Not stated</w:t>
            </w:r>
          </w:p>
        </w:tc>
        <w:tc>
          <w:tcPr>
            <w:tcW w:w="1488" w:type="dxa"/>
          </w:tcPr>
          <w:p w14:paraId="77EEC250" w14:textId="61C2DC69" w:rsidR="00036EBF" w:rsidRPr="000D7F04" w:rsidRDefault="00466A5E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20 (14)</w:t>
            </w:r>
          </w:p>
        </w:tc>
      </w:tr>
      <w:tr w:rsidR="000D7F04" w:rsidRPr="000D7F04" w14:paraId="71B11E24" w14:textId="77777777" w:rsidTr="00F56113">
        <w:trPr>
          <w:trHeight w:val="300"/>
        </w:trPr>
        <w:tc>
          <w:tcPr>
            <w:tcW w:w="1268" w:type="dxa"/>
            <w:vMerge w:val="restart"/>
            <w:noWrap/>
            <w:hideMark/>
          </w:tcPr>
          <w:p w14:paraId="2E1C83B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Height (cm)</w:t>
            </w:r>
          </w:p>
        </w:tc>
        <w:tc>
          <w:tcPr>
            <w:tcW w:w="5530" w:type="dxa"/>
            <w:noWrap/>
            <w:hideMark/>
          </w:tcPr>
          <w:p w14:paraId="16F500B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</w:t>
            </w:r>
          </w:p>
        </w:tc>
        <w:tc>
          <w:tcPr>
            <w:tcW w:w="1488" w:type="dxa"/>
          </w:tcPr>
          <w:p w14:paraId="5029E13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114</w:t>
            </w:r>
          </w:p>
        </w:tc>
      </w:tr>
      <w:tr w:rsidR="000D7F04" w:rsidRPr="000D7F04" w14:paraId="12A07E89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32DE494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14AD3E5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Mean (SD)</w:t>
            </w:r>
          </w:p>
        </w:tc>
        <w:tc>
          <w:tcPr>
            <w:tcW w:w="1488" w:type="dxa"/>
          </w:tcPr>
          <w:p w14:paraId="553CA55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155.2 (9.25)</w:t>
            </w:r>
          </w:p>
        </w:tc>
      </w:tr>
      <w:tr w:rsidR="000D7F04" w:rsidRPr="000D7F04" w14:paraId="60C05563" w14:textId="77777777" w:rsidTr="00B955E5">
        <w:trPr>
          <w:trHeight w:val="300"/>
        </w:trPr>
        <w:tc>
          <w:tcPr>
            <w:tcW w:w="1268" w:type="dxa"/>
            <w:vMerge/>
            <w:noWrap/>
          </w:tcPr>
          <w:p w14:paraId="32230584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</w:tcPr>
          <w:p w14:paraId="04977831" w14:textId="45123F5D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SE</w:t>
            </w:r>
          </w:p>
        </w:tc>
        <w:tc>
          <w:tcPr>
            <w:tcW w:w="1488" w:type="dxa"/>
          </w:tcPr>
          <w:p w14:paraId="41EA9E1B" w14:textId="0B5132B0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0.87</w:t>
            </w:r>
          </w:p>
        </w:tc>
      </w:tr>
      <w:tr w:rsidR="000D7F04" w:rsidRPr="000D7F04" w14:paraId="312F3957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4D98A02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734545FE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Median</w:t>
            </w:r>
          </w:p>
        </w:tc>
        <w:tc>
          <w:tcPr>
            <w:tcW w:w="1488" w:type="dxa"/>
          </w:tcPr>
          <w:p w14:paraId="439B203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155</w:t>
            </w:r>
          </w:p>
        </w:tc>
      </w:tr>
      <w:tr w:rsidR="000D7F04" w:rsidRPr="000D7F04" w14:paraId="59F5A826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7BB79F4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4E65B35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Q1, Q3</w:t>
            </w:r>
          </w:p>
        </w:tc>
        <w:tc>
          <w:tcPr>
            <w:tcW w:w="1488" w:type="dxa"/>
          </w:tcPr>
          <w:p w14:paraId="2E9D0C8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150.0, 162.0</w:t>
            </w:r>
          </w:p>
        </w:tc>
      </w:tr>
      <w:tr w:rsidR="000D7F04" w:rsidRPr="000D7F04" w14:paraId="1A0397AB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40409A3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0969E73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Range</w:t>
            </w:r>
          </w:p>
        </w:tc>
        <w:tc>
          <w:tcPr>
            <w:tcW w:w="1488" w:type="dxa"/>
          </w:tcPr>
          <w:p w14:paraId="3ED8B0C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130.0–178.0</w:t>
            </w:r>
          </w:p>
        </w:tc>
      </w:tr>
      <w:tr w:rsidR="000D7F04" w:rsidRPr="000D7F04" w14:paraId="19AFA62D" w14:textId="77777777" w:rsidTr="00F56113">
        <w:trPr>
          <w:trHeight w:val="300"/>
        </w:trPr>
        <w:tc>
          <w:tcPr>
            <w:tcW w:w="1268" w:type="dxa"/>
            <w:vMerge w:val="restart"/>
            <w:noWrap/>
            <w:hideMark/>
          </w:tcPr>
          <w:p w14:paraId="16DE43E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Weight (kg)</w:t>
            </w:r>
          </w:p>
        </w:tc>
        <w:tc>
          <w:tcPr>
            <w:tcW w:w="5530" w:type="dxa"/>
            <w:noWrap/>
            <w:hideMark/>
          </w:tcPr>
          <w:p w14:paraId="67DED08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</w:t>
            </w:r>
          </w:p>
        </w:tc>
        <w:tc>
          <w:tcPr>
            <w:tcW w:w="1488" w:type="dxa"/>
          </w:tcPr>
          <w:p w14:paraId="69F290F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133</w:t>
            </w:r>
          </w:p>
        </w:tc>
      </w:tr>
      <w:tr w:rsidR="000D7F04" w:rsidRPr="000D7F04" w14:paraId="5D6F241C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0286D56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09B5AE1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Mean (SD)</w:t>
            </w:r>
          </w:p>
        </w:tc>
        <w:tc>
          <w:tcPr>
            <w:tcW w:w="1488" w:type="dxa"/>
          </w:tcPr>
          <w:p w14:paraId="19E4110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73.6 (16.92)</w:t>
            </w:r>
          </w:p>
        </w:tc>
      </w:tr>
      <w:tr w:rsidR="000D7F04" w:rsidRPr="000D7F04" w14:paraId="63ED7AE6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0BC9358E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41184F9E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SE</w:t>
            </w:r>
          </w:p>
        </w:tc>
        <w:tc>
          <w:tcPr>
            <w:tcW w:w="1488" w:type="dxa"/>
          </w:tcPr>
          <w:p w14:paraId="5CB341B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1.47</w:t>
            </w:r>
          </w:p>
        </w:tc>
      </w:tr>
      <w:tr w:rsidR="000D7F04" w:rsidRPr="000D7F04" w14:paraId="2875CE20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2890ACD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51435B1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Median</w:t>
            </w:r>
          </w:p>
        </w:tc>
        <w:tc>
          <w:tcPr>
            <w:tcW w:w="1488" w:type="dxa"/>
          </w:tcPr>
          <w:p w14:paraId="2009866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69.6</w:t>
            </w:r>
          </w:p>
        </w:tc>
      </w:tr>
      <w:tr w:rsidR="000D7F04" w:rsidRPr="000D7F04" w14:paraId="2170DC14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4A7157A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793C53B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Q1, Q3</w:t>
            </w:r>
          </w:p>
        </w:tc>
        <w:tc>
          <w:tcPr>
            <w:tcW w:w="1488" w:type="dxa"/>
          </w:tcPr>
          <w:p w14:paraId="1A64A09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60.8, 84.8</w:t>
            </w:r>
          </w:p>
        </w:tc>
      </w:tr>
      <w:tr w:rsidR="000D7F04" w:rsidRPr="000D7F04" w14:paraId="2435144B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01B7B95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004E22C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Range</w:t>
            </w:r>
          </w:p>
        </w:tc>
        <w:tc>
          <w:tcPr>
            <w:tcW w:w="1488" w:type="dxa"/>
          </w:tcPr>
          <w:p w14:paraId="50994D3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36.2–129.0</w:t>
            </w:r>
          </w:p>
        </w:tc>
      </w:tr>
      <w:tr w:rsidR="000D7F04" w:rsidRPr="000D7F04" w14:paraId="1A4B8329" w14:textId="77777777" w:rsidTr="00F56113">
        <w:trPr>
          <w:trHeight w:val="300"/>
        </w:trPr>
        <w:tc>
          <w:tcPr>
            <w:tcW w:w="1268" w:type="dxa"/>
            <w:vMerge w:val="restart"/>
            <w:noWrap/>
            <w:hideMark/>
          </w:tcPr>
          <w:p w14:paraId="2358437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BMI (kg/m²)</w:t>
            </w:r>
          </w:p>
        </w:tc>
        <w:tc>
          <w:tcPr>
            <w:tcW w:w="5530" w:type="dxa"/>
            <w:noWrap/>
            <w:hideMark/>
          </w:tcPr>
          <w:p w14:paraId="0C21B56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</w:t>
            </w:r>
          </w:p>
        </w:tc>
        <w:tc>
          <w:tcPr>
            <w:tcW w:w="1488" w:type="dxa"/>
          </w:tcPr>
          <w:p w14:paraId="0439039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113</w:t>
            </w:r>
          </w:p>
        </w:tc>
      </w:tr>
      <w:tr w:rsidR="000D7F04" w:rsidRPr="000D7F04" w14:paraId="3901A96F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5DF3846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622C1CD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Mean (SD)</w:t>
            </w:r>
          </w:p>
        </w:tc>
        <w:tc>
          <w:tcPr>
            <w:tcW w:w="1488" w:type="dxa"/>
          </w:tcPr>
          <w:p w14:paraId="515B5CB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31.5 (6.56)</w:t>
            </w:r>
          </w:p>
        </w:tc>
      </w:tr>
      <w:tr w:rsidR="000D7F04" w:rsidRPr="000D7F04" w14:paraId="78FB7096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0FCDDAF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675544A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SE</w:t>
            </w:r>
          </w:p>
        </w:tc>
        <w:tc>
          <w:tcPr>
            <w:tcW w:w="1488" w:type="dxa"/>
          </w:tcPr>
          <w:p w14:paraId="4D3803E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0.62</w:t>
            </w:r>
          </w:p>
        </w:tc>
      </w:tr>
      <w:tr w:rsidR="000D7F04" w:rsidRPr="000D7F04" w14:paraId="273A8B63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611B345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6BB48FA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Median</w:t>
            </w:r>
          </w:p>
        </w:tc>
        <w:tc>
          <w:tcPr>
            <w:tcW w:w="1488" w:type="dxa"/>
          </w:tcPr>
          <w:p w14:paraId="08F7D88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30.6</w:t>
            </w:r>
          </w:p>
        </w:tc>
      </w:tr>
      <w:tr w:rsidR="000D7F04" w:rsidRPr="000D7F04" w14:paraId="6E7F6DD3" w14:textId="77777777" w:rsidTr="00F56113">
        <w:trPr>
          <w:trHeight w:val="300"/>
        </w:trPr>
        <w:tc>
          <w:tcPr>
            <w:tcW w:w="1268" w:type="dxa"/>
            <w:vMerge/>
            <w:noWrap/>
          </w:tcPr>
          <w:p w14:paraId="0C020E5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45EDBE8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Q1, Q3</w:t>
            </w:r>
          </w:p>
        </w:tc>
        <w:tc>
          <w:tcPr>
            <w:tcW w:w="1488" w:type="dxa"/>
          </w:tcPr>
          <w:p w14:paraId="4CB247F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26.5, 35.7</w:t>
            </w:r>
          </w:p>
        </w:tc>
      </w:tr>
      <w:tr w:rsidR="000D7F04" w:rsidRPr="000D7F04" w14:paraId="4E98EE62" w14:textId="77777777" w:rsidTr="00F56113">
        <w:trPr>
          <w:trHeight w:val="300"/>
        </w:trPr>
        <w:tc>
          <w:tcPr>
            <w:tcW w:w="1268" w:type="dxa"/>
            <w:vMerge/>
            <w:noWrap/>
            <w:hideMark/>
          </w:tcPr>
          <w:p w14:paraId="29A5201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5530" w:type="dxa"/>
            <w:noWrap/>
            <w:hideMark/>
          </w:tcPr>
          <w:p w14:paraId="3ECD676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Range</w:t>
            </w:r>
          </w:p>
        </w:tc>
        <w:tc>
          <w:tcPr>
            <w:tcW w:w="1488" w:type="dxa"/>
          </w:tcPr>
          <w:p w14:paraId="6903B73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21.4–52.3</w:t>
            </w:r>
          </w:p>
        </w:tc>
      </w:tr>
      <w:tr w:rsidR="000D7F04" w:rsidRPr="000D7F04" w14:paraId="38D05426" w14:textId="77777777" w:rsidTr="00F56113">
        <w:trPr>
          <w:trHeight w:val="300"/>
        </w:trPr>
        <w:tc>
          <w:tcPr>
            <w:tcW w:w="8286" w:type="dxa"/>
            <w:gridSpan w:val="3"/>
            <w:noWrap/>
          </w:tcPr>
          <w:p w14:paraId="5BFDF5E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sz w:val="19"/>
              </w:rPr>
            </w:pPr>
            <w:r w:rsidRPr="000D7F04">
              <w:rPr>
                <w:rFonts w:ascii="Calibri" w:eastAsia="Calibri" w:hAnsi="Calibri"/>
                <w:sz w:val="19"/>
              </w:rPr>
              <w:t>BMI, body mass index; Q, quartile; SD, standard deviation; SE, standard error</w:t>
            </w:r>
          </w:p>
        </w:tc>
      </w:tr>
    </w:tbl>
    <w:p w14:paraId="6BF39103" w14:textId="77777777" w:rsidR="005653F7" w:rsidRDefault="005653F7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</w:p>
    <w:p w14:paraId="2B39017C" w14:textId="51C48F6D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Supplementary Table S3</w:t>
      </w:r>
      <w:r w:rsidR="005653F7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Normalisation of serum phosphate concentration in patients with complete data (N=20)</w:t>
      </w:r>
    </w:p>
    <w:tbl>
      <w:tblPr>
        <w:tblStyle w:val="KKIESRreporttables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1842"/>
      </w:tblGrid>
      <w:tr w:rsidR="000D7F04" w:rsidRPr="000D7F04" w14:paraId="399676AA" w14:textId="77777777" w:rsidTr="000D7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44FAB70E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  <w:sz w:val="20"/>
              </w:rPr>
            </w:pPr>
          </w:p>
        </w:tc>
        <w:tc>
          <w:tcPr>
            <w:tcW w:w="1843" w:type="dxa"/>
          </w:tcPr>
          <w:p w14:paraId="614D791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Below LLN</w:t>
            </w:r>
          </w:p>
        </w:tc>
        <w:tc>
          <w:tcPr>
            <w:tcW w:w="1842" w:type="dxa"/>
          </w:tcPr>
          <w:p w14:paraId="742B3B7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LLN reached</w:t>
            </w:r>
          </w:p>
        </w:tc>
      </w:tr>
      <w:tr w:rsidR="000D7F04" w:rsidRPr="000D7F04" w14:paraId="3780CBE3" w14:textId="77777777" w:rsidTr="00F56113">
        <w:tc>
          <w:tcPr>
            <w:tcW w:w="1413" w:type="dxa"/>
          </w:tcPr>
          <w:p w14:paraId="5C53379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Baseline</w:t>
            </w:r>
          </w:p>
        </w:tc>
        <w:tc>
          <w:tcPr>
            <w:tcW w:w="1843" w:type="dxa"/>
          </w:tcPr>
          <w:p w14:paraId="7F8881E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19 (95.0)</w:t>
            </w:r>
          </w:p>
        </w:tc>
        <w:tc>
          <w:tcPr>
            <w:tcW w:w="1842" w:type="dxa"/>
          </w:tcPr>
          <w:p w14:paraId="32EC8A4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 (5.0)</w:t>
            </w:r>
          </w:p>
        </w:tc>
      </w:tr>
      <w:tr w:rsidR="000D7F04" w:rsidRPr="000D7F04" w14:paraId="6218572C" w14:textId="77777777" w:rsidTr="00F56113">
        <w:tc>
          <w:tcPr>
            <w:tcW w:w="1413" w:type="dxa"/>
          </w:tcPr>
          <w:p w14:paraId="631A88FF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 months</w:t>
            </w:r>
          </w:p>
        </w:tc>
        <w:tc>
          <w:tcPr>
            <w:tcW w:w="1843" w:type="dxa"/>
          </w:tcPr>
          <w:p w14:paraId="0C068E0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8 (40)</w:t>
            </w:r>
          </w:p>
        </w:tc>
        <w:tc>
          <w:tcPr>
            <w:tcW w:w="1842" w:type="dxa"/>
          </w:tcPr>
          <w:p w14:paraId="72848CB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12 (60)</w:t>
            </w:r>
          </w:p>
        </w:tc>
      </w:tr>
      <w:tr w:rsidR="000D7F04" w:rsidRPr="000D7F04" w14:paraId="645E68D8" w14:textId="77777777" w:rsidTr="00F56113">
        <w:tc>
          <w:tcPr>
            <w:tcW w:w="1413" w:type="dxa"/>
          </w:tcPr>
          <w:p w14:paraId="5AD52074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12 months</w:t>
            </w:r>
          </w:p>
        </w:tc>
        <w:tc>
          <w:tcPr>
            <w:tcW w:w="1843" w:type="dxa"/>
          </w:tcPr>
          <w:p w14:paraId="3D4AEA7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 (50)</w:t>
            </w:r>
          </w:p>
        </w:tc>
        <w:tc>
          <w:tcPr>
            <w:tcW w:w="1842" w:type="dxa"/>
          </w:tcPr>
          <w:p w14:paraId="7E10C4E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 (50)</w:t>
            </w:r>
          </w:p>
        </w:tc>
      </w:tr>
      <w:tr w:rsidR="000D7F04" w:rsidRPr="000D7F04" w14:paraId="1982F1FA" w14:textId="77777777" w:rsidTr="00F56113">
        <w:tc>
          <w:tcPr>
            <w:tcW w:w="1413" w:type="dxa"/>
          </w:tcPr>
          <w:p w14:paraId="14E916C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lastRenderedPageBreak/>
              <w:t>18 months</w:t>
            </w:r>
          </w:p>
        </w:tc>
        <w:tc>
          <w:tcPr>
            <w:tcW w:w="1843" w:type="dxa"/>
          </w:tcPr>
          <w:p w14:paraId="4D1C019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15 (75)</w:t>
            </w:r>
          </w:p>
        </w:tc>
        <w:tc>
          <w:tcPr>
            <w:tcW w:w="1842" w:type="dxa"/>
          </w:tcPr>
          <w:p w14:paraId="4675351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 (25)</w:t>
            </w:r>
          </w:p>
        </w:tc>
      </w:tr>
      <w:tr w:rsidR="000D7F04" w:rsidRPr="000D7F04" w14:paraId="60306E4C" w14:textId="77777777" w:rsidTr="00F56113">
        <w:tc>
          <w:tcPr>
            <w:tcW w:w="5098" w:type="dxa"/>
            <w:gridSpan w:val="3"/>
          </w:tcPr>
          <w:p w14:paraId="4F89BAE4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sz w:val="19"/>
              </w:rPr>
            </w:pPr>
            <w:r w:rsidRPr="000D7F04">
              <w:rPr>
                <w:rFonts w:ascii="Calibri" w:eastAsia="Calibri" w:hAnsi="Calibri"/>
                <w:sz w:val="19"/>
              </w:rPr>
              <w:t>Values are n (%)</w:t>
            </w:r>
          </w:p>
          <w:p w14:paraId="71D3AA1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sz w:val="19"/>
              </w:rPr>
            </w:pPr>
            <w:r w:rsidRPr="000D7F04">
              <w:rPr>
                <w:rFonts w:ascii="Calibri" w:eastAsia="Calibri" w:hAnsi="Calibri"/>
                <w:sz w:val="19"/>
              </w:rPr>
              <w:t>LLN, lower limit of normal (as reported by each laboratory)</w:t>
            </w:r>
          </w:p>
        </w:tc>
      </w:tr>
    </w:tbl>
    <w:p w14:paraId="3D0439E5" w14:textId="77777777" w:rsidR="000D7F04" w:rsidRPr="000D7F04" w:rsidRDefault="000D7F04" w:rsidP="000D7F04">
      <w:pPr>
        <w:spacing w:after="200" w:line="240" w:lineRule="auto"/>
        <w:rPr>
          <w:rFonts w:ascii="Calibri" w:eastAsia="Calibri" w:hAnsi="Calibri" w:cs="Calibri"/>
        </w:rPr>
      </w:pPr>
    </w:p>
    <w:p w14:paraId="662DC953" w14:textId="7CF6ED46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Supplementary Table S4</w:t>
      </w:r>
      <w:r w:rsidR="005653F7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Patient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  <w:t xml:space="preserve">characteristics, medical history, biochemistry and PRO scores at baseline in patients who were and were not taking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phosphate supplement/active vitamin D therapy (PVD)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  <w:t>before starting burosumab in the EAP</w:t>
      </w:r>
    </w:p>
    <w:tbl>
      <w:tblPr>
        <w:tblStyle w:val="KKIESRreporttables"/>
        <w:tblW w:w="9214" w:type="dxa"/>
        <w:tblInd w:w="-8" w:type="dxa"/>
        <w:tblLook w:val="0420" w:firstRow="1" w:lastRow="0" w:firstColumn="0" w:lastColumn="0" w:noHBand="0" w:noVBand="1"/>
      </w:tblPr>
      <w:tblGrid>
        <w:gridCol w:w="2694"/>
        <w:gridCol w:w="1984"/>
        <w:gridCol w:w="2113"/>
        <w:gridCol w:w="13"/>
        <w:gridCol w:w="2410"/>
      </w:tblGrid>
      <w:tr w:rsidR="000D7F04" w:rsidRPr="000D7F04" w14:paraId="02ECFA4E" w14:textId="77777777" w:rsidTr="000D7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8" w:type="dxa"/>
            <w:gridSpan w:val="2"/>
          </w:tcPr>
          <w:p w14:paraId="05916BC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Characteristic</w:t>
            </w:r>
          </w:p>
        </w:tc>
        <w:tc>
          <w:tcPr>
            <w:tcW w:w="2113" w:type="dxa"/>
          </w:tcPr>
          <w:p w14:paraId="36E0064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Taking PVD before starting burosumab</w:t>
            </w:r>
          </w:p>
          <w:p w14:paraId="4B5DEE5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(n=51)</w:t>
            </w:r>
          </w:p>
        </w:tc>
        <w:tc>
          <w:tcPr>
            <w:tcW w:w="2423" w:type="dxa"/>
            <w:gridSpan w:val="2"/>
          </w:tcPr>
          <w:p w14:paraId="6D8C846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Not taking PVD before starting burosumab</w:t>
            </w:r>
          </w:p>
          <w:p w14:paraId="42C10BC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(n=75)</w:t>
            </w:r>
          </w:p>
        </w:tc>
      </w:tr>
      <w:tr w:rsidR="000D7F04" w:rsidRPr="000D7F04" w14:paraId="5905D69B" w14:textId="77777777" w:rsidTr="000D7F04">
        <w:trPr>
          <w:trHeight w:val="340"/>
        </w:trPr>
        <w:tc>
          <w:tcPr>
            <w:tcW w:w="9214" w:type="dxa"/>
            <w:gridSpan w:val="5"/>
            <w:shd w:val="clear" w:color="auto" w:fill="D9D9D9"/>
          </w:tcPr>
          <w:p w14:paraId="584B3A3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 xml:space="preserve">Demographics </w:t>
            </w:r>
          </w:p>
        </w:tc>
      </w:tr>
      <w:tr w:rsidR="000D7F04" w:rsidRPr="000D7F04" w14:paraId="36355A6C" w14:textId="77777777" w:rsidTr="00F56113">
        <w:trPr>
          <w:trHeight w:val="340"/>
        </w:trPr>
        <w:tc>
          <w:tcPr>
            <w:tcW w:w="4678" w:type="dxa"/>
            <w:gridSpan w:val="2"/>
          </w:tcPr>
          <w:p w14:paraId="5006DBB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Age (years)</w:t>
            </w:r>
          </w:p>
          <w:p w14:paraId="3228BCE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Mean ± SD</w:t>
            </w:r>
          </w:p>
          <w:p w14:paraId="5FE48CB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Median (range)</w:t>
            </w:r>
          </w:p>
        </w:tc>
        <w:tc>
          <w:tcPr>
            <w:tcW w:w="2113" w:type="dxa"/>
            <w:vAlign w:val="bottom"/>
          </w:tcPr>
          <w:p w14:paraId="5DF7204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45.4 ± 13.12</w:t>
            </w:r>
          </w:p>
          <w:p w14:paraId="6C9ED8F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45 (18–75)</w:t>
            </w:r>
          </w:p>
        </w:tc>
        <w:tc>
          <w:tcPr>
            <w:tcW w:w="2423" w:type="dxa"/>
            <w:gridSpan w:val="2"/>
            <w:vAlign w:val="bottom"/>
          </w:tcPr>
          <w:p w14:paraId="24F5DE3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43.3 ± 15.30</w:t>
            </w:r>
          </w:p>
          <w:p w14:paraId="075A81E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41 (19–83)</w:t>
            </w:r>
          </w:p>
        </w:tc>
      </w:tr>
      <w:tr w:rsidR="000D7F04" w:rsidRPr="000D7F04" w14:paraId="66EED344" w14:textId="77777777" w:rsidTr="00F56113">
        <w:trPr>
          <w:trHeight w:val="340"/>
        </w:trPr>
        <w:tc>
          <w:tcPr>
            <w:tcW w:w="4678" w:type="dxa"/>
            <w:gridSpan w:val="2"/>
          </w:tcPr>
          <w:p w14:paraId="37DAB83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Female/male, n (%) </w:t>
            </w:r>
          </w:p>
        </w:tc>
        <w:tc>
          <w:tcPr>
            <w:tcW w:w="2113" w:type="dxa"/>
          </w:tcPr>
          <w:p w14:paraId="5CDA5E7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36/15 (71/29)</w:t>
            </w:r>
          </w:p>
        </w:tc>
        <w:tc>
          <w:tcPr>
            <w:tcW w:w="2423" w:type="dxa"/>
            <w:gridSpan w:val="2"/>
          </w:tcPr>
          <w:p w14:paraId="4067BDF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49/26 (65/35)</w:t>
            </w:r>
          </w:p>
        </w:tc>
      </w:tr>
      <w:tr w:rsidR="000D7F04" w:rsidRPr="000D7F04" w14:paraId="554636ED" w14:textId="77777777" w:rsidTr="00F56113">
        <w:trPr>
          <w:trHeight w:val="340"/>
        </w:trPr>
        <w:tc>
          <w:tcPr>
            <w:tcW w:w="2694" w:type="dxa"/>
            <w:vMerge w:val="restart"/>
          </w:tcPr>
          <w:p w14:paraId="732BB62F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Ethnicity, n (%)</w:t>
            </w:r>
          </w:p>
        </w:tc>
        <w:tc>
          <w:tcPr>
            <w:tcW w:w="1984" w:type="dxa"/>
          </w:tcPr>
          <w:p w14:paraId="6EF92B2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Asian</w:t>
            </w:r>
          </w:p>
        </w:tc>
        <w:tc>
          <w:tcPr>
            <w:tcW w:w="2113" w:type="dxa"/>
          </w:tcPr>
          <w:p w14:paraId="67F9373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 (4)</w:t>
            </w:r>
          </w:p>
        </w:tc>
        <w:tc>
          <w:tcPr>
            <w:tcW w:w="2423" w:type="dxa"/>
            <w:gridSpan w:val="2"/>
          </w:tcPr>
          <w:p w14:paraId="5EC8B7F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 (1)</w:t>
            </w:r>
          </w:p>
        </w:tc>
      </w:tr>
      <w:tr w:rsidR="000D7F04" w:rsidRPr="000D7F04" w14:paraId="45DA4B79" w14:textId="77777777" w:rsidTr="00F56113">
        <w:trPr>
          <w:trHeight w:val="340"/>
        </w:trPr>
        <w:tc>
          <w:tcPr>
            <w:tcW w:w="2694" w:type="dxa"/>
            <w:vMerge/>
          </w:tcPr>
          <w:p w14:paraId="01B604C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3EE2289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Black</w:t>
            </w:r>
          </w:p>
        </w:tc>
        <w:tc>
          <w:tcPr>
            <w:tcW w:w="2113" w:type="dxa"/>
          </w:tcPr>
          <w:p w14:paraId="053C5B6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 (6)</w:t>
            </w:r>
          </w:p>
        </w:tc>
        <w:tc>
          <w:tcPr>
            <w:tcW w:w="2423" w:type="dxa"/>
            <w:gridSpan w:val="2"/>
          </w:tcPr>
          <w:p w14:paraId="778BB63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 (3)</w:t>
            </w:r>
          </w:p>
        </w:tc>
      </w:tr>
      <w:tr w:rsidR="000D7F04" w:rsidRPr="000D7F04" w14:paraId="6A138861" w14:textId="77777777" w:rsidTr="00F56113">
        <w:trPr>
          <w:trHeight w:val="340"/>
        </w:trPr>
        <w:tc>
          <w:tcPr>
            <w:tcW w:w="2694" w:type="dxa"/>
            <w:vMerge/>
          </w:tcPr>
          <w:p w14:paraId="628E459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0710632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White </w:t>
            </w:r>
          </w:p>
        </w:tc>
        <w:tc>
          <w:tcPr>
            <w:tcW w:w="2113" w:type="dxa"/>
          </w:tcPr>
          <w:p w14:paraId="1AB8E34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45 (88)</w:t>
            </w:r>
          </w:p>
        </w:tc>
        <w:tc>
          <w:tcPr>
            <w:tcW w:w="2423" w:type="dxa"/>
            <w:gridSpan w:val="2"/>
          </w:tcPr>
          <w:p w14:paraId="41F4DEC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52 (69)</w:t>
            </w:r>
          </w:p>
        </w:tc>
      </w:tr>
      <w:tr w:rsidR="000D7F04" w:rsidRPr="000D7F04" w14:paraId="77E12EBE" w14:textId="77777777" w:rsidTr="00F56113">
        <w:trPr>
          <w:trHeight w:val="340"/>
        </w:trPr>
        <w:tc>
          <w:tcPr>
            <w:tcW w:w="2694" w:type="dxa"/>
            <w:vMerge/>
          </w:tcPr>
          <w:p w14:paraId="0A63D66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33249C6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Mixed</w:t>
            </w:r>
          </w:p>
        </w:tc>
        <w:tc>
          <w:tcPr>
            <w:tcW w:w="2113" w:type="dxa"/>
          </w:tcPr>
          <w:p w14:paraId="1E91391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2423" w:type="dxa"/>
            <w:gridSpan w:val="2"/>
          </w:tcPr>
          <w:p w14:paraId="4447219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 (4)</w:t>
            </w:r>
          </w:p>
        </w:tc>
      </w:tr>
      <w:tr w:rsidR="000D7F04" w:rsidRPr="000D7F04" w14:paraId="283A496F" w14:textId="77777777" w:rsidTr="00F56113">
        <w:trPr>
          <w:trHeight w:val="340"/>
        </w:trPr>
        <w:tc>
          <w:tcPr>
            <w:tcW w:w="2694" w:type="dxa"/>
            <w:vMerge/>
          </w:tcPr>
          <w:p w14:paraId="14CB1D6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4F33749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Not stated</w:t>
            </w:r>
          </w:p>
        </w:tc>
        <w:tc>
          <w:tcPr>
            <w:tcW w:w="2113" w:type="dxa"/>
          </w:tcPr>
          <w:p w14:paraId="040CE14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 (2)</w:t>
            </w:r>
          </w:p>
        </w:tc>
        <w:tc>
          <w:tcPr>
            <w:tcW w:w="2423" w:type="dxa"/>
            <w:gridSpan w:val="2"/>
          </w:tcPr>
          <w:p w14:paraId="7D2C515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17 (23)</w:t>
            </w:r>
          </w:p>
        </w:tc>
      </w:tr>
      <w:tr w:rsidR="000D7F04" w:rsidRPr="000D7F04" w14:paraId="0E21115A" w14:textId="77777777" w:rsidTr="00F56113">
        <w:trPr>
          <w:trHeight w:val="340"/>
        </w:trPr>
        <w:tc>
          <w:tcPr>
            <w:tcW w:w="4678" w:type="dxa"/>
            <w:gridSpan w:val="2"/>
          </w:tcPr>
          <w:p w14:paraId="5F1FE97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Height (cm), mean ± SD (n)</w:t>
            </w:r>
          </w:p>
        </w:tc>
        <w:tc>
          <w:tcPr>
            <w:tcW w:w="2113" w:type="dxa"/>
            <w:vAlign w:val="bottom"/>
          </w:tcPr>
          <w:p w14:paraId="664D22C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153.2 ± 7.41 (31)</w:t>
            </w:r>
          </w:p>
        </w:tc>
        <w:tc>
          <w:tcPr>
            <w:tcW w:w="2423" w:type="dxa"/>
            <w:gridSpan w:val="2"/>
            <w:vAlign w:val="bottom"/>
          </w:tcPr>
          <w:p w14:paraId="383CC36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155.4 ± 10.00 (70)</w:t>
            </w:r>
          </w:p>
        </w:tc>
      </w:tr>
      <w:tr w:rsidR="000D7F04" w:rsidRPr="000D7F04" w14:paraId="2F92C827" w14:textId="77777777" w:rsidTr="00F56113">
        <w:trPr>
          <w:trHeight w:val="340"/>
        </w:trPr>
        <w:tc>
          <w:tcPr>
            <w:tcW w:w="4678" w:type="dxa"/>
            <w:gridSpan w:val="2"/>
          </w:tcPr>
          <w:p w14:paraId="25A34F6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Weight (kg), mean ± SD (n)</w:t>
            </w:r>
          </w:p>
        </w:tc>
        <w:tc>
          <w:tcPr>
            <w:tcW w:w="2113" w:type="dxa"/>
            <w:vAlign w:val="bottom"/>
          </w:tcPr>
          <w:p w14:paraId="05294A7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69.0 ± 16.38 (44)</w:t>
            </w:r>
          </w:p>
        </w:tc>
        <w:tc>
          <w:tcPr>
            <w:tcW w:w="2423" w:type="dxa"/>
            <w:gridSpan w:val="2"/>
            <w:vAlign w:val="bottom"/>
          </w:tcPr>
          <w:p w14:paraId="1C1A148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75.6 ± 16.86 (75)</w:t>
            </w:r>
          </w:p>
        </w:tc>
      </w:tr>
      <w:tr w:rsidR="000D7F04" w:rsidRPr="000D7F04" w14:paraId="08D31C2B" w14:textId="77777777" w:rsidTr="00F56113">
        <w:trPr>
          <w:trHeight w:val="340"/>
        </w:trPr>
        <w:tc>
          <w:tcPr>
            <w:tcW w:w="4678" w:type="dxa"/>
            <w:gridSpan w:val="2"/>
          </w:tcPr>
          <w:p w14:paraId="2D1547B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BMI (kg/m</w:t>
            </w:r>
            <w:r w:rsidRPr="000D7F04">
              <w:rPr>
                <w:rFonts w:ascii="Calibri" w:eastAsia="Calibri" w:hAnsi="Calibri"/>
                <w:vertAlign w:val="superscript"/>
              </w:rPr>
              <w:t>2</w:t>
            </w:r>
            <w:r w:rsidRPr="000D7F04">
              <w:rPr>
                <w:rFonts w:ascii="Calibri" w:eastAsia="Calibri" w:hAnsi="Calibri"/>
              </w:rPr>
              <w:t>), mean ± SD (n)</w:t>
            </w:r>
          </w:p>
        </w:tc>
        <w:tc>
          <w:tcPr>
            <w:tcW w:w="2113" w:type="dxa"/>
            <w:vAlign w:val="bottom"/>
          </w:tcPr>
          <w:p w14:paraId="246D6FF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31.2 ± 6.11 (31)</w:t>
            </w:r>
          </w:p>
        </w:tc>
        <w:tc>
          <w:tcPr>
            <w:tcW w:w="2423" w:type="dxa"/>
            <w:gridSpan w:val="2"/>
            <w:vAlign w:val="bottom"/>
          </w:tcPr>
          <w:p w14:paraId="156CC52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31.5 ± 6.65 (70)</w:t>
            </w:r>
          </w:p>
        </w:tc>
      </w:tr>
      <w:tr w:rsidR="000D7F04" w:rsidRPr="000D7F04" w14:paraId="774D4CC0" w14:textId="77777777" w:rsidTr="000D7F04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6791" w:type="dxa"/>
            <w:gridSpan w:val="3"/>
            <w:shd w:val="clear" w:color="auto" w:fill="D9D9D9"/>
            <w:noWrap/>
          </w:tcPr>
          <w:p w14:paraId="25EC524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 xml:space="preserve">Medical history </w:t>
            </w:r>
          </w:p>
        </w:tc>
        <w:tc>
          <w:tcPr>
            <w:tcW w:w="2423" w:type="dxa"/>
            <w:gridSpan w:val="2"/>
            <w:shd w:val="clear" w:color="auto" w:fill="D9D9D9"/>
          </w:tcPr>
          <w:p w14:paraId="761DFBAF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</w:rPr>
            </w:pPr>
          </w:p>
        </w:tc>
      </w:tr>
      <w:tr w:rsidR="000D7F04" w:rsidRPr="000D7F04" w14:paraId="4323892C" w14:textId="77777777" w:rsidTr="00F56113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678" w:type="dxa"/>
            <w:gridSpan w:val="2"/>
            <w:noWrap/>
          </w:tcPr>
          <w:p w14:paraId="6B865C6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Age at diagnosis (years) </w:t>
            </w:r>
          </w:p>
          <w:p w14:paraId="1C93E8F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Mean ± SD </w:t>
            </w:r>
          </w:p>
          <w:p w14:paraId="715CDD7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Median (range)</w:t>
            </w:r>
          </w:p>
        </w:tc>
        <w:tc>
          <w:tcPr>
            <w:tcW w:w="2113" w:type="dxa"/>
            <w:noWrap/>
            <w:vAlign w:val="bottom"/>
          </w:tcPr>
          <w:p w14:paraId="12A9E02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15.0 ± 21.38</w:t>
            </w:r>
          </w:p>
          <w:p w14:paraId="1A07EBB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 (0–67)</w:t>
            </w:r>
          </w:p>
        </w:tc>
        <w:tc>
          <w:tcPr>
            <w:tcW w:w="2423" w:type="dxa"/>
            <w:gridSpan w:val="2"/>
            <w:vAlign w:val="bottom"/>
          </w:tcPr>
          <w:p w14:paraId="3CE9A46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9.1 ± 16.16</w:t>
            </w:r>
          </w:p>
          <w:p w14:paraId="6A5467E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 (0–63)</w:t>
            </w:r>
          </w:p>
        </w:tc>
      </w:tr>
      <w:tr w:rsidR="000D7F04" w:rsidRPr="000D7F04" w14:paraId="7F44805A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shd w:val="clear" w:color="auto" w:fill="D9D9D9"/>
          </w:tcPr>
          <w:p w14:paraId="45523EE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Serum biochemistry values, mean ± SD</w:t>
            </w:r>
          </w:p>
        </w:tc>
      </w:tr>
      <w:tr w:rsidR="000D7F04" w:rsidRPr="000D7F04" w14:paraId="0CC89137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678" w:type="dxa"/>
            <w:gridSpan w:val="2"/>
          </w:tcPr>
          <w:p w14:paraId="01FD0BB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Phosphate (mmol/L)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63B7FBB1" w14:textId="6CC2B254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0.62 ± 0.</w:t>
            </w:r>
            <w:r w:rsidR="00477C32" w:rsidRPr="000D7F04">
              <w:rPr>
                <w:rFonts w:ascii="Calibri" w:eastAsia="Calibri" w:hAnsi="Calibri"/>
              </w:rPr>
              <w:t>1</w:t>
            </w:r>
            <w:r w:rsidR="00477C32">
              <w:rPr>
                <w:rFonts w:ascii="Calibri" w:eastAsia="Calibri" w:hAnsi="Calibri"/>
              </w:rPr>
              <w:t>9</w:t>
            </w:r>
          </w:p>
          <w:p w14:paraId="243FB1B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(n=43)</w:t>
            </w:r>
          </w:p>
        </w:tc>
        <w:tc>
          <w:tcPr>
            <w:tcW w:w="2410" w:type="dxa"/>
            <w:shd w:val="clear" w:color="auto" w:fill="FFFFFF"/>
          </w:tcPr>
          <w:p w14:paraId="3A906522" w14:textId="044036C2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0.61 ± 0.15</w:t>
            </w:r>
          </w:p>
          <w:p w14:paraId="5084AC0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(n=75)</w:t>
            </w:r>
          </w:p>
        </w:tc>
      </w:tr>
      <w:tr w:rsidR="000D7F04" w:rsidRPr="000D7F04" w14:paraId="6DE76459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678" w:type="dxa"/>
            <w:gridSpan w:val="2"/>
          </w:tcPr>
          <w:p w14:paraId="0577AA7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Alkaline phosphatase (IU/L)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5AD2AB7B" w14:textId="32C7F1A0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129.4 ± 60.</w:t>
            </w:r>
            <w:r w:rsidR="002608B1">
              <w:rPr>
                <w:rFonts w:ascii="Calibri" w:eastAsia="Calibri" w:hAnsi="Calibri"/>
              </w:rPr>
              <w:t>1</w:t>
            </w:r>
          </w:p>
          <w:p w14:paraId="5F09863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(n=45)</w:t>
            </w:r>
          </w:p>
        </w:tc>
        <w:tc>
          <w:tcPr>
            <w:tcW w:w="2410" w:type="dxa"/>
            <w:shd w:val="clear" w:color="auto" w:fill="FFFFFF"/>
          </w:tcPr>
          <w:p w14:paraId="0B6FDC55" w14:textId="3ADBE93F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130.</w:t>
            </w:r>
            <w:r w:rsidR="00861681">
              <w:rPr>
                <w:rFonts w:ascii="Calibri" w:eastAsia="Calibri" w:hAnsi="Calibri"/>
              </w:rPr>
              <w:t>9</w:t>
            </w:r>
            <w:r w:rsidR="00861681" w:rsidRPr="000D7F04">
              <w:rPr>
                <w:rFonts w:ascii="Calibri" w:eastAsia="Calibri" w:hAnsi="Calibri"/>
              </w:rPr>
              <w:t xml:space="preserve"> </w:t>
            </w:r>
            <w:r w:rsidRPr="000D7F04">
              <w:rPr>
                <w:rFonts w:ascii="Calibri" w:eastAsia="Calibri" w:hAnsi="Calibri"/>
              </w:rPr>
              <w:t>± 49.</w:t>
            </w:r>
            <w:r w:rsidR="00861681">
              <w:rPr>
                <w:rFonts w:ascii="Calibri" w:eastAsia="Calibri" w:hAnsi="Calibri"/>
              </w:rPr>
              <w:t>2</w:t>
            </w:r>
          </w:p>
          <w:p w14:paraId="5D645A4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(n=63)</w:t>
            </w:r>
          </w:p>
        </w:tc>
      </w:tr>
      <w:tr w:rsidR="000D7F04" w:rsidRPr="000D7F04" w14:paraId="0D15C38C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678" w:type="dxa"/>
            <w:gridSpan w:val="2"/>
          </w:tcPr>
          <w:p w14:paraId="6101AA6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Parathyroid hormone (</w:t>
            </w:r>
            <w:proofErr w:type="spellStart"/>
            <w:r w:rsidRPr="000D7F04">
              <w:rPr>
                <w:rFonts w:ascii="Calibri" w:eastAsia="Calibri" w:hAnsi="Calibri"/>
              </w:rPr>
              <w:t>pmol</w:t>
            </w:r>
            <w:proofErr w:type="spellEnd"/>
            <w:r w:rsidRPr="000D7F04">
              <w:rPr>
                <w:rFonts w:ascii="Calibri" w:eastAsia="Calibri" w:hAnsi="Calibri"/>
              </w:rPr>
              <w:t>/</w:t>
            </w:r>
            <w:proofErr w:type="gramStart"/>
            <w:r w:rsidRPr="000D7F04">
              <w:rPr>
                <w:rFonts w:ascii="Calibri" w:eastAsia="Calibri" w:hAnsi="Calibri"/>
              </w:rPr>
              <w:t>L)</w:t>
            </w:r>
            <w:r w:rsidRPr="000D7F04">
              <w:rPr>
                <w:rFonts w:ascii="Calibri" w:eastAsia="Calibri" w:hAnsi="Calibri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gridSpan w:val="2"/>
            <w:shd w:val="clear" w:color="auto" w:fill="FFFFFF"/>
          </w:tcPr>
          <w:p w14:paraId="17F25BC7" w14:textId="218FEB88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8.29 ± 4.21</w:t>
            </w:r>
          </w:p>
          <w:p w14:paraId="47B7A38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(n=34)</w:t>
            </w:r>
          </w:p>
        </w:tc>
        <w:tc>
          <w:tcPr>
            <w:tcW w:w="2410" w:type="dxa"/>
            <w:shd w:val="clear" w:color="auto" w:fill="FFFFFF"/>
          </w:tcPr>
          <w:p w14:paraId="6B0961C2" w14:textId="294B8B7C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8.11 ± 5.20</w:t>
            </w:r>
          </w:p>
          <w:p w14:paraId="61F8490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(n=61)</w:t>
            </w:r>
          </w:p>
        </w:tc>
      </w:tr>
      <w:tr w:rsidR="000D7F04" w:rsidRPr="000D7F04" w14:paraId="169BCAD6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678" w:type="dxa"/>
            <w:gridSpan w:val="2"/>
          </w:tcPr>
          <w:p w14:paraId="16FB81F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Calcium (mmol/L)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49B5ABBC" w14:textId="5232EE09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2.38 ± 0.1</w:t>
            </w:r>
            <w:r w:rsidR="009B745F">
              <w:rPr>
                <w:rFonts w:ascii="Calibri" w:eastAsia="Calibri" w:hAnsi="Calibri"/>
              </w:rPr>
              <w:t>3</w:t>
            </w:r>
          </w:p>
          <w:p w14:paraId="598A1E5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(n=45)</w:t>
            </w:r>
          </w:p>
        </w:tc>
        <w:tc>
          <w:tcPr>
            <w:tcW w:w="2410" w:type="dxa"/>
            <w:shd w:val="clear" w:color="auto" w:fill="FFFFFF"/>
          </w:tcPr>
          <w:p w14:paraId="22B9ED28" w14:textId="06E2AEE2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2.40 ± 0.</w:t>
            </w:r>
            <w:r w:rsidR="009B745F" w:rsidRPr="000D7F04">
              <w:rPr>
                <w:rFonts w:ascii="Calibri" w:eastAsia="Calibri" w:hAnsi="Calibri"/>
              </w:rPr>
              <w:t>1</w:t>
            </w:r>
            <w:r w:rsidR="009B745F">
              <w:rPr>
                <w:rFonts w:ascii="Calibri" w:eastAsia="Calibri" w:hAnsi="Calibri"/>
              </w:rPr>
              <w:t>2</w:t>
            </w:r>
          </w:p>
          <w:p w14:paraId="51CBE84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(n=64)</w:t>
            </w:r>
          </w:p>
        </w:tc>
      </w:tr>
      <w:tr w:rsidR="000D7F04" w:rsidRPr="000D7F04" w14:paraId="6E8ADFB4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678" w:type="dxa"/>
            <w:gridSpan w:val="2"/>
          </w:tcPr>
          <w:p w14:paraId="71C126B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Vitamin D (nmol/L)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19F641EC" w14:textId="77B6D970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56.</w:t>
            </w:r>
            <w:r w:rsidR="00D028F7">
              <w:rPr>
                <w:rFonts w:ascii="Calibri" w:eastAsia="Calibri" w:hAnsi="Calibri"/>
              </w:rPr>
              <w:t>1</w:t>
            </w:r>
            <w:r w:rsidR="00D028F7" w:rsidRPr="000D7F04">
              <w:rPr>
                <w:rFonts w:ascii="Calibri" w:eastAsia="Calibri" w:hAnsi="Calibri"/>
              </w:rPr>
              <w:t xml:space="preserve"> </w:t>
            </w:r>
            <w:r w:rsidRPr="000D7F04">
              <w:rPr>
                <w:rFonts w:ascii="Calibri" w:eastAsia="Calibri" w:hAnsi="Calibri"/>
              </w:rPr>
              <w:t>± 24.</w:t>
            </w:r>
            <w:r w:rsidR="00D028F7">
              <w:rPr>
                <w:rFonts w:ascii="Calibri" w:eastAsia="Calibri" w:hAnsi="Calibri"/>
              </w:rPr>
              <w:t>8</w:t>
            </w:r>
          </w:p>
          <w:p w14:paraId="174BCAB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(n=30)</w:t>
            </w:r>
          </w:p>
        </w:tc>
        <w:tc>
          <w:tcPr>
            <w:tcW w:w="2410" w:type="dxa"/>
            <w:shd w:val="clear" w:color="auto" w:fill="FFFFFF"/>
          </w:tcPr>
          <w:p w14:paraId="51AB6E25" w14:textId="414B6A0C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49.</w:t>
            </w:r>
            <w:r w:rsidR="00D028F7">
              <w:rPr>
                <w:rFonts w:ascii="Calibri" w:eastAsia="Calibri" w:hAnsi="Calibri"/>
              </w:rPr>
              <w:t>1</w:t>
            </w:r>
            <w:r w:rsidR="00D028F7" w:rsidRPr="000D7F04">
              <w:rPr>
                <w:rFonts w:ascii="Calibri" w:eastAsia="Calibri" w:hAnsi="Calibri"/>
              </w:rPr>
              <w:t xml:space="preserve"> </w:t>
            </w:r>
            <w:r w:rsidRPr="000D7F04">
              <w:rPr>
                <w:rFonts w:ascii="Calibri" w:eastAsia="Calibri" w:hAnsi="Calibri"/>
              </w:rPr>
              <w:t>± 20.</w:t>
            </w:r>
            <w:r w:rsidR="00D028F7">
              <w:rPr>
                <w:rFonts w:ascii="Calibri" w:eastAsia="Calibri" w:hAnsi="Calibri"/>
              </w:rPr>
              <w:t>7</w:t>
            </w:r>
          </w:p>
          <w:p w14:paraId="38AD61B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(n=41)</w:t>
            </w:r>
          </w:p>
        </w:tc>
      </w:tr>
      <w:tr w:rsidR="000D7F04" w:rsidRPr="000D7F04" w14:paraId="18DB3586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shd w:val="clear" w:color="auto" w:fill="CBCBCB"/>
          </w:tcPr>
          <w:p w14:paraId="60B4F300" w14:textId="05301399" w:rsidR="000D7F04" w:rsidRPr="000D7F04" w:rsidRDefault="000D7F04" w:rsidP="000D7F04">
            <w:pPr>
              <w:spacing w:before="60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 xml:space="preserve">PRO scores, mean ± </w:t>
            </w:r>
            <w:r w:rsidR="009327D7">
              <w:rPr>
                <w:rFonts w:ascii="Calibri" w:eastAsia="Calibri" w:hAnsi="Calibri"/>
                <w:b/>
              </w:rPr>
              <w:t>SD</w:t>
            </w:r>
          </w:p>
        </w:tc>
      </w:tr>
      <w:tr w:rsidR="000D7F04" w:rsidRPr="000D7F04" w14:paraId="4A72A6D2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 w:val="restart"/>
          </w:tcPr>
          <w:p w14:paraId="2CA1061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lastRenderedPageBreak/>
              <w:t>BPI-SF</w:t>
            </w:r>
          </w:p>
        </w:tc>
        <w:tc>
          <w:tcPr>
            <w:tcW w:w="1984" w:type="dxa"/>
          </w:tcPr>
          <w:p w14:paraId="38733A8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Worst Pain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37984FC4" w14:textId="206C81C4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7.3 ± </w:t>
            </w:r>
            <w:r w:rsidR="00D87FE8">
              <w:rPr>
                <w:rFonts w:ascii="Calibri" w:eastAsia="Calibri" w:hAnsi="Calibri"/>
              </w:rPr>
              <w:t>2.0</w:t>
            </w:r>
          </w:p>
          <w:p w14:paraId="6938D11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(n=29)</w:t>
            </w:r>
          </w:p>
        </w:tc>
        <w:tc>
          <w:tcPr>
            <w:tcW w:w="2410" w:type="dxa"/>
            <w:shd w:val="clear" w:color="auto" w:fill="FFFFFF"/>
          </w:tcPr>
          <w:p w14:paraId="43B9623A" w14:textId="7DBB03FB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6.7 ± 2.</w:t>
            </w:r>
            <w:r w:rsidR="00687FD7">
              <w:rPr>
                <w:rFonts w:ascii="Calibri" w:eastAsia="Calibri" w:hAnsi="Calibri"/>
                <w:color w:val="000000"/>
              </w:rPr>
              <w:t>3</w:t>
            </w:r>
          </w:p>
          <w:p w14:paraId="39FA17D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(n=67)</w:t>
            </w:r>
          </w:p>
        </w:tc>
      </w:tr>
      <w:tr w:rsidR="000D7F04" w:rsidRPr="000D7F04" w14:paraId="771C2AA2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/>
          </w:tcPr>
          <w:p w14:paraId="2B7693D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7F1278DE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Pain Severity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46E7C311" w14:textId="32CD57DF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5.7 ± 2.</w:t>
            </w:r>
            <w:r w:rsidR="00D87FE8">
              <w:rPr>
                <w:rFonts w:ascii="Calibri" w:eastAsia="Calibri" w:hAnsi="Calibri"/>
              </w:rPr>
              <w:t>2</w:t>
            </w:r>
            <w:r w:rsidRPr="000D7F04">
              <w:rPr>
                <w:rFonts w:ascii="Calibri" w:eastAsia="Calibri" w:hAnsi="Calibri"/>
              </w:rPr>
              <w:t>(n=29)</w:t>
            </w:r>
          </w:p>
        </w:tc>
        <w:tc>
          <w:tcPr>
            <w:tcW w:w="2410" w:type="dxa"/>
            <w:shd w:val="clear" w:color="auto" w:fill="FFFFFF"/>
          </w:tcPr>
          <w:p w14:paraId="443337FF" w14:textId="0AB0D6F0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5.4 ± 2.1</w:t>
            </w:r>
          </w:p>
          <w:p w14:paraId="7BF813C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(n=66)</w:t>
            </w:r>
          </w:p>
        </w:tc>
      </w:tr>
      <w:tr w:rsidR="000D7F04" w:rsidRPr="000D7F04" w14:paraId="45E592C5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/>
          </w:tcPr>
          <w:p w14:paraId="0E9C8B9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26A46B70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Pain Interference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0CBA6F06" w14:textId="3D326F42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6.0 ± 2.</w:t>
            </w:r>
            <w:r w:rsidR="00687FD7">
              <w:rPr>
                <w:rFonts w:ascii="Calibri" w:eastAsia="Calibri" w:hAnsi="Calibri"/>
              </w:rPr>
              <w:t>5</w:t>
            </w:r>
          </w:p>
          <w:p w14:paraId="6741E9A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(n=29)</w:t>
            </w:r>
          </w:p>
        </w:tc>
        <w:tc>
          <w:tcPr>
            <w:tcW w:w="2410" w:type="dxa"/>
            <w:shd w:val="clear" w:color="auto" w:fill="FFFFFF"/>
          </w:tcPr>
          <w:p w14:paraId="66ADBFE0" w14:textId="52E3080C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5.7 ± 2.</w:t>
            </w:r>
            <w:r w:rsidR="00687FD7">
              <w:rPr>
                <w:rFonts w:ascii="Calibri" w:eastAsia="Calibri" w:hAnsi="Calibri"/>
                <w:color w:val="000000"/>
              </w:rPr>
              <w:t>6</w:t>
            </w:r>
          </w:p>
          <w:p w14:paraId="32A6D92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(n=67)</w:t>
            </w:r>
          </w:p>
        </w:tc>
      </w:tr>
      <w:tr w:rsidR="000D7F04" w:rsidRPr="000D7F04" w14:paraId="460AEB7F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 w:val="restart"/>
          </w:tcPr>
          <w:p w14:paraId="133C751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WOMAC </w:t>
            </w:r>
          </w:p>
        </w:tc>
        <w:tc>
          <w:tcPr>
            <w:tcW w:w="1984" w:type="dxa"/>
          </w:tcPr>
          <w:p w14:paraId="1164F84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Pain 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69959E79" w14:textId="6AB8A2BA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50.7 ± 20.7</w:t>
            </w:r>
          </w:p>
          <w:p w14:paraId="2BED6A4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(n=29)</w:t>
            </w:r>
          </w:p>
        </w:tc>
        <w:tc>
          <w:tcPr>
            <w:tcW w:w="2410" w:type="dxa"/>
            <w:shd w:val="clear" w:color="auto" w:fill="FFFFFF"/>
          </w:tcPr>
          <w:p w14:paraId="4E12722B" w14:textId="4847A8C4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51.5 ± 21.6</w:t>
            </w:r>
          </w:p>
          <w:p w14:paraId="34B2AFB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(n=65)</w:t>
            </w:r>
          </w:p>
        </w:tc>
      </w:tr>
      <w:tr w:rsidR="000D7F04" w:rsidRPr="000D7F04" w14:paraId="679F5533" w14:textId="77777777" w:rsidTr="00575734">
        <w:trPr>
          <w:trHeight w:val="742"/>
        </w:trPr>
        <w:tc>
          <w:tcPr>
            <w:tcW w:w="0" w:type="dxa"/>
            <w:vMerge/>
          </w:tcPr>
          <w:p w14:paraId="2BF94AF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0" w:type="dxa"/>
          </w:tcPr>
          <w:p w14:paraId="15BCD74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Stiffness</w:t>
            </w:r>
          </w:p>
        </w:tc>
        <w:tc>
          <w:tcPr>
            <w:tcW w:w="0" w:type="dxa"/>
            <w:gridSpan w:val="2"/>
            <w:shd w:val="clear" w:color="auto" w:fill="FFFFFF"/>
          </w:tcPr>
          <w:p w14:paraId="089C26A0" w14:textId="00222FF6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65.1 ± 25.7</w:t>
            </w:r>
          </w:p>
          <w:p w14:paraId="69827B7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(n=29)</w:t>
            </w:r>
          </w:p>
        </w:tc>
        <w:tc>
          <w:tcPr>
            <w:tcW w:w="0" w:type="dxa"/>
            <w:shd w:val="clear" w:color="auto" w:fill="FFFFFF"/>
          </w:tcPr>
          <w:p w14:paraId="4DC6D4E0" w14:textId="3A96B228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65.2 ± 23.</w:t>
            </w:r>
            <w:r w:rsidR="00C54C08">
              <w:rPr>
                <w:rFonts w:ascii="Calibri" w:eastAsia="Calibri" w:hAnsi="Calibri"/>
                <w:color w:val="000000"/>
              </w:rPr>
              <w:t>9</w:t>
            </w:r>
          </w:p>
          <w:p w14:paraId="5FE17701" w14:textId="77777777" w:rsidR="000D7F04" w:rsidRPr="000D7F04" w:rsidDel="00B354C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(n=65)</w:t>
            </w:r>
          </w:p>
        </w:tc>
      </w:tr>
      <w:tr w:rsidR="000D7F04" w:rsidRPr="000D7F04" w14:paraId="06114CC6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/>
          </w:tcPr>
          <w:p w14:paraId="66947EAF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69CCF4C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Physical Function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6D6B9F9" w14:textId="423D6E71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52.9 ± 24.9</w:t>
            </w:r>
          </w:p>
          <w:p w14:paraId="26A97D3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(n=29)</w:t>
            </w:r>
          </w:p>
        </w:tc>
        <w:tc>
          <w:tcPr>
            <w:tcW w:w="2410" w:type="dxa"/>
            <w:shd w:val="clear" w:color="auto" w:fill="FFFFFF"/>
          </w:tcPr>
          <w:p w14:paraId="4F34A4D4" w14:textId="49C2B8F8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49.5 ± 23.</w:t>
            </w:r>
            <w:r w:rsidR="00C54C08">
              <w:rPr>
                <w:rFonts w:ascii="Calibri" w:eastAsia="Calibri" w:hAnsi="Calibri"/>
                <w:color w:val="000000"/>
              </w:rPr>
              <w:t>7</w:t>
            </w:r>
          </w:p>
          <w:p w14:paraId="31A445A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(n=65)</w:t>
            </w:r>
          </w:p>
        </w:tc>
      </w:tr>
      <w:tr w:rsidR="000D7F04" w:rsidRPr="000D7F04" w14:paraId="66A855A0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/>
          </w:tcPr>
          <w:p w14:paraId="60BAFC6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0070F4C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Total score 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086B1A1D" w14:textId="4E3EECB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52.9 ± 23.1</w:t>
            </w:r>
          </w:p>
          <w:p w14:paraId="0FD5774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(n=29)</w:t>
            </w:r>
          </w:p>
        </w:tc>
        <w:tc>
          <w:tcPr>
            <w:tcW w:w="2410" w:type="dxa"/>
            <w:shd w:val="clear" w:color="auto" w:fill="FFFFFF"/>
          </w:tcPr>
          <w:p w14:paraId="0B4D61E8" w14:textId="5F0C148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51.7 ± 22.5</w:t>
            </w:r>
          </w:p>
          <w:p w14:paraId="32B1B63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(n=65)</w:t>
            </w:r>
          </w:p>
        </w:tc>
      </w:tr>
      <w:tr w:rsidR="000D7F04" w:rsidRPr="000D7F04" w14:paraId="1509C4F2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 w:val="restart"/>
          </w:tcPr>
          <w:p w14:paraId="62E9C40F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EQ-5D-5L</w:t>
            </w:r>
          </w:p>
        </w:tc>
        <w:tc>
          <w:tcPr>
            <w:tcW w:w="1984" w:type="dxa"/>
          </w:tcPr>
          <w:p w14:paraId="3D136F6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Index score 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2DA4C6B6" w14:textId="6D7C5608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0.51 ± 0.31</w:t>
            </w:r>
          </w:p>
          <w:p w14:paraId="2568123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(n=36)</w:t>
            </w:r>
          </w:p>
        </w:tc>
        <w:tc>
          <w:tcPr>
            <w:tcW w:w="2410" w:type="dxa"/>
            <w:shd w:val="clear" w:color="auto" w:fill="FFFFFF"/>
          </w:tcPr>
          <w:p w14:paraId="24901A4E" w14:textId="55FD6CB0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0.51 ± 0.2</w:t>
            </w:r>
            <w:r w:rsidR="00C54C08">
              <w:rPr>
                <w:rFonts w:ascii="Calibri" w:eastAsia="Calibri" w:hAnsi="Calibri"/>
                <w:color w:val="000000"/>
              </w:rPr>
              <w:t>8</w:t>
            </w:r>
          </w:p>
          <w:p w14:paraId="474DF70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(n=68)</w:t>
            </w:r>
          </w:p>
        </w:tc>
      </w:tr>
      <w:tr w:rsidR="000D7F04" w:rsidRPr="000D7F04" w14:paraId="207764AD" w14:textId="77777777" w:rsidTr="000D7F0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94" w:type="dxa"/>
            <w:vMerge/>
          </w:tcPr>
          <w:p w14:paraId="32D53AC0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393BB27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EQ-VAS 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423B3DFA" w14:textId="763F7879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55.4 ± 21.</w:t>
            </w:r>
            <w:r w:rsidR="00C54C08">
              <w:rPr>
                <w:rFonts w:ascii="Calibri" w:eastAsia="Calibri" w:hAnsi="Calibri"/>
              </w:rPr>
              <w:t>8</w:t>
            </w:r>
          </w:p>
          <w:p w14:paraId="75C56E1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(n=34)</w:t>
            </w:r>
          </w:p>
        </w:tc>
        <w:tc>
          <w:tcPr>
            <w:tcW w:w="2410" w:type="dxa"/>
            <w:shd w:val="clear" w:color="auto" w:fill="FFFFFF"/>
          </w:tcPr>
          <w:p w14:paraId="321E6DFC" w14:textId="7BFDA04E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color w:val="000000"/>
              </w:rPr>
            </w:pPr>
            <w:r w:rsidRPr="000D7F04">
              <w:rPr>
                <w:rFonts w:ascii="Calibri" w:eastAsia="Calibri" w:hAnsi="Calibri"/>
                <w:color w:val="000000"/>
              </w:rPr>
              <w:t>52.9 ± 20.</w:t>
            </w:r>
            <w:r w:rsidR="00C54C08">
              <w:rPr>
                <w:rFonts w:ascii="Calibri" w:eastAsia="Calibri" w:hAnsi="Calibri"/>
                <w:color w:val="000000"/>
              </w:rPr>
              <w:t>3</w:t>
            </w:r>
          </w:p>
          <w:p w14:paraId="546E246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(n=65)</w:t>
            </w:r>
          </w:p>
        </w:tc>
      </w:tr>
      <w:tr w:rsidR="000D7F04" w:rsidRPr="000D7F04" w14:paraId="31C04930" w14:textId="77777777" w:rsidTr="00F56113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</w:tcPr>
          <w:p w14:paraId="1F5E11D9" w14:textId="77777777" w:rsidR="000D7F04" w:rsidRPr="0037793F" w:rsidRDefault="000D7F04" w:rsidP="000D7F04">
            <w:pPr>
              <w:spacing w:before="60"/>
              <w:rPr>
                <w:rFonts w:ascii="Calibri" w:eastAsia="Calibri" w:hAnsi="Calibri"/>
                <w:sz w:val="19"/>
              </w:rPr>
            </w:pPr>
            <w:proofErr w:type="spellStart"/>
            <w:r w:rsidRPr="0037793F">
              <w:rPr>
                <w:rFonts w:ascii="Calibri" w:eastAsia="Calibri" w:hAnsi="Calibri"/>
                <w:sz w:val="19"/>
                <w:vertAlign w:val="superscript"/>
              </w:rPr>
              <w:t>a</w:t>
            </w:r>
            <w:r w:rsidRPr="0037793F">
              <w:rPr>
                <w:rFonts w:ascii="Calibri" w:eastAsia="Calibri" w:hAnsi="Calibri"/>
                <w:sz w:val="19"/>
              </w:rPr>
              <w:t>One</w:t>
            </w:r>
            <w:proofErr w:type="spellEnd"/>
            <w:r w:rsidRPr="0037793F">
              <w:rPr>
                <w:rFonts w:ascii="Calibri" w:eastAsia="Calibri" w:hAnsi="Calibri"/>
                <w:sz w:val="19"/>
              </w:rPr>
              <w:t xml:space="preserve"> centre measured plasma PTH levels.</w:t>
            </w:r>
          </w:p>
          <w:p w14:paraId="76DF72DE" w14:textId="1EFC1ACA" w:rsidR="000D7F04" w:rsidRPr="000D7F04" w:rsidRDefault="000D7F04" w:rsidP="000D7F04">
            <w:pPr>
              <w:spacing w:before="60"/>
              <w:rPr>
                <w:rFonts w:ascii="Calibri" w:eastAsia="Calibri" w:hAnsi="Calibri"/>
                <w:sz w:val="19"/>
              </w:rPr>
            </w:pPr>
            <w:r w:rsidRPr="0037793F">
              <w:rPr>
                <w:rFonts w:ascii="Calibri" w:eastAsia="Calibri" w:hAnsi="Calibri"/>
                <w:sz w:val="19"/>
              </w:rPr>
              <w:t>The BPI-SF uses a numerical rating scale from 0 (no pain) to 10 (maximum pain/pain severity/pain interference).</w:t>
            </w:r>
            <w:r w:rsidR="0037793F" w:rsidRPr="0037793F">
              <w:rPr>
                <w:rFonts w:ascii="Calibri" w:eastAsia="Calibri" w:hAnsi="Calibri"/>
                <w:sz w:val="19"/>
                <w:vertAlign w:val="superscript"/>
              </w:rPr>
              <w:t>31</w:t>
            </w:r>
            <w:r w:rsidRPr="0037793F">
              <w:rPr>
                <w:rFonts w:ascii="Calibri" w:eastAsia="Calibri" w:hAnsi="Calibri"/>
                <w:sz w:val="19"/>
              </w:rPr>
              <w:t xml:space="preserve"> Worse Pain, Pain Severity and Pain Interference comprise one, four and seven items, respectively. The reference period is 24 hours. WOMAC comprises 24 items (5 for pain; 2 for stiffness; 17 for Physical Function) and a total score.</w:t>
            </w:r>
            <w:r w:rsidR="0037793F" w:rsidRPr="0037793F">
              <w:rPr>
                <w:rFonts w:ascii="Calibri" w:eastAsia="Calibri" w:hAnsi="Calibri"/>
                <w:sz w:val="19"/>
                <w:vertAlign w:val="superscript"/>
              </w:rPr>
              <w:t>30</w:t>
            </w:r>
            <w:r w:rsidRPr="0037793F">
              <w:rPr>
                <w:rFonts w:ascii="Calibri" w:eastAsia="Calibri" w:hAnsi="Calibri"/>
                <w:sz w:val="19"/>
              </w:rPr>
              <w:t xml:space="preserve"> Each item is scored on a 5-point scale (none, mild, moderate, severe, extreme). The reference period is 48 hours. The EQ-5D-5L comprises five domain scores (mobility, self-care, usual activities, pain/discomfort, anxiety/depression), which are used to determine a utility score.</w:t>
            </w:r>
            <w:r w:rsidR="0037793F" w:rsidRPr="0037793F">
              <w:rPr>
                <w:rFonts w:ascii="Calibri" w:eastAsia="Calibri" w:hAnsi="Calibri"/>
                <w:sz w:val="19"/>
                <w:vertAlign w:val="superscript"/>
              </w:rPr>
              <w:t>32</w:t>
            </w:r>
            <w:r w:rsidRPr="0037793F">
              <w:rPr>
                <w:rFonts w:ascii="Calibri" w:eastAsia="Calibri" w:hAnsi="Calibri"/>
                <w:sz w:val="19"/>
              </w:rPr>
              <w:t xml:space="preserve"> Current health status is scored on a 0–100 visual analogue scale (the EQ-VAS). The reference period is today.</w:t>
            </w:r>
            <w:r w:rsidRPr="000D7F04">
              <w:rPr>
                <w:rFonts w:ascii="Calibri" w:eastAsia="Calibri" w:hAnsi="Calibri"/>
                <w:sz w:val="19"/>
              </w:rPr>
              <w:t xml:space="preserve"> </w:t>
            </w:r>
          </w:p>
          <w:p w14:paraId="7546A1F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sz w:val="19"/>
                <w:vertAlign w:val="superscript"/>
              </w:rPr>
            </w:pPr>
            <w:r w:rsidRPr="000D7F04">
              <w:rPr>
                <w:rFonts w:ascii="Calibri" w:eastAsia="Calibri" w:hAnsi="Calibri"/>
                <w:sz w:val="19"/>
              </w:rPr>
              <w:t>BMI, body mass index; BPI-SF, Brief Pain Inventory short-form; EAP, early access programme; EQ-5D-5L, EuroQol five-dimension, five-level; EQ-VAS, EuroQol visual analogue scale; Q, quartile; PRO, patient-reported outcome; SD, standard deviation; SE, standard error; WOMAC, Western Ontario McMaster Universities Osteoarthritis Index.</w:t>
            </w:r>
          </w:p>
        </w:tc>
      </w:tr>
    </w:tbl>
    <w:p w14:paraId="38C482CA" w14:textId="77777777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br w:type="page"/>
      </w:r>
    </w:p>
    <w:p w14:paraId="65DA5CBE" w14:textId="6839C68C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lastRenderedPageBreak/>
        <w:t>Supplementary Table S5</w:t>
      </w:r>
      <w:r w:rsidR="005653F7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Changes in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  <w:t xml:space="preserve">biochemistry and PRO scores from baseline to 6 months in patients who were and were not taking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phosphate supplements/active vitamin D therapy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  <w:lang w:eastAsia="en-GB"/>
        </w:rPr>
        <w:t>(PVD) immediately before starting burosumab in the EAP</w:t>
      </w: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1479"/>
        <w:gridCol w:w="1270"/>
        <w:gridCol w:w="1270"/>
        <w:gridCol w:w="1270"/>
        <w:gridCol w:w="1268"/>
        <w:gridCol w:w="1269"/>
        <w:gridCol w:w="1383"/>
      </w:tblGrid>
      <w:tr w:rsidR="000D7F04" w:rsidRPr="000D7F04" w14:paraId="74A49FA6" w14:textId="77777777" w:rsidTr="000D7F04">
        <w:trPr>
          <w:trHeight w:val="399"/>
        </w:trPr>
        <w:tc>
          <w:tcPr>
            <w:tcW w:w="1479" w:type="dxa"/>
            <w:vMerge w:val="restart"/>
            <w:shd w:val="clear" w:color="auto" w:fill="BFBFBF"/>
          </w:tcPr>
          <w:p w14:paraId="0524CB4E" w14:textId="77777777" w:rsidR="000D7F04" w:rsidRPr="000D7F04" w:rsidRDefault="000D7F04" w:rsidP="000D7F0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10" w:type="dxa"/>
            <w:gridSpan w:val="3"/>
            <w:shd w:val="clear" w:color="auto" w:fill="BFBFBF"/>
          </w:tcPr>
          <w:p w14:paraId="6F98207C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>Taking PVD before starting burosumab</w:t>
            </w:r>
          </w:p>
        </w:tc>
        <w:tc>
          <w:tcPr>
            <w:tcW w:w="3920" w:type="dxa"/>
            <w:gridSpan w:val="3"/>
            <w:shd w:val="clear" w:color="auto" w:fill="BFBFBF"/>
          </w:tcPr>
          <w:p w14:paraId="3A233B3E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>Not taking PVD before starting burosumab</w:t>
            </w:r>
          </w:p>
        </w:tc>
      </w:tr>
      <w:tr w:rsidR="000D7F04" w:rsidRPr="000D7F04" w14:paraId="35E3A111" w14:textId="77777777" w:rsidTr="000D7F04">
        <w:tc>
          <w:tcPr>
            <w:tcW w:w="1479" w:type="dxa"/>
            <w:vMerge/>
            <w:shd w:val="clear" w:color="auto" w:fill="BFBFBF"/>
          </w:tcPr>
          <w:p w14:paraId="6A8D933F" w14:textId="77777777" w:rsidR="000D7F04" w:rsidRPr="000D7F04" w:rsidRDefault="000D7F04" w:rsidP="000D7F0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BFBFBF"/>
          </w:tcPr>
          <w:p w14:paraId="5456C01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>Baseline</w:t>
            </w:r>
          </w:p>
        </w:tc>
        <w:tc>
          <w:tcPr>
            <w:tcW w:w="1270" w:type="dxa"/>
            <w:shd w:val="clear" w:color="auto" w:fill="BFBFBF"/>
          </w:tcPr>
          <w:p w14:paraId="1F14E56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 xml:space="preserve">6 months </w:t>
            </w:r>
          </w:p>
        </w:tc>
        <w:tc>
          <w:tcPr>
            <w:tcW w:w="1270" w:type="dxa"/>
            <w:shd w:val="clear" w:color="auto" w:fill="BFBFBF"/>
          </w:tcPr>
          <w:p w14:paraId="7FB1D4E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>Mean change</w:t>
            </w:r>
          </w:p>
        </w:tc>
        <w:tc>
          <w:tcPr>
            <w:tcW w:w="1268" w:type="dxa"/>
            <w:shd w:val="clear" w:color="auto" w:fill="BFBFBF"/>
          </w:tcPr>
          <w:p w14:paraId="64422B2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 xml:space="preserve">Baseline </w:t>
            </w:r>
          </w:p>
        </w:tc>
        <w:tc>
          <w:tcPr>
            <w:tcW w:w="1269" w:type="dxa"/>
            <w:shd w:val="clear" w:color="auto" w:fill="BFBFBF"/>
          </w:tcPr>
          <w:p w14:paraId="597EC46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 xml:space="preserve">6 months </w:t>
            </w:r>
          </w:p>
        </w:tc>
        <w:tc>
          <w:tcPr>
            <w:tcW w:w="1383" w:type="dxa"/>
            <w:shd w:val="clear" w:color="auto" w:fill="BFBFBF"/>
          </w:tcPr>
          <w:p w14:paraId="6F41443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D7F04">
              <w:rPr>
                <w:rFonts w:eastAsia="Calibri"/>
                <w:b/>
                <w:sz w:val="20"/>
                <w:szCs w:val="20"/>
              </w:rPr>
              <w:t>Mean change</w:t>
            </w:r>
          </w:p>
        </w:tc>
      </w:tr>
      <w:tr w:rsidR="000D7F04" w:rsidRPr="000D7F04" w14:paraId="33DEB375" w14:textId="77777777" w:rsidTr="000D7F04">
        <w:tc>
          <w:tcPr>
            <w:tcW w:w="9209" w:type="dxa"/>
            <w:gridSpan w:val="7"/>
            <w:shd w:val="clear" w:color="auto" w:fill="D9D9D9"/>
          </w:tcPr>
          <w:p w14:paraId="78A6D8F9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sz w:val="20"/>
              </w:rPr>
            </w:pPr>
            <w:r w:rsidRPr="000D7F04">
              <w:rPr>
                <w:rFonts w:eastAsia="Calibri"/>
                <w:b/>
                <w:sz w:val="20"/>
              </w:rPr>
              <w:t>Serum bone biochemistry markers</w:t>
            </w:r>
          </w:p>
        </w:tc>
      </w:tr>
      <w:tr w:rsidR="000D7F04" w:rsidRPr="000D7F04" w14:paraId="22AB2376" w14:textId="77777777" w:rsidTr="00F56113">
        <w:tc>
          <w:tcPr>
            <w:tcW w:w="1479" w:type="dxa"/>
          </w:tcPr>
          <w:p w14:paraId="019751AB" w14:textId="4BFBD555" w:rsidR="000D7F04" w:rsidRPr="000D7F04" w:rsidRDefault="00D104AB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</w:t>
            </w:r>
            <w:r w:rsidR="000D7F04" w:rsidRPr="000D7F04">
              <w:rPr>
                <w:rFonts w:eastAsia="Calibri"/>
                <w:sz w:val="20"/>
                <w:szCs w:val="20"/>
              </w:rPr>
              <w:t>hosphate (nmol/mL)</w:t>
            </w:r>
          </w:p>
        </w:tc>
        <w:tc>
          <w:tcPr>
            <w:tcW w:w="1270" w:type="dxa"/>
          </w:tcPr>
          <w:p w14:paraId="2524CF82" w14:textId="1734079B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0.62 ± 0.1</w:t>
            </w:r>
            <w:r w:rsidR="00C87785">
              <w:rPr>
                <w:rFonts w:eastAsia="Calibri"/>
                <w:sz w:val="20"/>
                <w:szCs w:val="20"/>
                <w:lang w:eastAsia="en-GB"/>
              </w:rPr>
              <w:t>9</w:t>
            </w:r>
          </w:p>
          <w:p w14:paraId="1039858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(n=43)</w:t>
            </w:r>
          </w:p>
        </w:tc>
        <w:tc>
          <w:tcPr>
            <w:tcW w:w="1270" w:type="dxa"/>
          </w:tcPr>
          <w:p w14:paraId="09C415C0" w14:textId="42148419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0.83 ± 0.25</w:t>
            </w:r>
          </w:p>
          <w:p w14:paraId="42831B1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(n=30)</w:t>
            </w:r>
          </w:p>
        </w:tc>
        <w:tc>
          <w:tcPr>
            <w:tcW w:w="1270" w:type="dxa"/>
          </w:tcPr>
          <w:p w14:paraId="3AB30341" w14:textId="281C952A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0.23 ± 0.</w:t>
            </w:r>
            <w:r w:rsidR="00C87785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  <w:p w14:paraId="0090B81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(n=23)</w:t>
            </w:r>
          </w:p>
        </w:tc>
        <w:tc>
          <w:tcPr>
            <w:tcW w:w="1268" w:type="dxa"/>
          </w:tcPr>
          <w:p w14:paraId="4AF43921" w14:textId="6B933D2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0.61 ± 0.15</w:t>
            </w:r>
          </w:p>
          <w:p w14:paraId="164085D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(n=75)</w:t>
            </w:r>
          </w:p>
        </w:tc>
        <w:tc>
          <w:tcPr>
            <w:tcW w:w="1269" w:type="dxa"/>
          </w:tcPr>
          <w:p w14:paraId="445BB97D" w14:textId="0A9EEE26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0.88 ± 0.21</w:t>
            </w:r>
          </w:p>
          <w:p w14:paraId="0DE7BA3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(n=47)</w:t>
            </w:r>
          </w:p>
        </w:tc>
        <w:tc>
          <w:tcPr>
            <w:tcW w:w="1383" w:type="dxa"/>
          </w:tcPr>
          <w:p w14:paraId="0DDFA69A" w14:textId="0E22D298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0.29 ± 0.2</w:t>
            </w:r>
            <w:r w:rsidR="00C87785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  <w:p w14:paraId="5807148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(n=47)</w:t>
            </w:r>
          </w:p>
        </w:tc>
      </w:tr>
      <w:tr w:rsidR="000D7F04" w:rsidRPr="000D7F04" w14:paraId="7C9AB2B0" w14:textId="77777777" w:rsidTr="00F56113">
        <w:tc>
          <w:tcPr>
            <w:tcW w:w="1479" w:type="dxa"/>
          </w:tcPr>
          <w:p w14:paraId="1A7C23FC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ALP (IU/L)</w:t>
            </w:r>
          </w:p>
        </w:tc>
        <w:tc>
          <w:tcPr>
            <w:tcW w:w="1270" w:type="dxa"/>
          </w:tcPr>
          <w:p w14:paraId="277D4447" w14:textId="68F5B9D4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129.44 ± 60.0</w:t>
            </w:r>
            <w:r w:rsidR="00C87785">
              <w:rPr>
                <w:rFonts w:eastAsia="Calibri"/>
                <w:sz w:val="20"/>
                <w:szCs w:val="20"/>
                <w:lang w:eastAsia="en-GB"/>
              </w:rPr>
              <w:t>6</w:t>
            </w:r>
          </w:p>
          <w:p w14:paraId="0BB1277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(n=45)</w:t>
            </w:r>
          </w:p>
        </w:tc>
        <w:tc>
          <w:tcPr>
            <w:tcW w:w="1270" w:type="dxa"/>
          </w:tcPr>
          <w:p w14:paraId="2642F71D" w14:textId="35E6E51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133.10 ± 57.5</w:t>
            </w:r>
            <w:r w:rsidR="00C87785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  <w:p w14:paraId="720EDDF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(n=30)</w:t>
            </w:r>
          </w:p>
        </w:tc>
        <w:tc>
          <w:tcPr>
            <w:tcW w:w="1270" w:type="dxa"/>
          </w:tcPr>
          <w:p w14:paraId="3F652830" w14:textId="75EF6C7C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1.48 ± 25.9</w:t>
            </w:r>
            <w:r w:rsidR="0033323D">
              <w:rPr>
                <w:rFonts w:eastAsia="Calibri"/>
                <w:sz w:val="20"/>
                <w:szCs w:val="20"/>
                <w:lang w:eastAsia="en-GB"/>
              </w:rPr>
              <w:t>8</w:t>
            </w:r>
          </w:p>
          <w:p w14:paraId="26C397C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(n=25)</w:t>
            </w:r>
          </w:p>
        </w:tc>
        <w:tc>
          <w:tcPr>
            <w:tcW w:w="1268" w:type="dxa"/>
          </w:tcPr>
          <w:p w14:paraId="38A254B5" w14:textId="7D21B5AC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130.86 ± 49.19</w:t>
            </w:r>
          </w:p>
          <w:p w14:paraId="46986C0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(n=63)</w:t>
            </w:r>
          </w:p>
        </w:tc>
        <w:tc>
          <w:tcPr>
            <w:tcW w:w="1269" w:type="dxa"/>
          </w:tcPr>
          <w:p w14:paraId="60766027" w14:textId="11438598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124.55 ± 46.11</w:t>
            </w:r>
          </w:p>
          <w:p w14:paraId="385396CE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(n=42)</w:t>
            </w:r>
          </w:p>
        </w:tc>
        <w:tc>
          <w:tcPr>
            <w:tcW w:w="1383" w:type="dxa"/>
          </w:tcPr>
          <w:p w14:paraId="79CD201E" w14:textId="6668C04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−0.03 ± 25.9</w:t>
            </w:r>
            <w:r w:rsidR="0033323D">
              <w:rPr>
                <w:rFonts w:eastAsia="Calibri"/>
                <w:sz w:val="20"/>
                <w:szCs w:val="20"/>
                <w:lang w:eastAsia="en-GB"/>
              </w:rPr>
              <w:t>7</w:t>
            </w:r>
          </w:p>
          <w:p w14:paraId="4D56237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(n=35)</w:t>
            </w:r>
          </w:p>
        </w:tc>
      </w:tr>
      <w:tr w:rsidR="000D7F04" w:rsidRPr="000D7F04" w14:paraId="330FA88A" w14:textId="77777777" w:rsidTr="00F56113">
        <w:tc>
          <w:tcPr>
            <w:tcW w:w="1479" w:type="dxa"/>
          </w:tcPr>
          <w:p w14:paraId="55C607D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PTH (</w:t>
            </w:r>
            <w:proofErr w:type="spellStart"/>
            <w:r w:rsidRPr="000D7F04">
              <w:rPr>
                <w:rFonts w:eastAsia="Calibri"/>
                <w:sz w:val="20"/>
                <w:szCs w:val="20"/>
              </w:rPr>
              <w:t>pmol</w:t>
            </w:r>
            <w:proofErr w:type="spellEnd"/>
            <w:r w:rsidRPr="000D7F04">
              <w:rPr>
                <w:rFonts w:eastAsia="Calibri"/>
                <w:sz w:val="20"/>
                <w:szCs w:val="20"/>
              </w:rPr>
              <w:t>/</w:t>
            </w:r>
            <w:proofErr w:type="gramStart"/>
            <w:r w:rsidRPr="000D7F04">
              <w:rPr>
                <w:rFonts w:eastAsia="Calibri"/>
                <w:sz w:val="20"/>
                <w:szCs w:val="20"/>
              </w:rPr>
              <w:t>L)</w:t>
            </w:r>
            <w:r w:rsidRPr="000D7F04">
              <w:rPr>
                <w:rFonts w:eastAsia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270" w:type="dxa"/>
          </w:tcPr>
          <w:p w14:paraId="2926BCC3" w14:textId="5BA650F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8.29 ± 4.21</w:t>
            </w:r>
          </w:p>
          <w:p w14:paraId="4E24448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(n=34)</w:t>
            </w:r>
          </w:p>
        </w:tc>
        <w:tc>
          <w:tcPr>
            <w:tcW w:w="1270" w:type="dxa"/>
          </w:tcPr>
          <w:p w14:paraId="6065D804" w14:textId="167E0641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8.07 ± 3.57</w:t>
            </w:r>
          </w:p>
          <w:p w14:paraId="3E1CFDA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(n=27)</w:t>
            </w:r>
          </w:p>
        </w:tc>
        <w:tc>
          <w:tcPr>
            <w:tcW w:w="1270" w:type="dxa"/>
          </w:tcPr>
          <w:p w14:paraId="793BAE3B" w14:textId="7BC2A741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−1.07 ± 2.52</w:t>
            </w:r>
          </w:p>
          <w:p w14:paraId="019800F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3F6A2DE5" w14:textId="759758E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8.11 ± 5.20</w:t>
            </w:r>
          </w:p>
          <w:p w14:paraId="676F711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(n=61)</w:t>
            </w:r>
          </w:p>
        </w:tc>
        <w:tc>
          <w:tcPr>
            <w:tcW w:w="1269" w:type="dxa"/>
          </w:tcPr>
          <w:p w14:paraId="3951C4C3" w14:textId="4A3B871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5.37 ± 2.56</w:t>
            </w:r>
          </w:p>
          <w:p w14:paraId="10F6450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(n=34)</w:t>
            </w:r>
          </w:p>
        </w:tc>
        <w:tc>
          <w:tcPr>
            <w:tcW w:w="1383" w:type="dxa"/>
          </w:tcPr>
          <w:p w14:paraId="52C315BA" w14:textId="68BA5518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−1.10 ± 1.91</w:t>
            </w:r>
          </w:p>
          <w:p w14:paraId="212567E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(n=30)</w:t>
            </w:r>
          </w:p>
        </w:tc>
      </w:tr>
      <w:tr w:rsidR="000D7F04" w:rsidRPr="000D7F04" w14:paraId="20EF387E" w14:textId="77777777" w:rsidTr="00F56113">
        <w:tc>
          <w:tcPr>
            <w:tcW w:w="1479" w:type="dxa"/>
          </w:tcPr>
          <w:p w14:paraId="7AC182A2" w14:textId="51FBFCEC" w:rsidR="000D7F04" w:rsidRPr="000D7F04" w:rsidRDefault="00D104AB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C</w:t>
            </w:r>
            <w:r w:rsidR="000D7F04" w:rsidRPr="000D7F04">
              <w:rPr>
                <w:rFonts w:eastAsia="Calibri"/>
                <w:sz w:val="20"/>
                <w:szCs w:val="20"/>
              </w:rPr>
              <w:t>alcium (mmol/L)</w:t>
            </w:r>
          </w:p>
        </w:tc>
        <w:tc>
          <w:tcPr>
            <w:tcW w:w="1270" w:type="dxa"/>
          </w:tcPr>
          <w:p w14:paraId="6CBD6C25" w14:textId="4F5F6E75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2.38 ± 0.1</w:t>
            </w:r>
            <w:r w:rsidR="0033323D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  <w:p w14:paraId="39EACBD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(n=45)</w:t>
            </w:r>
          </w:p>
        </w:tc>
        <w:tc>
          <w:tcPr>
            <w:tcW w:w="1270" w:type="dxa"/>
          </w:tcPr>
          <w:p w14:paraId="7F9ACF71" w14:textId="1B1D5832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2.45 ± 0.14</w:t>
            </w:r>
          </w:p>
          <w:p w14:paraId="7115282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(n=30)</w:t>
            </w:r>
          </w:p>
        </w:tc>
        <w:tc>
          <w:tcPr>
            <w:tcW w:w="1270" w:type="dxa"/>
          </w:tcPr>
          <w:p w14:paraId="53B2FF38" w14:textId="4FCD39E6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0.05 ± 0.08</w:t>
            </w:r>
          </w:p>
          <w:p w14:paraId="14F5DC1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(n=25)</w:t>
            </w:r>
          </w:p>
        </w:tc>
        <w:tc>
          <w:tcPr>
            <w:tcW w:w="1268" w:type="dxa"/>
          </w:tcPr>
          <w:p w14:paraId="3709228B" w14:textId="0F330E31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2.40 ± 0.1</w:t>
            </w:r>
            <w:r w:rsidR="0033323D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  <w:p w14:paraId="747EED3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(n=64)</w:t>
            </w:r>
          </w:p>
        </w:tc>
        <w:tc>
          <w:tcPr>
            <w:tcW w:w="1269" w:type="dxa"/>
          </w:tcPr>
          <w:p w14:paraId="445F0BBB" w14:textId="34B414EA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2.42 ± 0.12</w:t>
            </w:r>
          </w:p>
          <w:p w14:paraId="0D51D9F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(n=39)</w:t>
            </w:r>
          </w:p>
        </w:tc>
        <w:tc>
          <w:tcPr>
            <w:tcW w:w="1383" w:type="dxa"/>
          </w:tcPr>
          <w:p w14:paraId="18242BE2" w14:textId="7B9327CD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0.05 ± 0.0</w:t>
            </w:r>
            <w:r w:rsidR="00113846">
              <w:rPr>
                <w:rFonts w:eastAsia="Calibri"/>
                <w:sz w:val="20"/>
                <w:szCs w:val="20"/>
                <w:lang w:eastAsia="en-GB"/>
              </w:rPr>
              <w:t>9</w:t>
            </w:r>
          </w:p>
          <w:p w14:paraId="3EB42B5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(n=33)</w:t>
            </w:r>
          </w:p>
        </w:tc>
      </w:tr>
      <w:tr w:rsidR="000D7F04" w:rsidRPr="000D7F04" w14:paraId="23FAE85E" w14:textId="77777777" w:rsidTr="00F56113">
        <w:tc>
          <w:tcPr>
            <w:tcW w:w="1479" w:type="dxa"/>
          </w:tcPr>
          <w:p w14:paraId="145700BC" w14:textId="70354ACC" w:rsidR="000D7F04" w:rsidRPr="000D7F04" w:rsidRDefault="00D104AB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V</w:t>
            </w:r>
            <w:r w:rsidR="000D7F04" w:rsidRPr="000D7F04">
              <w:rPr>
                <w:rFonts w:eastAsia="Calibri"/>
                <w:sz w:val="20"/>
                <w:szCs w:val="20"/>
              </w:rPr>
              <w:t>itamin D</w:t>
            </w:r>
          </w:p>
          <w:p w14:paraId="68C3E04C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(nmol/L)</w:t>
            </w:r>
          </w:p>
        </w:tc>
        <w:tc>
          <w:tcPr>
            <w:tcW w:w="1270" w:type="dxa"/>
          </w:tcPr>
          <w:p w14:paraId="3D809FB2" w14:textId="576AD8A9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56.07 ± 24.79</w:t>
            </w:r>
          </w:p>
          <w:p w14:paraId="0A7B529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(n=30)</w:t>
            </w:r>
          </w:p>
        </w:tc>
        <w:tc>
          <w:tcPr>
            <w:tcW w:w="1270" w:type="dxa"/>
          </w:tcPr>
          <w:p w14:paraId="381B7BE3" w14:textId="3906A888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66.10 ± 24.20</w:t>
            </w:r>
          </w:p>
          <w:p w14:paraId="116C8CE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(n=22)</w:t>
            </w:r>
          </w:p>
        </w:tc>
        <w:tc>
          <w:tcPr>
            <w:tcW w:w="1270" w:type="dxa"/>
          </w:tcPr>
          <w:p w14:paraId="0C675BA8" w14:textId="4F7C3AC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17.32 ± 29.42</w:t>
            </w:r>
          </w:p>
          <w:p w14:paraId="743403A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(n=11)</w:t>
            </w:r>
          </w:p>
        </w:tc>
        <w:tc>
          <w:tcPr>
            <w:tcW w:w="1268" w:type="dxa"/>
          </w:tcPr>
          <w:p w14:paraId="0A7D5D1D" w14:textId="6BE7C82C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49.07 ± 20.</w:t>
            </w:r>
            <w:r w:rsidR="00113846">
              <w:rPr>
                <w:rFonts w:eastAsia="Calibri"/>
                <w:sz w:val="20"/>
                <w:szCs w:val="20"/>
                <w:lang w:eastAsia="en-GB"/>
              </w:rPr>
              <w:t>7</w:t>
            </w:r>
          </w:p>
          <w:p w14:paraId="0669D89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(n=41)</w:t>
            </w:r>
          </w:p>
        </w:tc>
        <w:tc>
          <w:tcPr>
            <w:tcW w:w="1269" w:type="dxa"/>
          </w:tcPr>
          <w:p w14:paraId="25A79F8E" w14:textId="35F71EB2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54.24 ± 19.</w:t>
            </w:r>
            <w:r w:rsidR="00113846">
              <w:rPr>
                <w:rFonts w:eastAsia="Calibri"/>
                <w:sz w:val="20"/>
                <w:szCs w:val="20"/>
                <w:lang w:eastAsia="en-GB"/>
              </w:rPr>
              <w:t>50</w:t>
            </w:r>
          </w:p>
          <w:p w14:paraId="2AA0DDF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(n=25)</w:t>
            </w:r>
          </w:p>
        </w:tc>
        <w:tc>
          <w:tcPr>
            <w:tcW w:w="1383" w:type="dxa"/>
          </w:tcPr>
          <w:p w14:paraId="7870C663" w14:textId="64615CEB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13.31 ± 27.43</w:t>
            </w:r>
          </w:p>
          <w:p w14:paraId="1977CCD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(n=13)</w:t>
            </w:r>
          </w:p>
        </w:tc>
      </w:tr>
      <w:tr w:rsidR="000D7F04" w:rsidRPr="000D7F04" w14:paraId="071169DB" w14:textId="77777777" w:rsidTr="000D7F04">
        <w:tc>
          <w:tcPr>
            <w:tcW w:w="9209" w:type="dxa"/>
            <w:gridSpan w:val="7"/>
            <w:shd w:val="clear" w:color="auto" w:fill="D9D9D9"/>
          </w:tcPr>
          <w:p w14:paraId="6BB12CD2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sz w:val="20"/>
              </w:rPr>
            </w:pPr>
            <w:r w:rsidRPr="000D7F04">
              <w:rPr>
                <w:rFonts w:eastAsia="Calibri"/>
                <w:b/>
                <w:sz w:val="20"/>
              </w:rPr>
              <w:t>BPI-SF</w:t>
            </w:r>
          </w:p>
        </w:tc>
      </w:tr>
      <w:tr w:rsidR="000D7F04" w:rsidRPr="000D7F04" w14:paraId="028C7018" w14:textId="77777777" w:rsidTr="00F56113">
        <w:tc>
          <w:tcPr>
            <w:tcW w:w="1479" w:type="dxa"/>
          </w:tcPr>
          <w:p w14:paraId="4216A9E2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Worst Pain</w:t>
            </w:r>
          </w:p>
        </w:tc>
        <w:tc>
          <w:tcPr>
            <w:tcW w:w="1270" w:type="dxa"/>
          </w:tcPr>
          <w:p w14:paraId="7A802D32" w14:textId="06367D70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 xml:space="preserve">7.3 ± 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2.0</w:t>
            </w:r>
          </w:p>
          <w:p w14:paraId="2252DF2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(n=29)</w:t>
            </w:r>
          </w:p>
        </w:tc>
        <w:tc>
          <w:tcPr>
            <w:tcW w:w="1270" w:type="dxa"/>
          </w:tcPr>
          <w:p w14:paraId="6047F572" w14:textId="7376F1E6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4.8 ± 2.9</w:t>
            </w:r>
          </w:p>
          <w:p w14:paraId="439FF02E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(n=22)</w:t>
            </w:r>
          </w:p>
        </w:tc>
        <w:tc>
          <w:tcPr>
            <w:tcW w:w="1270" w:type="dxa"/>
          </w:tcPr>
          <w:p w14:paraId="69CDDF6A" w14:textId="352AF7F2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−2.2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8</w:t>
            </w:r>
          </w:p>
          <w:p w14:paraId="1A00C30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2A4664AB" w14:textId="4C76CE4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6.7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  <w:p w14:paraId="6990C36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(n=67)</w:t>
            </w:r>
          </w:p>
        </w:tc>
        <w:tc>
          <w:tcPr>
            <w:tcW w:w="1269" w:type="dxa"/>
          </w:tcPr>
          <w:p w14:paraId="71A4DA45" w14:textId="04D3C7E5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4.5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4</w:t>
            </w:r>
          </w:p>
          <w:p w14:paraId="5C568E7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(n=13)</w:t>
            </w:r>
          </w:p>
        </w:tc>
        <w:tc>
          <w:tcPr>
            <w:tcW w:w="1383" w:type="dxa"/>
          </w:tcPr>
          <w:p w14:paraId="7FA344D0" w14:textId="4BA850B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−1.4 ± 1.7</w:t>
            </w:r>
          </w:p>
          <w:p w14:paraId="3593CF8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(n=13)</w:t>
            </w:r>
          </w:p>
        </w:tc>
      </w:tr>
      <w:tr w:rsidR="000D7F04" w:rsidRPr="000D7F04" w14:paraId="3C143122" w14:textId="77777777" w:rsidTr="00F56113">
        <w:tc>
          <w:tcPr>
            <w:tcW w:w="1479" w:type="dxa"/>
          </w:tcPr>
          <w:p w14:paraId="60B4EF3B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Pain Severity</w:t>
            </w:r>
          </w:p>
        </w:tc>
        <w:tc>
          <w:tcPr>
            <w:tcW w:w="1270" w:type="dxa"/>
          </w:tcPr>
          <w:p w14:paraId="184A9237" w14:textId="132D62FC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5.7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  <w:p w14:paraId="7FD8020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(n29)</w:t>
            </w:r>
          </w:p>
        </w:tc>
        <w:tc>
          <w:tcPr>
            <w:tcW w:w="1270" w:type="dxa"/>
          </w:tcPr>
          <w:p w14:paraId="1CD37DCC" w14:textId="4F3B239B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3.7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5</w:t>
            </w:r>
          </w:p>
          <w:p w14:paraId="788DC34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(n=22)</w:t>
            </w:r>
          </w:p>
        </w:tc>
        <w:tc>
          <w:tcPr>
            <w:tcW w:w="1270" w:type="dxa"/>
          </w:tcPr>
          <w:p w14:paraId="7188DE78" w14:textId="2AD1C4C8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−1.9 ± 2.5</w:t>
            </w:r>
          </w:p>
          <w:p w14:paraId="2ACB889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5D450C4F" w14:textId="4C76ED78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5.4 ± 2.1</w:t>
            </w:r>
          </w:p>
          <w:p w14:paraId="3CF616A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(n=66)</w:t>
            </w:r>
          </w:p>
        </w:tc>
        <w:tc>
          <w:tcPr>
            <w:tcW w:w="1269" w:type="dxa"/>
          </w:tcPr>
          <w:p w14:paraId="47CFEA58" w14:textId="0980F302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 xml:space="preserve">3.5 ± 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2.0</w:t>
            </w:r>
          </w:p>
          <w:p w14:paraId="0E5E1E7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(n=13)</w:t>
            </w:r>
          </w:p>
        </w:tc>
        <w:tc>
          <w:tcPr>
            <w:tcW w:w="1383" w:type="dxa"/>
          </w:tcPr>
          <w:p w14:paraId="4BC395AB" w14:textId="32F7421C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−1.3 ± 1.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7</w:t>
            </w:r>
          </w:p>
          <w:p w14:paraId="2951A42E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(n=13)</w:t>
            </w:r>
          </w:p>
        </w:tc>
      </w:tr>
      <w:tr w:rsidR="000D7F04" w:rsidRPr="000D7F04" w14:paraId="168085AF" w14:textId="77777777" w:rsidTr="00F56113">
        <w:tc>
          <w:tcPr>
            <w:tcW w:w="1479" w:type="dxa"/>
          </w:tcPr>
          <w:p w14:paraId="6DADB692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Pain Interference</w:t>
            </w:r>
          </w:p>
        </w:tc>
        <w:tc>
          <w:tcPr>
            <w:tcW w:w="1270" w:type="dxa"/>
          </w:tcPr>
          <w:p w14:paraId="3C41FB58" w14:textId="52AFF05B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6.0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5</w:t>
            </w:r>
          </w:p>
          <w:p w14:paraId="4A5445F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(n=29)</w:t>
            </w:r>
          </w:p>
        </w:tc>
        <w:tc>
          <w:tcPr>
            <w:tcW w:w="1270" w:type="dxa"/>
          </w:tcPr>
          <w:p w14:paraId="1E0E181D" w14:textId="42A4B82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3.9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7</w:t>
            </w:r>
          </w:p>
          <w:p w14:paraId="1DBFC72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(n=22)</w:t>
            </w:r>
          </w:p>
        </w:tc>
        <w:tc>
          <w:tcPr>
            <w:tcW w:w="1270" w:type="dxa"/>
          </w:tcPr>
          <w:p w14:paraId="61483354" w14:textId="4438F1D4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−2.4 ± 2.5</w:t>
            </w:r>
          </w:p>
          <w:p w14:paraId="29E609A4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790C902C" w14:textId="57A2270F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5.7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6</w:t>
            </w:r>
          </w:p>
          <w:p w14:paraId="7203DFA4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(n=67)</w:t>
            </w:r>
          </w:p>
        </w:tc>
        <w:tc>
          <w:tcPr>
            <w:tcW w:w="1269" w:type="dxa"/>
          </w:tcPr>
          <w:p w14:paraId="19A799EE" w14:textId="02C14A8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3.7 ± 2.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6</w:t>
            </w:r>
          </w:p>
          <w:p w14:paraId="4DC902F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(n=13)</w:t>
            </w:r>
          </w:p>
        </w:tc>
        <w:tc>
          <w:tcPr>
            <w:tcW w:w="1383" w:type="dxa"/>
          </w:tcPr>
          <w:p w14:paraId="3383D72F" w14:textId="4C5431D2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−1.1 ± 1.</w:t>
            </w:r>
            <w:r w:rsidR="006B3086">
              <w:rPr>
                <w:rFonts w:eastAsia="Calibri"/>
                <w:sz w:val="20"/>
                <w:szCs w:val="20"/>
                <w:lang w:eastAsia="en-GB"/>
              </w:rPr>
              <w:t>6</w:t>
            </w:r>
          </w:p>
          <w:p w14:paraId="63E2FFE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(n=13)</w:t>
            </w:r>
          </w:p>
        </w:tc>
      </w:tr>
      <w:tr w:rsidR="000D7F04" w:rsidRPr="000D7F04" w14:paraId="07690B2D" w14:textId="77777777" w:rsidTr="000D7F04">
        <w:tc>
          <w:tcPr>
            <w:tcW w:w="9209" w:type="dxa"/>
            <w:gridSpan w:val="7"/>
            <w:shd w:val="clear" w:color="auto" w:fill="D9D9D9"/>
          </w:tcPr>
          <w:p w14:paraId="5B953D99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sz w:val="20"/>
              </w:rPr>
            </w:pPr>
            <w:r w:rsidRPr="000D7F04">
              <w:rPr>
                <w:rFonts w:eastAsia="Calibri"/>
                <w:b/>
                <w:sz w:val="20"/>
              </w:rPr>
              <w:t>WOMAC</w:t>
            </w:r>
          </w:p>
        </w:tc>
      </w:tr>
      <w:tr w:rsidR="000D7F04" w:rsidRPr="000D7F04" w14:paraId="5E29E1A9" w14:textId="77777777" w:rsidTr="00F56113">
        <w:tc>
          <w:tcPr>
            <w:tcW w:w="1479" w:type="dxa"/>
          </w:tcPr>
          <w:p w14:paraId="63DE62BC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Pain</w:t>
            </w:r>
          </w:p>
        </w:tc>
        <w:tc>
          <w:tcPr>
            <w:tcW w:w="1270" w:type="dxa"/>
          </w:tcPr>
          <w:p w14:paraId="657EB8A3" w14:textId="550821E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50.7 ± 20.7</w:t>
            </w:r>
          </w:p>
          <w:p w14:paraId="497E261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(n=29)</w:t>
            </w:r>
          </w:p>
        </w:tc>
        <w:tc>
          <w:tcPr>
            <w:tcW w:w="1270" w:type="dxa"/>
          </w:tcPr>
          <w:p w14:paraId="0788619B" w14:textId="340978E1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37.4 ± 2</w:t>
            </w:r>
            <w:r w:rsidR="00A26E72">
              <w:rPr>
                <w:rFonts w:eastAsia="Calibri"/>
                <w:sz w:val="20"/>
                <w:szCs w:val="20"/>
                <w:lang w:eastAsia="en-GB"/>
              </w:rPr>
              <w:t>6.0</w:t>
            </w:r>
          </w:p>
          <w:p w14:paraId="1615269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(n=19)</w:t>
            </w:r>
          </w:p>
        </w:tc>
        <w:tc>
          <w:tcPr>
            <w:tcW w:w="1270" w:type="dxa"/>
          </w:tcPr>
          <w:p w14:paraId="447639EF" w14:textId="6A6F2109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−9.1 ± 18.6</w:t>
            </w:r>
          </w:p>
          <w:p w14:paraId="06995FD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44FD8E2C" w14:textId="4453332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51.5 ± 21.6</w:t>
            </w:r>
          </w:p>
          <w:p w14:paraId="4E43FF2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(n=65)</w:t>
            </w:r>
          </w:p>
        </w:tc>
        <w:tc>
          <w:tcPr>
            <w:tcW w:w="1269" w:type="dxa"/>
          </w:tcPr>
          <w:p w14:paraId="219F8A54" w14:textId="46DF4E8B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41.5 ± 25.9</w:t>
            </w:r>
          </w:p>
          <w:p w14:paraId="008A7D3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  <w:tc>
          <w:tcPr>
            <w:tcW w:w="1383" w:type="dxa"/>
          </w:tcPr>
          <w:p w14:paraId="5BF2E333" w14:textId="7FD4F45F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−11.5 ± 32.8</w:t>
            </w:r>
          </w:p>
          <w:p w14:paraId="1003002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</w:tr>
      <w:tr w:rsidR="000D7F04" w:rsidRPr="000D7F04" w14:paraId="394B27A9" w14:textId="77777777" w:rsidTr="00F56113">
        <w:tc>
          <w:tcPr>
            <w:tcW w:w="1479" w:type="dxa"/>
          </w:tcPr>
          <w:p w14:paraId="07C2F627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Stiffness</w:t>
            </w:r>
          </w:p>
        </w:tc>
        <w:tc>
          <w:tcPr>
            <w:tcW w:w="1270" w:type="dxa"/>
          </w:tcPr>
          <w:p w14:paraId="5D69DCE8" w14:textId="27AFE476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65.1 ± 25.7</w:t>
            </w:r>
          </w:p>
          <w:p w14:paraId="414C869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(n=29)</w:t>
            </w:r>
          </w:p>
        </w:tc>
        <w:tc>
          <w:tcPr>
            <w:tcW w:w="1270" w:type="dxa"/>
          </w:tcPr>
          <w:p w14:paraId="2FD47F03" w14:textId="21DC57C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 xml:space="preserve">50.0 ± </w:t>
            </w:r>
            <w:r w:rsidR="00A26E72">
              <w:rPr>
                <w:rFonts w:eastAsia="Calibri"/>
                <w:sz w:val="20"/>
                <w:szCs w:val="20"/>
                <w:lang w:eastAsia="en-GB"/>
              </w:rPr>
              <w:t>20.0</w:t>
            </w:r>
          </w:p>
          <w:p w14:paraId="0619715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(n=19)</w:t>
            </w:r>
          </w:p>
        </w:tc>
        <w:tc>
          <w:tcPr>
            <w:tcW w:w="1270" w:type="dxa"/>
          </w:tcPr>
          <w:p w14:paraId="191E6CAE" w14:textId="1D1FA5F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−11.0 ± 28.9</w:t>
            </w:r>
          </w:p>
          <w:p w14:paraId="3F3C00A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7BF24F19" w14:textId="622EAB34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65.2 ± 23.</w:t>
            </w:r>
            <w:r w:rsidR="00A26E72">
              <w:rPr>
                <w:rFonts w:eastAsia="Calibri"/>
                <w:sz w:val="20"/>
                <w:szCs w:val="20"/>
                <w:lang w:eastAsia="en-GB"/>
              </w:rPr>
              <w:t>9</w:t>
            </w:r>
          </w:p>
          <w:p w14:paraId="19D16E04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(n=65)</w:t>
            </w:r>
          </w:p>
        </w:tc>
        <w:tc>
          <w:tcPr>
            <w:tcW w:w="1269" w:type="dxa"/>
          </w:tcPr>
          <w:p w14:paraId="127653B7" w14:textId="336AC5C1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38.8 ± 19.</w:t>
            </w:r>
            <w:r w:rsidR="00A26E72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  <w:p w14:paraId="6076592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  <w:tc>
          <w:tcPr>
            <w:tcW w:w="1383" w:type="dxa"/>
          </w:tcPr>
          <w:p w14:paraId="37477740" w14:textId="22314B1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−21.3 ± 33.</w:t>
            </w:r>
            <w:r w:rsidR="00A26E72">
              <w:rPr>
                <w:rFonts w:eastAsia="Calibri"/>
                <w:sz w:val="20"/>
                <w:szCs w:val="20"/>
                <w:lang w:eastAsia="en-GB"/>
              </w:rPr>
              <w:t>4</w:t>
            </w:r>
          </w:p>
          <w:p w14:paraId="4BB6A7A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</w:tr>
      <w:tr w:rsidR="000D7F04" w:rsidRPr="000D7F04" w14:paraId="71A03188" w14:textId="77777777" w:rsidTr="00F56113">
        <w:tc>
          <w:tcPr>
            <w:tcW w:w="1479" w:type="dxa"/>
          </w:tcPr>
          <w:p w14:paraId="133D3E63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Physical activity</w:t>
            </w:r>
          </w:p>
        </w:tc>
        <w:tc>
          <w:tcPr>
            <w:tcW w:w="1270" w:type="dxa"/>
          </w:tcPr>
          <w:p w14:paraId="2F8F1416" w14:textId="581B74BF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52.9 ± 24.9</w:t>
            </w:r>
          </w:p>
          <w:p w14:paraId="1F026BB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(n=29)</w:t>
            </w:r>
          </w:p>
        </w:tc>
        <w:tc>
          <w:tcPr>
            <w:tcW w:w="1270" w:type="dxa"/>
          </w:tcPr>
          <w:p w14:paraId="3AEABED1" w14:textId="305A9BBA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36.4 ± 25.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8</w:t>
            </w:r>
          </w:p>
          <w:p w14:paraId="5AA73D6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(n=19)</w:t>
            </w:r>
          </w:p>
        </w:tc>
        <w:tc>
          <w:tcPr>
            <w:tcW w:w="1270" w:type="dxa"/>
          </w:tcPr>
          <w:p w14:paraId="5CEA89D4" w14:textId="1F150E55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−16.9 ± 22.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6</w:t>
            </w:r>
          </w:p>
          <w:p w14:paraId="2CB670D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6E12E3DB" w14:textId="05D38B9A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49.5 ± 23.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7</w:t>
            </w:r>
          </w:p>
          <w:p w14:paraId="65BC31E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(n=65)</w:t>
            </w:r>
          </w:p>
        </w:tc>
        <w:tc>
          <w:tcPr>
            <w:tcW w:w="1269" w:type="dxa"/>
          </w:tcPr>
          <w:p w14:paraId="7FD37A1A" w14:textId="1F9F59A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32.2 ± 21.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8</w:t>
            </w:r>
          </w:p>
          <w:p w14:paraId="6F003C1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  <w:tc>
          <w:tcPr>
            <w:tcW w:w="1383" w:type="dxa"/>
          </w:tcPr>
          <w:p w14:paraId="770D457E" w14:textId="3F402DAB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−10.9 ± 14.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7</w:t>
            </w:r>
          </w:p>
          <w:p w14:paraId="532FF39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</w:tr>
      <w:tr w:rsidR="000D7F04" w:rsidRPr="000D7F04" w14:paraId="305F0E13" w14:textId="77777777" w:rsidTr="00F56113">
        <w:tc>
          <w:tcPr>
            <w:tcW w:w="1479" w:type="dxa"/>
          </w:tcPr>
          <w:p w14:paraId="29991429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Total</w:t>
            </w:r>
          </w:p>
        </w:tc>
        <w:tc>
          <w:tcPr>
            <w:tcW w:w="1270" w:type="dxa"/>
          </w:tcPr>
          <w:p w14:paraId="70A73625" w14:textId="1C24E19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52.9 ± 23.1</w:t>
            </w:r>
          </w:p>
          <w:p w14:paraId="59D50DB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(n=29)</w:t>
            </w:r>
          </w:p>
        </w:tc>
        <w:tc>
          <w:tcPr>
            <w:tcW w:w="1270" w:type="dxa"/>
          </w:tcPr>
          <w:p w14:paraId="5D7B4100" w14:textId="4DEE7FD2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37.7 ± 24.3</w:t>
            </w:r>
          </w:p>
          <w:p w14:paraId="5C7986F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(n=19)</w:t>
            </w:r>
          </w:p>
        </w:tc>
        <w:tc>
          <w:tcPr>
            <w:tcW w:w="1270" w:type="dxa"/>
          </w:tcPr>
          <w:p w14:paraId="3D3AEBF9" w14:textId="51AA76B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−15.0 ± 20.6</w:t>
            </w:r>
          </w:p>
          <w:p w14:paraId="187B852E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55B0E165" w14:textId="1398A1F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51.7 ± 2245</w:t>
            </w:r>
          </w:p>
          <w:p w14:paraId="7DC3B58E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(n=65)</w:t>
            </w:r>
          </w:p>
        </w:tc>
        <w:tc>
          <w:tcPr>
            <w:tcW w:w="1269" w:type="dxa"/>
          </w:tcPr>
          <w:p w14:paraId="58190EEE" w14:textId="6189907C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33.2 ± 20.7</w:t>
            </w:r>
          </w:p>
          <w:p w14:paraId="545EB48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  <w:tc>
          <w:tcPr>
            <w:tcW w:w="1383" w:type="dxa"/>
          </w:tcPr>
          <w:p w14:paraId="50406061" w14:textId="7578E180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−13.1 ± 15.0</w:t>
            </w:r>
          </w:p>
          <w:p w14:paraId="50BE521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(n=10)</w:t>
            </w:r>
          </w:p>
        </w:tc>
      </w:tr>
      <w:tr w:rsidR="000D7F04" w:rsidRPr="000D7F04" w14:paraId="5B66D38B" w14:textId="77777777" w:rsidTr="000D7F04">
        <w:tc>
          <w:tcPr>
            <w:tcW w:w="9209" w:type="dxa"/>
            <w:gridSpan w:val="7"/>
            <w:shd w:val="clear" w:color="auto" w:fill="D9D9D9"/>
          </w:tcPr>
          <w:p w14:paraId="49ABB5B6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sz w:val="20"/>
              </w:rPr>
            </w:pPr>
            <w:r w:rsidRPr="000D7F04">
              <w:rPr>
                <w:rFonts w:eastAsia="Calibri"/>
                <w:b/>
                <w:sz w:val="20"/>
              </w:rPr>
              <w:t>EQ-5D-5L</w:t>
            </w:r>
          </w:p>
        </w:tc>
      </w:tr>
      <w:tr w:rsidR="000D7F04" w:rsidRPr="000D7F04" w14:paraId="6698BE8C" w14:textId="77777777" w:rsidTr="00F56113">
        <w:tc>
          <w:tcPr>
            <w:tcW w:w="1479" w:type="dxa"/>
          </w:tcPr>
          <w:p w14:paraId="12CE5FD4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Index</w:t>
            </w:r>
          </w:p>
        </w:tc>
        <w:tc>
          <w:tcPr>
            <w:tcW w:w="1270" w:type="dxa"/>
          </w:tcPr>
          <w:p w14:paraId="123F03D0" w14:textId="396FE064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0.51 ± 0.31</w:t>
            </w:r>
          </w:p>
          <w:p w14:paraId="1681F41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(n=36)</w:t>
            </w:r>
          </w:p>
        </w:tc>
        <w:tc>
          <w:tcPr>
            <w:tcW w:w="1270" w:type="dxa"/>
          </w:tcPr>
          <w:p w14:paraId="127DF2AC" w14:textId="14001D98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0.63 ± 0.26</w:t>
            </w:r>
          </w:p>
          <w:p w14:paraId="04D35B9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(n=21)</w:t>
            </w:r>
          </w:p>
        </w:tc>
        <w:tc>
          <w:tcPr>
            <w:tcW w:w="1270" w:type="dxa"/>
          </w:tcPr>
          <w:p w14:paraId="3B6CB486" w14:textId="637C0BB6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0.18 ± 0.27</w:t>
            </w:r>
          </w:p>
          <w:p w14:paraId="54565344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(n=20)</w:t>
            </w:r>
          </w:p>
        </w:tc>
        <w:tc>
          <w:tcPr>
            <w:tcW w:w="1268" w:type="dxa"/>
          </w:tcPr>
          <w:p w14:paraId="0EC548B3" w14:textId="28DA2780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0.51 ± 0.2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8</w:t>
            </w:r>
          </w:p>
          <w:p w14:paraId="4182AB3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(n=68)</w:t>
            </w:r>
          </w:p>
        </w:tc>
        <w:tc>
          <w:tcPr>
            <w:tcW w:w="1269" w:type="dxa"/>
          </w:tcPr>
          <w:p w14:paraId="4CEEE23A" w14:textId="542A1FEF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0.67 ± 0.1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  <w:p w14:paraId="036999F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(n=12)</w:t>
            </w:r>
          </w:p>
        </w:tc>
        <w:tc>
          <w:tcPr>
            <w:tcW w:w="1383" w:type="dxa"/>
          </w:tcPr>
          <w:p w14:paraId="0544A334" w14:textId="6F17E3C5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0.13 ± 0.1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8</w:t>
            </w:r>
          </w:p>
          <w:p w14:paraId="3535A8C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(n=12)</w:t>
            </w:r>
          </w:p>
        </w:tc>
      </w:tr>
      <w:tr w:rsidR="000D7F04" w:rsidRPr="000D7F04" w14:paraId="6D90D55C" w14:textId="77777777" w:rsidTr="00F56113">
        <w:tc>
          <w:tcPr>
            <w:tcW w:w="1479" w:type="dxa"/>
          </w:tcPr>
          <w:p w14:paraId="0CD2DC0D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  <w:szCs w:val="20"/>
              </w:rPr>
            </w:pPr>
            <w:r w:rsidRPr="000D7F04">
              <w:rPr>
                <w:rFonts w:eastAsia="Calibri"/>
                <w:sz w:val="20"/>
                <w:szCs w:val="20"/>
              </w:rPr>
              <w:t>EQ-VAS</w:t>
            </w:r>
          </w:p>
        </w:tc>
        <w:tc>
          <w:tcPr>
            <w:tcW w:w="1270" w:type="dxa"/>
          </w:tcPr>
          <w:p w14:paraId="10509460" w14:textId="0289F581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55.4 ± 21.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8</w:t>
            </w:r>
          </w:p>
          <w:p w14:paraId="7E58DC7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(n=34)</w:t>
            </w:r>
          </w:p>
        </w:tc>
        <w:tc>
          <w:tcPr>
            <w:tcW w:w="1270" w:type="dxa"/>
          </w:tcPr>
          <w:p w14:paraId="320DFCBF" w14:textId="019C0FF0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68.7 ± 21.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5</w:t>
            </w:r>
          </w:p>
          <w:p w14:paraId="5DA604A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(n=19)</w:t>
            </w:r>
          </w:p>
        </w:tc>
        <w:tc>
          <w:tcPr>
            <w:tcW w:w="1270" w:type="dxa"/>
          </w:tcPr>
          <w:p w14:paraId="450C54C7" w14:textId="5B1C14E6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20.4 ± 23.7</w:t>
            </w:r>
          </w:p>
          <w:p w14:paraId="051D2A4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(n=17)</w:t>
            </w:r>
          </w:p>
        </w:tc>
        <w:tc>
          <w:tcPr>
            <w:tcW w:w="1268" w:type="dxa"/>
          </w:tcPr>
          <w:p w14:paraId="4AEC241C" w14:textId="5F5A9A8E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52.9 ± 20.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  <w:p w14:paraId="60322E1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(n=65)</w:t>
            </w:r>
          </w:p>
        </w:tc>
        <w:tc>
          <w:tcPr>
            <w:tcW w:w="1269" w:type="dxa"/>
          </w:tcPr>
          <w:p w14:paraId="001F4C74" w14:textId="31E832F9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66.2 ± 20.</w:t>
            </w:r>
            <w:r w:rsidR="00D63855">
              <w:rPr>
                <w:rFonts w:eastAsia="Calibri"/>
                <w:sz w:val="20"/>
                <w:szCs w:val="20"/>
                <w:lang w:eastAsia="en-GB"/>
              </w:rPr>
              <w:t>6</w:t>
            </w:r>
          </w:p>
          <w:p w14:paraId="4BC4A9A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(n=12)</w:t>
            </w:r>
          </w:p>
        </w:tc>
        <w:tc>
          <w:tcPr>
            <w:tcW w:w="1383" w:type="dxa"/>
          </w:tcPr>
          <w:p w14:paraId="52AE19C8" w14:textId="33F837D3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15.0 ± 19.4</w:t>
            </w:r>
          </w:p>
          <w:p w14:paraId="7C1FDDE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(n=12)</w:t>
            </w:r>
          </w:p>
        </w:tc>
      </w:tr>
      <w:tr w:rsidR="000D7F04" w:rsidRPr="000D7F04" w14:paraId="071822B9" w14:textId="77777777" w:rsidTr="00F56113">
        <w:tc>
          <w:tcPr>
            <w:tcW w:w="9209" w:type="dxa"/>
            <w:gridSpan w:val="7"/>
          </w:tcPr>
          <w:p w14:paraId="685620BB" w14:textId="77777777" w:rsidR="000D7F04" w:rsidRPr="000D7F04" w:rsidRDefault="000D7F04" w:rsidP="000D7F04">
            <w:pPr>
              <w:spacing w:before="60"/>
              <w:rPr>
                <w:rFonts w:eastAsia="Calibri"/>
                <w:sz w:val="19"/>
              </w:rPr>
            </w:pPr>
            <w:r w:rsidRPr="000D7F04">
              <w:rPr>
                <w:rFonts w:eastAsia="Calibri"/>
                <w:sz w:val="19"/>
              </w:rPr>
              <w:t>Values are mean ± SD.</w:t>
            </w:r>
          </w:p>
          <w:p w14:paraId="4B329EF1" w14:textId="77777777" w:rsidR="000D7F04" w:rsidRPr="000D7F04" w:rsidRDefault="000D7F04" w:rsidP="000D7F04">
            <w:pPr>
              <w:spacing w:before="60"/>
              <w:rPr>
                <w:rFonts w:eastAsia="Calibri"/>
                <w:sz w:val="19"/>
              </w:rPr>
            </w:pPr>
            <w:proofErr w:type="spellStart"/>
            <w:r w:rsidRPr="000D7F04">
              <w:rPr>
                <w:rFonts w:eastAsia="Calibri"/>
                <w:sz w:val="19"/>
                <w:vertAlign w:val="superscript"/>
              </w:rPr>
              <w:t>a</w:t>
            </w:r>
            <w:r w:rsidRPr="000D7F04">
              <w:rPr>
                <w:rFonts w:eastAsia="Calibri"/>
                <w:sz w:val="19"/>
              </w:rPr>
              <w:t>One</w:t>
            </w:r>
            <w:proofErr w:type="spellEnd"/>
            <w:r w:rsidRPr="000D7F04">
              <w:rPr>
                <w:rFonts w:eastAsia="Calibri"/>
                <w:sz w:val="19"/>
              </w:rPr>
              <w:t xml:space="preserve"> centre reported plasma PTH levels.</w:t>
            </w:r>
          </w:p>
          <w:p w14:paraId="70086ACD" w14:textId="77777777" w:rsidR="000D7F04" w:rsidRPr="000D7F04" w:rsidRDefault="000D7F04" w:rsidP="000D7F04">
            <w:pPr>
              <w:spacing w:before="60"/>
              <w:rPr>
                <w:rFonts w:eastAsia="Calibri"/>
                <w:sz w:val="19"/>
              </w:rPr>
            </w:pPr>
            <w:r w:rsidRPr="000D7F04">
              <w:rPr>
                <w:rFonts w:eastAsia="Calibri"/>
                <w:sz w:val="19"/>
              </w:rPr>
              <w:lastRenderedPageBreak/>
              <w:t>Mean change from baseline did not different significantly between the two groups (unpaired t test; p&lt;0.05 considered significant).</w:t>
            </w:r>
          </w:p>
          <w:p w14:paraId="2BC054A4" w14:textId="77777777" w:rsidR="0037793F" w:rsidRPr="000D7F04" w:rsidRDefault="0037793F" w:rsidP="0037793F">
            <w:pPr>
              <w:spacing w:before="60"/>
              <w:rPr>
                <w:rFonts w:eastAsia="Calibri"/>
                <w:sz w:val="19"/>
              </w:rPr>
            </w:pPr>
            <w:r w:rsidRPr="0037793F">
              <w:rPr>
                <w:rFonts w:eastAsia="Calibri"/>
                <w:sz w:val="19"/>
              </w:rPr>
              <w:t>The BPI-SF uses a numerical rating scale from 0 (no pain) to 10 (maximum pain/pain severity/pain interference).</w:t>
            </w:r>
            <w:r w:rsidRPr="0037793F">
              <w:rPr>
                <w:rFonts w:eastAsia="Calibri"/>
                <w:sz w:val="19"/>
                <w:vertAlign w:val="superscript"/>
              </w:rPr>
              <w:t>31</w:t>
            </w:r>
            <w:r w:rsidRPr="0037793F">
              <w:rPr>
                <w:rFonts w:eastAsia="Calibri"/>
                <w:sz w:val="19"/>
              </w:rPr>
              <w:t xml:space="preserve"> Worse Pain, Pain Severity and Pain Interference comprise one, four and seven items, respectively. The reference period is 24 hours. WOMAC comprises 24 items (5 for pain; 2 for stiffness; 17 for Physical Function) and a total score.</w:t>
            </w:r>
            <w:r w:rsidRPr="0037793F">
              <w:rPr>
                <w:rFonts w:eastAsia="Calibri"/>
                <w:sz w:val="19"/>
                <w:vertAlign w:val="superscript"/>
              </w:rPr>
              <w:t>30</w:t>
            </w:r>
            <w:r w:rsidRPr="0037793F">
              <w:rPr>
                <w:rFonts w:eastAsia="Calibri"/>
                <w:sz w:val="19"/>
              </w:rPr>
              <w:t xml:space="preserve"> Each item is scored on a 5-point scale (none, mild, moderate, severe, extreme). The reference period is 48 hours. The EQ-5D-5L comprises five domain scores (mobility, self-care, usual activities, pain/discomfort, anxiety/depression), which are used to determine a utility score.</w:t>
            </w:r>
            <w:r w:rsidRPr="0037793F">
              <w:rPr>
                <w:rFonts w:eastAsia="Calibri"/>
                <w:sz w:val="19"/>
                <w:vertAlign w:val="superscript"/>
              </w:rPr>
              <w:t>32</w:t>
            </w:r>
            <w:r w:rsidRPr="0037793F">
              <w:rPr>
                <w:rFonts w:eastAsia="Calibri"/>
                <w:sz w:val="19"/>
              </w:rPr>
              <w:t xml:space="preserve"> Current health status is scored on a 0–100 visual analogue scale (the EQ-VAS). The reference period is today.</w:t>
            </w:r>
            <w:r w:rsidRPr="000D7F04">
              <w:rPr>
                <w:rFonts w:eastAsia="Calibri"/>
                <w:sz w:val="19"/>
              </w:rPr>
              <w:t xml:space="preserve"> </w:t>
            </w:r>
          </w:p>
          <w:p w14:paraId="3630BEE5" w14:textId="77777777" w:rsidR="000D7F04" w:rsidRPr="000D7F04" w:rsidRDefault="000D7F04" w:rsidP="000D7F04">
            <w:pPr>
              <w:spacing w:before="60"/>
              <w:rPr>
                <w:rFonts w:eastAsia="Calibri"/>
                <w:sz w:val="19"/>
              </w:rPr>
            </w:pPr>
            <w:r w:rsidRPr="000D7F04">
              <w:rPr>
                <w:rFonts w:eastAsia="Calibri"/>
                <w:sz w:val="19"/>
              </w:rPr>
              <w:t>ALP, alkaline phosphatase; BL, baseline; BPI-SF, Brief Pain Inventory short-form; EQ-5D-5L, EuroQol five-dimension, five-level; EQ-VAS, EuroQol visual analogue scale; PTH, parathyroid hormone; SD, standard deviation; WOMAC, Western Ontario McMaster Universities Osteoarthritis Index</w:t>
            </w:r>
          </w:p>
        </w:tc>
      </w:tr>
    </w:tbl>
    <w:p w14:paraId="43F8CA48" w14:textId="77777777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bookmarkStart w:id="5" w:name="_Ref175747843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lastRenderedPageBreak/>
        <w:br w:type="page"/>
      </w:r>
    </w:p>
    <w:p w14:paraId="3A74F30A" w14:textId="5C8DFB15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lastRenderedPageBreak/>
        <w:t xml:space="preserve">Supplementary Table </w:t>
      </w:r>
      <w:bookmarkEnd w:id="5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S6</w:t>
      </w:r>
      <w:r w:rsidR="005653F7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 </w:t>
      </w:r>
      <w:bookmarkStart w:id="6" w:name="_Toc175665493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Pain medication use in burosumab-naïve patients during burosumab treatment</w:t>
      </w:r>
      <w:bookmarkEnd w:id="6"/>
    </w:p>
    <w:tbl>
      <w:tblPr>
        <w:tblStyle w:val="KKIESRreporttables"/>
        <w:tblW w:w="9460" w:type="dxa"/>
        <w:tblLook w:val="04A0" w:firstRow="1" w:lastRow="0" w:firstColumn="1" w:lastColumn="0" w:noHBand="0" w:noVBand="1"/>
      </w:tblPr>
      <w:tblGrid>
        <w:gridCol w:w="1977"/>
        <w:gridCol w:w="1985"/>
        <w:gridCol w:w="1371"/>
        <w:gridCol w:w="1463"/>
        <w:gridCol w:w="1281"/>
        <w:gridCol w:w="11"/>
        <w:gridCol w:w="1361"/>
        <w:gridCol w:w="11"/>
      </w:tblGrid>
      <w:tr w:rsidR="000D7F04" w:rsidRPr="000D7F04" w14:paraId="09E74E49" w14:textId="77777777" w:rsidTr="00E27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3962" w:type="dxa"/>
            <w:gridSpan w:val="2"/>
            <w:vMerge w:val="restart"/>
            <w:shd w:val="clear" w:color="auto" w:fill="auto"/>
          </w:tcPr>
          <w:p w14:paraId="339C9A07" w14:textId="77777777" w:rsidR="000D7F04" w:rsidRPr="000D7F04" w:rsidRDefault="000D7F04" w:rsidP="000D7F04">
            <w:pPr>
              <w:rPr>
                <w:rFonts w:ascii="Calibri" w:eastAsia="Calibri" w:hAnsi="Calibri"/>
              </w:rPr>
            </w:pPr>
          </w:p>
        </w:tc>
        <w:tc>
          <w:tcPr>
            <w:tcW w:w="5498" w:type="dxa"/>
            <w:gridSpan w:val="6"/>
            <w:shd w:val="clear" w:color="auto" w:fill="A6A6A6" w:themeFill="background1" w:themeFillShade="A6"/>
          </w:tcPr>
          <w:p w14:paraId="19CDDEC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Duration of burosumab treatment (months)</w:t>
            </w:r>
          </w:p>
        </w:tc>
      </w:tr>
      <w:tr w:rsidR="000D7F04" w:rsidRPr="000D7F04" w14:paraId="4CCD95E9" w14:textId="77777777" w:rsidTr="000D7F04">
        <w:trPr>
          <w:trHeight w:val="340"/>
        </w:trPr>
        <w:tc>
          <w:tcPr>
            <w:tcW w:w="3962" w:type="dxa"/>
            <w:gridSpan w:val="2"/>
            <w:vMerge/>
            <w:shd w:val="clear" w:color="auto" w:fill="A6A6A6"/>
          </w:tcPr>
          <w:p w14:paraId="09B2F487" w14:textId="77777777" w:rsidR="000D7F04" w:rsidRPr="000D7F04" w:rsidRDefault="000D7F04" w:rsidP="000D7F04">
            <w:pPr>
              <w:rPr>
                <w:rFonts w:ascii="Calibri" w:eastAsia="Calibri" w:hAnsi="Calibri"/>
              </w:rPr>
            </w:pPr>
          </w:p>
        </w:tc>
        <w:tc>
          <w:tcPr>
            <w:tcW w:w="1371" w:type="dxa"/>
            <w:shd w:val="clear" w:color="auto" w:fill="A6A6A6"/>
          </w:tcPr>
          <w:p w14:paraId="315BA6C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Baseline</w:t>
            </w:r>
          </w:p>
        </w:tc>
        <w:tc>
          <w:tcPr>
            <w:tcW w:w="1463" w:type="dxa"/>
            <w:shd w:val="clear" w:color="auto" w:fill="A6A6A6"/>
          </w:tcPr>
          <w:p w14:paraId="2418E713" w14:textId="5FF55EE9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6</w:t>
            </w:r>
            <w:r w:rsidR="00E27F28">
              <w:rPr>
                <w:rFonts w:ascii="Calibri" w:eastAsia="Calibri" w:hAnsi="Calibri"/>
                <w:b/>
              </w:rPr>
              <w:t xml:space="preserve"> months</w:t>
            </w:r>
          </w:p>
        </w:tc>
        <w:tc>
          <w:tcPr>
            <w:tcW w:w="1292" w:type="dxa"/>
            <w:gridSpan w:val="2"/>
            <w:shd w:val="clear" w:color="auto" w:fill="A6A6A6"/>
          </w:tcPr>
          <w:p w14:paraId="6A6576C7" w14:textId="6B89BFC0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12</w:t>
            </w:r>
            <w:r w:rsidR="00E27F28">
              <w:rPr>
                <w:rFonts w:ascii="Calibri" w:eastAsia="Calibri" w:hAnsi="Calibri"/>
                <w:b/>
              </w:rPr>
              <w:t xml:space="preserve"> months</w:t>
            </w:r>
          </w:p>
        </w:tc>
        <w:tc>
          <w:tcPr>
            <w:tcW w:w="1372" w:type="dxa"/>
            <w:gridSpan w:val="2"/>
            <w:shd w:val="clear" w:color="auto" w:fill="A6A6A6"/>
          </w:tcPr>
          <w:p w14:paraId="518A96F2" w14:textId="09E2C001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18</w:t>
            </w:r>
            <w:r w:rsidR="00E27F28">
              <w:rPr>
                <w:rFonts w:ascii="Calibri" w:eastAsia="Calibri" w:hAnsi="Calibri"/>
                <w:b/>
              </w:rPr>
              <w:t xml:space="preserve"> months</w:t>
            </w:r>
          </w:p>
        </w:tc>
      </w:tr>
      <w:tr w:rsidR="000D7F04" w:rsidRPr="000D7F04" w14:paraId="7166820B" w14:textId="77777777" w:rsidTr="000D7F04">
        <w:trPr>
          <w:trHeight w:val="340"/>
        </w:trPr>
        <w:tc>
          <w:tcPr>
            <w:tcW w:w="3962" w:type="dxa"/>
            <w:gridSpan w:val="2"/>
            <w:shd w:val="clear" w:color="auto" w:fill="FFFFFF"/>
          </w:tcPr>
          <w:p w14:paraId="05FCD6E0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</w:t>
            </w:r>
          </w:p>
        </w:tc>
        <w:tc>
          <w:tcPr>
            <w:tcW w:w="1371" w:type="dxa"/>
            <w:shd w:val="clear" w:color="auto" w:fill="FFFFFF"/>
            <w:vAlign w:val="bottom"/>
          </w:tcPr>
          <w:p w14:paraId="4FCC10F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134</w:t>
            </w:r>
          </w:p>
        </w:tc>
        <w:tc>
          <w:tcPr>
            <w:tcW w:w="1463" w:type="dxa"/>
            <w:shd w:val="clear" w:color="auto" w:fill="FFFFFF"/>
            <w:vAlign w:val="bottom"/>
          </w:tcPr>
          <w:p w14:paraId="62B29E8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67</w:t>
            </w:r>
          </w:p>
        </w:tc>
        <w:tc>
          <w:tcPr>
            <w:tcW w:w="1292" w:type="dxa"/>
            <w:gridSpan w:val="2"/>
            <w:shd w:val="clear" w:color="auto" w:fill="FFFFFF"/>
            <w:vAlign w:val="bottom"/>
          </w:tcPr>
          <w:p w14:paraId="79797F7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55</w:t>
            </w:r>
          </w:p>
        </w:tc>
        <w:tc>
          <w:tcPr>
            <w:tcW w:w="1372" w:type="dxa"/>
            <w:gridSpan w:val="2"/>
            <w:shd w:val="clear" w:color="auto" w:fill="FFFFFF"/>
            <w:vAlign w:val="bottom"/>
          </w:tcPr>
          <w:p w14:paraId="451C7FF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45</w:t>
            </w:r>
          </w:p>
        </w:tc>
      </w:tr>
      <w:tr w:rsidR="000D7F04" w:rsidRPr="000D7F04" w14:paraId="07170866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 w:val="restart"/>
          </w:tcPr>
          <w:p w14:paraId="0497D33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 xml:space="preserve">Currently taking pain </w:t>
            </w:r>
            <w:proofErr w:type="spellStart"/>
            <w:r w:rsidRPr="000D7F04">
              <w:rPr>
                <w:rFonts w:ascii="Calibri" w:eastAsia="Calibri" w:hAnsi="Calibri"/>
              </w:rPr>
              <w:t>medication</w:t>
            </w:r>
            <w:r w:rsidRPr="000D7F04">
              <w:rPr>
                <w:rFonts w:ascii="Calibri" w:eastAsia="Calibri" w:hAnsi="Calibri"/>
                <w:vertAlign w:val="superscript"/>
              </w:rPr>
              <w:t>a</w:t>
            </w:r>
            <w:proofErr w:type="spellEnd"/>
          </w:p>
        </w:tc>
        <w:tc>
          <w:tcPr>
            <w:tcW w:w="1985" w:type="dxa"/>
            <w:vAlign w:val="bottom"/>
          </w:tcPr>
          <w:p w14:paraId="4F8F8CB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No</w:t>
            </w:r>
          </w:p>
        </w:tc>
        <w:tc>
          <w:tcPr>
            <w:tcW w:w="1371" w:type="dxa"/>
            <w:vAlign w:val="bottom"/>
          </w:tcPr>
          <w:p w14:paraId="51166C9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30 (22.4)</w:t>
            </w:r>
          </w:p>
        </w:tc>
        <w:tc>
          <w:tcPr>
            <w:tcW w:w="1463" w:type="dxa"/>
            <w:vAlign w:val="bottom"/>
          </w:tcPr>
          <w:p w14:paraId="6450154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 (19.4)</w:t>
            </w:r>
          </w:p>
        </w:tc>
        <w:tc>
          <w:tcPr>
            <w:tcW w:w="1281" w:type="dxa"/>
            <w:vAlign w:val="bottom"/>
          </w:tcPr>
          <w:p w14:paraId="6F4DF2E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 (20.0)</w:t>
            </w:r>
          </w:p>
        </w:tc>
        <w:tc>
          <w:tcPr>
            <w:tcW w:w="1372" w:type="dxa"/>
            <w:gridSpan w:val="2"/>
            <w:vAlign w:val="bottom"/>
          </w:tcPr>
          <w:p w14:paraId="1C6C702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 (20.0)</w:t>
            </w:r>
          </w:p>
        </w:tc>
      </w:tr>
      <w:tr w:rsidR="000D7F04" w:rsidRPr="000D7F04" w14:paraId="4BDDF59D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19A9D31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2313453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Not known/reported</w:t>
            </w:r>
          </w:p>
        </w:tc>
        <w:tc>
          <w:tcPr>
            <w:tcW w:w="1371" w:type="dxa"/>
            <w:vAlign w:val="bottom"/>
          </w:tcPr>
          <w:p w14:paraId="3553032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27 (20.1)</w:t>
            </w:r>
          </w:p>
        </w:tc>
        <w:tc>
          <w:tcPr>
            <w:tcW w:w="1463" w:type="dxa"/>
            <w:vAlign w:val="bottom"/>
          </w:tcPr>
          <w:p w14:paraId="4CABF30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24 (35.8)</w:t>
            </w:r>
          </w:p>
        </w:tc>
        <w:tc>
          <w:tcPr>
            <w:tcW w:w="1281" w:type="dxa"/>
            <w:vAlign w:val="bottom"/>
          </w:tcPr>
          <w:p w14:paraId="7B9694C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 (23.6)</w:t>
            </w:r>
          </w:p>
        </w:tc>
        <w:tc>
          <w:tcPr>
            <w:tcW w:w="1372" w:type="dxa"/>
            <w:gridSpan w:val="2"/>
            <w:vAlign w:val="bottom"/>
          </w:tcPr>
          <w:p w14:paraId="5AD581B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 (20.0)</w:t>
            </w:r>
          </w:p>
        </w:tc>
      </w:tr>
      <w:tr w:rsidR="000D7F04" w:rsidRPr="000D7F04" w14:paraId="7DFBBFED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1D24615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17B780F4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Yes</w:t>
            </w:r>
          </w:p>
        </w:tc>
        <w:tc>
          <w:tcPr>
            <w:tcW w:w="1371" w:type="dxa"/>
            <w:vAlign w:val="bottom"/>
          </w:tcPr>
          <w:p w14:paraId="75DAE08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77 (57.5)</w:t>
            </w:r>
          </w:p>
        </w:tc>
        <w:tc>
          <w:tcPr>
            <w:tcW w:w="1463" w:type="dxa"/>
            <w:vAlign w:val="bottom"/>
          </w:tcPr>
          <w:p w14:paraId="68E3F38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30 (44.8)</w:t>
            </w:r>
          </w:p>
        </w:tc>
        <w:tc>
          <w:tcPr>
            <w:tcW w:w="1281" w:type="dxa"/>
            <w:vAlign w:val="bottom"/>
          </w:tcPr>
          <w:p w14:paraId="0C03731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31 (56.4)</w:t>
            </w:r>
          </w:p>
        </w:tc>
        <w:tc>
          <w:tcPr>
            <w:tcW w:w="1372" w:type="dxa"/>
            <w:gridSpan w:val="2"/>
            <w:vAlign w:val="bottom"/>
          </w:tcPr>
          <w:p w14:paraId="7B621CE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27 (60.0)</w:t>
            </w:r>
          </w:p>
        </w:tc>
      </w:tr>
      <w:tr w:rsidR="000D7F04" w:rsidRPr="000D7F04" w14:paraId="533CD89D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 w:val="restart"/>
          </w:tcPr>
          <w:p w14:paraId="3DFEEA9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Currently taking opioids</w:t>
            </w:r>
          </w:p>
        </w:tc>
        <w:tc>
          <w:tcPr>
            <w:tcW w:w="1985" w:type="dxa"/>
            <w:vAlign w:val="bottom"/>
          </w:tcPr>
          <w:p w14:paraId="777AC10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No</w:t>
            </w:r>
          </w:p>
        </w:tc>
        <w:tc>
          <w:tcPr>
            <w:tcW w:w="1371" w:type="dxa"/>
            <w:vAlign w:val="bottom"/>
          </w:tcPr>
          <w:p w14:paraId="3B4C146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42 (31.3)</w:t>
            </w:r>
          </w:p>
        </w:tc>
        <w:tc>
          <w:tcPr>
            <w:tcW w:w="1463" w:type="dxa"/>
            <w:vAlign w:val="bottom"/>
          </w:tcPr>
          <w:p w14:paraId="70B71B1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18 (26.9)</w:t>
            </w:r>
          </w:p>
        </w:tc>
        <w:tc>
          <w:tcPr>
            <w:tcW w:w="1281" w:type="dxa"/>
            <w:vAlign w:val="bottom"/>
          </w:tcPr>
          <w:p w14:paraId="3B9633B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16 (29.1)</w:t>
            </w:r>
          </w:p>
        </w:tc>
        <w:tc>
          <w:tcPr>
            <w:tcW w:w="1372" w:type="dxa"/>
            <w:gridSpan w:val="2"/>
            <w:vAlign w:val="bottom"/>
          </w:tcPr>
          <w:p w14:paraId="0C4BCE7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16 (35.6)</w:t>
            </w:r>
          </w:p>
        </w:tc>
      </w:tr>
      <w:tr w:rsidR="000D7F04" w:rsidRPr="000D7F04" w14:paraId="333DCF25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604EE50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4DB4861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Not known/reported</w:t>
            </w:r>
          </w:p>
        </w:tc>
        <w:tc>
          <w:tcPr>
            <w:tcW w:w="1371" w:type="dxa"/>
            <w:vAlign w:val="bottom"/>
          </w:tcPr>
          <w:p w14:paraId="2189370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 (3.7)</w:t>
            </w:r>
          </w:p>
        </w:tc>
        <w:tc>
          <w:tcPr>
            <w:tcW w:w="1463" w:type="dxa"/>
            <w:vAlign w:val="bottom"/>
          </w:tcPr>
          <w:p w14:paraId="281138D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 (3.0)</w:t>
            </w:r>
          </w:p>
        </w:tc>
        <w:tc>
          <w:tcPr>
            <w:tcW w:w="1281" w:type="dxa"/>
            <w:vAlign w:val="bottom"/>
          </w:tcPr>
          <w:p w14:paraId="37BDC75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 (3.6)</w:t>
            </w:r>
          </w:p>
        </w:tc>
        <w:tc>
          <w:tcPr>
            <w:tcW w:w="1372" w:type="dxa"/>
            <w:gridSpan w:val="2"/>
            <w:vAlign w:val="bottom"/>
          </w:tcPr>
          <w:p w14:paraId="0695933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 (4.4)</w:t>
            </w:r>
          </w:p>
        </w:tc>
      </w:tr>
      <w:tr w:rsidR="000D7F04" w:rsidRPr="000D7F04" w14:paraId="64C28032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6540855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7747948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Yes</w:t>
            </w:r>
          </w:p>
        </w:tc>
        <w:tc>
          <w:tcPr>
            <w:tcW w:w="1371" w:type="dxa"/>
            <w:vAlign w:val="bottom"/>
          </w:tcPr>
          <w:p w14:paraId="101A9F1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30 (22.4)</w:t>
            </w:r>
          </w:p>
        </w:tc>
        <w:tc>
          <w:tcPr>
            <w:tcW w:w="1463" w:type="dxa"/>
            <w:vAlign w:val="bottom"/>
          </w:tcPr>
          <w:p w14:paraId="685531B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 (14.9)</w:t>
            </w:r>
          </w:p>
        </w:tc>
        <w:tc>
          <w:tcPr>
            <w:tcW w:w="1281" w:type="dxa"/>
            <w:vAlign w:val="bottom"/>
          </w:tcPr>
          <w:p w14:paraId="2760C12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 (23.6)</w:t>
            </w:r>
          </w:p>
        </w:tc>
        <w:tc>
          <w:tcPr>
            <w:tcW w:w="1372" w:type="dxa"/>
            <w:gridSpan w:val="2"/>
            <w:vAlign w:val="bottom"/>
          </w:tcPr>
          <w:p w14:paraId="45DDB05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 (20.0)</w:t>
            </w:r>
          </w:p>
        </w:tc>
      </w:tr>
      <w:tr w:rsidR="000D7F04" w:rsidRPr="000D7F04" w14:paraId="77243E30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 w:val="restart"/>
          </w:tcPr>
          <w:p w14:paraId="14BCFDC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Change in opioid use since previous visit</w:t>
            </w:r>
          </w:p>
        </w:tc>
        <w:tc>
          <w:tcPr>
            <w:tcW w:w="1985" w:type="dxa"/>
            <w:vAlign w:val="bottom"/>
          </w:tcPr>
          <w:p w14:paraId="31602ED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Decrease</w:t>
            </w:r>
          </w:p>
        </w:tc>
        <w:tc>
          <w:tcPr>
            <w:tcW w:w="1371" w:type="dxa"/>
            <w:vAlign w:val="bottom"/>
          </w:tcPr>
          <w:p w14:paraId="51F25B8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–</w:t>
            </w:r>
          </w:p>
        </w:tc>
        <w:tc>
          <w:tcPr>
            <w:tcW w:w="1463" w:type="dxa"/>
            <w:vAlign w:val="bottom"/>
          </w:tcPr>
          <w:p w14:paraId="59AF21D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81" w:type="dxa"/>
            <w:vAlign w:val="bottom"/>
          </w:tcPr>
          <w:p w14:paraId="2EB1107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 (5.5)</w:t>
            </w:r>
          </w:p>
        </w:tc>
        <w:tc>
          <w:tcPr>
            <w:tcW w:w="1372" w:type="dxa"/>
            <w:gridSpan w:val="2"/>
            <w:vAlign w:val="bottom"/>
          </w:tcPr>
          <w:p w14:paraId="59D262C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 (2.2)</w:t>
            </w:r>
          </w:p>
        </w:tc>
      </w:tr>
      <w:tr w:rsidR="000D7F04" w:rsidRPr="000D7F04" w14:paraId="46A972C0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4472A5B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7D4CDF2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Increase</w:t>
            </w:r>
          </w:p>
        </w:tc>
        <w:tc>
          <w:tcPr>
            <w:tcW w:w="1371" w:type="dxa"/>
          </w:tcPr>
          <w:p w14:paraId="0919F4C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–</w:t>
            </w:r>
          </w:p>
        </w:tc>
        <w:tc>
          <w:tcPr>
            <w:tcW w:w="1463" w:type="dxa"/>
            <w:vAlign w:val="bottom"/>
          </w:tcPr>
          <w:p w14:paraId="43D0117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 (4.5)</w:t>
            </w:r>
          </w:p>
        </w:tc>
        <w:tc>
          <w:tcPr>
            <w:tcW w:w="1281" w:type="dxa"/>
            <w:vAlign w:val="bottom"/>
          </w:tcPr>
          <w:p w14:paraId="203BE62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 (3.6)</w:t>
            </w:r>
          </w:p>
        </w:tc>
        <w:tc>
          <w:tcPr>
            <w:tcW w:w="1372" w:type="dxa"/>
            <w:gridSpan w:val="2"/>
            <w:vAlign w:val="bottom"/>
          </w:tcPr>
          <w:p w14:paraId="34F8C4F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 (2.2)</w:t>
            </w:r>
          </w:p>
        </w:tc>
      </w:tr>
      <w:tr w:rsidR="000D7F04" w:rsidRPr="000D7F04" w14:paraId="54E77462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6DA417F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4B389EB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No change</w:t>
            </w:r>
          </w:p>
        </w:tc>
        <w:tc>
          <w:tcPr>
            <w:tcW w:w="1371" w:type="dxa"/>
          </w:tcPr>
          <w:p w14:paraId="562CFA9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–</w:t>
            </w:r>
          </w:p>
        </w:tc>
        <w:tc>
          <w:tcPr>
            <w:tcW w:w="1463" w:type="dxa"/>
            <w:vAlign w:val="bottom"/>
          </w:tcPr>
          <w:p w14:paraId="16964A3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33 (49.3)</w:t>
            </w:r>
          </w:p>
        </w:tc>
        <w:tc>
          <w:tcPr>
            <w:tcW w:w="1281" w:type="dxa"/>
            <w:vAlign w:val="bottom"/>
          </w:tcPr>
          <w:p w14:paraId="1EAA3E9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24 (43.6)</w:t>
            </w:r>
          </w:p>
        </w:tc>
        <w:tc>
          <w:tcPr>
            <w:tcW w:w="1372" w:type="dxa"/>
            <w:gridSpan w:val="2"/>
            <w:vAlign w:val="bottom"/>
          </w:tcPr>
          <w:p w14:paraId="0430883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23 (51.1)</w:t>
            </w:r>
          </w:p>
        </w:tc>
      </w:tr>
      <w:tr w:rsidR="000D7F04" w:rsidRPr="000D7F04" w14:paraId="05273CA5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4E68C6D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24A10DE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Stopped</w:t>
            </w:r>
          </w:p>
        </w:tc>
        <w:tc>
          <w:tcPr>
            <w:tcW w:w="1371" w:type="dxa"/>
          </w:tcPr>
          <w:p w14:paraId="519E608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–</w:t>
            </w:r>
          </w:p>
        </w:tc>
        <w:tc>
          <w:tcPr>
            <w:tcW w:w="1463" w:type="dxa"/>
            <w:vAlign w:val="bottom"/>
          </w:tcPr>
          <w:p w14:paraId="43EA1B8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81" w:type="dxa"/>
            <w:vAlign w:val="bottom"/>
          </w:tcPr>
          <w:p w14:paraId="072F910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 (1.8)</w:t>
            </w:r>
          </w:p>
        </w:tc>
        <w:tc>
          <w:tcPr>
            <w:tcW w:w="1372" w:type="dxa"/>
            <w:gridSpan w:val="2"/>
            <w:vAlign w:val="bottom"/>
          </w:tcPr>
          <w:p w14:paraId="46DC1BE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42BAA8B3" w14:textId="77777777" w:rsidTr="00F56113">
        <w:trPr>
          <w:gridAfter w:val="1"/>
          <w:wAfter w:w="11" w:type="dxa"/>
          <w:trHeight w:val="340"/>
        </w:trPr>
        <w:tc>
          <w:tcPr>
            <w:tcW w:w="1977" w:type="dxa"/>
            <w:vMerge/>
          </w:tcPr>
          <w:p w14:paraId="4D4E439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vAlign w:val="bottom"/>
          </w:tcPr>
          <w:p w14:paraId="4E847DF4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Not known/reported</w:t>
            </w:r>
          </w:p>
        </w:tc>
        <w:tc>
          <w:tcPr>
            <w:tcW w:w="1371" w:type="dxa"/>
          </w:tcPr>
          <w:p w14:paraId="4BE0E20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–</w:t>
            </w:r>
          </w:p>
        </w:tc>
        <w:tc>
          <w:tcPr>
            <w:tcW w:w="1463" w:type="dxa"/>
            <w:vAlign w:val="bottom"/>
          </w:tcPr>
          <w:p w14:paraId="0D4B8E4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31 (46.3)</w:t>
            </w:r>
          </w:p>
        </w:tc>
        <w:tc>
          <w:tcPr>
            <w:tcW w:w="1281" w:type="dxa"/>
            <w:vAlign w:val="bottom"/>
          </w:tcPr>
          <w:p w14:paraId="269DA63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24 (43.6)</w:t>
            </w:r>
          </w:p>
        </w:tc>
        <w:tc>
          <w:tcPr>
            <w:tcW w:w="1372" w:type="dxa"/>
            <w:gridSpan w:val="2"/>
            <w:vAlign w:val="bottom"/>
          </w:tcPr>
          <w:p w14:paraId="08FF3C5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20 (44.4)</w:t>
            </w:r>
          </w:p>
        </w:tc>
      </w:tr>
      <w:tr w:rsidR="000D7F04" w:rsidRPr="000D7F04" w14:paraId="47058694" w14:textId="77777777" w:rsidTr="00F56113">
        <w:trPr>
          <w:trHeight w:val="340"/>
        </w:trPr>
        <w:tc>
          <w:tcPr>
            <w:tcW w:w="9460" w:type="dxa"/>
            <w:gridSpan w:val="8"/>
          </w:tcPr>
          <w:p w14:paraId="0DE6C5B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sz w:val="19"/>
              </w:rPr>
            </w:pPr>
            <w:r w:rsidRPr="000D7F04">
              <w:rPr>
                <w:rFonts w:ascii="Calibri" w:eastAsia="Calibri" w:hAnsi="Calibri"/>
                <w:sz w:val="19"/>
              </w:rPr>
              <w:t>Values are n (%).</w:t>
            </w:r>
          </w:p>
          <w:p w14:paraId="693C3D3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  <w:sz w:val="19"/>
              </w:rPr>
            </w:pPr>
            <w:proofErr w:type="spellStart"/>
            <w:r w:rsidRPr="000D7F04">
              <w:rPr>
                <w:rFonts w:ascii="Calibri" w:eastAsia="Calibri" w:hAnsi="Calibri"/>
                <w:sz w:val="19"/>
                <w:vertAlign w:val="superscript"/>
              </w:rPr>
              <w:t>a</w:t>
            </w:r>
            <w:r w:rsidRPr="000D7F04">
              <w:rPr>
                <w:rFonts w:ascii="Calibri" w:eastAsia="Calibri" w:hAnsi="Calibri"/>
                <w:sz w:val="19"/>
              </w:rPr>
              <w:t>Includes</w:t>
            </w:r>
            <w:proofErr w:type="spellEnd"/>
            <w:r w:rsidRPr="000D7F04">
              <w:rPr>
                <w:rFonts w:ascii="Calibri" w:eastAsia="Calibri" w:hAnsi="Calibri"/>
                <w:sz w:val="19"/>
              </w:rPr>
              <w:t xml:space="preserve"> opioid and non-opioid pain medication.</w:t>
            </w:r>
          </w:p>
        </w:tc>
      </w:tr>
    </w:tbl>
    <w:p w14:paraId="3A08B18F" w14:textId="77777777" w:rsidR="000D7F04" w:rsidRPr="000D7F04" w:rsidRDefault="000D7F04" w:rsidP="000D7F04">
      <w:pPr>
        <w:spacing w:after="200" w:line="276" w:lineRule="auto"/>
        <w:rPr>
          <w:rFonts w:ascii="Calibri" w:eastAsia="Calibri" w:hAnsi="Calibri" w:cs="Calibri"/>
        </w:rPr>
      </w:pPr>
    </w:p>
    <w:p w14:paraId="7A9093F6" w14:textId="08ECFF55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bookmarkStart w:id="7" w:name="_Ref181704970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Supplementary Table </w:t>
      </w:r>
      <w:bookmarkEnd w:id="7"/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S7</w:t>
      </w:r>
      <w:r w:rsidR="005653F7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Safety events by system organ class in the full analysis set for the duration of the Early Access Programme</w:t>
      </w:r>
    </w:p>
    <w:tbl>
      <w:tblPr>
        <w:tblStyle w:val="KKIESRreporttables"/>
        <w:tblW w:w="8390" w:type="dxa"/>
        <w:tblLayout w:type="fixed"/>
        <w:tblLook w:val="04A0" w:firstRow="1" w:lastRow="0" w:firstColumn="1" w:lastColumn="0" w:noHBand="0" w:noVBand="1"/>
      </w:tblPr>
      <w:tblGrid>
        <w:gridCol w:w="3678"/>
        <w:gridCol w:w="992"/>
        <w:gridCol w:w="1240"/>
        <w:gridCol w:w="1240"/>
        <w:gridCol w:w="1240"/>
      </w:tblGrid>
      <w:tr w:rsidR="000D7F04" w:rsidRPr="000D7F04" w14:paraId="6FD83671" w14:textId="77777777" w:rsidTr="000D7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3678" w:type="dxa"/>
            <w:vMerge w:val="restart"/>
            <w:noWrap/>
          </w:tcPr>
          <w:p w14:paraId="17893C7B" w14:textId="77777777" w:rsidR="000D7F04" w:rsidRPr="000D7F04" w:rsidRDefault="000D7F04" w:rsidP="000D7F04">
            <w:pPr>
              <w:keepNext/>
              <w:spacing w:before="60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System organ class/safety event</w:t>
            </w:r>
          </w:p>
        </w:tc>
        <w:tc>
          <w:tcPr>
            <w:tcW w:w="992" w:type="dxa"/>
            <w:vMerge w:val="restart"/>
          </w:tcPr>
          <w:p w14:paraId="06E1F4C2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Total</w:t>
            </w:r>
          </w:p>
        </w:tc>
        <w:tc>
          <w:tcPr>
            <w:tcW w:w="3720" w:type="dxa"/>
            <w:gridSpan w:val="3"/>
            <w:noWrap/>
          </w:tcPr>
          <w:p w14:paraId="25776130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  <w:b/>
                <w:sz w:val="20"/>
              </w:rPr>
            </w:pPr>
            <w:r w:rsidRPr="000D7F04">
              <w:rPr>
                <w:rFonts w:ascii="Calibri" w:eastAsia="Calibri" w:hAnsi="Calibri"/>
                <w:b/>
                <w:sz w:val="20"/>
              </w:rPr>
              <w:t>Relationship to burosumab</w:t>
            </w:r>
          </w:p>
        </w:tc>
      </w:tr>
      <w:tr w:rsidR="000D7F04" w:rsidRPr="000D7F04" w14:paraId="0644226C" w14:textId="77777777" w:rsidTr="000D7F04">
        <w:trPr>
          <w:trHeight w:val="300"/>
        </w:trPr>
        <w:tc>
          <w:tcPr>
            <w:tcW w:w="3678" w:type="dxa"/>
            <w:vMerge/>
            <w:noWrap/>
          </w:tcPr>
          <w:p w14:paraId="54AD7C3E" w14:textId="77777777" w:rsidR="000D7F04" w:rsidRPr="000D7F04" w:rsidRDefault="000D7F04" w:rsidP="000D7F04">
            <w:pPr>
              <w:keepNext/>
              <w:spacing w:before="60"/>
              <w:rPr>
                <w:rFonts w:ascii="Calibri" w:eastAsia="Calibri" w:hAnsi="Calibri"/>
                <w:b/>
              </w:rPr>
            </w:pPr>
          </w:p>
        </w:tc>
        <w:tc>
          <w:tcPr>
            <w:tcW w:w="992" w:type="dxa"/>
            <w:vMerge/>
          </w:tcPr>
          <w:p w14:paraId="1E8445A5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240" w:type="dxa"/>
            <w:shd w:val="clear" w:color="auto" w:fill="A6A6A6"/>
            <w:noWrap/>
          </w:tcPr>
          <w:p w14:paraId="53708CBA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Not related</w:t>
            </w:r>
          </w:p>
        </w:tc>
        <w:tc>
          <w:tcPr>
            <w:tcW w:w="1240" w:type="dxa"/>
            <w:shd w:val="clear" w:color="auto" w:fill="A6A6A6"/>
            <w:noWrap/>
          </w:tcPr>
          <w:p w14:paraId="1FD3A7D8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Related</w:t>
            </w:r>
          </w:p>
        </w:tc>
        <w:tc>
          <w:tcPr>
            <w:tcW w:w="1240" w:type="dxa"/>
            <w:shd w:val="clear" w:color="auto" w:fill="A6A6A6"/>
            <w:noWrap/>
          </w:tcPr>
          <w:p w14:paraId="15DACF01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  <w:b/>
              </w:rPr>
            </w:pPr>
            <w:r w:rsidRPr="000D7F04">
              <w:rPr>
                <w:rFonts w:ascii="Calibri" w:eastAsia="Calibri" w:hAnsi="Calibri"/>
                <w:b/>
              </w:rPr>
              <w:t>Unknown/ missing</w:t>
            </w:r>
          </w:p>
        </w:tc>
      </w:tr>
      <w:tr w:rsidR="000D7F04" w:rsidRPr="000D7F04" w14:paraId="0D3E75EE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7EE94087" w14:textId="77777777" w:rsidR="000D7F04" w:rsidRPr="000D7F04" w:rsidRDefault="000D7F04" w:rsidP="000D7F04">
            <w:pPr>
              <w:keepNext/>
              <w:spacing w:before="60"/>
              <w:rPr>
                <w:rFonts w:ascii="Calibri" w:eastAsia="Calibri" w:hAnsi="Calibri"/>
              </w:rPr>
            </w:pPr>
            <w:bookmarkStart w:id="8" w:name="_Hlk175828790"/>
            <w:r w:rsidRPr="000D7F04">
              <w:rPr>
                <w:rFonts w:ascii="Calibri" w:eastAsia="Calibri" w:hAnsi="Calibri"/>
              </w:rPr>
              <w:t>Any safety event</w:t>
            </w:r>
          </w:p>
        </w:tc>
        <w:tc>
          <w:tcPr>
            <w:tcW w:w="992" w:type="dxa"/>
            <w:shd w:val="clear" w:color="auto" w:fill="FFFFFF"/>
          </w:tcPr>
          <w:p w14:paraId="555D7D31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924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E98AE44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337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262755E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411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63D6AFE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176</w:t>
            </w:r>
          </w:p>
        </w:tc>
      </w:tr>
      <w:tr w:rsidR="000D7F04" w:rsidRPr="000D7F04" w14:paraId="5FB8E533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303EF544" w14:textId="77777777" w:rsidR="000D7F04" w:rsidRPr="000D7F04" w:rsidRDefault="000D7F04" w:rsidP="000D7F04">
            <w:pPr>
              <w:keepNext/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Musculoskeletal and connective tissue disorders</w:t>
            </w:r>
          </w:p>
        </w:tc>
        <w:tc>
          <w:tcPr>
            <w:tcW w:w="992" w:type="dxa"/>
            <w:shd w:val="clear" w:color="auto" w:fill="FFFFFF"/>
          </w:tcPr>
          <w:p w14:paraId="7A540851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192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4D00ABC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67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C3872CA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C987477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</w:t>
            </w:r>
          </w:p>
        </w:tc>
      </w:tr>
      <w:tr w:rsidR="000D7F04" w:rsidRPr="000D7F04" w14:paraId="0A55EA63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533DCBEA" w14:textId="77777777" w:rsidR="000D7F04" w:rsidRPr="000D7F04" w:rsidRDefault="000D7F04" w:rsidP="000D7F04">
            <w:pPr>
              <w:keepNext/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Arthralgia</w:t>
            </w:r>
          </w:p>
        </w:tc>
        <w:tc>
          <w:tcPr>
            <w:tcW w:w="992" w:type="dxa"/>
            <w:shd w:val="clear" w:color="auto" w:fill="FFFFFF"/>
          </w:tcPr>
          <w:p w14:paraId="04C4A98D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7A93C06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27075B2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18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F5FD407" w14:textId="77777777" w:rsidR="000D7F04" w:rsidRPr="000D7F04" w:rsidRDefault="000D7F04" w:rsidP="000D7F04">
            <w:pPr>
              <w:keepNext/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2C32C818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1D0D9A4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Back pain</w:t>
            </w:r>
          </w:p>
        </w:tc>
        <w:tc>
          <w:tcPr>
            <w:tcW w:w="992" w:type="dxa"/>
            <w:shd w:val="clear" w:color="auto" w:fill="FFFFFF"/>
          </w:tcPr>
          <w:p w14:paraId="2DE4661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E2E5BF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38A44F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A84300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2902B281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333314D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Pain in extremity</w:t>
            </w:r>
          </w:p>
        </w:tc>
        <w:tc>
          <w:tcPr>
            <w:tcW w:w="992" w:type="dxa"/>
            <w:shd w:val="clear" w:color="auto" w:fill="FFFFFF"/>
          </w:tcPr>
          <w:p w14:paraId="49B43B7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28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2598A7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7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021A8F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65C966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5ED432E8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6786C47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General disorders and administration site conditions</w:t>
            </w:r>
          </w:p>
        </w:tc>
        <w:tc>
          <w:tcPr>
            <w:tcW w:w="992" w:type="dxa"/>
            <w:shd w:val="clear" w:color="auto" w:fill="FFFFFF"/>
          </w:tcPr>
          <w:p w14:paraId="382C25F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170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0B9E7B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6FB805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978800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20</w:t>
            </w:r>
          </w:p>
        </w:tc>
      </w:tr>
      <w:tr w:rsidR="000D7F04" w:rsidRPr="000D7F04" w14:paraId="6C416798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0DB1C820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Pain</w:t>
            </w:r>
          </w:p>
        </w:tc>
        <w:tc>
          <w:tcPr>
            <w:tcW w:w="992" w:type="dxa"/>
            <w:shd w:val="clear" w:color="auto" w:fill="FFFFFF"/>
          </w:tcPr>
          <w:p w14:paraId="78571EE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14A903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48B5C4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16008E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</w:tr>
      <w:tr w:rsidR="000D7F04" w:rsidRPr="000D7F04" w14:paraId="34B1B15E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2430137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Condition aggravated</w:t>
            </w:r>
          </w:p>
        </w:tc>
        <w:tc>
          <w:tcPr>
            <w:tcW w:w="992" w:type="dxa"/>
            <w:shd w:val="clear" w:color="auto" w:fill="FFFFFF"/>
          </w:tcPr>
          <w:p w14:paraId="6368007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7E6CA9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8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BF607B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89419E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</w:tr>
      <w:tr w:rsidR="000D7F04" w:rsidRPr="000D7F04" w14:paraId="5F14A2F0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</w:tcPr>
          <w:p w14:paraId="1FEE3AD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Injury, poisoning and procedural complications</w:t>
            </w:r>
          </w:p>
        </w:tc>
        <w:tc>
          <w:tcPr>
            <w:tcW w:w="992" w:type="dxa"/>
            <w:shd w:val="clear" w:color="auto" w:fill="FFFFFF"/>
          </w:tcPr>
          <w:p w14:paraId="11532B5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116</w:t>
            </w:r>
          </w:p>
        </w:tc>
        <w:tc>
          <w:tcPr>
            <w:tcW w:w="1240" w:type="dxa"/>
            <w:shd w:val="clear" w:color="auto" w:fill="FFFFFF"/>
            <w:noWrap/>
          </w:tcPr>
          <w:p w14:paraId="3EB239B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24</w:t>
            </w:r>
          </w:p>
        </w:tc>
        <w:tc>
          <w:tcPr>
            <w:tcW w:w="1240" w:type="dxa"/>
            <w:shd w:val="clear" w:color="auto" w:fill="FFFFFF"/>
            <w:noWrap/>
          </w:tcPr>
          <w:p w14:paraId="565BFEA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  <w:tc>
          <w:tcPr>
            <w:tcW w:w="1240" w:type="dxa"/>
            <w:shd w:val="clear" w:color="auto" w:fill="FFFFFF"/>
            <w:noWrap/>
          </w:tcPr>
          <w:p w14:paraId="22457E8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89</w:t>
            </w:r>
          </w:p>
        </w:tc>
      </w:tr>
      <w:tr w:rsidR="000D7F04" w:rsidRPr="000D7F04" w14:paraId="1A7C4D2E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</w:tcPr>
          <w:p w14:paraId="35BBC879" w14:textId="77777777" w:rsidR="000D7F04" w:rsidRPr="000D7F04" w:rsidRDefault="000D7F04" w:rsidP="000D7F04">
            <w:pPr>
              <w:spacing w:before="60"/>
              <w:ind w:left="17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Product dose omission issue</w:t>
            </w:r>
          </w:p>
        </w:tc>
        <w:tc>
          <w:tcPr>
            <w:tcW w:w="992" w:type="dxa"/>
            <w:shd w:val="clear" w:color="auto" w:fill="FFFFFF"/>
          </w:tcPr>
          <w:p w14:paraId="0006AA6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28</w:t>
            </w:r>
          </w:p>
        </w:tc>
        <w:tc>
          <w:tcPr>
            <w:tcW w:w="1240" w:type="dxa"/>
            <w:shd w:val="clear" w:color="auto" w:fill="FFFFFF"/>
            <w:noWrap/>
          </w:tcPr>
          <w:p w14:paraId="1AC38F6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</w:tcPr>
          <w:p w14:paraId="5B612A6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</w:tcPr>
          <w:p w14:paraId="39A56E1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28</w:t>
            </w:r>
          </w:p>
        </w:tc>
      </w:tr>
      <w:tr w:rsidR="000D7F04" w:rsidRPr="000D7F04" w14:paraId="18C585ED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</w:tcPr>
          <w:p w14:paraId="2DA9B0BC" w14:textId="77777777" w:rsidR="000D7F04" w:rsidRPr="000D7F04" w:rsidRDefault="000D7F04" w:rsidP="000D7F04">
            <w:pPr>
              <w:spacing w:before="60"/>
              <w:ind w:left="17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Inappropriate schedule of product administration</w:t>
            </w:r>
          </w:p>
        </w:tc>
        <w:tc>
          <w:tcPr>
            <w:tcW w:w="992" w:type="dxa"/>
            <w:shd w:val="clear" w:color="auto" w:fill="FFFFFF"/>
          </w:tcPr>
          <w:p w14:paraId="61EDD9A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26</w:t>
            </w:r>
          </w:p>
        </w:tc>
        <w:tc>
          <w:tcPr>
            <w:tcW w:w="1240" w:type="dxa"/>
            <w:shd w:val="clear" w:color="auto" w:fill="FFFFFF"/>
            <w:noWrap/>
          </w:tcPr>
          <w:p w14:paraId="7CC41F8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</w:tcPr>
          <w:p w14:paraId="0AFA76E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</w:tcPr>
          <w:p w14:paraId="45B0554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26</w:t>
            </w:r>
          </w:p>
        </w:tc>
      </w:tr>
      <w:tr w:rsidR="000D7F04" w:rsidRPr="000D7F04" w14:paraId="3318A730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6CAFA0D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Nervous system disorders</w:t>
            </w:r>
          </w:p>
        </w:tc>
        <w:tc>
          <w:tcPr>
            <w:tcW w:w="992" w:type="dxa"/>
            <w:shd w:val="clear" w:color="auto" w:fill="FFFFFF"/>
          </w:tcPr>
          <w:p w14:paraId="28BA972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946540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26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A11FFE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72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F935B0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</w:tr>
      <w:tr w:rsidR="000D7F04" w:rsidRPr="000D7F04" w14:paraId="1BCCCD6C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53D2AF62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 </w:t>
            </w:r>
            <w:r w:rsidRPr="000D7F04">
              <w:rPr>
                <w:rFonts w:ascii="Calibri" w:eastAsia="Calibri" w:hAnsi="Calibri"/>
              </w:rPr>
              <w:t>Restless legs syndrome</w:t>
            </w:r>
          </w:p>
        </w:tc>
        <w:tc>
          <w:tcPr>
            <w:tcW w:w="992" w:type="dxa"/>
            <w:shd w:val="clear" w:color="auto" w:fill="FFFFFF"/>
          </w:tcPr>
          <w:p w14:paraId="549F1F5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78307A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8CA705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94449B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</w:tr>
      <w:tr w:rsidR="000D7F04" w:rsidRPr="000D7F04" w14:paraId="37E48794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1AF156D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lastRenderedPageBreak/>
              <w:t>Investigations</w:t>
            </w:r>
          </w:p>
        </w:tc>
        <w:tc>
          <w:tcPr>
            <w:tcW w:w="992" w:type="dxa"/>
            <w:shd w:val="clear" w:color="auto" w:fill="FFFFFF"/>
          </w:tcPr>
          <w:p w14:paraId="379D4F3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8F409E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52BD8F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17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E2FB94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</w:tr>
      <w:tr w:rsidR="000D7F04" w:rsidRPr="000D7F04" w14:paraId="2366FDD5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</w:tcPr>
          <w:p w14:paraId="5532130E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Surgical and medical procedures</w:t>
            </w:r>
          </w:p>
        </w:tc>
        <w:tc>
          <w:tcPr>
            <w:tcW w:w="992" w:type="dxa"/>
            <w:shd w:val="clear" w:color="auto" w:fill="FFFFFF"/>
          </w:tcPr>
          <w:p w14:paraId="7D11D53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48</w:t>
            </w:r>
          </w:p>
        </w:tc>
        <w:tc>
          <w:tcPr>
            <w:tcW w:w="1240" w:type="dxa"/>
            <w:shd w:val="clear" w:color="auto" w:fill="FFFFFF"/>
            <w:noWrap/>
          </w:tcPr>
          <w:p w14:paraId="302D12E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</w:tcPr>
          <w:p w14:paraId="4C3B91E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</w:tcPr>
          <w:p w14:paraId="2459C85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48</w:t>
            </w:r>
          </w:p>
        </w:tc>
      </w:tr>
      <w:tr w:rsidR="000D7F04" w:rsidRPr="000D7F04" w14:paraId="5D43A274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41249A8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Gastrointestinal disorders</w:t>
            </w:r>
          </w:p>
        </w:tc>
        <w:tc>
          <w:tcPr>
            <w:tcW w:w="992" w:type="dxa"/>
            <w:shd w:val="clear" w:color="auto" w:fill="FFFFFF"/>
          </w:tcPr>
          <w:p w14:paraId="34486E0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36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9B1E59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8C1FD5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521D05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</w:tr>
      <w:tr w:rsidR="000D7F04" w:rsidRPr="000D7F04" w14:paraId="63225F00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06BC231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Psychiatric disorders</w:t>
            </w:r>
          </w:p>
        </w:tc>
        <w:tc>
          <w:tcPr>
            <w:tcW w:w="992" w:type="dxa"/>
            <w:shd w:val="clear" w:color="auto" w:fill="FFFFFF"/>
          </w:tcPr>
          <w:p w14:paraId="7A9B193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B2380D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C1194F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98D773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4F751C15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38A378CA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Skin and subcutaneous tissue disorders</w:t>
            </w:r>
          </w:p>
        </w:tc>
        <w:tc>
          <w:tcPr>
            <w:tcW w:w="992" w:type="dxa"/>
            <w:shd w:val="clear" w:color="auto" w:fill="FFFFFF"/>
          </w:tcPr>
          <w:p w14:paraId="725DA58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DA475E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94BDF9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ECD2799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</w:tr>
      <w:tr w:rsidR="000D7F04" w:rsidRPr="000D7F04" w14:paraId="0ECA0D95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5AC3231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Ear and labyrinth disorders</w:t>
            </w:r>
          </w:p>
        </w:tc>
        <w:tc>
          <w:tcPr>
            <w:tcW w:w="992" w:type="dxa"/>
            <w:shd w:val="clear" w:color="auto" w:fill="FFFFFF"/>
          </w:tcPr>
          <w:p w14:paraId="0B257AC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7E2F25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877BE3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4C9DA5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4FB2F029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7877B5A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Renal and urinary disorders</w:t>
            </w:r>
          </w:p>
        </w:tc>
        <w:tc>
          <w:tcPr>
            <w:tcW w:w="992" w:type="dxa"/>
            <w:shd w:val="clear" w:color="auto" w:fill="FFFFFF"/>
          </w:tcPr>
          <w:p w14:paraId="23811ED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B89D18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138590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9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9BC165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0AE712BB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1EB430D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Respiratory, thoracic and mediastinal disorders</w:t>
            </w:r>
          </w:p>
        </w:tc>
        <w:tc>
          <w:tcPr>
            <w:tcW w:w="992" w:type="dxa"/>
            <w:shd w:val="clear" w:color="auto" w:fill="FFFFFF"/>
          </w:tcPr>
          <w:p w14:paraId="01C2305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1C59F6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7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581CAF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F53BF8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</w:tr>
      <w:tr w:rsidR="000D7F04" w:rsidRPr="000D7F04" w14:paraId="1ED20CCD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5DC6595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Vascular disorders</w:t>
            </w:r>
          </w:p>
        </w:tc>
        <w:tc>
          <w:tcPr>
            <w:tcW w:w="992" w:type="dxa"/>
            <w:shd w:val="clear" w:color="auto" w:fill="FFFFFF"/>
          </w:tcPr>
          <w:p w14:paraId="1D5F1EE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532314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1996010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407158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61D26EB0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7B41DAC1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Metabolism and nutrition disorders</w:t>
            </w:r>
          </w:p>
        </w:tc>
        <w:tc>
          <w:tcPr>
            <w:tcW w:w="992" w:type="dxa"/>
            <w:shd w:val="clear" w:color="auto" w:fill="FFFFFF"/>
          </w:tcPr>
          <w:p w14:paraId="2872067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8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96FC44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FCA7E1D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654E49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1F63D995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60ED3D1D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Cardiac disorders</w:t>
            </w:r>
          </w:p>
        </w:tc>
        <w:tc>
          <w:tcPr>
            <w:tcW w:w="992" w:type="dxa"/>
            <w:shd w:val="clear" w:color="auto" w:fill="FFFFFF"/>
          </w:tcPr>
          <w:p w14:paraId="084E5FF3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7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1C39BA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837669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06720D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4C05847A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549EFE2C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Reproductive system and breast disorders</w:t>
            </w:r>
          </w:p>
        </w:tc>
        <w:tc>
          <w:tcPr>
            <w:tcW w:w="992" w:type="dxa"/>
            <w:shd w:val="clear" w:color="auto" w:fill="FFFFFF"/>
          </w:tcPr>
          <w:p w14:paraId="7289BE0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6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94C809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6EDFD8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3248B6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58E7BAB0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0AB818C9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Neoplasms benign, malignant and unspecified (including cysts and polyps)</w:t>
            </w:r>
          </w:p>
        </w:tc>
        <w:tc>
          <w:tcPr>
            <w:tcW w:w="992" w:type="dxa"/>
            <w:shd w:val="clear" w:color="auto" w:fill="FFFFFF"/>
          </w:tcPr>
          <w:p w14:paraId="539B900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1F1B23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5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04FA98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B26571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02DB4914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4CF1D608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Hepatobiliary disorders</w:t>
            </w:r>
          </w:p>
        </w:tc>
        <w:tc>
          <w:tcPr>
            <w:tcW w:w="992" w:type="dxa"/>
            <w:shd w:val="clear" w:color="auto" w:fill="FFFFFF"/>
          </w:tcPr>
          <w:p w14:paraId="74ACD53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57D40F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4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131A8A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921057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0416A9CB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318F2336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Blood and lymphatic system disorders</w:t>
            </w:r>
          </w:p>
        </w:tc>
        <w:tc>
          <w:tcPr>
            <w:tcW w:w="992" w:type="dxa"/>
            <w:shd w:val="clear" w:color="auto" w:fill="FFFFFF"/>
          </w:tcPr>
          <w:p w14:paraId="5B46A92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40D35804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3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6E4630E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2B8BC2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0FCBF686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747C75C3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Endocrine disorders</w:t>
            </w:r>
          </w:p>
        </w:tc>
        <w:tc>
          <w:tcPr>
            <w:tcW w:w="992" w:type="dxa"/>
            <w:shd w:val="clear" w:color="auto" w:fill="FFFFFF"/>
          </w:tcPr>
          <w:p w14:paraId="65BEA055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D19BA2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F07BC9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6D9E25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35908A64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1EBD35E5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Social circumstances</w:t>
            </w:r>
          </w:p>
        </w:tc>
        <w:tc>
          <w:tcPr>
            <w:tcW w:w="992" w:type="dxa"/>
            <w:shd w:val="clear" w:color="auto" w:fill="FFFFFF"/>
          </w:tcPr>
          <w:p w14:paraId="5BC9430B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31DE75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2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3D4004F6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5C0B38D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4DD503C2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0519E297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Congenital, familial and genetic disorders</w:t>
            </w:r>
          </w:p>
        </w:tc>
        <w:tc>
          <w:tcPr>
            <w:tcW w:w="992" w:type="dxa"/>
            <w:shd w:val="clear" w:color="auto" w:fill="FFFFFF"/>
          </w:tcPr>
          <w:p w14:paraId="4D16808A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34E051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1327720C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6B4EEC88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tr w:rsidR="000D7F04" w:rsidRPr="000D7F04" w14:paraId="58319D27" w14:textId="77777777" w:rsidTr="000D7F04">
        <w:trPr>
          <w:trHeight w:val="300"/>
        </w:trPr>
        <w:tc>
          <w:tcPr>
            <w:tcW w:w="3678" w:type="dxa"/>
            <w:shd w:val="clear" w:color="auto" w:fill="FFFFFF"/>
            <w:noWrap/>
            <w:hideMark/>
          </w:tcPr>
          <w:p w14:paraId="7FFE081B" w14:textId="77777777" w:rsidR="000D7F04" w:rsidRPr="000D7F04" w:rsidRDefault="000D7F04" w:rsidP="000D7F04">
            <w:pPr>
              <w:spacing w:before="60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Immune system disorders</w:t>
            </w:r>
          </w:p>
        </w:tc>
        <w:tc>
          <w:tcPr>
            <w:tcW w:w="992" w:type="dxa"/>
            <w:shd w:val="clear" w:color="auto" w:fill="FFFFFF"/>
          </w:tcPr>
          <w:p w14:paraId="4F8A03D2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7CC16D9F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239760E7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1</w:t>
            </w:r>
          </w:p>
        </w:tc>
        <w:tc>
          <w:tcPr>
            <w:tcW w:w="1240" w:type="dxa"/>
            <w:shd w:val="clear" w:color="auto" w:fill="FFFFFF"/>
            <w:noWrap/>
            <w:hideMark/>
          </w:tcPr>
          <w:p w14:paraId="016D4661" w14:textId="77777777" w:rsidR="000D7F04" w:rsidRPr="000D7F04" w:rsidRDefault="000D7F04" w:rsidP="000D7F04">
            <w:pPr>
              <w:spacing w:before="60"/>
              <w:jc w:val="center"/>
              <w:rPr>
                <w:rFonts w:ascii="Calibri" w:eastAsia="Calibri" w:hAnsi="Calibri"/>
              </w:rPr>
            </w:pPr>
            <w:r w:rsidRPr="000D7F04">
              <w:rPr>
                <w:rFonts w:ascii="Calibri" w:eastAsia="Calibri" w:hAnsi="Calibri"/>
              </w:rPr>
              <w:t>0</w:t>
            </w:r>
          </w:p>
        </w:tc>
      </w:tr>
      <w:bookmarkEnd w:id="8"/>
    </w:tbl>
    <w:p w14:paraId="778E41DD" w14:textId="77777777" w:rsidR="005653F7" w:rsidRDefault="005653F7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</w:p>
    <w:p w14:paraId="0266B791" w14:textId="0B84DAAA" w:rsidR="000D7F04" w:rsidRPr="000D7F04" w:rsidRDefault="000D7F04" w:rsidP="000D7F04">
      <w:pPr>
        <w:keepNext/>
        <w:keepLines/>
        <w:tabs>
          <w:tab w:val="left" w:pos="851"/>
          <w:tab w:val="left" w:pos="1021"/>
          <w:tab w:val="left" w:pos="1077"/>
        </w:tabs>
        <w:spacing w:before="200" w:after="120" w:line="312" w:lineRule="auto"/>
        <w:contextualSpacing/>
        <w:rPr>
          <w:rFonts w:ascii="Calibri" w:eastAsia="Calibri" w:hAnsi="Calibri" w:cs="Calibri"/>
          <w:b/>
          <w:bCs/>
          <w:color w:val="000000"/>
          <w:sz w:val="20"/>
          <w:szCs w:val="18"/>
        </w:rPr>
      </w:pP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Supplementary Table S8</w:t>
      </w:r>
      <w:r w:rsidR="005653F7">
        <w:rPr>
          <w:rFonts w:ascii="Calibri" w:eastAsia="Calibri" w:hAnsi="Calibri" w:cs="Calibri"/>
          <w:b/>
          <w:bCs/>
          <w:color w:val="000000"/>
          <w:sz w:val="20"/>
          <w:szCs w:val="18"/>
        </w:rPr>
        <w:t xml:space="preserve"> </w:t>
      </w:r>
      <w:r w:rsidRPr="000D7F04">
        <w:rPr>
          <w:rFonts w:ascii="Calibri" w:eastAsia="Calibri" w:hAnsi="Calibri" w:cs="Calibri"/>
          <w:b/>
          <w:bCs/>
          <w:color w:val="000000"/>
          <w:sz w:val="20"/>
          <w:szCs w:val="18"/>
        </w:rPr>
        <w:t>Serious safety events by system organ class in the full analysis set for the duration of the Early Access Programme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69"/>
        <w:gridCol w:w="2831"/>
      </w:tblGrid>
      <w:tr w:rsidR="000D7F04" w:rsidRPr="000D7F04" w14:paraId="2F4D6996" w14:textId="77777777" w:rsidTr="000D7F04">
        <w:tc>
          <w:tcPr>
            <w:tcW w:w="566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14:paraId="399CDED0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sz w:val="20"/>
              </w:rPr>
            </w:pPr>
            <w:r w:rsidRPr="000D7F04">
              <w:rPr>
                <w:rFonts w:eastAsia="Calibri"/>
                <w:b/>
                <w:sz w:val="20"/>
              </w:rPr>
              <w:t>System organ class</w:t>
            </w:r>
          </w:p>
        </w:tc>
        <w:tc>
          <w:tcPr>
            <w:tcW w:w="283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BFBFBF"/>
          </w:tcPr>
          <w:p w14:paraId="521CA0B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sz w:val="20"/>
              </w:rPr>
            </w:pPr>
            <w:r w:rsidRPr="000D7F04">
              <w:rPr>
                <w:rFonts w:eastAsia="Calibri"/>
                <w:b/>
                <w:sz w:val="20"/>
              </w:rPr>
              <w:t>Number of events</w:t>
            </w:r>
          </w:p>
        </w:tc>
      </w:tr>
      <w:tr w:rsidR="000D7F04" w:rsidRPr="000D7F04" w14:paraId="3BBE8F45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47D87DAD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Surgical and medical procedures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575A3C0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19</w:t>
            </w:r>
          </w:p>
        </w:tc>
      </w:tr>
      <w:tr w:rsidR="000D7F04" w:rsidRPr="000D7F04" w14:paraId="4DCFDD45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88B2E0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Limb reconstructive surgery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E715B7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4227DB28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A687A8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Hospitalisation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53089E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</w:tc>
      </w:tr>
      <w:tr w:rsidR="000D7F04" w:rsidRPr="000D7F04" w14:paraId="307D480A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0E0F5EC2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Limb operation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EB2E80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69B7317E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51417149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Appendicectomy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6A3EC9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50B3A3B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3F29F2B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proofErr w:type="spellStart"/>
            <w:r w:rsidRPr="000D7F04">
              <w:rPr>
                <w:rFonts w:eastAsia="Calibri"/>
                <w:sz w:val="20"/>
              </w:rPr>
              <w:t>Chondrectomy</w:t>
            </w:r>
            <w:proofErr w:type="spellEnd"/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DD0F9C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5B738F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AC5DBDA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Hip arthroplasty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38FFBB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472DE1E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1117E7A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Hip surgery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372DD5E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58CF115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5C02CB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Implantable defibrillator insertion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68815B0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FD5361B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4B09838D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Intestinal resection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470898A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262063C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18971D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Medical device implantation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30E027C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81A89F4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595ED9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Medical device removal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3C8596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4F2FC17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6D2B1EB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Spinal operation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A45705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2ED533D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8BDD353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Stent placement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6560F03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11E6D687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59F2765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Stoma creation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5B73E8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8849D4F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C0BAE7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Surgery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CF232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3CBF010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293A935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Infections and infestations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CF110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12</w:t>
            </w:r>
          </w:p>
        </w:tc>
      </w:tr>
      <w:tr w:rsidR="000D7F04" w:rsidRPr="000D7F04" w14:paraId="5B17182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01C55F19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lastRenderedPageBreak/>
              <w:t> </w:t>
            </w:r>
            <w:r w:rsidRPr="000D7F04">
              <w:rPr>
                <w:rFonts w:eastAsia="Calibri"/>
                <w:sz w:val="20"/>
              </w:rPr>
              <w:t>COVID-19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BDDE7E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</w:tc>
      </w:tr>
      <w:tr w:rsidR="000D7F04" w:rsidRPr="000D7F04" w14:paraId="7A044F87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006BC0C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Lower respiratory tract infection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3D68D6C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A638628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26BF9F0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Diverticulitis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360247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</w:t>
            </w:r>
          </w:p>
        </w:tc>
      </w:tr>
      <w:tr w:rsidR="000D7F04" w:rsidRPr="000D7F04" w14:paraId="4101661A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471E645A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Tooth abscess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3FCB6E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1BC9E17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6DB6D779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Cellulitis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1A75299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BE3C945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ADBA158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Escherichia infection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46C9844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81C0C26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AD281F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Haematological infection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E8EEC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6F7D2613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0AE3D2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Musculoskeletal and connective tissue disorders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D2DD3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11</w:t>
            </w:r>
          </w:p>
        </w:tc>
      </w:tr>
      <w:tr w:rsidR="000D7F04" w:rsidRPr="000D7F04" w14:paraId="70EDDA7E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F2A8F6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Arthralgia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ECD316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</w:t>
            </w:r>
          </w:p>
        </w:tc>
      </w:tr>
      <w:tr w:rsidR="000D7F04" w:rsidRPr="000D7F04" w14:paraId="72539DE1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6FE400F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Back pain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1905106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3490D0C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0CDCA5BF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Pain in extremity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7CF3E2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F38B115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2A68EB4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Muscle spasms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3ABD678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7EBA9B60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0CEE37B7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Arthropathy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9DC2D1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10D5AE2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7E7B1C7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Intervertebral disc protrusion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9BFB8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4D200EA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8647F39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Renal and urinary disorders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716F9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10</w:t>
            </w:r>
          </w:p>
        </w:tc>
      </w:tr>
      <w:tr w:rsidR="000D7F04" w:rsidRPr="000D7F04" w14:paraId="0B0015EB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4779F8C9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Nephrolithiasis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D4A007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5</w:t>
            </w:r>
          </w:p>
        </w:tc>
      </w:tr>
      <w:tr w:rsidR="000D7F04" w:rsidRPr="000D7F04" w14:paraId="647C587F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D559F8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Renal impairment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8D6D37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5FCE854B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15BE42B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Calculus urinary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D4D0BE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BB7E4B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0DC6910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Nephrocalcinosis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2B743F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48D92CF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58CE86D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Renal disorder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616D24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E45D2D1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645DEB3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Urinary incontinence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7D482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AE3FA2C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B55CD0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Injury, poisoning and procedural complications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B67CF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7</w:t>
            </w:r>
          </w:p>
        </w:tc>
      </w:tr>
      <w:tr w:rsidR="000D7F04" w:rsidRPr="000D7F04" w14:paraId="2508E3C4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70154E7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Fall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92329D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</w:tc>
      </w:tr>
      <w:tr w:rsidR="000D7F04" w:rsidRPr="000D7F04" w14:paraId="256CEA6C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611694B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Cardiac procedure complication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3A5336D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1519E57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5E69E9C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Femur fracture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03B62F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6E381F22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533430F1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Fracture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1446766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D931516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0F4885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Lower limb fracture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5E092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1CAC4E1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7E9CABA1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Nervous system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5B7139F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7</w:t>
            </w:r>
          </w:p>
        </w:tc>
      </w:tr>
      <w:tr w:rsidR="000D7F04" w:rsidRPr="000D7F04" w14:paraId="4A95E56F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AEFAC0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Restless legs syndrome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7A75C8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41BC034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38FC237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Hypoaesthesia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6D1AB19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2E847B1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7A95658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Paraesthesia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662447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08F5C17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44132452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Epilepsy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D65418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0E78CD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6CCB0DA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Radiculopathy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65A9748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1CFD9677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E1330B5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Spinal cord compression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01405B5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65C00FCB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8215F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Syncope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492908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AF76285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42ABCC9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Gastrointestinal disorders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991CE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6</w:t>
            </w:r>
          </w:p>
        </w:tc>
      </w:tr>
      <w:tr w:rsidR="000D7F04" w:rsidRPr="000D7F04" w14:paraId="4AC9A2B5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F8B91E2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Constipation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86877D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66BFFA4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473D76A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Ascites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B1BD94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1A9CCF3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083B17EA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Gastric antral vascular ectasia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E111D9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7C4DEC7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A2879F7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Gastric haemorrhage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DDBE3F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111CBD78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56A3821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Intestinal perforation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9C26154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E4411F8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69D51E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Tooth loss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5CC6D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17340716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4725354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lastRenderedPageBreak/>
              <w:t>Ear and labyrinth disorders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F3774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5</w:t>
            </w:r>
          </w:p>
        </w:tc>
      </w:tr>
      <w:tr w:rsidR="000D7F04" w:rsidRPr="000D7F04" w14:paraId="76C9A72B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4200891F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Meniere's disease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9993D1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3</w:t>
            </w:r>
          </w:p>
        </w:tc>
      </w:tr>
      <w:tr w:rsidR="000D7F04" w:rsidRPr="000D7F04" w14:paraId="13B96CB2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11F1A94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Deafness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14B604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65639885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B8BA787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Cardiac disorders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A6CF1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5</w:t>
            </w:r>
          </w:p>
        </w:tc>
      </w:tr>
      <w:tr w:rsidR="000D7F04" w:rsidRPr="000D7F04" w14:paraId="1575AC1D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8DF0720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Myocardial infarction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F21242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4</w:t>
            </w:r>
          </w:p>
        </w:tc>
      </w:tr>
      <w:tr w:rsidR="000D7F04" w:rsidRPr="000D7F04" w14:paraId="5842C855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589F3D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Tachycardia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E1C4A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1A1318C8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0C5A85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Neoplasms benign, malignant and unspecified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F95A8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5</w:t>
            </w:r>
          </w:p>
        </w:tc>
      </w:tr>
      <w:tr w:rsidR="000D7F04" w:rsidRPr="000D7F04" w14:paraId="1D041BA4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69AA706B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Rectal cancer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4AA7A8D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64427D23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41A52185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Breast cancer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703B4F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C927870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65C7890B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Leukaemia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32E16954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EA9501B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A2307A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Metastases to lung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CE9568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67DB263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0731E8F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Vascular disorders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B682C7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4</w:t>
            </w:r>
          </w:p>
        </w:tc>
      </w:tr>
      <w:tr w:rsidR="000D7F04" w:rsidRPr="000D7F04" w14:paraId="01BED1F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F313072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Hypertension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3D1C4CE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783335D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089FCB3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Deep vein thrombosis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18B01E3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6ACBCD4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3F56506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Haemorrhage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6D573C2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3942457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D4DE44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Thrombosis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5FBAF5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D48EDF3" w14:textId="77777777" w:rsidTr="00F56113">
        <w:tc>
          <w:tcPr>
            <w:tcW w:w="56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543078D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General disorders and administration site conditions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85A648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0CBD42A3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01DD5C4C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Swelling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242A7AF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21D4E3E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53B221F5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Death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3CD9D6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572D494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294F6CE1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Investigations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6710AAB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5A1B7DF1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2151E2EC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Blood glucose decreased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5D7B3134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24489D4E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BB6F8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Oxygen saturation decreased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B253E1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D466CAF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10C78684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Psychiatric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51802CE0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2048167B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51C4513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Depressed mood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36C641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65401C8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8931D9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Intentional self-injury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E3DAF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077F439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6FD53D81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Skin and subcutaneous tissue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62A5749F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61EB6CC9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14E0D6DF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Rash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109FEA4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88BEEB5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B94C0D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Rash macular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7559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131DC3FB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7B514F98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Respiratory, thoracic and mediastinal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7967831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2</w:t>
            </w:r>
          </w:p>
        </w:tc>
      </w:tr>
      <w:tr w:rsidR="000D7F04" w:rsidRPr="000D7F04" w14:paraId="760505EA" w14:textId="77777777" w:rsidTr="00F56113">
        <w:tc>
          <w:tcPr>
            <w:tcW w:w="5669" w:type="dxa"/>
            <w:tcBorders>
              <w:top w:val="nil"/>
              <w:bottom w:val="nil"/>
              <w:right w:val="single" w:sz="4" w:space="0" w:color="auto"/>
            </w:tcBorders>
          </w:tcPr>
          <w:p w14:paraId="77F442E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Epistaxis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nil"/>
            </w:tcBorders>
          </w:tcPr>
          <w:p w14:paraId="70B8A0F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BABD492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C0D386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Choking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57F9CB6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A198694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0A06D8CF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Metabolism and nutrition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43B822BD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588D2C4D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04C8E0C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Hyperphosphataemia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F21143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412DEAE6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3AE97491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Reproductive system and breast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2929BC6A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FCCCDA8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99962D5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Erectile dysfunction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7140B9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F7C2C3C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3EFA4E58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Hepatobiliary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239C552C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39B3594C" w14:textId="77777777" w:rsidTr="00F56113">
        <w:tc>
          <w:tcPr>
            <w:tcW w:w="566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9B9DCEE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Liver disorder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5D55DB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7322FF4E" w14:textId="77777777" w:rsidTr="00F56113">
        <w:tc>
          <w:tcPr>
            <w:tcW w:w="5669" w:type="dxa"/>
            <w:tcBorders>
              <w:bottom w:val="nil"/>
              <w:right w:val="single" w:sz="4" w:space="0" w:color="auto"/>
            </w:tcBorders>
          </w:tcPr>
          <w:p w14:paraId="30758EEE" w14:textId="77777777" w:rsidR="000D7F04" w:rsidRPr="000D7F04" w:rsidRDefault="000D7F04" w:rsidP="000D7F04">
            <w:pPr>
              <w:spacing w:before="60"/>
              <w:rPr>
                <w:rFonts w:eastAsia="Calibri"/>
                <w:b/>
                <w:bCs/>
                <w:sz w:val="20"/>
              </w:rPr>
            </w:pPr>
            <w:r w:rsidRPr="000D7F04">
              <w:rPr>
                <w:rFonts w:eastAsia="Calibri"/>
                <w:b/>
                <w:bCs/>
                <w:sz w:val="20"/>
              </w:rPr>
              <w:t>Congenital, familial and genetic disorders</w:t>
            </w:r>
          </w:p>
        </w:tc>
        <w:tc>
          <w:tcPr>
            <w:tcW w:w="2831" w:type="dxa"/>
            <w:tcBorders>
              <w:left w:val="single" w:sz="4" w:space="0" w:color="auto"/>
              <w:bottom w:val="nil"/>
            </w:tcBorders>
          </w:tcPr>
          <w:p w14:paraId="28F8FD87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b/>
                <w:bCs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b/>
                <w:bCs/>
                <w:sz w:val="20"/>
                <w:szCs w:val="20"/>
                <w:lang w:eastAsia="en-GB"/>
              </w:rPr>
              <w:t>1</w:t>
            </w:r>
          </w:p>
        </w:tc>
      </w:tr>
      <w:tr w:rsidR="000D7F04" w:rsidRPr="000D7F04" w14:paraId="042794BE" w14:textId="77777777" w:rsidTr="00F56113">
        <w:tc>
          <w:tcPr>
            <w:tcW w:w="5669" w:type="dxa"/>
            <w:tcBorders>
              <w:top w:val="nil"/>
              <w:right w:val="single" w:sz="4" w:space="0" w:color="auto"/>
            </w:tcBorders>
          </w:tcPr>
          <w:p w14:paraId="20A93652" w14:textId="77777777" w:rsidR="000D7F04" w:rsidRPr="000D7F04" w:rsidRDefault="000D7F04" w:rsidP="000D7F04">
            <w:pPr>
              <w:spacing w:before="60"/>
              <w:rPr>
                <w:rFonts w:eastAsia="Calibri"/>
                <w:sz w:val="20"/>
              </w:rPr>
            </w:pPr>
            <w:r w:rsidRPr="000D7F04">
              <w:rPr>
                <w:rFonts w:eastAsia="Calibri"/>
                <w:sz w:val="20"/>
              </w:rPr>
              <w:t> </w:t>
            </w:r>
            <w:r w:rsidRPr="000D7F04">
              <w:rPr>
                <w:rFonts w:eastAsia="Calibri"/>
                <w:sz w:val="20"/>
              </w:rPr>
              <w:t>Syringomyelia</w:t>
            </w:r>
          </w:p>
        </w:tc>
        <w:tc>
          <w:tcPr>
            <w:tcW w:w="2831" w:type="dxa"/>
            <w:tcBorders>
              <w:top w:val="nil"/>
              <w:left w:val="single" w:sz="4" w:space="0" w:color="auto"/>
            </w:tcBorders>
          </w:tcPr>
          <w:p w14:paraId="16959952" w14:textId="77777777" w:rsidR="000D7F04" w:rsidRPr="000D7F04" w:rsidRDefault="000D7F04" w:rsidP="000D7F04">
            <w:pPr>
              <w:spacing w:before="60"/>
              <w:jc w:val="center"/>
              <w:rPr>
                <w:rFonts w:eastAsia="Calibri"/>
                <w:sz w:val="20"/>
                <w:szCs w:val="20"/>
                <w:lang w:eastAsia="en-GB"/>
              </w:rPr>
            </w:pPr>
            <w:r w:rsidRPr="000D7F04">
              <w:rPr>
                <w:rFonts w:eastAsia="Calibri"/>
                <w:sz w:val="20"/>
                <w:szCs w:val="20"/>
                <w:lang w:eastAsia="en-GB"/>
              </w:rPr>
              <w:t>1</w:t>
            </w:r>
          </w:p>
        </w:tc>
      </w:tr>
    </w:tbl>
    <w:p w14:paraId="7D81E81B" w14:textId="77777777" w:rsidR="000D7F04" w:rsidRPr="000D7F04" w:rsidRDefault="000D7F04" w:rsidP="000D7F04">
      <w:pPr>
        <w:spacing w:before="40" w:after="0" w:line="240" w:lineRule="auto"/>
        <w:rPr>
          <w:rFonts w:ascii="Calibri" w:eastAsia="Calibri" w:hAnsi="Calibri" w:cs="Calibri"/>
          <w:sz w:val="20"/>
        </w:rPr>
      </w:pPr>
    </w:p>
    <w:p w14:paraId="0D0D15CD" w14:textId="77777777" w:rsidR="007D09F0" w:rsidRDefault="007D09F0"/>
    <w:sectPr w:rsidR="007D09F0" w:rsidSect="000D7F04">
      <w:headerReference w:type="default" r:id="rId11"/>
      <w:footerReference w:type="default" r:id="rId12"/>
      <w:pgSz w:w="11906" w:h="16838" w:code="9"/>
      <w:pgMar w:top="1701" w:right="1440" w:bottom="155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9D4A2" w14:textId="77777777" w:rsidR="00813E12" w:rsidRDefault="00813E12">
      <w:pPr>
        <w:spacing w:after="0" w:line="240" w:lineRule="auto"/>
      </w:pPr>
      <w:r>
        <w:separator/>
      </w:r>
    </w:p>
  </w:endnote>
  <w:endnote w:type="continuationSeparator" w:id="0">
    <w:p w14:paraId="1252A71E" w14:textId="77777777" w:rsidR="00813E12" w:rsidRDefault="00813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073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676EA6" w14:textId="77777777" w:rsidR="0044446F" w:rsidRDefault="003D5E92" w:rsidP="00E74833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CA19C" w14:textId="77777777" w:rsidR="0044446F" w:rsidRPr="00E74833" w:rsidRDefault="003D5E92" w:rsidP="00E74833">
    <w:pPr>
      <w:jc w:val="center"/>
    </w:pPr>
    <w:r>
      <w:t>CONFIDENTIAL</w:t>
    </w:r>
  </w:p>
  <w:p w14:paraId="58A0A634" w14:textId="77777777" w:rsidR="0044446F" w:rsidRDefault="004444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2C65" w14:textId="77777777" w:rsidR="00813E12" w:rsidRDefault="00813E12">
      <w:pPr>
        <w:spacing w:after="0" w:line="240" w:lineRule="auto"/>
      </w:pPr>
      <w:r>
        <w:separator/>
      </w:r>
    </w:p>
  </w:footnote>
  <w:footnote w:type="continuationSeparator" w:id="0">
    <w:p w14:paraId="787AF4FA" w14:textId="77777777" w:rsidR="00813E12" w:rsidRDefault="00813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D9736" w14:textId="6E36F64F" w:rsidR="0044446F" w:rsidRDefault="00973FF7" w:rsidP="00CB7649">
    <w:pPr>
      <w:pStyle w:val="Header"/>
      <w:jc w:val="right"/>
    </w:pPr>
    <w:r>
      <w:t>11 April</w:t>
    </w:r>
    <w:r w:rsidR="00345FD0"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7DA7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E65883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D612E7"/>
    <w:multiLevelType w:val="multilevel"/>
    <w:tmpl w:val="3D6A545A"/>
    <w:styleLink w:val="HeadingsVM"/>
    <w:lvl w:ilvl="0">
      <w:start w:val="1"/>
      <w:numFmt w:val="decimal"/>
      <w:pStyle w:val="HeadingVM1"/>
      <w:lvlText w:val="VM %1"/>
      <w:lvlJc w:val="left"/>
      <w:pPr>
        <w:ind w:left="1134" w:hanging="1134"/>
      </w:pPr>
      <w:rPr>
        <w:rFonts w:asciiTheme="majorHAnsi" w:hAnsiTheme="majorHAnsi" w:hint="default"/>
      </w:rPr>
    </w:lvl>
    <w:lvl w:ilvl="1">
      <w:start w:val="1"/>
      <w:numFmt w:val="decimal"/>
      <w:pStyle w:val="HeadingVM2"/>
      <w:lvlText w:val="VM %1.%2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34" w:hanging="1134"/>
      </w:pPr>
      <w:rPr>
        <w:rFonts w:hint="default"/>
      </w:rPr>
    </w:lvl>
  </w:abstractNum>
  <w:abstractNum w:abstractNumId="3" w15:restartNumberingAfterBreak="0">
    <w:nsid w:val="06051082"/>
    <w:multiLevelType w:val="multilevel"/>
    <w:tmpl w:val="68B2DC02"/>
    <w:styleLink w:val="AppendixList"/>
    <w:lvl w:ilvl="0">
      <w:start w:val="1"/>
      <w:numFmt w:val="decimal"/>
      <w:isLgl/>
      <w:lvlText w:val="Appendix %1:"/>
      <w:lvlJc w:val="left"/>
      <w:pPr>
        <w:ind w:left="1361" w:hanging="1361"/>
      </w:pPr>
      <w:rPr>
        <w:rFonts w:asciiTheme="majorHAnsi" w:hAnsiTheme="majorHAnsi" w:hint="default"/>
        <w:b/>
        <w:i w:val="0"/>
        <w:color w:val="0E2841" w:themeColor="text2"/>
      </w:rPr>
    </w:lvl>
    <w:lvl w:ilvl="1">
      <w:start w:val="1"/>
      <w:numFmt w:val="decimal"/>
      <w:lvlText w:val="Appendix: %1.%2"/>
      <w:lvlJc w:val="left"/>
      <w:pPr>
        <w:ind w:left="1361" w:hanging="1361"/>
      </w:pPr>
      <w:rPr>
        <w:rFonts w:hint="default"/>
        <w:color w:val="0E2841" w:themeColor="text2"/>
      </w:rPr>
    </w:lvl>
    <w:lvl w:ilvl="2">
      <w:start w:val="1"/>
      <w:numFmt w:val="lowerRoman"/>
      <w:lvlText w:val="%3)"/>
      <w:lvlJc w:val="left"/>
      <w:pPr>
        <w:ind w:left="1361" w:hanging="136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1" w:hanging="136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61" w:hanging="136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1" w:hanging="136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1" w:hanging="136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61" w:hanging="1361"/>
      </w:pPr>
      <w:rPr>
        <w:rFonts w:hint="default"/>
      </w:rPr>
    </w:lvl>
  </w:abstractNum>
  <w:abstractNum w:abstractNumId="4" w15:restartNumberingAfterBreak="0">
    <w:nsid w:val="06936884"/>
    <w:multiLevelType w:val="multilevel"/>
    <w:tmpl w:val="3A8C8736"/>
    <w:numStyleLink w:val="ChilliExecBullets"/>
  </w:abstractNum>
  <w:abstractNum w:abstractNumId="5" w15:restartNumberingAfterBreak="0">
    <w:nsid w:val="090D5943"/>
    <w:multiLevelType w:val="multilevel"/>
    <w:tmpl w:val="265CF358"/>
    <w:numStyleLink w:val="Chillinumberedlist"/>
  </w:abstractNum>
  <w:abstractNum w:abstractNumId="6" w15:restartNumberingAfterBreak="0">
    <w:nsid w:val="0BFD1B81"/>
    <w:multiLevelType w:val="multilevel"/>
    <w:tmpl w:val="F1028024"/>
    <w:styleLink w:val="Chillitablebullets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56082" w:themeColor="accent1"/>
      </w:rPr>
    </w:lvl>
    <w:lvl w:ilvl="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156082" w:themeColor="accent1"/>
      </w:rPr>
    </w:lvl>
    <w:lvl w:ilvl="2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  <w:color w:val="156082" w:themeColor="accent1"/>
      </w:rPr>
    </w:lvl>
    <w:lvl w:ilvl="3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156082" w:themeColor="accent1"/>
      </w:rPr>
    </w:lvl>
    <w:lvl w:ilvl="4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156082" w:themeColor="accent1"/>
      </w:rPr>
    </w:lvl>
    <w:lvl w:ilvl="5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1700" w:hanging="170"/>
      </w:pPr>
      <w:rPr>
        <w:rFonts w:ascii="Symbol" w:hAnsi="Symbol" w:hint="default"/>
        <w:color w:val="auto"/>
      </w:rPr>
    </w:lvl>
  </w:abstractNum>
  <w:abstractNum w:abstractNumId="7" w15:restartNumberingAfterBreak="0">
    <w:nsid w:val="0C943B2C"/>
    <w:multiLevelType w:val="multilevel"/>
    <w:tmpl w:val="0312125E"/>
    <w:numStyleLink w:val="NumberedListforTables"/>
  </w:abstractNum>
  <w:abstractNum w:abstractNumId="8" w15:restartNumberingAfterBreak="0">
    <w:nsid w:val="0DAB0306"/>
    <w:multiLevelType w:val="multilevel"/>
    <w:tmpl w:val="265CF358"/>
    <w:numStyleLink w:val="Chillinumberedlist"/>
  </w:abstractNum>
  <w:abstractNum w:abstractNumId="9" w15:restartNumberingAfterBreak="0">
    <w:nsid w:val="0E225F07"/>
    <w:multiLevelType w:val="hybridMultilevel"/>
    <w:tmpl w:val="D1EE2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D1C8C"/>
    <w:multiLevelType w:val="multilevel"/>
    <w:tmpl w:val="3A8C8736"/>
    <w:styleLink w:val="ChilliExecBullets"/>
    <w:lvl w:ilvl="0">
      <w:start w:val="1"/>
      <w:numFmt w:val="bullet"/>
      <w:pStyle w:val="ExecSumBullets"/>
      <w:lvlText w:val=""/>
      <w:lvlJc w:val="left"/>
      <w:pPr>
        <w:ind w:left="357" w:hanging="357"/>
      </w:pPr>
      <w:rPr>
        <w:rFonts w:ascii="Wingdings" w:hAnsi="Wingdings" w:hint="default"/>
        <w:color w:val="156082" w:themeColor="accent1"/>
      </w:rPr>
    </w:lvl>
    <w:lvl w:ilvl="1">
      <w:start w:val="1"/>
      <w:numFmt w:val="bullet"/>
      <w:lvlText w:val=""/>
      <w:lvlJc w:val="left"/>
      <w:pPr>
        <w:ind w:left="714" w:hanging="357"/>
      </w:pPr>
      <w:rPr>
        <w:rFonts w:ascii="Wingdings" w:hAnsi="Wingdings" w:hint="default"/>
        <w:color w:val="156082" w:themeColor="accent1"/>
      </w:rPr>
    </w:lvl>
    <w:lvl w:ilvl="2">
      <w:start w:val="1"/>
      <w:numFmt w:val="bullet"/>
      <w:lvlText w:val=""/>
      <w:lvlJc w:val="left"/>
      <w:pPr>
        <w:ind w:left="1071" w:hanging="357"/>
      </w:pPr>
      <w:rPr>
        <w:rFonts w:ascii="Wingdings" w:hAnsi="Wingdings" w:hint="default"/>
        <w:color w:val="156082" w:themeColor="accent1"/>
      </w:rPr>
    </w:lvl>
    <w:lvl w:ilvl="3">
      <w:start w:val="1"/>
      <w:numFmt w:val="bullet"/>
      <w:lvlText w:val=""/>
      <w:lvlJc w:val="left"/>
      <w:pPr>
        <w:ind w:left="1428" w:hanging="357"/>
      </w:pPr>
      <w:rPr>
        <w:rFonts w:ascii="Wingdings" w:hAnsi="Wingdings" w:hint="default"/>
        <w:color w:val="156082" w:themeColor="accent1"/>
      </w:rPr>
    </w:lvl>
    <w:lvl w:ilvl="4">
      <w:start w:val="1"/>
      <w:numFmt w:val="bullet"/>
      <w:lvlText w:val=""/>
      <w:lvlJc w:val="left"/>
      <w:pPr>
        <w:ind w:left="1785" w:hanging="357"/>
      </w:pPr>
      <w:rPr>
        <w:rFonts w:ascii="Wingdings" w:hAnsi="Wingdings" w:hint="default"/>
        <w:color w:val="156082" w:themeColor="accent1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0E2841" w:themeColor="text2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  <w:color w:val="0E2841" w:themeColor="text2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8AF1DB3"/>
    <w:multiLevelType w:val="multilevel"/>
    <w:tmpl w:val="F1028024"/>
    <w:numStyleLink w:val="Chillitablebullets"/>
  </w:abstractNum>
  <w:abstractNum w:abstractNumId="12" w15:restartNumberingAfterBreak="0">
    <w:nsid w:val="1C4672C7"/>
    <w:multiLevelType w:val="multilevel"/>
    <w:tmpl w:val="AC8CFE5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156082" w:themeColor="accent1"/>
      </w:rPr>
    </w:lvl>
    <w:lvl w:ilvl="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156082" w:themeColor="accent1"/>
      </w:rPr>
    </w:lvl>
    <w:lvl w:ilvl="2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  <w:color w:val="156082" w:themeColor="accent1"/>
      </w:rPr>
    </w:lvl>
    <w:lvl w:ilvl="3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156082" w:themeColor="accent1"/>
      </w:rPr>
    </w:lvl>
    <w:lvl w:ilvl="4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156082" w:themeColor="accent1"/>
      </w:rPr>
    </w:lvl>
    <w:lvl w:ilvl="5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1700" w:hanging="170"/>
      </w:pPr>
      <w:rPr>
        <w:rFonts w:ascii="Symbol" w:hAnsi="Symbol" w:hint="default"/>
        <w:color w:val="auto"/>
      </w:rPr>
    </w:lvl>
  </w:abstractNum>
  <w:abstractNum w:abstractNumId="13" w15:restartNumberingAfterBreak="0">
    <w:nsid w:val="1D7F4645"/>
    <w:multiLevelType w:val="hybridMultilevel"/>
    <w:tmpl w:val="02DAC7DE"/>
    <w:lvl w:ilvl="0" w:tplc="07C80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00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4E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82A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47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F4C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25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C0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E6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E2C39E1"/>
    <w:multiLevelType w:val="hybridMultilevel"/>
    <w:tmpl w:val="45043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C2633"/>
    <w:multiLevelType w:val="hybridMultilevel"/>
    <w:tmpl w:val="3C1EA8AA"/>
    <w:lvl w:ilvl="0" w:tplc="343C5F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1ABF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89E94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558C0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22AD2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B84D6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5C45D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B4E8E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2A22A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2404790B"/>
    <w:multiLevelType w:val="multilevel"/>
    <w:tmpl w:val="F1028024"/>
    <w:numStyleLink w:val="Chillitablebullets"/>
  </w:abstractNum>
  <w:abstractNum w:abstractNumId="17" w15:restartNumberingAfterBreak="0">
    <w:nsid w:val="245E5ABD"/>
    <w:multiLevelType w:val="multilevel"/>
    <w:tmpl w:val="3A8C8736"/>
    <w:numStyleLink w:val="ChilliExecBullets"/>
  </w:abstractNum>
  <w:abstractNum w:abstractNumId="18" w15:restartNumberingAfterBreak="0">
    <w:nsid w:val="250D0C80"/>
    <w:multiLevelType w:val="hybridMultilevel"/>
    <w:tmpl w:val="64CAF6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7A2F57"/>
    <w:multiLevelType w:val="multilevel"/>
    <w:tmpl w:val="0312125E"/>
    <w:styleLink w:val="NumberedListforTables"/>
    <w:lvl w:ilvl="0">
      <w:start w:val="1"/>
      <w:numFmt w:val="decimal"/>
      <w:pStyle w:val="TableNumberedList"/>
      <w:lvlText w:val="%1."/>
      <w:lvlJc w:val="left"/>
      <w:pPr>
        <w:ind w:left="284" w:hanging="28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E5236A8"/>
    <w:multiLevelType w:val="singleLevel"/>
    <w:tmpl w:val="93C8C98C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/>
        <w:i w:val="0"/>
        <w:color w:val="0E2841" w:themeColor="text2"/>
      </w:rPr>
    </w:lvl>
  </w:abstractNum>
  <w:abstractNum w:abstractNumId="21" w15:restartNumberingAfterBreak="0">
    <w:nsid w:val="2EC743D4"/>
    <w:multiLevelType w:val="multilevel"/>
    <w:tmpl w:val="185E4BDC"/>
    <w:lvl w:ilvl="0">
      <w:start w:val="1"/>
      <w:numFmt w:val="bullet"/>
      <w:pStyle w:val="TableBullets1"/>
      <w:lvlText w:val=""/>
      <w:lvlJc w:val="left"/>
      <w:pPr>
        <w:ind w:left="170" w:hanging="170"/>
      </w:pPr>
      <w:rPr>
        <w:rFonts w:ascii="Symbol" w:hAnsi="Symbol" w:hint="default"/>
        <w:color w:val="156082" w:themeColor="accent1"/>
      </w:rPr>
    </w:lvl>
    <w:lvl w:ilvl="1">
      <w:start w:val="1"/>
      <w:numFmt w:val="bullet"/>
      <w:pStyle w:val="TableBullets2"/>
      <w:lvlText w:val=""/>
      <w:lvlJc w:val="left"/>
      <w:pPr>
        <w:ind w:left="340" w:hanging="170"/>
      </w:pPr>
      <w:rPr>
        <w:rFonts w:ascii="Symbol" w:hAnsi="Symbol" w:hint="default"/>
        <w:color w:val="156082" w:themeColor="accent1"/>
      </w:rPr>
    </w:lvl>
    <w:lvl w:ilvl="2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  <w:color w:val="156082" w:themeColor="accent1"/>
      </w:rPr>
    </w:lvl>
    <w:lvl w:ilvl="3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156082" w:themeColor="accent1"/>
      </w:rPr>
    </w:lvl>
    <w:lvl w:ilvl="4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156082" w:themeColor="accent1"/>
      </w:rPr>
    </w:lvl>
    <w:lvl w:ilvl="5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1700" w:hanging="170"/>
      </w:pPr>
      <w:rPr>
        <w:rFonts w:ascii="Symbol" w:hAnsi="Symbol" w:hint="default"/>
        <w:color w:val="auto"/>
      </w:rPr>
    </w:lvl>
  </w:abstractNum>
  <w:abstractNum w:abstractNumId="22" w15:restartNumberingAfterBreak="0">
    <w:nsid w:val="319B3EFE"/>
    <w:multiLevelType w:val="hybridMultilevel"/>
    <w:tmpl w:val="89340546"/>
    <w:lvl w:ilvl="0" w:tplc="90384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6E2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9C8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B0E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084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509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3A8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3E4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CED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3DE783B"/>
    <w:multiLevelType w:val="hybridMultilevel"/>
    <w:tmpl w:val="7E6C9C62"/>
    <w:lvl w:ilvl="0" w:tplc="C8365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EA8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EE8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7CA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EB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780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BA7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8E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523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3F454D7"/>
    <w:multiLevelType w:val="multilevel"/>
    <w:tmpl w:val="EB162C38"/>
    <w:styleLink w:val="LetterList"/>
    <w:lvl w:ilvl="0">
      <w:start w:val="1"/>
      <w:numFmt w:val="lowerLetter"/>
      <w:pStyle w:val="AlphaList"/>
      <w:lvlText w:val="%1."/>
      <w:lvlJc w:val="left"/>
      <w:pPr>
        <w:ind w:left="680" w:hanging="255"/>
      </w:pPr>
      <w:rPr>
        <w:rFonts w:asciiTheme="minorHAnsi" w:hAnsiTheme="minorHAnsi" w:hint="default"/>
        <w:color w:val="156082" w:themeColor="accent1"/>
      </w:rPr>
    </w:lvl>
    <w:lvl w:ilvl="1">
      <w:start w:val="1"/>
      <w:numFmt w:val="lowerLetter"/>
      <w:lvlText w:val="%2)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25" w15:restartNumberingAfterBreak="0">
    <w:nsid w:val="35387331"/>
    <w:multiLevelType w:val="multilevel"/>
    <w:tmpl w:val="265CF358"/>
    <w:styleLink w:val="Chillinumberedlist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156082" w:themeColor="accent1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  <w:color w:val="156082" w:themeColor="accent1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  <w:color w:val="156082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156082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156082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3C582CAD"/>
    <w:multiLevelType w:val="multilevel"/>
    <w:tmpl w:val="2144ACF8"/>
    <w:styleLink w:val="TableAlphalist"/>
    <w:lvl w:ilvl="0">
      <w:start w:val="1"/>
      <w:numFmt w:val="lowerLetter"/>
      <w:pStyle w:val="TableAlphaList0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454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54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4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227"/>
      </w:pPr>
      <w:rPr>
        <w:rFonts w:hint="default"/>
      </w:rPr>
    </w:lvl>
  </w:abstractNum>
  <w:abstractNum w:abstractNumId="27" w15:restartNumberingAfterBreak="0">
    <w:nsid w:val="429A5F73"/>
    <w:multiLevelType w:val="multilevel"/>
    <w:tmpl w:val="419A3F72"/>
    <w:styleLink w:val="BulletsforTables"/>
    <w:lvl w:ilvl="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1700" w:hanging="170"/>
      </w:pPr>
      <w:rPr>
        <w:rFonts w:ascii="Symbol" w:hAnsi="Symbol" w:hint="default"/>
        <w:color w:val="auto"/>
      </w:rPr>
    </w:lvl>
  </w:abstractNum>
  <w:abstractNum w:abstractNumId="28" w15:restartNumberingAfterBreak="0">
    <w:nsid w:val="48D84991"/>
    <w:multiLevelType w:val="hybridMultilevel"/>
    <w:tmpl w:val="1CD6B798"/>
    <w:lvl w:ilvl="0" w:tplc="CE10C680">
      <w:start w:val="1"/>
      <w:numFmt w:val="decimal"/>
      <w:lvlText w:val="%1)"/>
      <w:lvlJc w:val="left"/>
      <w:pPr>
        <w:ind w:left="1020" w:hanging="360"/>
      </w:pPr>
    </w:lvl>
    <w:lvl w:ilvl="1" w:tplc="8EEEBBF0">
      <w:start w:val="1"/>
      <w:numFmt w:val="decimal"/>
      <w:lvlText w:val="%2)"/>
      <w:lvlJc w:val="left"/>
      <w:pPr>
        <w:ind w:left="1020" w:hanging="360"/>
      </w:pPr>
    </w:lvl>
    <w:lvl w:ilvl="2" w:tplc="9288E3D2">
      <w:start w:val="1"/>
      <w:numFmt w:val="decimal"/>
      <w:lvlText w:val="%3)"/>
      <w:lvlJc w:val="left"/>
      <w:pPr>
        <w:ind w:left="1020" w:hanging="360"/>
      </w:pPr>
    </w:lvl>
    <w:lvl w:ilvl="3" w:tplc="9CD40178">
      <w:start w:val="1"/>
      <w:numFmt w:val="decimal"/>
      <w:lvlText w:val="%4)"/>
      <w:lvlJc w:val="left"/>
      <w:pPr>
        <w:ind w:left="1020" w:hanging="360"/>
      </w:pPr>
    </w:lvl>
    <w:lvl w:ilvl="4" w:tplc="C396EA56">
      <w:start w:val="1"/>
      <w:numFmt w:val="decimal"/>
      <w:lvlText w:val="%5)"/>
      <w:lvlJc w:val="left"/>
      <w:pPr>
        <w:ind w:left="1020" w:hanging="360"/>
      </w:pPr>
    </w:lvl>
    <w:lvl w:ilvl="5" w:tplc="6A3AA4E0">
      <w:start w:val="1"/>
      <w:numFmt w:val="decimal"/>
      <w:lvlText w:val="%6)"/>
      <w:lvlJc w:val="left"/>
      <w:pPr>
        <w:ind w:left="1020" w:hanging="360"/>
      </w:pPr>
    </w:lvl>
    <w:lvl w:ilvl="6" w:tplc="B3568662">
      <w:start w:val="1"/>
      <w:numFmt w:val="decimal"/>
      <w:lvlText w:val="%7)"/>
      <w:lvlJc w:val="left"/>
      <w:pPr>
        <w:ind w:left="1020" w:hanging="360"/>
      </w:pPr>
    </w:lvl>
    <w:lvl w:ilvl="7" w:tplc="EBD885BA">
      <w:start w:val="1"/>
      <w:numFmt w:val="decimal"/>
      <w:lvlText w:val="%8)"/>
      <w:lvlJc w:val="left"/>
      <w:pPr>
        <w:ind w:left="1020" w:hanging="360"/>
      </w:pPr>
    </w:lvl>
    <w:lvl w:ilvl="8" w:tplc="A1CCC0EC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4B065BE3"/>
    <w:multiLevelType w:val="hybridMultilevel"/>
    <w:tmpl w:val="D78CD6CE"/>
    <w:lvl w:ilvl="0" w:tplc="23F23CAE">
      <w:start w:val="1"/>
      <w:numFmt w:val="decimal"/>
      <w:lvlText w:val="%1)"/>
      <w:lvlJc w:val="left"/>
      <w:pPr>
        <w:ind w:left="1020" w:hanging="360"/>
      </w:pPr>
    </w:lvl>
    <w:lvl w:ilvl="1" w:tplc="4F40D874">
      <w:start w:val="1"/>
      <w:numFmt w:val="decimal"/>
      <w:lvlText w:val="%2)"/>
      <w:lvlJc w:val="left"/>
      <w:pPr>
        <w:ind w:left="1020" w:hanging="360"/>
      </w:pPr>
    </w:lvl>
    <w:lvl w:ilvl="2" w:tplc="5ED81DF4">
      <w:start w:val="1"/>
      <w:numFmt w:val="decimal"/>
      <w:lvlText w:val="%3)"/>
      <w:lvlJc w:val="left"/>
      <w:pPr>
        <w:ind w:left="1020" w:hanging="360"/>
      </w:pPr>
    </w:lvl>
    <w:lvl w:ilvl="3" w:tplc="63FC2BCC">
      <w:start w:val="1"/>
      <w:numFmt w:val="decimal"/>
      <w:lvlText w:val="%4)"/>
      <w:lvlJc w:val="left"/>
      <w:pPr>
        <w:ind w:left="1020" w:hanging="360"/>
      </w:pPr>
    </w:lvl>
    <w:lvl w:ilvl="4" w:tplc="A8AC6E6E">
      <w:start w:val="1"/>
      <w:numFmt w:val="decimal"/>
      <w:lvlText w:val="%5)"/>
      <w:lvlJc w:val="left"/>
      <w:pPr>
        <w:ind w:left="1020" w:hanging="360"/>
      </w:pPr>
    </w:lvl>
    <w:lvl w:ilvl="5" w:tplc="CDCEFF68">
      <w:start w:val="1"/>
      <w:numFmt w:val="decimal"/>
      <w:lvlText w:val="%6)"/>
      <w:lvlJc w:val="left"/>
      <w:pPr>
        <w:ind w:left="1020" w:hanging="360"/>
      </w:pPr>
    </w:lvl>
    <w:lvl w:ilvl="6" w:tplc="00CA8CB6">
      <w:start w:val="1"/>
      <w:numFmt w:val="decimal"/>
      <w:lvlText w:val="%7)"/>
      <w:lvlJc w:val="left"/>
      <w:pPr>
        <w:ind w:left="1020" w:hanging="360"/>
      </w:pPr>
    </w:lvl>
    <w:lvl w:ilvl="7" w:tplc="C4849A26">
      <w:start w:val="1"/>
      <w:numFmt w:val="decimal"/>
      <w:lvlText w:val="%8)"/>
      <w:lvlJc w:val="left"/>
      <w:pPr>
        <w:ind w:left="1020" w:hanging="360"/>
      </w:pPr>
    </w:lvl>
    <w:lvl w:ilvl="8" w:tplc="365E4044">
      <w:start w:val="1"/>
      <w:numFmt w:val="decimal"/>
      <w:lvlText w:val="%9)"/>
      <w:lvlJc w:val="left"/>
      <w:pPr>
        <w:ind w:left="1020" w:hanging="360"/>
      </w:pPr>
    </w:lvl>
  </w:abstractNum>
  <w:abstractNum w:abstractNumId="30" w15:restartNumberingAfterBreak="0">
    <w:nsid w:val="4D212FFD"/>
    <w:multiLevelType w:val="hybridMultilevel"/>
    <w:tmpl w:val="8D264B40"/>
    <w:lvl w:ilvl="0" w:tplc="316A3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E0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0C1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08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EB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49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81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28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8A1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2D759F6"/>
    <w:multiLevelType w:val="hybridMultilevel"/>
    <w:tmpl w:val="145C7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455CA8"/>
    <w:multiLevelType w:val="multilevel"/>
    <w:tmpl w:val="1ABCEB66"/>
    <w:styleLink w:val="Headings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33" w15:restartNumberingAfterBreak="0">
    <w:nsid w:val="5AD32B2A"/>
    <w:multiLevelType w:val="multilevel"/>
    <w:tmpl w:val="0DCA6008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B7D4EF" w:themeColor="text2" w:themeTint="33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70A9E0" w:themeColor="text2" w:themeTint="66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2C7FCE" w:themeColor="text2" w:themeTint="99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2C7FCE" w:themeColor="text2" w:themeTint="99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2C7FCE" w:themeColor="text2" w:themeTint="99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0E2841" w:themeColor="text2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  <w:color w:val="0E2841" w:themeColor="text2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5DBA62AB"/>
    <w:multiLevelType w:val="multilevel"/>
    <w:tmpl w:val="3A8C8736"/>
    <w:numStyleLink w:val="ChilliExecBullets"/>
  </w:abstractNum>
  <w:abstractNum w:abstractNumId="35" w15:restartNumberingAfterBreak="0">
    <w:nsid w:val="643922B4"/>
    <w:multiLevelType w:val="multilevel"/>
    <w:tmpl w:val="F1028024"/>
    <w:numStyleLink w:val="Chillitablebullets"/>
  </w:abstractNum>
  <w:abstractNum w:abstractNumId="36" w15:restartNumberingAfterBreak="0">
    <w:nsid w:val="681663EE"/>
    <w:multiLevelType w:val="hybridMultilevel"/>
    <w:tmpl w:val="C8C6D262"/>
    <w:lvl w:ilvl="0" w:tplc="A4B2A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1A2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67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03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CA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8AD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E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88C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1E3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893222B"/>
    <w:multiLevelType w:val="multilevel"/>
    <w:tmpl w:val="79226C5A"/>
    <w:lvl w:ilvl="0">
      <w:start w:val="1"/>
      <w:numFmt w:val="decimal"/>
      <w:pStyle w:val="Appendix1"/>
      <w:isLgl/>
      <w:lvlText w:val="Appendix %1"/>
      <w:lvlJc w:val="left"/>
      <w:pPr>
        <w:ind w:left="1361" w:hanging="1361"/>
      </w:pPr>
      <w:rPr>
        <w:rFonts w:asciiTheme="majorHAnsi" w:hAnsiTheme="majorHAnsi" w:hint="default"/>
        <w:b/>
        <w:i w:val="0"/>
        <w:color w:val="0E2841" w:themeColor="text2"/>
      </w:rPr>
    </w:lvl>
    <w:lvl w:ilvl="1">
      <w:start w:val="1"/>
      <w:numFmt w:val="decimal"/>
      <w:pStyle w:val="Appendix2"/>
      <w:lvlText w:val="Appendix: %1.%2"/>
      <w:lvlJc w:val="left"/>
      <w:pPr>
        <w:ind w:left="1361" w:hanging="1361"/>
      </w:pPr>
      <w:rPr>
        <w:rFonts w:hint="default"/>
        <w:color w:val="0E2841" w:themeColor="text2"/>
      </w:rPr>
    </w:lvl>
    <w:lvl w:ilvl="2">
      <w:start w:val="1"/>
      <w:numFmt w:val="lowerRoman"/>
      <w:lvlText w:val="%3)"/>
      <w:lvlJc w:val="left"/>
      <w:pPr>
        <w:ind w:left="1361" w:hanging="136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1" w:hanging="136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61" w:hanging="136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1" w:hanging="136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1" w:hanging="136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61" w:hanging="1361"/>
      </w:pPr>
      <w:rPr>
        <w:rFonts w:hint="default"/>
      </w:rPr>
    </w:lvl>
  </w:abstractNum>
  <w:abstractNum w:abstractNumId="38" w15:restartNumberingAfterBreak="0">
    <w:nsid w:val="6AEE7716"/>
    <w:multiLevelType w:val="multilevel"/>
    <w:tmpl w:val="F616635A"/>
    <w:styleLink w:val="Chillibullets"/>
    <w:lvl w:ilvl="0">
      <w:start w:val="1"/>
      <w:numFmt w:val="bullet"/>
      <w:pStyle w:val="Bullets1"/>
      <w:lvlText w:val=""/>
      <w:lvlJc w:val="left"/>
      <w:pPr>
        <w:ind w:left="357" w:hanging="357"/>
      </w:pPr>
      <w:rPr>
        <w:rFonts w:ascii="Symbol" w:hAnsi="Symbol" w:hint="default"/>
        <w:color w:val="156082" w:themeColor="accent1"/>
      </w:rPr>
    </w:lvl>
    <w:lvl w:ilvl="1">
      <w:start w:val="1"/>
      <w:numFmt w:val="bullet"/>
      <w:pStyle w:val="Bullets2"/>
      <w:lvlText w:val=""/>
      <w:lvlJc w:val="left"/>
      <w:pPr>
        <w:ind w:left="714" w:hanging="357"/>
      </w:pPr>
      <w:rPr>
        <w:rFonts w:ascii="Symbol" w:hAnsi="Symbol" w:hint="default"/>
        <w:color w:val="156082" w:themeColor="accent1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156082" w:themeColor="accent1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  <w:color w:val="156082" w:themeColor="accent1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156082" w:themeColor="accent1"/>
      </w:rPr>
    </w:lvl>
    <w:lvl w:ilvl="5">
      <w:start w:val="1"/>
      <w:numFmt w:val="bullet"/>
      <w:lvlText w:val=""/>
      <w:lvlJc w:val="left"/>
      <w:pPr>
        <w:ind w:left="2142" w:hanging="357"/>
      </w:pPr>
      <w:rPr>
        <w:rFonts w:ascii="Symbol" w:hAnsi="Symbol" w:hint="default"/>
        <w:color w:val="0E2841" w:themeColor="text2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  <w:color w:val="0E2841" w:themeColor="text2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  <w:color w:val="156082" w:themeColor="accent1"/>
      </w:rPr>
    </w:lvl>
    <w:lvl w:ilvl="8">
      <w:start w:val="1"/>
      <w:numFmt w:val="bullet"/>
      <w:lvlText w:val=""/>
      <w:lvlJc w:val="left"/>
      <w:pPr>
        <w:ind w:left="3213" w:hanging="357"/>
      </w:pPr>
      <w:rPr>
        <w:rFonts w:ascii="Symbol" w:hAnsi="Symbol" w:hint="default"/>
        <w:color w:val="156082" w:themeColor="accent1"/>
      </w:rPr>
    </w:lvl>
  </w:abstractNum>
  <w:abstractNum w:abstractNumId="39" w15:restartNumberingAfterBreak="0">
    <w:nsid w:val="701809E3"/>
    <w:multiLevelType w:val="multilevel"/>
    <w:tmpl w:val="CD14330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1700" w:hanging="170"/>
      </w:pPr>
      <w:rPr>
        <w:rFonts w:ascii="Symbol" w:hAnsi="Symbol" w:hint="default"/>
        <w:color w:val="auto"/>
      </w:rPr>
    </w:lvl>
  </w:abstractNum>
  <w:abstractNum w:abstractNumId="40" w15:restartNumberingAfterBreak="0">
    <w:nsid w:val="788D11C6"/>
    <w:multiLevelType w:val="hybridMultilevel"/>
    <w:tmpl w:val="8D3A8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833142">
    <w:abstractNumId w:val="38"/>
  </w:num>
  <w:num w:numId="2" w16cid:durableId="1704986659">
    <w:abstractNumId w:val="39"/>
  </w:num>
  <w:num w:numId="3" w16cid:durableId="1807039469">
    <w:abstractNumId w:val="7"/>
  </w:num>
  <w:num w:numId="4" w16cid:durableId="58864036">
    <w:abstractNumId w:val="33"/>
  </w:num>
  <w:num w:numId="5" w16cid:durableId="37629159">
    <w:abstractNumId w:val="37"/>
  </w:num>
  <w:num w:numId="6" w16cid:durableId="658848901">
    <w:abstractNumId w:val="3"/>
  </w:num>
  <w:num w:numId="7" w16cid:durableId="870649851">
    <w:abstractNumId w:val="27"/>
  </w:num>
  <w:num w:numId="8" w16cid:durableId="429542427">
    <w:abstractNumId w:val="32"/>
  </w:num>
  <w:num w:numId="9" w16cid:durableId="933128546">
    <w:abstractNumId w:val="2"/>
  </w:num>
  <w:num w:numId="10" w16cid:durableId="1880820488">
    <w:abstractNumId w:val="24"/>
  </w:num>
  <w:num w:numId="11" w16cid:durableId="1740397095">
    <w:abstractNumId w:val="1"/>
  </w:num>
  <w:num w:numId="12" w16cid:durableId="600459250">
    <w:abstractNumId w:val="20"/>
  </w:num>
  <w:num w:numId="13" w16cid:durableId="1609966247">
    <w:abstractNumId w:val="5"/>
  </w:num>
  <w:num w:numId="14" w16cid:durableId="2007173002">
    <w:abstractNumId w:val="19"/>
  </w:num>
  <w:num w:numId="15" w16cid:durableId="500506878">
    <w:abstractNumId w:val="10"/>
  </w:num>
  <w:num w:numId="16" w16cid:durableId="1628968536">
    <w:abstractNumId w:val="25"/>
  </w:num>
  <w:num w:numId="17" w16cid:durableId="283540364">
    <w:abstractNumId w:val="26"/>
  </w:num>
  <w:num w:numId="18" w16cid:durableId="1663125300">
    <w:abstractNumId w:val="4"/>
  </w:num>
  <w:num w:numId="19" w16cid:durableId="934093944">
    <w:abstractNumId w:val="34"/>
  </w:num>
  <w:num w:numId="20" w16cid:durableId="1754011471">
    <w:abstractNumId w:val="17"/>
  </w:num>
  <w:num w:numId="21" w16cid:durableId="2078892025">
    <w:abstractNumId w:val="8"/>
  </w:num>
  <w:num w:numId="22" w16cid:durableId="1980333900">
    <w:abstractNumId w:val="12"/>
  </w:num>
  <w:num w:numId="23" w16cid:durableId="1274943638">
    <w:abstractNumId w:val="6"/>
  </w:num>
  <w:num w:numId="24" w16cid:durableId="542911546">
    <w:abstractNumId w:val="16"/>
  </w:num>
  <w:num w:numId="25" w16cid:durableId="966006574">
    <w:abstractNumId w:val="35"/>
  </w:num>
  <w:num w:numId="26" w16cid:durableId="1012563285">
    <w:abstractNumId w:val="11"/>
  </w:num>
  <w:num w:numId="27" w16cid:durableId="1062943829">
    <w:abstractNumId w:val="21"/>
  </w:num>
  <w:num w:numId="28" w16cid:durableId="1855612452">
    <w:abstractNumId w:val="0"/>
  </w:num>
  <w:num w:numId="29" w16cid:durableId="408232335">
    <w:abstractNumId w:val="15"/>
  </w:num>
  <w:num w:numId="30" w16cid:durableId="2015766022">
    <w:abstractNumId w:val="36"/>
  </w:num>
  <w:num w:numId="31" w16cid:durableId="1367365362">
    <w:abstractNumId w:val="30"/>
  </w:num>
  <w:num w:numId="32" w16cid:durableId="488792947">
    <w:abstractNumId w:val="23"/>
  </w:num>
  <w:num w:numId="33" w16cid:durableId="1019549869">
    <w:abstractNumId w:val="22"/>
  </w:num>
  <w:num w:numId="34" w16cid:durableId="2138713282">
    <w:abstractNumId w:val="13"/>
  </w:num>
  <w:num w:numId="35" w16cid:durableId="1269585712">
    <w:abstractNumId w:val="31"/>
  </w:num>
  <w:num w:numId="36" w16cid:durableId="390157760">
    <w:abstractNumId w:val="14"/>
  </w:num>
  <w:num w:numId="37" w16cid:durableId="1965963098">
    <w:abstractNumId w:val="40"/>
  </w:num>
  <w:num w:numId="38" w16cid:durableId="1439301805">
    <w:abstractNumId w:val="9"/>
  </w:num>
  <w:num w:numId="39" w16cid:durableId="1505903544">
    <w:abstractNumId w:val="28"/>
  </w:num>
  <w:num w:numId="40" w16cid:durableId="1977295246">
    <w:abstractNumId w:val="29"/>
  </w:num>
  <w:num w:numId="41" w16cid:durableId="8302921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04"/>
    <w:rsid w:val="000234D3"/>
    <w:rsid w:val="00036EBF"/>
    <w:rsid w:val="000D3C95"/>
    <w:rsid w:val="000D7F04"/>
    <w:rsid w:val="00113846"/>
    <w:rsid w:val="00136949"/>
    <w:rsid w:val="002608B1"/>
    <w:rsid w:val="00292056"/>
    <w:rsid w:val="0033323D"/>
    <w:rsid w:val="00345FD0"/>
    <w:rsid w:val="00353800"/>
    <w:rsid w:val="0037793F"/>
    <w:rsid w:val="00382FFC"/>
    <w:rsid w:val="003D5E92"/>
    <w:rsid w:val="00412A21"/>
    <w:rsid w:val="00426D36"/>
    <w:rsid w:val="0044446F"/>
    <w:rsid w:val="00466A5E"/>
    <w:rsid w:val="00477C32"/>
    <w:rsid w:val="004B3D78"/>
    <w:rsid w:val="005057BC"/>
    <w:rsid w:val="005653F7"/>
    <w:rsid w:val="005712FE"/>
    <w:rsid w:val="00572AAC"/>
    <w:rsid w:val="00575734"/>
    <w:rsid w:val="00607A63"/>
    <w:rsid w:val="00675175"/>
    <w:rsid w:val="00687FD7"/>
    <w:rsid w:val="006B3086"/>
    <w:rsid w:val="00720C50"/>
    <w:rsid w:val="00750EF4"/>
    <w:rsid w:val="00753FB1"/>
    <w:rsid w:val="007549EE"/>
    <w:rsid w:val="007D09F0"/>
    <w:rsid w:val="007F599B"/>
    <w:rsid w:val="00813E12"/>
    <w:rsid w:val="00861681"/>
    <w:rsid w:val="008A279A"/>
    <w:rsid w:val="008B1E07"/>
    <w:rsid w:val="008E1EE8"/>
    <w:rsid w:val="00930B07"/>
    <w:rsid w:val="009327D7"/>
    <w:rsid w:val="00973FF7"/>
    <w:rsid w:val="00983C00"/>
    <w:rsid w:val="009B745F"/>
    <w:rsid w:val="009F77E6"/>
    <w:rsid w:val="00A26E72"/>
    <w:rsid w:val="00A62366"/>
    <w:rsid w:val="00AE28CF"/>
    <w:rsid w:val="00B9212B"/>
    <w:rsid w:val="00B955E5"/>
    <w:rsid w:val="00BF552E"/>
    <w:rsid w:val="00C056BF"/>
    <w:rsid w:val="00C54C08"/>
    <w:rsid w:val="00C87785"/>
    <w:rsid w:val="00CC28F7"/>
    <w:rsid w:val="00CE0CEA"/>
    <w:rsid w:val="00D028F7"/>
    <w:rsid w:val="00D104AB"/>
    <w:rsid w:val="00D47A5D"/>
    <w:rsid w:val="00D63855"/>
    <w:rsid w:val="00D720E3"/>
    <w:rsid w:val="00D87FE8"/>
    <w:rsid w:val="00E27F28"/>
    <w:rsid w:val="00EA6D62"/>
    <w:rsid w:val="00F469CE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E923"/>
  <w15:chartTrackingRefBased/>
  <w15:docId w15:val="{538B4059-4347-4DE8-9B06-C15BE4E2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8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D7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D7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D7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7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D7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0D7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0D7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D7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7"/>
    <w:qFormat/>
    <w:rsid w:val="000D7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7"/>
    <w:rsid w:val="000D7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F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F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F0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0D7F04"/>
  </w:style>
  <w:style w:type="table" w:customStyle="1" w:styleId="TableGrid1">
    <w:name w:val="Table Grid1"/>
    <w:basedOn w:val="TableNormal"/>
    <w:next w:val="TableGrid"/>
    <w:uiPriority w:val="39"/>
    <w:locked/>
    <w:rsid w:val="000D7F04"/>
    <w:pPr>
      <w:spacing w:after="0" w:line="240" w:lineRule="auto"/>
    </w:pPr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Headings">
    <w:name w:val="Headings"/>
    <w:uiPriority w:val="99"/>
    <w:rsid w:val="000D7F04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"/>
    <w:qFormat/>
    <w:rsid w:val="000D7F04"/>
    <w:pPr>
      <w:spacing w:before="120" w:after="0" w:line="312" w:lineRule="auto"/>
    </w:pPr>
    <w:rPr>
      <w:rFonts w:ascii="Calibri" w:hAnsi="Calibri" w:cs="Calibri"/>
      <w:sz w:val="24"/>
    </w:rPr>
  </w:style>
  <w:style w:type="character" w:customStyle="1" w:styleId="BodyTextChar">
    <w:name w:val="Body Text Char"/>
    <w:basedOn w:val="DefaultParagraphFont"/>
    <w:link w:val="BodyText"/>
    <w:uiPriority w:val="9"/>
    <w:rsid w:val="000D7F04"/>
    <w:rPr>
      <w:rFonts w:ascii="Calibri" w:hAnsi="Calibri" w:cs="Calibri"/>
      <w:sz w:val="24"/>
    </w:rPr>
  </w:style>
  <w:style w:type="numbering" w:customStyle="1" w:styleId="HeadingsVM">
    <w:name w:val="HeadingsVM"/>
    <w:uiPriority w:val="99"/>
    <w:rsid w:val="000D7F04"/>
    <w:pPr>
      <w:numPr>
        <w:numId w:val="9"/>
      </w:numPr>
    </w:pPr>
  </w:style>
  <w:style w:type="paragraph" w:customStyle="1" w:styleId="HeadingVM1">
    <w:name w:val="Heading VM 1"/>
    <w:basedOn w:val="Normal"/>
    <w:next w:val="BodyText"/>
    <w:uiPriority w:val="6"/>
    <w:semiHidden/>
    <w:qFormat/>
    <w:rsid w:val="000D7F04"/>
    <w:pPr>
      <w:numPr>
        <w:numId w:val="9"/>
      </w:numPr>
      <w:spacing w:after="240" w:line="240" w:lineRule="auto"/>
    </w:pPr>
    <w:rPr>
      <w:rFonts w:ascii="Calibri" w:hAnsi="Calibri" w:cs="Calibri"/>
      <w:color w:val="808080"/>
      <w:sz w:val="32"/>
    </w:rPr>
  </w:style>
  <w:style w:type="paragraph" w:customStyle="1" w:styleId="HeadingVM2">
    <w:name w:val="Heading VM 2"/>
    <w:basedOn w:val="HeadingVM1"/>
    <w:next w:val="BodyText"/>
    <w:uiPriority w:val="7"/>
    <w:semiHidden/>
    <w:qFormat/>
    <w:rsid w:val="000D7F04"/>
    <w:pPr>
      <w:numPr>
        <w:ilvl w:val="1"/>
      </w:numPr>
      <w:tabs>
        <w:tab w:val="num" w:pos="360"/>
      </w:tabs>
      <w:spacing w:before="320" w:after="0"/>
    </w:pPr>
    <w:rPr>
      <w:b/>
      <w:sz w:val="24"/>
    </w:rPr>
  </w:style>
  <w:style w:type="paragraph" w:customStyle="1" w:styleId="NumberLists">
    <w:name w:val="Number Lists"/>
    <w:basedOn w:val="BodyText"/>
    <w:semiHidden/>
    <w:qFormat/>
    <w:locked/>
    <w:rsid w:val="000D7F04"/>
  </w:style>
  <w:style w:type="paragraph" w:customStyle="1" w:styleId="NumberedList">
    <w:name w:val="Numbered List"/>
    <w:basedOn w:val="BodyText"/>
    <w:uiPriority w:val="24"/>
    <w:qFormat/>
    <w:rsid w:val="000D7F04"/>
    <w:pPr>
      <w:numPr>
        <w:numId w:val="12"/>
      </w:numPr>
      <w:tabs>
        <w:tab w:val="num" w:pos="360"/>
      </w:tabs>
      <w:spacing w:after="60"/>
      <w:ind w:left="0" w:firstLine="0"/>
      <w:contextualSpacing/>
    </w:pPr>
  </w:style>
  <w:style w:type="numbering" w:customStyle="1" w:styleId="Chillinumberedlist">
    <w:name w:val="Chilli numbered list"/>
    <w:uiPriority w:val="99"/>
    <w:rsid w:val="000D7F04"/>
    <w:pPr>
      <w:numPr>
        <w:numId w:val="16"/>
      </w:numPr>
    </w:pPr>
  </w:style>
  <w:style w:type="paragraph" w:customStyle="1" w:styleId="NumberAlphaList">
    <w:name w:val="Number Alpha List"/>
    <w:basedOn w:val="BodyText"/>
    <w:semiHidden/>
    <w:locked/>
    <w:rsid w:val="000D7F04"/>
  </w:style>
  <w:style w:type="paragraph" w:customStyle="1" w:styleId="AlphaList">
    <w:name w:val="Alpha List"/>
    <w:basedOn w:val="BodyText"/>
    <w:uiPriority w:val="2"/>
    <w:semiHidden/>
    <w:qFormat/>
    <w:rsid w:val="000D7F04"/>
    <w:pPr>
      <w:numPr>
        <w:numId w:val="10"/>
      </w:numPr>
      <w:tabs>
        <w:tab w:val="num" w:pos="360"/>
      </w:tabs>
      <w:spacing w:before="0" w:after="60"/>
      <w:ind w:left="0" w:firstLine="0"/>
      <w:contextualSpacing/>
    </w:pPr>
  </w:style>
  <w:style w:type="numbering" w:customStyle="1" w:styleId="LetterList">
    <w:name w:val="Letter List"/>
    <w:uiPriority w:val="99"/>
    <w:rsid w:val="000D7F04"/>
    <w:pPr>
      <w:numPr>
        <w:numId w:val="10"/>
      </w:numPr>
    </w:pPr>
  </w:style>
  <w:style w:type="paragraph" w:customStyle="1" w:styleId="NumberBullets">
    <w:name w:val="Number Bullets"/>
    <w:basedOn w:val="BodyText"/>
    <w:semiHidden/>
    <w:qFormat/>
    <w:locked/>
    <w:rsid w:val="000D7F04"/>
  </w:style>
  <w:style w:type="paragraph" w:customStyle="1" w:styleId="Bullets1">
    <w:name w:val="Bullets 1"/>
    <w:basedOn w:val="BodyText"/>
    <w:uiPriority w:val="23"/>
    <w:qFormat/>
    <w:rsid w:val="000D7F04"/>
    <w:pPr>
      <w:numPr>
        <w:numId w:val="1"/>
      </w:numPr>
      <w:spacing w:before="60" w:after="60"/>
    </w:pPr>
  </w:style>
  <w:style w:type="numbering" w:customStyle="1" w:styleId="Chillibullets">
    <w:name w:val="Chilli bullets"/>
    <w:uiPriority w:val="99"/>
    <w:rsid w:val="000D7F04"/>
    <w:pPr>
      <w:numPr>
        <w:numId w:val="1"/>
      </w:numPr>
    </w:pPr>
  </w:style>
  <w:style w:type="paragraph" w:customStyle="1" w:styleId="Bullets2">
    <w:name w:val="Bullets 2"/>
    <w:basedOn w:val="Bullets1"/>
    <w:uiPriority w:val="24"/>
    <w:rsid w:val="000D7F04"/>
    <w:pPr>
      <w:numPr>
        <w:ilvl w:val="1"/>
      </w:numPr>
      <w:tabs>
        <w:tab w:val="num" w:pos="360"/>
      </w:tabs>
      <w:spacing w:before="0" w:after="40"/>
    </w:pPr>
  </w:style>
  <w:style w:type="paragraph" w:customStyle="1" w:styleId="Preface">
    <w:name w:val="Preface"/>
    <w:basedOn w:val="Normal"/>
    <w:next w:val="BodyText"/>
    <w:uiPriority w:val="2"/>
    <w:semiHidden/>
    <w:qFormat/>
    <w:rsid w:val="000D7F04"/>
    <w:pPr>
      <w:spacing w:after="240" w:line="240" w:lineRule="auto"/>
      <w:ind w:left="1134" w:hanging="1134"/>
    </w:pPr>
    <w:rPr>
      <w:rFonts w:ascii="Calibri" w:hAnsi="Calibri" w:cs="Calibri"/>
      <w:b/>
      <w:color w:val="D60000"/>
      <w:sz w:val="32"/>
    </w:rPr>
  </w:style>
  <w:style w:type="paragraph" w:customStyle="1" w:styleId="ExecSumHeading">
    <w:name w:val="ExecSum Heading"/>
    <w:basedOn w:val="Heading1"/>
    <w:next w:val="BodyText"/>
    <w:uiPriority w:val="70"/>
    <w:qFormat/>
    <w:rsid w:val="000D7F04"/>
    <w:pPr>
      <w:keepLines w:val="0"/>
      <w:spacing w:before="0" w:after="200" w:line="240" w:lineRule="auto"/>
    </w:pPr>
    <w:rPr>
      <w:rFonts w:ascii="Times New Roman" w:hAnsi="Times New Roman"/>
      <w:b/>
      <w:bCs/>
      <w:color w:val="auto"/>
      <w:sz w:val="32"/>
      <w:szCs w:val="28"/>
    </w:rPr>
  </w:style>
  <w:style w:type="paragraph" w:customStyle="1" w:styleId="ExecSumHeading2">
    <w:name w:val="ExecSum Heading 2"/>
    <w:basedOn w:val="Heading2"/>
    <w:next w:val="BodyText"/>
    <w:uiPriority w:val="70"/>
    <w:qFormat/>
    <w:rsid w:val="000D7F04"/>
    <w:pPr>
      <w:keepLines w:val="0"/>
      <w:spacing w:before="240" w:after="160" w:line="240" w:lineRule="auto"/>
    </w:pPr>
    <w:rPr>
      <w:rFonts w:ascii="Times New Roman" w:hAnsi="Times New Roman"/>
      <w:b/>
      <w:bCs/>
      <w:color w:val="auto"/>
      <w:sz w:val="28"/>
      <w:szCs w:val="26"/>
    </w:rPr>
  </w:style>
  <w:style w:type="paragraph" w:customStyle="1" w:styleId="NumberBulletsExecSum">
    <w:name w:val="Number Bullets ExecSum"/>
    <w:basedOn w:val="BodyText"/>
    <w:semiHidden/>
    <w:qFormat/>
    <w:locked/>
    <w:rsid w:val="000D7F04"/>
  </w:style>
  <w:style w:type="paragraph" w:customStyle="1" w:styleId="ExecSumBullets">
    <w:name w:val="ExecSum Bullets"/>
    <w:basedOn w:val="BodyText"/>
    <w:uiPriority w:val="72"/>
    <w:qFormat/>
    <w:rsid w:val="000D7F04"/>
    <w:pPr>
      <w:numPr>
        <w:numId w:val="20"/>
      </w:numPr>
      <w:spacing w:before="160" w:after="80"/>
      <w:contextualSpacing/>
    </w:pPr>
  </w:style>
  <w:style w:type="numbering" w:customStyle="1" w:styleId="ChilliExecBullets">
    <w:name w:val="Chilli Exec Bullets"/>
    <w:uiPriority w:val="99"/>
    <w:rsid w:val="000D7F04"/>
    <w:pPr>
      <w:numPr>
        <w:numId w:val="15"/>
      </w:numPr>
    </w:pPr>
  </w:style>
  <w:style w:type="paragraph" w:customStyle="1" w:styleId="ChapterSummaryHeader">
    <w:name w:val="Chapter Summary Header"/>
    <w:basedOn w:val="Normal"/>
    <w:next w:val="BodyText"/>
    <w:uiPriority w:val="99"/>
    <w:semiHidden/>
    <w:qFormat/>
    <w:rsid w:val="000D7F04"/>
    <w:pPr>
      <w:spacing w:line="240" w:lineRule="auto"/>
    </w:pPr>
    <w:rPr>
      <w:rFonts w:ascii="Calibri" w:hAnsi="Calibri" w:cs="Calibri"/>
      <w:b/>
      <w:i/>
      <w:color w:val="D60000"/>
      <w:sz w:val="28"/>
    </w:rPr>
  </w:style>
  <w:style w:type="table" w:customStyle="1" w:styleId="Chillistandardtable">
    <w:name w:val="Chilli standard table"/>
    <w:basedOn w:val="TableNormal"/>
    <w:uiPriority w:val="99"/>
    <w:qFormat/>
    <w:rsid w:val="000D7F04"/>
    <w:pPr>
      <w:keepNext/>
      <w:keepLines/>
      <w:spacing w:after="0" w:line="240" w:lineRule="auto"/>
    </w:pPr>
    <w:rPr>
      <w:rFonts w:ascii="Calibri" w:hAnsi="Calibri" w:cs="Calibri"/>
    </w:rPr>
    <w:tblPr>
      <w:tblStyleRowBandSize w:val="1"/>
      <w:tblBorders>
        <w:top w:val="single" w:sz="8" w:space="0" w:color="A6A6A6"/>
        <w:left w:val="single" w:sz="8" w:space="0" w:color="A6A6A6"/>
        <w:bottom w:val="single" w:sz="8" w:space="0" w:color="A6A6A6"/>
        <w:right w:val="single" w:sz="8" w:space="0" w:color="A6A6A6"/>
        <w:insideH w:val="single" w:sz="8" w:space="0" w:color="A6A6A6"/>
        <w:insideV w:val="single" w:sz="8" w:space="0" w:color="A6A6A6"/>
      </w:tblBorders>
    </w:tblPr>
    <w:trPr>
      <w:cantSplit/>
    </w:trPr>
    <w:tcPr>
      <w:shd w:val="clear" w:color="auto" w:fill="FFFFFF"/>
      <w:tcMar>
        <w:top w:w="57" w:type="dxa"/>
        <w:bottom w:w="57" w:type="dxa"/>
      </w:tcMar>
    </w:tcPr>
    <w:tblStylePr w:type="firstRow">
      <w:rPr>
        <w:rFonts w:ascii="Calibri" w:hAnsi="Calibri"/>
        <w:color w:val="FFFFFF"/>
      </w:rPr>
      <w:tblPr/>
      <w:trPr>
        <w:tblHeader/>
      </w:trPr>
      <w:tcPr>
        <w:shd w:val="clear" w:color="auto" w:fill="D60000"/>
      </w:tcPr>
    </w:tblStylePr>
    <w:tblStylePr w:type="band1Horz">
      <w:tblPr/>
      <w:tcPr>
        <w:shd w:val="clear" w:color="auto" w:fill="FFFFFF"/>
      </w:tcPr>
    </w:tblStylePr>
  </w:style>
  <w:style w:type="table" w:customStyle="1" w:styleId="Keypointsbox">
    <w:name w:val="Key points box"/>
    <w:basedOn w:val="TableNormal"/>
    <w:uiPriority w:val="99"/>
    <w:qFormat/>
    <w:rsid w:val="000D7F04"/>
    <w:pPr>
      <w:spacing w:after="0" w:line="240" w:lineRule="auto"/>
    </w:pPr>
    <w:rPr>
      <w:rFonts w:ascii="Calibri" w:hAnsi="Calibri" w:cs="Calibri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</w:tblBorders>
    </w:tblPr>
    <w:tcPr>
      <w:shd w:val="clear" w:color="auto" w:fill="F2F2F2"/>
      <w:tcMar>
        <w:top w:w="170" w:type="dxa"/>
        <w:left w:w="170" w:type="dxa"/>
        <w:bottom w:w="170" w:type="dxa"/>
        <w:right w:w="170" w:type="dxa"/>
      </w:tcMar>
    </w:tcPr>
  </w:style>
  <w:style w:type="table" w:customStyle="1" w:styleId="Warningbox">
    <w:name w:val="Warning box"/>
    <w:basedOn w:val="TableNormal"/>
    <w:uiPriority w:val="99"/>
    <w:qFormat/>
    <w:rsid w:val="000D7F04"/>
    <w:pPr>
      <w:spacing w:after="0" w:line="240" w:lineRule="auto"/>
    </w:pPr>
    <w:rPr>
      <w:rFonts w:ascii="Calibri" w:hAnsi="Calibri" w:cs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tblBorders>
    </w:tblPr>
    <w:tcPr>
      <w:shd w:val="clear" w:color="auto" w:fill="D60000"/>
      <w:tcMar>
        <w:top w:w="170" w:type="dxa"/>
        <w:left w:w="170" w:type="dxa"/>
        <w:bottom w:w="170" w:type="dxa"/>
        <w:right w:w="170" w:type="dxa"/>
      </w:tcMar>
    </w:tcPr>
  </w:style>
  <w:style w:type="paragraph" w:customStyle="1" w:styleId="Boxheading">
    <w:name w:val="Box heading"/>
    <w:basedOn w:val="BodyText"/>
    <w:next w:val="BodyText"/>
    <w:uiPriority w:val="5"/>
    <w:qFormat/>
    <w:rsid w:val="000D7F04"/>
    <w:pPr>
      <w:spacing w:before="0"/>
    </w:pPr>
    <w:rPr>
      <w:b/>
      <w:color w:val="000000"/>
    </w:rPr>
  </w:style>
  <w:style w:type="paragraph" w:customStyle="1" w:styleId="Footnote">
    <w:name w:val="Footnote"/>
    <w:basedOn w:val="BodyText"/>
    <w:next w:val="BodyText"/>
    <w:uiPriority w:val="49"/>
    <w:qFormat/>
    <w:rsid w:val="000D7F04"/>
    <w:pPr>
      <w:spacing w:before="60" w:line="240" w:lineRule="auto"/>
    </w:pPr>
    <w:rPr>
      <w:sz w:val="19"/>
    </w:rPr>
  </w:style>
  <w:style w:type="character" w:customStyle="1" w:styleId="Bold">
    <w:name w:val="Bold"/>
    <w:basedOn w:val="DefaultParagraphFont"/>
    <w:uiPriority w:val="59"/>
    <w:qFormat/>
    <w:rsid w:val="000D7F04"/>
    <w:rPr>
      <w:b/>
    </w:rPr>
  </w:style>
  <w:style w:type="paragraph" w:customStyle="1" w:styleId="Caption1">
    <w:name w:val="Caption1"/>
    <w:basedOn w:val="BodyText"/>
    <w:next w:val="Normal"/>
    <w:uiPriority w:val="98"/>
    <w:qFormat/>
    <w:rsid w:val="000D7F04"/>
    <w:pPr>
      <w:keepNext/>
      <w:keepLines/>
      <w:tabs>
        <w:tab w:val="left" w:pos="851"/>
        <w:tab w:val="left" w:pos="1021"/>
        <w:tab w:val="left" w:pos="1077"/>
      </w:tabs>
      <w:spacing w:before="200" w:after="120"/>
      <w:contextualSpacing/>
    </w:pPr>
    <w:rPr>
      <w:b/>
      <w:bCs/>
      <w:color w:val="000000"/>
      <w:sz w:val="20"/>
      <w:szCs w:val="18"/>
    </w:rPr>
  </w:style>
  <w:style w:type="paragraph" w:customStyle="1" w:styleId="TableBody">
    <w:name w:val="Table Body"/>
    <w:basedOn w:val="BodyText"/>
    <w:uiPriority w:val="44"/>
    <w:qFormat/>
    <w:rsid w:val="000D7F04"/>
    <w:pPr>
      <w:spacing w:before="60" w:line="240" w:lineRule="auto"/>
    </w:pPr>
    <w:rPr>
      <w:sz w:val="20"/>
    </w:rPr>
  </w:style>
  <w:style w:type="paragraph" w:customStyle="1" w:styleId="TableBodyCentred">
    <w:name w:val="Table Body Centred"/>
    <w:basedOn w:val="TableBody"/>
    <w:uiPriority w:val="45"/>
    <w:qFormat/>
    <w:rsid w:val="000D7F04"/>
    <w:pPr>
      <w:jc w:val="center"/>
    </w:pPr>
    <w:rPr>
      <w:szCs w:val="20"/>
      <w:lang w:eastAsia="en-GB"/>
    </w:rPr>
  </w:style>
  <w:style w:type="paragraph" w:customStyle="1" w:styleId="TableHeader">
    <w:name w:val="Table Header"/>
    <w:basedOn w:val="TableBody"/>
    <w:uiPriority w:val="42"/>
    <w:qFormat/>
    <w:rsid w:val="000D7F04"/>
    <w:rPr>
      <w:b/>
    </w:rPr>
  </w:style>
  <w:style w:type="paragraph" w:customStyle="1" w:styleId="TableHeaderCentred">
    <w:name w:val="Table Header Centred"/>
    <w:basedOn w:val="TableHeader"/>
    <w:uiPriority w:val="43"/>
    <w:qFormat/>
    <w:rsid w:val="000D7F04"/>
    <w:pPr>
      <w:jc w:val="center"/>
    </w:pPr>
  </w:style>
  <w:style w:type="paragraph" w:customStyle="1" w:styleId="NumberBulletsTables">
    <w:name w:val="Number Bullets Tables"/>
    <w:basedOn w:val="TableBody"/>
    <w:semiHidden/>
    <w:qFormat/>
    <w:locked/>
    <w:rsid w:val="000D7F04"/>
  </w:style>
  <w:style w:type="paragraph" w:customStyle="1" w:styleId="TableBullets1">
    <w:name w:val="Table Bullets 1"/>
    <w:basedOn w:val="TableBody"/>
    <w:uiPriority w:val="46"/>
    <w:qFormat/>
    <w:rsid w:val="000D7F04"/>
    <w:pPr>
      <w:numPr>
        <w:numId w:val="27"/>
      </w:numPr>
      <w:spacing w:before="20" w:after="60"/>
      <w:contextualSpacing/>
    </w:pPr>
  </w:style>
  <w:style w:type="numbering" w:customStyle="1" w:styleId="BulletsforTables">
    <w:name w:val="Bullets for Tables"/>
    <w:uiPriority w:val="99"/>
    <w:rsid w:val="000D7F04"/>
    <w:pPr>
      <w:numPr>
        <w:numId w:val="7"/>
      </w:numPr>
    </w:pPr>
  </w:style>
  <w:style w:type="paragraph" w:customStyle="1" w:styleId="NumberListTables">
    <w:name w:val="Number List Tables"/>
    <w:basedOn w:val="TableBody"/>
    <w:semiHidden/>
    <w:qFormat/>
    <w:locked/>
    <w:rsid w:val="000D7F04"/>
  </w:style>
  <w:style w:type="paragraph" w:customStyle="1" w:styleId="TableNumberedList">
    <w:name w:val="Table Numbered List"/>
    <w:basedOn w:val="TableBody"/>
    <w:uiPriority w:val="48"/>
    <w:qFormat/>
    <w:rsid w:val="000D7F04"/>
    <w:pPr>
      <w:numPr>
        <w:numId w:val="14"/>
      </w:numPr>
      <w:tabs>
        <w:tab w:val="num" w:pos="360"/>
      </w:tabs>
      <w:spacing w:before="20" w:after="60"/>
      <w:ind w:left="0" w:firstLine="0"/>
      <w:contextualSpacing/>
    </w:pPr>
  </w:style>
  <w:style w:type="numbering" w:customStyle="1" w:styleId="NumberedListforTables">
    <w:name w:val="Numbered List for Tables"/>
    <w:uiPriority w:val="99"/>
    <w:rsid w:val="000D7F04"/>
    <w:pPr>
      <w:numPr>
        <w:numId w:val="14"/>
      </w:numPr>
    </w:pPr>
  </w:style>
  <w:style w:type="paragraph" w:customStyle="1" w:styleId="NumberAlphaTables">
    <w:name w:val="Number Alpha Tables"/>
    <w:basedOn w:val="TableBody"/>
    <w:semiHidden/>
    <w:qFormat/>
    <w:locked/>
    <w:rsid w:val="000D7F04"/>
  </w:style>
  <w:style w:type="paragraph" w:customStyle="1" w:styleId="TableAlphaList0">
    <w:name w:val="Table Alpha List"/>
    <w:basedOn w:val="TableBody"/>
    <w:uiPriority w:val="65"/>
    <w:semiHidden/>
    <w:qFormat/>
    <w:rsid w:val="000D7F04"/>
    <w:pPr>
      <w:numPr>
        <w:numId w:val="17"/>
      </w:numPr>
      <w:tabs>
        <w:tab w:val="num" w:pos="360"/>
      </w:tabs>
      <w:spacing w:before="20" w:after="60"/>
      <w:ind w:left="0" w:firstLine="0"/>
      <w:contextualSpacing/>
    </w:pPr>
  </w:style>
  <w:style w:type="numbering" w:customStyle="1" w:styleId="TableAlphalist">
    <w:name w:val="Table Alpha list"/>
    <w:uiPriority w:val="99"/>
    <w:rsid w:val="000D7F04"/>
    <w:pPr>
      <w:numPr>
        <w:numId w:val="17"/>
      </w:numPr>
    </w:pPr>
  </w:style>
  <w:style w:type="paragraph" w:styleId="BalloonText">
    <w:name w:val="Balloon Text"/>
    <w:basedOn w:val="Normal"/>
    <w:link w:val="BalloonTextChar"/>
    <w:uiPriority w:val="99"/>
    <w:semiHidden/>
    <w:rsid w:val="000D7F04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F04"/>
    <w:rPr>
      <w:rFonts w:ascii="Tahoma" w:hAnsi="Tahoma" w:cs="Tahoma"/>
      <w:szCs w:val="16"/>
    </w:rPr>
  </w:style>
  <w:style w:type="paragraph" w:customStyle="1" w:styleId="Heading1Nonumber">
    <w:name w:val="Heading 1 No number"/>
    <w:basedOn w:val="Heading1"/>
    <w:next w:val="BodyText"/>
    <w:uiPriority w:val="3"/>
    <w:semiHidden/>
    <w:qFormat/>
    <w:rsid w:val="000D7F04"/>
    <w:pPr>
      <w:keepLines w:val="0"/>
      <w:spacing w:before="0" w:after="200" w:line="240" w:lineRule="auto"/>
    </w:pPr>
    <w:rPr>
      <w:rFonts w:ascii="Calibri" w:hAnsi="Calibri"/>
      <w:b/>
      <w:bCs/>
      <w:color w:val="D60000"/>
      <w:sz w:val="32"/>
      <w:szCs w:val="28"/>
    </w:rPr>
  </w:style>
  <w:style w:type="paragraph" w:customStyle="1" w:styleId="NumberedAppendix">
    <w:name w:val="Numbered Appendix"/>
    <w:basedOn w:val="BodyText"/>
    <w:semiHidden/>
    <w:qFormat/>
    <w:locked/>
    <w:rsid w:val="000D7F04"/>
  </w:style>
  <w:style w:type="paragraph" w:customStyle="1" w:styleId="Appendix1">
    <w:name w:val="Appendix 1"/>
    <w:basedOn w:val="BodyText"/>
    <w:next w:val="Appendix2"/>
    <w:uiPriority w:val="99"/>
    <w:semiHidden/>
    <w:qFormat/>
    <w:rsid w:val="000D7F04"/>
    <w:pPr>
      <w:numPr>
        <w:numId w:val="5"/>
      </w:numPr>
      <w:spacing w:before="160"/>
    </w:pPr>
  </w:style>
  <w:style w:type="numbering" w:customStyle="1" w:styleId="AppendixList">
    <w:name w:val="Appendix List"/>
    <w:uiPriority w:val="99"/>
    <w:rsid w:val="000D7F04"/>
    <w:pPr>
      <w:numPr>
        <w:numId w:val="6"/>
      </w:numPr>
    </w:pPr>
  </w:style>
  <w:style w:type="paragraph" w:customStyle="1" w:styleId="Appendix2">
    <w:name w:val="Appendix 2"/>
    <w:basedOn w:val="Appendix1"/>
    <w:uiPriority w:val="99"/>
    <w:semiHidden/>
    <w:qFormat/>
    <w:rsid w:val="000D7F04"/>
    <w:pPr>
      <w:numPr>
        <w:ilvl w:val="1"/>
      </w:numPr>
      <w:spacing w:before="60"/>
    </w:pPr>
  </w:style>
  <w:style w:type="paragraph" w:customStyle="1" w:styleId="AbbreviationsBodyText">
    <w:name w:val="Abbreviations Body Text"/>
    <w:basedOn w:val="BodyText"/>
    <w:uiPriority w:val="75"/>
    <w:qFormat/>
    <w:rsid w:val="000D7F04"/>
    <w:pPr>
      <w:tabs>
        <w:tab w:val="left" w:pos="2495"/>
      </w:tabs>
      <w:spacing w:before="60"/>
      <w:ind w:left="1758" w:hanging="879"/>
    </w:pPr>
  </w:style>
  <w:style w:type="character" w:customStyle="1" w:styleId="Italic">
    <w:name w:val="Italic"/>
    <w:basedOn w:val="DefaultParagraphFont"/>
    <w:uiPriority w:val="60"/>
    <w:qFormat/>
    <w:rsid w:val="000D7F04"/>
    <w:rPr>
      <w:i/>
    </w:rPr>
  </w:style>
  <w:style w:type="character" w:customStyle="1" w:styleId="Highlight">
    <w:name w:val="Highlight"/>
    <w:basedOn w:val="DefaultParagraphFont"/>
    <w:uiPriority w:val="61"/>
    <w:qFormat/>
    <w:rsid w:val="000D7F04"/>
    <w:rPr>
      <w:bdr w:val="none" w:sz="0" w:space="0" w:color="auto"/>
      <w:shd w:val="clear" w:color="auto" w:fill="FFFF00"/>
    </w:rPr>
  </w:style>
  <w:style w:type="character" w:customStyle="1" w:styleId="Superscript">
    <w:name w:val="Superscript"/>
    <w:basedOn w:val="DefaultParagraphFont"/>
    <w:uiPriority w:val="62"/>
    <w:qFormat/>
    <w:rsid w:val="000D7F04"/>
    <w:rPr>
      <w:vertAlign w:val="superscript"/>
    </w:rPr>
  </w:style>
  <w:style w:type="character" w:customStyle="1" w:styleId="Subscript">
    <w:name w:val="Subscript"/>
    <w:basedOn w:val="DefaultParagraphFont"/>
    <w:uiPriority w:val="62"/>
    <w:qFormat/>
    <w:rsid w:val="000D7F04"/>
    <w:rPr>
      <w:vertAlign w:val="subscript"/>
    </w:rPr>
  </w:style>
  <w:style w:type="character" w:customStyle="1" w:styleId="Hyperlink1">
    <w:name w:val="Hyperlink1"/>
    <w:basedOn w:val="DefaultParagraphFont"/>
    <w:uiPriority w:val="99"/>
    <w:rsid w:val="000D7F04"/>
    <w:rPr>
      <w:color w:val="D60000"/>
      <w:u w:val="single"/>
    </w:rPr>
  </w:style>
  <w:style w:type="paragraph" w:styleId="ListNumber">
    <w:name w:val="List Number"/>
    <w:basedOn w:val="Normal"/>
    <w:uiPriority w:val="99"/>
    <w:semiHidden/>
    <w:rsid w:val="000D7F04"/>
    <w:pPr>
      <w:numPr>
        <w:numId w:val="11"/>
      </w:numPr>
      <w:spacing w:after="0" w:line="276" w:lineRule="auto"/>
      <w:ind w:left="0" w:firstLine="0"/>
      <w:contextualSpacing/>
    </w:pPr>
    <w:rPr>
      <w:rFonts w:ascii="Calibri" w:hAnsi="Calibri" w:cs="Calibri"/>
    </w:rPr>
  </w:style>
  <w:style w:type="character" w:customStyle="1" w:styleId="RemoveCharacterStyle">
    <w:name w:val="Remove Character Style"/>
    <w:uiPriority w:val="64"/>
    <w:qFormat/>
    <w:rsid w:val="000D7F04"/>
  </w:style>
  <w:style w:type="paragraph" w:customStyle="1" w:styleId="TOC11">
    <w:name w:val="TOC 11"/>
    <w:basedOn w:val="Normal"/>
    <w:next w:val="Normal"/>
    <w:autoRedefine/>
    <w:uiPriority w:val="39"/>
    <w:rsid w:val="000D7F04"/>
    <w:pPr>
      <w:tabs>
        <w:tab w:val="left" w:pos="567"/>
        <w:tab w:val="right" w:leader="dot" w:pos="9015"/>
      </w:tabs>
      <w:spacing w:before="120" w:after="40" w:line="216" w:lineRule="auto"/>
      <w:ind w:left="567" w:hanging="567"/>
    </w:pPr>
    <w:rPr>
      <w:rFonts w:ascii="Calibri" w:hAnsi="Calibri" w:cs="Calibri"/>
      <w:b/>
      <w:noProof/>
      <w:color w:val="D60000"/>
      <w:sz w:val="24"/>
    </w:rPr>
  </w:style>
  <w:style w:type="paragraph" w:customStyle="1" w:styleId="TOC21">
    <w:name w:val="TOC 21"/>
    <w:basedOn w:val="Normal"/>
    <w:next w:val="Normal"/>
    <w:autoRedefine/>
    <w:uiPriority w:val="39"/>
    <w:rsid w:val="000D7F04"/>
    <w:pPr>
      <w:tabs>
        <w:tab w:val="left" w:pos="567"/>
        <w:tab w:val="right" w:leader="dot" w:pos="9015"/>
      </w:tabs>
      <w:spacing w:before="40" w:after="0" w:line="216" w:lineRule="auto"/>
      <w:ind w:left="1134" w:hanging="567"/>
    </w:pPr>
    <w:rPr>
      <w:rFonts w:ascii="Calibri" w:hAnsi="Calibri" w:cs="Calibri"/>
      <w:b/>
      <w:noProof/>
      <w:color w:val="000000"/>
    </w:rPr>
  </w:style>
  <w:style w:type="paragraph" w:styleId="TOC3">
    <w:name w:val="toc 3"/>
    <w:basedOn w:val="Normal"/>
    <w:next w:val="Normal"/>
    <w:autoRedefine/>
    <w:uiPriority w:val="39"/>
    <w:rsid w:val="000D7F04"/>
    <w:pPr>
      <w:tabs>
        <w:tab w:val="left" w:pos="567"/>
        <w:tab w:val="right" w:leader="dot" w:pos="9015"/>
      </w:tabs>
      <w:spacing w:before="40" w:after="0" w:line="216" w:lineRule="auto"/>
      <w:ind w:left="1985" w:hanging="851"/>
    </w:pPr>
    <w:rPr>
      <w:rFonts w:ascii="Calibri" w:hAnsi="Calibri" w:cs="Calibri"/>
    </w:rPr>
  </w:style>
  <w:style w:type="paragraph" w:styleId="TOC4">
    <w:name w:val="toc 4"/>
    <w:basedOn w:val="Normal"/>
    <w:next w:val="Normal"/>
    <w:autoRedefine/>
    <w:uiPriority w:val="39"/>
    <w:semiHidden/>
    <w:rsid w:val="000D7F04"/>
    <w:pPr>
      <w:spacing w:before="80" w:after="0" w:line="240" w:lineRule="auto"/>
      <w:ind w:left="2892" w:right="1021" w:hanging="1134"/>
    </w:pPr>
    <w:rPr>
      <w:rFonts w:ascii="Calibri" w:hAnsi="Calibri" w:cs="Calibri"/>
    </w:rPr>
  </w:style>
  <w:style w:type="paragraph" w:styleId="TOC5">
    <w:name w:val="toc 5"/>
    <w:basedOn w:val="Normal"/>
    <w:next w:val="Normal"/>
    <w:autoRedefine/>
    <w:uiPriority w:val="89"/>
    <w:semiHidden/>
    <w:rsid w:val="000D7F04"/>
    <w:pPr>
      <w:spacing w:before="80" w:after="0" w:line="240" w:lineRule="auto"/>
      <w:ind w:left="2892" w:right="1021" w:hanging="1134"/>
    </w:pPr>
    <w:rPr>
      <w:rFonts w:ascii="Calibri" w:hAnsi="Calibri" w:cs="Calibri"/>
    </w:rPr>
  </w:style>
  <w:style w:type="paragraph" w:customStyle="1" w:styleId="TOCHeading1">
    <w:name w:val="TOC Heading1"/>
    <w:basedOn w:val="Heading1"/>
    <w:next w:val="Normal"/>
    <w:uiPriority w:val="39"/>
    <w:semiHidden/>
    <w:qFormat/>
    <w:rsid w:val="000D7F04"/>
    <w:pPr>
      <w:keepLines w:val="0"/>
      <w:spacing w:before="480" w:after="0" w:line="276" w:lineRule="auto"/>
      <w:outlineLvl w:val="9"/>
    </w:pPr>
    <w:rPr>
      <w:rFonts w:ascii="Calibri" w:hAnsi="Calibri"/>
      <w:bCs/>
      <w:sz w:val="28"/>
      <w:szCs w:val="28"/>
      <w:lang w:val="en-US"/>
    </w:rPr>
  </w:style>
  <w:style w:type="paragraph" w:styleId="TableofFigures">
    <w:name w:val="table of figures"/>
    <w:aliases w:val="Table of Tables &amp; Figures"/>
    <w:basedOn w:val="Normal"/>
    <w:next w:val="Normal"/>
    <w:uiPriority w:val="99"/>
    <w:rsid w:val="000D7F04"/>
    <w:pPr>
      <w:spacing w:after="80" w:line="240" w:lineRule="auto"/>
      <w:ind w:left="851" w:right="1021" w:hanging="851"/>
    </w:pPr>
    <w:rPr>
      <w:rFonts w:ascii="Calibri" w:hAnsi="Calibri" w:cs="Calibri"/>
    </w:rPr>
  </w:style>
  <w:style w:type="paragraph" w:styleId="TOC9">
    <w:name w:val="toc 9"/>
    <w:basedOn w:val="TOC1"/>
    <w:next w:val="Normal"/>
    <w:autoRedefine/>
    <w:uiPriority w:val="39"/>
    <w:semiHidden/>
    <w:rsid w:val="000D7F04"/>
    <w:pPr>
      <w:tabs>
        <w:tab w:val="left" w:pos="567"/>
        <w:tab w:val="right" w:leader="dot" w:pos="9015"/>
      </w:tabs>
      <w:spacing w:before="120" w:after="240" w:line="360" w:lineRule="auto"/>
      <w:ind w:left="567" w:hanging="567"/>
      <w:contextualSpacing/>
    </w:pPr>
    <w:rPr>
      <w:rFonts w:ascii="Calibri" w:hAnsi="Calibri" w:cs="Calibri"/>
      <w:b/>
      <w:noProof/>
      <w:color w:val="D60000"/>
      <w:sz w:val="24"/>
    </w:rPr>
  </w:style>
  <w:style w:type="paragraph" w:customStyle="1" w:styleId="ExecSumbullets0">
    <w:name w:val="ExecSum bullets"/>
    <w:basedOn w:val="ListBullet"/>
    <w:uiPriority w:val="99"/>
    <w:semiHidden/>
    <w:qFormat/>
    <w:rsid w:val="000D7F04"/>
    <w:pPr>
      <w:spacing w:before="120" w:after="240"/>
      <w:ind w:left="425" w:hanging="425"/>
    </w:pPr>
  </w:style>
  <w:style w:type="paragraph" w:styleId="Header">
    <w:name w:val="header"/>
    <w:basedOn w:val="Normal"/>
    <w:link w:val="HeaderChar"/>
    <w:uiPriority w:val="99"/>
    <w:semiHidden/>
    <w:rsid w:val="000D7F04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7F04"/>
    <w:rPr>
      <w:rFonts w:ascii="Calibri" w:hAnsi="Calibri" w:cs="Calibri"/>
    </w:rPr>
  </w:style>
  <w:style w:type="paragraph" w:customStyle="1" w:styleId="Footer1">
    <w:name w:val="Footer1"/>
    <w:basedOn w:val="Normal"/>
    <w:next w:val="Footer"/>
    <w:link w:val="FooterChar"/>
    <w:uiPriority w:val="99"/>
    <w:rsid w:val="000D7F04"/>
    <w:pPr>
      <w:pBdr>
        <w:bottom w:val="thinThickSmallGap" w:sz="18" w:space="2" w:color="000000"/>
      </w:pBd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FooterChar">
    <w:name w:val="Footer Char"/>
    <w:basedOn w:val="DefaultParagraphFont"/>
    <w:link w:val="Footer1"/>
    <w:uiPriority w:val="99"/>
    <w:rsid w:val="000D7F04"/>
  </w:style>
  <w:style w:type="table" w:customStyle="1" w:styleId="GridTable4-Accent61">
    <w:name w:val="Grid Table 4 - Accent 61"/>
    <w:basedOn w:val="TableNormal"/>
    <w:next w:val="GridTable4-Accent6"/>
    <w:uiPriority w:val="49"/>
    <w:rsid w:val="000D7F04"/>
    <w:pPr>
      <w:spacing w:after="0" w:line="240" w:lineRule="auto"/>
    </w:pPr>
    <w:rPr>
      <w:rFonts w:ascii="Calibri" w:hAnsi="Calibri" w:cs="Calibri"/>
    </w:rPr>
    <w:tblPr>
      <w:tblStyleRowBandSize w:val="1"/>
      <w:tblStyleColBandSize w:val="1"/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  <w:insideV w:val="nil"/>
        </w:tcBorders>
        <w:shd w:val="clear" w:color="auto" w:fill="7F7F7F"/>
      </w:tcPr>
    </w:tblStylePr>
    <w:tblStylePr w:type="lastRow">
      <w:rPr>
        <w:b/>
        <w:bCs/>
      </w:rPr>
      <w:tblPr/>
      <w:tcPr>
        <w:tcBorders>
          <w:top w:val="doub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/>
      </w:tcPr>
    </w:tblStylePr>
    <w:tblStylePr w:type="band1Horz">
      <w:tblPr/>
      <w:tcPr>
        <w:shd w:val="clear" w:color="auto" w:fill="E5E5E5"/>
      </w:tcPr>
    </w:tblStylePr>
  </w:style>
  <w:style w:type="paragraph" w:customStyle="1" w:styleId="Titlesub">
    <w:name w:val="Title sub"/>
    <w:basedOn w:val="Normal"/>
    <w:uiPriority w:val="97"/>
    <w:semiHidden/>
    <w:qFormat/>
    <w:rsid w:val="000D7F04"/>
    <w:pPr>
      <w:spacing w:after="1440" w:line="276" w:lineRule="auto"/>
    </w:pPr>
    <w:rPr>
      <w:rFonts w:ascii="Calibri" w:hAnsi="Calibri" w:cs="Calibri"/>
      <w:b/>
      <w:color w:val="000000"/>
      <w:sz w:val="36"/>
    </w:rPr>
  </w:style>
  <w:style w:type="paragraph" w:customStyle="1" w:styleId="Documentinfotitle">
    <w:name w:val="Document info title"/>
    <w:basedOn w:val="Normal"/>
    <w:next w:val="Documentinfo"/>
    <w:uiPriority w:val="98"/>
    <w:semiHidden/>
    <w:qFormat/>
    <w:locked/>
    <w:rsid w:val="000D7F04"/>
    <w:pPr>
      <w:spacing w:before="240" w:after="40" w:line="240" w:lineRule="auto"/>
    </w:pPr>
    <w:rPr>
      <w:rFonts w:ascii="Calibri" w:hAnsi="Calibri" w:cs="Calibri"/>
      <w:b/>
      <w:color w:val="D60000"/>
    </w:rPr>
  </w:style>
  <w:style w:type="paragraph" w:customStyle="1" w:styleId="Documentinfo">
    <w:name w:val="Document info"/>
    <w:basedOn w:val="Normal"/>
    <w:uiPriority w:val="98"/>
    <w:semiHidden/>
    <w:qFormat/>
    <w:locked/>
    <w:rsid w:val="000D7F04"/>
    <w:pPr>
      <w:spacing w:after="0" w:line="240" w:lineRule="auto"/>
    </w:pPr>
    <w:rPr>
      <w:rFonts w:ascii="Calibri" w:hAnsi="Calibri" w:cs="Calibri"/>
      <w:color w:val="000000"/>
    </w:rPr>
  </w:style>
  <w:style w:type="paragraph" w:customStyle="1" w:styleId="PageHeader">
    <w:name w:val="Page Header"/>
    <w:basedOn w:val="Normal"/>
    <w:uiPriority w:val="98"/>
    <w:semiHidden/>
    <w:qFormat/>
    <w:rsid w:val="000D7F04"/>
    <w:pPr>
      <w:spacing w:after="0" w:line="240" w:lineRule="auto"/>
      <w:jc w:val="right"/>
    </w:pPr>
    <w:rPr>
      <w:rFonts w:ascii="Calibri" w:hAnsi="Calibri" w:cs="Calibri"/>
      <w:i/>
      <w:color w:val="7F7F7F"/>
    </w:rPr>
  </w:style>
  <w:style w:type="paragraph" w:customStyle="1" w:styleId="Tablebullet">
    <w:name w:val="Table bullet"/>
    <w:basedOn w:val="Normal"/>
    <w:semiHidden/>
    <w:qFormat/>
    <w:rsid w:val="000D7F04"/>
    <w:pPr>
      <w:spacing w:before="20" w:after="20" w:line="240" w:lineRule="auto"/>
      <w:ind w:left="170" w:hanging="170"/>
      <w:contextualSpacing/>
    </w:pPr>
    <w:rPr>
      <w:rFonts w:ascii="Calibri" w:hAnsi="Calibri" w:cs="Calibri"/>
      <w:bCs/>
      <w:sz w:val="20"/>
    </w:rPr>
  </w:style>
  <w:style w:type="paragraph" w:styleId="ListBullet">
    <w:name w:val="List Bullet"/>
    <w:basedOn w:val="Normal"/>
    <w:uiPriority w:val="99"/>
    <w:semiHidden/>
    <w:rsid w:val="000D7F04"/>
    <w:pPr>
      <w:spacing w:after="200" w:line="240" w:lineRule="auto"/>
      <w:contextualSpacing/>
    </w:pPr>
    <w:rPr>
      <w:rFonts w:ascii="Calibri" w:hAnsi="Calibri" w:cs="Calibri"/>
    </w:rPr>
  </w:style>
  <w:style w:type="paragraph" w:customStyle="1" w:styleId="TableHeading">
    <w:name w:val="TableHeading"/>
    <w:basedOn w:val="Normal"/>
    <w:uiPriority w:val="3"/>
    <w:semiHidden/>
    <w:qFormat/>
    <w:rsid w:val="000D7F04"/>
    <w:pPr>
      <w:keepNext/>
      <w:spacing w:before="80" w:after="80" w:line="240" w:lineRule="auto"/>
      <w:jc w:val="center"/>
    </w:pPr>
    <w:rPr>
      <w:rFonts w:ascii="Calibri" w:eastAsia="Verdana" w:hAnsi="Calibri" w:cs="Times New Roman"/>
      <w:b/>
      <w:color w:val="FFFFFF"/>
      <w:szCs w:val="20"/>
      <w:lang w:val="en-US"/>
    </w:rPr>
  </w:style>
  <w:style w:type="paragraph" w:customStyle="1" w:styleId="TableBody0">
    <w:name w:val="TableBody"/>
    <w:basedOn w:val="Normal"/>
    <w:uiPriority w:val="3"/>
    <w:semiHidden/>
    <w:qFormat/>
    <w:rsid w:val="000D7F04"/>
    <w:pPr>
      <w:spacing w:before="60" w:after="60" w:line="240" w:lineRule="auto"/>
    </w:pPr>
    <w:rPr>
      <w:rFonts w:ascii="Calibri" w:eastAsia="Verdana" w:hAnsi="Calibri" w:cs="Times New Roman"/>
      <w:color w:val="484848"/>
      <w:sz w:val="20"/>
      <w:szCs w:val="20"/>
      <w:lang w:val="en-US"/>
    </w:rPr>
  </w:style>
  <w:style w:type="character" w:customStyle="1" w:styleId="ThinSpaceApplytoparagraphmark">
    <w:name w:val="Thin Space (Apply to paragraph mark)"/>
    <w:basedOn w:val="DefaultParagraphFont"/>
    <w:uiPriority w:val="3"/>
    <w:semiHidden/>
    <w:qFormat/>
    <w:rsid w:val="000D7F04"/>
    <w:rPr>
      <w:sz w:val="10"/>
    </w:rPr>
  </w:style>
  <w:style w:type="paragraph" w:customStyle="1" w:styleId="LOTLOFHeading">
    <w:name w:val="LOT/LOF Heading"/>
    <w:basedOn w:val="Preface"/>
    <w:next w:val="BodyText"/>
    <w:semiHidden/>
    <w:qFormat/>
    <w:rsid w:val="000D7F04"/>
  </w:style>
  <w:style w:type="paragraph" w:customStyle="1" w:styleId="ReferenceBodyText">
    <w:name w:val="Reference Body Text"/>
    <w:basedOn w:val="BodyText"/>
    <w:uiPriority w:val="76"/>
    <w:rsid w:val="000D7F04"/>
    <w:pPr>
      <w:spacing w:before="40" w:line="240" w:lineRule="auto"/>
      <w:ind w:left="284" w:hanging="284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0D7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0D7F04"/>
    <w:pPr>
      <w:spacing w:after="200"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7F0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D7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F04"/>
    <w:rPr>
      <w:rFonts w:ascii="Calibri" w:hAnsi="Calibri" w:cs="Calibri"/>
      <w:b/>
      <w:bCs/>
      <w:sz w:val="20"/>
      <w:szCs w:val="20"/>
    </w:rPr>
  </w:style>
  <w:style w:type="paragraph" w:customStyle="1" w:styleId="TableBullets2">
    <w:name w:val="Table Bullets 2"/>
    <w:basedOn w:val="TableBullets1"/>
    <w:uiPriority w:val="47"/>
    <w:qFormat/>
    <w:rsid w:val="000D7F04"/>
    <w:pPr>
      <w:numPr>
        <w:ilvl w:val="1"/>
      </w:numPr>
      <w:tabs>
        <w:tab w:val="num" w:pos="360"/>
      </w:tabs>
      <w:ind w:left="170"/>
    </w:pPr>
  </w:style>
  <w:style w:type="paragraph" w:customStyle="1" w:styleId="ExecSumBullets2">
    <w:name w:val="ExecSum Bullets 2"/>
    <w:basedOn w:val="ExecSumBullets"/>
    <w:uiPriority w:val="72"/>
    <w:rsid w:val="000D7F04"/>
    <w:pPr>
      <w:numPr>
        <w:ilvl w:val="1"/>
      </w:numPr>
      <w:tabs>
        <w:tab w:val="num" w:pos="360"/>
      </w:tabs>
      <w:spacing w:before="80"/>
      <w:ind w:left="357"/>
    </w:pPr>
  </w:style>
  <w:style w:type="paragraph" w:customStyle="1" w:styleId="NumberedList2">
    <w:name w:val="Numbered List 2"/>
    <w:basedOn w:val="ListParagraph"/>
    <w:uiPriority w:val="24"/>
    <w:qFormat/>
    <w:rsid w:val="000D7F04"/>
    <w:pPr>
      <w:spacing w:after="0" w:line="276" w:lineRule="auto"/>
      <w:ind w:left="0"/>
    </w:pPr>
    <w:rPr>
      <w:rFonts w:ascii="Calibri" w:hAnsi="Calibri" w:cs="Calibri"/>
    </w:rPr>
  </w:style>
  <w:style w:type="paragraph" w:customStyle="1" w:styleId="ExecSumHeading3">
    <w:name w:val="ExecSum Heading 3"/>
    <w:basedOn w:val="Heading3"/>
    <w:next w:val="BodyText"/>
    <w:uiPriority w:val="70"/>
    <w:qFormat/>
    <w:rsid w:val="000D7F04"/>
    <w:pPr>
      <w:keepLines w:val="0"/>
      <w:spacing w:before="200" w:after="120" w:line="240" w:lineRule="auto"/>
    </w:pPr>
    <w:rPr>
      <w:rFonts w:ascii="Times New Roman" w:hAnsi="Times New Roman"/>
      <w:b/>
      <w:bCs/>
      <w:color w:val="auto"/>
      <w:sz w:val="24"/>
      <w:szCs w:val="26"/>
    </w:rPr>
  </w:style>
  <w:style w:type="paragraph" w:styleId="ListBullet2">
    <w:name w:val="List Bullet 2"/>
    <w:basedOn w:val="Normal"/>
    <w:uiPriority w:val="99"/>
    <w:semiHidden/>
    <w:rsid w:val="000D7F04"/>
    <w:pPr>
      <w:spacing w:after="200" w:line="240" w:lineRule="auto"/>
      <w:contextualSpacing/>
    </w:pPr>
    <w:rPr>
      <w:rFonts w:ascii="Calibri" w:hAnsi="Calibri" w:cs="Calibri"/>
    </w:rPr>
  </w:style>
  <w:style w:type="paragraph" w:styleId="ListBullet3">
    <w:name w:val="List Bullet 3"/>
    <w:basedOn w:val="Normal"/>
    <w:uiPriority w:val="99"/>
    <w:semiHidden/>
    <w:rsid w:val="000D7F04"/>
    <w:pPr>
      <w:spacing w:after="200" w:line="240" w:lineRule="auto"/>
      <w:contextualSpacing/>
    </w:pPr>
    <w:rPr>
      <w:rFonts w:ascii="Calibri" w:hAnsi="Calibri" w:cs="Calibri"/>
    </w:rPr>
  </w:style>
  <w:style w:type="paragraph" w:styleId="ListBullet5">
    <w:name w:val="List Bullet 5"/>
    <w:basedOn w:val="Normal"/>
    <w:uiPriority w:val="99"/>
    <w:semiHidden/>
    <w:rsid w:val="000D7F04"/>
    <w:pPr>
      <w:spacing w:after="200" w:line="240" w:lineRule="auto"/>
      <w:contextualSpacing/>
    </w:pPr>
    <w:rPr>
      <w:rFonts w:ascii="Calibri" w:hAnsi="Calibri" w:cs="Calibri"/>
    </w:rPr>
  </w:style>
  <w:style w:type="paragraph" w:customStyle="1" w:styleId="Warningtext">
    <w:name w:val="Warning text"/>
    <w:basedOn w:val="BodyText"/>
    <w:uiPriority w:val="79"/>
    <w:qFormat/>
    <w:rsid w:val="000D7F04"/>
    <w:rPr>
      <w:b/>
      <w:color w:val="FFFFFF"/>
    </w:rPr>
  </w:style>
  <w:style w:type="paragraph" w:customStyle="1" w:styleId="TableFigureholder">
    <w:name w:val="Table/Figure holder"/>
    <w:basedOn w:val="BodyText"/>
    <w:uiPriority w:val="41"/>
    <w:rsid w:val="000D7F04"/>
    <w:pPr>
      <w:keepNext/>
      <w:jc w:val="center"/>
    </w:pPr>
  </w:style>
  <w:style w:type="paragraph" w:customStyle="1" w:styleId="EndNoteBibliography">
    <w:name w:val="EndNote Bibliography"/>
    <w:basedOn w:val="Normal"/>
    <w:link w:val="EndNoteBibliographyChar"/>
    <w:uiPriority w:val="98"/>
    <w:semiHidden/>
    <w:rsid w:val="000D7F04"/>
    <w:pPr>
      <w:spacing w:after="200" w:line="240" w:lineRule="auto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8"/>
    <w:semiHidden/>
    <w:rsid w:val="000D7F04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1"/>
    <w:uiPriority w:val="98"/>
    <w:semiHidden/>
    <w:rsid w:val="000D7F04"/>
    <w:pPr>
      <w:spacing w:after="0" w:line="240" w:lineRule="auto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har1">
    <w:name w:val="EndNote Bibliography Title Char1"/>
    <w:basedOn w:val="DefaultParagraphFont"/>
    <w:link w:val="EndNoteBibliographyTitle"/>
    <w:uiPriority w:val="98"/>
    <w:semiHidden/>
    <w:rsid w:val="000D7F04"/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uiPriority w:val="98"/>
    <w:semiHidden/>
    <w:rsid w:val="000D7F04"/>
  </w:style>
  <w:style w:type="paragraph" w:customStyle="1" w:styleId="Headerbuttons">
    <w:name w:val="Header buttons"/>
    <w:basedOn w:val="Header"/>
    <w:uiPriority w:val="99"/>
    <w:semiHidden/>
    <w:rsid w:val="000D7F04"/>
    <w:pPr>
      <w:tabs>
        <w:tab w:val="clear" w:pos="4513"/>
        <w:tab w:val="clear" w:pos="9026"/>
        <w:tab w:val="left" w:pos="57"/>
      </w:tabs>
    </w:pPr>
  </w:style>
  <w:style w:type="paragraph" w:customStyle="1" w:styleId="Pageheader2">
    <w:name w:val="Page header 2"/>
    <w:uiPriority w:val="98"/>
    <w:semiHidden/>
    <w:qFormat/>
    <w:rsid w:val="000D7F04"/>
    <w:pPr>
      <w:spacing w:after="200" w:line="276" w:lineRule="auto"/>
      <w:jc w:val="right"/>
    </w:pPr>
    <w:rPr>
      <w:rFonts w:ascii="Calibri" w:hAnsi="Calibri" w:cs="Calibri"/>
      <w:b/>
      <w:noProof/>
      <w:color w:val="7F7F7F"/>
    </w:rPr>
  </w:style>
  <w:style w:type="numbering" w:customStyle="1" w:styleId="Chillitablebullets">
    <w:name w:val="Chilli table bullets"/>
    <w:basedOn w:val="NoList"/>
    <w:uiPriority w:val="99"/>
    <w:rsid w:val="000D7F04"/>
    <w:pPr>
      <w:numPr>
        <w:numId w:val="23"/>
      </w:numPr>
    </w:pPr>
  </w:style>
  <w:style w:type="paragraph" w:customStyle="1" w:styleId="Versionnumberdate">
    <w:name w:val="Version number date"/>
    <w:basedOn w:val="Documentinfo"/>
    <w:uiPriority w:val="98"/>
    <w:semiHidden/>
    <w:qFormat/>
    <w:rsid w:val="000D7F04"/>
  </w:style>
  <w:style w:type="character" w:customStyle="1" w:styleId="NumberDate">
    <w:name w:val="Number Date"/>
    <w:basedOn w:val="DefaultParagraphFont"/>
    <w:uiPriority w:val="1"/>
    <w:semiHidden/>
    <w:qFormat/>
    <w:rsid w:val="000D7F04"/>
    <w:rPr>
      <w:b/>
      <w:color w:val="A6A6A6"/>
    </w:rPr>
  </w:style>
  <w:style w:type="character" w:customStyle="1" w:styleId="ClientReview">
    <w:name w:val="Client Review"/>
    <w:basedOn w:val="DefaultParagraphFont"/>
    <w:uiPriority w:val="79"/>
    <w:qFormat/>
    <w:rsid w:val="000D7F04"/>
    <w:rPr>
      <w:color w:val="0070C0"/>
    </w:rPr>
  </w:style>
  <w:style w:type="character" w:customStyle="1" w:styleId="PageNumber1">
    <w:name w:val="Page Number 1"/>
    <w:basedOn w:val="DefaultParagraphFont"/>
    <w:uiPriority w:val="1"/>
    <w:semiHidden/>
    <w:qFormat/>
    <w:rsid w:val="000D7F04"/>
    <w:rPr>
      <w:b/>
      <w:color w:val="000000"/>
    </w:rPr>
  </w:style>
  <w:style w:type="paragraph" w:customStyle="1" w:styleId="BodyTextAbove">
    <w:name w:val="Body Text #Above"/>
    <w:basedOn w:val="BodyText"/>
    <w:next w:val="BodyText"/>
    <w:uiPriority w:val="40"/>
    <w:qFormat/>
    <w:rsid w:val="000D7F04"/>
    <w:pPr>
      <w:spacing w:before="240"/>
    </w:pPr>
  </w:style>
  <w:style w:type="paragraph" w:customStyle="1" w:styleId="BodyTextAboveBelow">
    <w:name w:val="Body Text #Above &amp; Below"/>
    <w:basedOn w:val="BodyText"/>
    <w:uiPriority w:val="40"/>
    <w:qFormat/>
    <w:rsid w:val="000D7F04"/>
    <w:pPr>
      <w:spacing w:before="240" w:after="240"/>
    </w:pPr>
  </w:style>
  <w:style w:type="paragraph" w:customStyle="1" w:styleId="BodyTextBelow">
    <w:name w:val="Body Text #Below"/>
    <w:basedOn w:val="BodyText"/>
    <w:next w:val="BodyText"/>
    <w:uiPriority w:val="40"/>
    <w:qFormat/>
    <w:rsid w:val="000D7F04"/>
    <w:pPr>
      <w:spacing w:after="240"/>
    </w:pPr>
  </w:style>
  <w:style w:type="paragraph" w:customStyle="1" w:styleId="Headerrule">
    <w:name w:val="Header rule"/>
    <w:basedOn w:val="Normal"/>
    <w:uiPriority w:val="99"/>
    <w:semiHidden/>
    <w:qFormat/>
    <w:rsid w:val="000D7F04"/>
    <w:pPr>
      <w:pBdr>
        <w:bottom w:val="thickThinSmallGap" w:sz="24" w:space="0" w:color="000000"/>
      </w:pBdr>
      <w:spacing w:after="0" w:line="240" w:lineRule="auto"/>
    </w:pPr>
    <w:rPr>
      <w:rFonts w:ascii="Calibri" w:hAnsi="Calibri" w:cs="Calibri"/>
      <w:sz w:val="4"/>
    </w:rPr>
  </w:style>
  <w:style w:type="paragraph" w:customStyle="1" w:styleId="TableBodyRight">
    <w:name w:val="Table Body Right"/>
    <w:basedOn w:val="TableBody"/>
    <w:uiPriority w:val="45"/>
    <w:qFormat/>
    <w:rsid w:val="000D7F04"/>
    <w:pPr>
      <w:jc w:val="right"/>
    </w:pPr>
  </w:style>
  <w:style w:type="paragraph" w:customStyle="1" w:styleId="TableHeaderRight">
    <w:name w:val="Table Header Right"/>
    <w:basedOn w:val="TableHeader"/>
    <w:uiPriority w:val="45"/>
    <w:qFormat/>
    <w:rsid w:val="000D7F04"/>
    <w:pPr>
      <w:jc w:val="right"/>
    </w:pPr>
    <w:rPr>
      <w:color w:val="FFFFFF"/>
    </w:rPr>
  </w:style>
  <w:style w:type="paragraph" w:customStyle="1" w:styleId="Footerdetails">
    <w:name w:val="Footer details"/>
    <w:basedOn w:val="Footer"/>
    <w:uiPriority w:val="99"/>
    <w:semiHidden/>
    <w:qFormat/>
    <w:rsid w:val="000D7F04"/>
    <w:pPr>
      <w:tabs>
        <w:tab w:val="clear" w:pos="4513"/>
        <w:tab w:val="clear" w:pos="9026"/>
      </w:tabs>
    </w:pPr>
    <w:rPr>
      <w:rFonts w:ascii="Calibri" w:hAnsi="Calibri" w:cs="Calibri"/>
      <w:color w:val="7F7F7F"/>
    </w:rPr>
  </w:style>
  <w:style w:type="paragraph" w:customStyle="1" w:styleId="Reference">
    <w:name w:val="Reference"/>
    <w:basedOn w:val="Documentinfo"/>
    <w:uiPriority w:val="98"/>
    <w:semiHidden/>
    <w:qFormat/>
    <w:rsid w:val="000D7F04"/>
    <w:pPr>
      <w:spacing w:before="240"/>
    </w:pPr>
    <w:rPr>
      <w:color w:val="595959"/>
    </w:rPr>
  </w:style>
  <w:style w:type="character" w:styleId="PlaceholderText">
    <w:name w:val="Placeholder Text"/>
    <w:basedOn w:val="DefaultParagraphFont"/>
    <w:uiPriority w:val="99"/>
    <w:semiHidden/>
    <w:rsid w:val="000D7F04"/>
    <w:rPr>
      <w:color w:val="666666"/>
    </w:rPr>
  </w:style>
  <w:style w:type="table" w:customStyle="1" w:styleId="TableGridLight1">
    <w:name w:val="Table Grid Light1"/>
    <w:basedOn w:val="TableNormal"/>
    <w:next w:val="TableGridLight"/>
    <w:uiPriority w:val="40"/>
    <w:rsid w:val="000D7F04"/>
    <w:pPr>
      <w:spacing w:after="0" w:line="240" w:lineRule="auto"/>
    </w:pPr>
    <w:rPr>
      <w:rFonts w:ascii="Calibri" w:hAnsi="Calibri" w:cs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0D7F04"/>
    <w:pPr>
      <w:spacing w:after="0" w:line="240" w:lineRule="auto"/>
    </w:pPr>
    <w:rPr>
      <w:rFonts w:ascii="Calibri" w:hAnsi="Calibri" w:cs="Calibri"/>
    </w:rPr>
    <w:tblPr>
      <w:tblStyleRowBandSize w:val="1"/>
      <w:tblStyleColBandSize w:val="1"/>
      <w:tblBorders>
        <w:top w:val="single" w:sz="4" w:space="0" w:color="FF8888"/>
        <w:left w:val="single" w:sz="4" w:space="0" w:color="FF8888"/>
        <w:bottom w:val="single" w:sz="4" w:space="0" w:color="FF8888"/>
        <w:right w:val="single" w:sz="4" w:space="0" w:color="FF8888"/>
        <w:insideH w:val="single" w:sz="4" w:space="0" w:color="FF8888"/>
        <w:insideV w:val="single" w:sz="4" w:space="0" w:color="FF8888"/>
      </w:tblBorders>
    </w:tblPr>
    <w:tblStylePr w:type="firstRow">
      <w:rPr>
        <w:b w:val="0"/>
        <w:bCs/>
      </w:rPr>
      <w:tblPr/>
      <w:tcPr>
        <w:tcBorders>
          <w:bottom w:val="single" w:sz="12" w:space="0" w:color="FF4D4D"/>
        </w:tcBorders>
        <w:shd w:val="pct20" w:color="auto" w:fill="auto"/>
      </w:tcPr>
    </w:tblStylePr>
    <w:tblStylePr w:type="lastRow">
      <w:rPr>
        <w:b/>
        <w:bCs/>
      </w:rPr>
      <w:tblPr/>
      <w:tcPr>
        <w:tcBorders>
          <w:top w:val="double" w:sz="2" w:space="0" w:color="FF4D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10"/>
    <w:qFormat/>
    <w:rsid w:val="000D7F04"/>
    <w:rPr>
      <w:b/>
      <w:bCs/>
    </w:rPr>
  </w:style>
  <w:style w:type="paragraph" w:styleId="Revision">
    <w:name w:val="Revision"/>
    <w:hidden/>
    <w:uiPriority w:val="99"/>
    <w:semiHidden/>
    <w:rsid w:val="000D7F04"/>
    <w:pPr>
      <w:spacing w:after="0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locked/>
    <w:rsid w:val="000D7F04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locked/>
    <w:rsid w:val="000D7F04"/>
    <w:rPr>
      <w:color w:val="D60000"/>
      <w:u w:val="single"/>
    </w:rPr>
  </w:style>
  <w:style w:type="table" w:customStyle="1" w:styleId="GridTable1Light1">
    <w:name w:val="Grid Table 1 Light1"/>
    <w:basedOn w:val="TableNormal"/>
    <w:next w:val="GridTable1Light"/>
    <w:uiPriority w:val="46"/>
    <w:rsid w:val="000D7F04"/>
    <w:pPr>
      <w:spacing w:after="0" w:line="240" w:lineRule="auto"/>
    </w:pPr>
    <w:rPr>
      <w:rFonts w:ascii="Calibri" w:hAnsi="Calibri" w:cs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10">
    <w:name w:val="Table Grid 1"/>
    <w:basedOn w:val="TableNormal"/>
    <w:uiPriority w:val="99"/>
    <w:semiHidden/>
    <w:unhideWhenUsed/>
    <w:rsid w:val="000D7F04"/>
    <w:pPr>
      <w:spacing w:after="200" w:line="240" w:lineRule="auto"/>
    </w:pPr>
    <w:rPr>
      <w:rFonts w:ascii="Calibri" w:hAnsi="Calibri" w:cs="Calibr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0D7F04"/>
    <w:pPr>
      <w:spacing w:after="0" w:line="240" w:lineRule="auto"/>
    </w:pPr>
    <w:rPr>
      <w:rFonts w:ascii="Calibri" w:hAnsi="Calibri" w:cs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EndNoteCategoryHeading">
    <w:name w:val="EndNote Category Heading"/>
    <w:basedOn w:val="Normal"/>
    <w:link w:val="EndNoteCategoryHeadingChar"/>
    <w:rsid w:val="000D7F04"/>
    <w:pPr>
      <w:spacing w:before="120" w:after="120" w:line="240" w:lineRule="auto"/>
    </w:pPr>
    <w:rPr>
      <w:rFonts w:ascii="Calibri" w:hAnsi="Calibri" w:cs="Calibri"/>
      <w:sz w:val="24"/>
    </w:rPr>
  </w:style>
  <w:style w:type="character" w:customStyle="1" w:styleId="EndNoteCategoryHeadingChar">
    <w:name w:val="EndNote Category Heading Char"/>
    <w:basedOn w:val="BodyTextChar"/>
    <w:link w:val="EndNoteCategoryHeading"/>
    <w:rsid w:val="000D7F04"/>
    <w:rPr>
      <w:rFonts w:ascii="Calibri" w:hAnsi="Calibri" w:cs="Calibri"/>
      <w:sz w:val="24"/>
    </w:rPr>
  </w:style>
  <w:style w:type="paragraph" w:customStyle="1" w:styleId="EndNoteCategoryTitle">
    <w:name w:val="EndNote Category Title"/>
    <w:basedOn w:val="Normal"/>
    <w:link w:val="EndNoteCategoryTitleChar"/>
    <w:rsid w:val="000D7F04"/>
    <w:pPr>
      <w:spacing w:before="120" w:after="120" w:line="240" w:lineRule="auto"/>
      <w:jc w:val="center"/>
    </w:pPr>
    <w:rPr>
      <w:rFonts w:ascii="Calibri" w:hAnsi="Calibri" w:cs="Calibri"/>
      <w:sz w:val="24"/>
    </w:rPr>
  </w:style>
  <w:style w:type="character" w:customStyle="1" w:styleId="EndNoteCategoryTitleChar">
    <w:name w:val="EndNote Category Title Char"/>
    <w:basedOn w:val="BodyTextChar"/>
    <w:link w:val="EndNoteCategoryTitle"/>
    <w:rsid w:val="000D7F04"/>
    <w:rPr>
      <w:rFonts w:ascii="Calibri" w:hAnsi="Calibri" w:cs="Calibri"/>
      <w:sz w:val="24"/>
    </w:rPr>
  </w:style>
  <w:style w:type="table" w:customStyle="1" w:styleId="KKIESRreporttables">
    <w:name w:val="KKI ESR report tables"/>
    <w:basedOn w:val="TableGrid10"/>
    <w:uiPriority w:val="99"/>
    <w:rsid w:val="000D7F04"/>
    <w:pPr>
      <w:spacing w:after="0"/>
    </w:pPr>
    <w:rPr>
      <w:rFonts w:ascii="Times New Roman" w:hAnsi="Times New Roman"/>
      <w:sz w:val="20"/>
      <w:szCs w:val="20"/>
      <w:lang w:eastAsia="en-GB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sz w:val="22"/>
      </w:rPr>
      <w:tblPr/>
      <w:tcPr>
        <w:shd w:val="clear" w:color="auto" w:fill="A6A6A6"/>
      </w:tcPr>
    </w:tblStylePr>
    <w:tblStylePr w:type="lastRow">
      <w:rPr>
        <w:rFonts w:ascii="Times New Roman" w:hAnsi="Times New Roman"/>
        <w:i w:val="0"/>
        <w:iCs/>
        <w:sz w:val="22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/>
        <w:i w:val="0"/>
        <w:iCs/>
        <w:sz w:val="22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D7F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D7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D7F04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D7F04"/>
    <w:pPr>
      <w:spacing w:after="100"/>
    </w:pPr>
  </w:style>
  <w:style w:type="paragraph" w:styleId="Footer">
    <w:name w:val="footer"/>
    <w:basedOn w:val="Normal"/>
    <w:link w:val="FooterChar1"/>
    <w:uiPriority w:val="99"/>
    <w:unhideWhenUsed/>
    <w:rsid w:val="000D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0D7F04"/>
  </w:style>
  <w:style w:type="table" w:styleId="GridTable4-Accent6">
    <w:name w:val="Grid Table 4 Accent 6"/>
    <w:basedOn w:val="TableNormal"/>
    <w:uiPriority w:val="49"/>
    <w:rsid w:val="000D7F04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eGridLight">
    <w:name w:val="Grid Table Light"/>
    <w:basedOn w:val="TableNormal"/>
    <w:uiPriority w:val="40"/>
    <w:rsid w:val="000D7F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0D7F0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D7F04"/>
    <w:rPr>
      <w:color w:val="96607D" w:themeColor="followedHyperlink"/>
      <w:u w:val="single"/>
    </w:rPr>
  </w:style>
  <w:style w:type="table" w:styleId="GridTable1Light">
    <w:name w:val="Grid Table 1 Light"/>
    <w:basedOn w:val="TableNormal"/>
    <w:uiPriority w:val="46"/>
    <w:rsid w:val="000D7F0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0D7F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88DD4149498439C6ACD2C604B8064" ma:contentTypeVersion="13" ma:contentTypeDescription="Create a new document." ma:contentTypeScope="" ma:versionID="1eb33729584c70ec12ef703e4b2eaf5e">
  <xsd:schema xmlns:xsd="http://www.w3.org/2001/XMLSchema" xmlns:xs="http://www.w3.org/2001/XMLSchema" xmlns:p="http://schemas.microsoft.com/office/2006/metadata/properties" xmlns:ns2="4fcb6b14-d4de-47b1-b2f8-79deb264dd67" xmlns:ns3="cb8c1fcb-5fe2-4660-9f37-64b42f2a4d49" targetNamespace="http://schemas.microsoft.com/office/2006/metadata/properties" ma:root="true" ma:fieldsID="1e2554607a31b57805226d315000a39f" ns2:_="" ns3:_="">
    <xsd:import namespace="4fcb6b14-d4de-47b1-b2f8-79deb264dd67"/>
    <xsd:import namespace="cb8c1fcb-5fe2-4660-9f37-64b42f2a4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b6b14-d4de-47b1-b2f8-79deb264d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f07ddd-8621-4b2d-908a-74aa88a39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c1fcb-5fe2-4660-9f37-64b42f2a4d4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e5c59f-50a1-47fa-ba68-36f00b54f139}" ma:internalName="TaxCatchAll" ma:showField="CatchAllData" ma:web="cb8c1fcb-5fe2-4660-9f37-64b42f2a4d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c1fcb-5fe2-4660-9f37-64b42f2a4d49" xsi:nil="true"/>
    <lcf76f155ced4ddcb4097134ff3c332f xmlns="4fcb6b14-d4de-47b1-b2f8-79deb264dd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57E0C0-30D4-41FB-B7E5-AB38AAD344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94F61-E6CE-4973-87C0-CBEDCC59DE45}"/>
</file>

<file path=customXml/itemProps3.xml><?xml version="1.0" encoding="utf-8"?>
<ds:datastoreItem xmlns:ds="http://schemas.openxmlformats.org/officeDocument/2006/customXml" ds:itemID="{4AF53D35-3611-4A1F-B9CE-1471B44B685C}">
  <ds:schemaRefs>
    <ds:schemaRef ds:uri="http://schemas.microsoft.com/office/2006/metadata/properties"/>
    <ds:schemaRef ds:uri="http://schemas.microsoft.com/office/infopath/2007/PartnerControls"/>
    <ds:schemaRef ds:uri="cb8c1fcb-5fe2-4660-9f37-64b42f2a4d49"/>
    <ds:schemaRef ds:uri="4fcb6b14-d4de-47b1-b2f8-79deb264dd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2150</Words>
  <Characters>12261</Characters>
  <Application>Microsoft Office Word</Application>
  <DocSecurity>0</DocSecurity>
  <Lines>102</Lines>
  <Paragraphs>28</Paragraphs>
  <ScaleCrop>false</ScaleCrop>
  <Company/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Nixon</dc:creator>
  <cp:keywords/>
  <dc:description/>
  <cp:lastModifiedBy>Annabel Bowden</cp:lastModifiedBy>
  <cp:revision>3</cp:revision>
  <dcterms:created xsi:type="dcterms:W3CDTF">2025-04-11T06:58:00Z</dcterms:created>
  <dcterms:modified xsi:type="dcterms:W3CDTF">2025-04-11T06:58:00Z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0x01010020E88DD4149498439C6ACD2C604B8064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{"FileActivityType":"8","FileActivityTimeStamp":"2025-02-28T13:06:57.053Z","FileActivityUsersOnPage":[{"DisplayName":"Annabel Bowden","Id":"annabel.bowden@spireoutcomes.com"}],"FileActivityNavigationId":null}</vt:lpwstr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