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93545" w14:textId="77777777" w:rsidR="003661B8" w:rsidRDefault="003661B8" w:rsidP="003661B8">
      <w:pPr>
        <w:jc w:val="center"/>
        <w:rPr>
          <w:rFonts w:ascii="Times New Roman" w:hAnsi="Times New Roman" w:cs="Times New Roman"/>
          <w:b/>
          <w:bCs/>
          <w:sz w:val="24"/>
          <w:szCs w:val="24"/>
        </w:rPr>
      </w:pPr>
      <w:bookmarkStart w:id="0" w:name="_Ref91157329"/>
      <w:bookmarkStart w:id="1" w:name="_Toc101958153"/>
      <w:r>
        <w:rPr>
          <w:rFonts w:ascii="Times New Roman" w:hAnsi="Times New Roman" w:cs="Times New Roman"/>
          <w:b/>
          <w:bCs/>
          <w:sz w:val="24"/>
          <w:szCs w:val="24"/>
        </w:rPr>
        <w:t>Supporitng Information</w:t>
      </w:r>
    </w:p>
    <w:p w14:paraId="7A929D98" w14:textId="77777777" w:rsidR="003661B8" w:rsidRDefault="003661B8" w:rsidP="003661B8">
      <w:pPr>
        <w:jc w:val="both"/>
        <w:rPr>
          <w:rFonts w:ascii="Times New Roman" w:hAnsi="Times New Roman" w:cs="Times New Roman"/>
          <w:b/>
          <w:bCs/>
          <w:sz w:val="24"/>
          <w:szCs w:val="24"/>
        </w:rPr>
      </w:pPr>
    </w:p>
    <w:p w14:paraId="5E54A47D" w14:textId="77777777" w:rsidR="008613B5" w:rsidRPr="00DC6A1D" w:rsidRDefault="008613B5" w:rsidP="008613B5">
      <w:pPr>
        <w:jc w:val="both"/>
        <w:rPr>
          <w:rFonts w:ascii="Times New Roman" w:hAnsi="Times New Roman" w:cs="Times New Roman"/>
          <w:b/>
          <w:bCs/>
          <w:sz w:val="24"/>
          <w:szCs w:val="24"/>
        </w:rPr>
      </w:pPr>
      <w:r w:rsidRPr="00DC6A1D">
        <w:rPr>
          <w:rFonts w:ascii="Times New Roman" w:hAnsi="Times New Roman" w:cs="Times New Roman"/>
          <w:b/>
          <w:bCs/>
          <w:sz w:val="24"/>
          <w:szCs w:val="24"/>
        </w:rPr>
        <w:t>Enzymatic hydrolysis lignin and kraft lignin from birch wood:  a source of functional bio-based materials</w:t>
      </w:r>
    </w:p>
    <w:p w14:paraId="70373EAD" w14:textId="77777777" w:rsidR="008613B5" w:rsidRPr="00056C65" w:rsidRDefault="008613B5" w:rsidP="008613B5">
      <w:pPr>
        <w:pStyle w:val="AuthorsFull"/>
        <w:spacing w:before="120" w:after="120" w:line="360" w:lineRule="auto"/>
        <w:jc w:val="both"/>
        <w:rPr>
          <w:lang w:val="es-ES"/>
        </w:rPr>
      </w:pPr>
      <w:r w:rsidRPr="00056C65">
        <w:rPr>
          <w:lang w:val="es-ES"/>
        </w:rPr>
        <w:t>Edgar Ramirez Huerta</w:t>
      </w:r>
      <w:r>
        <w:rPr>
          <w:lang w:val="es-ES"/>
        </w:rPr>
        <w:t xml:space="preserve"> </w:t>
      </w:r>
      <w:r w:rsidRPr="00804C90">
        <w:rPr>
          <w:rFonts w:eastAsia="Gulim"/>
          <w:bCs/>
          <w:color w:val="000000"/>
          <w:vertAlign w:val="superscript"/>
          <w:lang w:val="es-ES"/>
        </w:rPr>
        <w:t>1</w:t>
      </w:r>
      <w:r w:rsidRPr="00056C65">
        <w:rPr>
          <w:lang w:val="es-ES"/>
        </w:rPr>
        <w:t xml:space="preserve">, Muhammad Muddasar </w:t>
      </w:r>
      <w:r w:rsidRPr="00056C65">
        <w:rPr>
          <w:vertAlign w:val="superscript"/>
          <w:lang w:val="es-ES"/>
        </w:rPr>
        <w:t>1</w:t>
      </w:r>
      <w:r w:rsidRPr="00056C65">
        <w:rPr>
          <w:lang w:val="es-ES"/>
        </w:rPr>
        <w:t xml:space="preserve">, Maurice N. Collins </w:t>
      </w:r>
      <w:r w:rsidRPr="00056C65">
        <w:rPr>
          <w:vertAlign w:val="superscript"/>
          <w:lang w:val="es-ES"/>
        </w:rPr>
        <w:t>1,2</w:t>
      </w:r>
      <w:r>
        <w:rPr>
          <w:vertAlign w:val="superscript"/>
          <w:lang w:val="es-ES"/>
        </w:rPr>
        <w:t>,3</w:t>
      </w:r>
      <w:r w:rsidRPr="00056C65">
        <w:rPr>
          <w:vertAlign w:val="superscript"/>
          <w:lang w:val="es-ES"/>
        </w:rPr>
        <w:t>,</w:t>
      </w:r>
      <w:r w:rsidRPr="00056C65">
        <w:rPr>
          <w:lang w:val="es-ES"/>
        </w:rPr>
        <w:t xml:space="preserve"> *</w:t>
      </w:r>
    </w:p>
    <w:p w14:paraId="126C68F0" w14:textId="77777777" w:rsidR="008613B5" w:rsidRPr="00DC6A1D" w:rsidRDefault="008613B5" w:rsidP="008613B5">
      <w:pPr>
        <w:snapToGrid w:val="0"/>
        <w:spacing w:before="120" w:after="120" w:line="360" w:lineRule="auto"/>
        <w:jc w:val="both"/>
        <w:rPr>
          <w:rFonts w:ascii="Times New Roman" w:eastAsia="Gulim" w:hAnsi="Times New Roman" w:cs="Times New Roman"/>
          <w:bCs/>
          <w:color w:val="000000"/>
          <w:sz w:val="24"/>
          <w:szCs w:val="24"/>
        </w:rPr>
      </w:pPr>
      <w:r w:rsidRPr="00DC6A1D">
        <w:rPr>
          <w:rFonts w:ascii="Times New Roman" w:eastAsia="Gulim" w:hAnsi="Times New Roman" w:cs="Times New Roman"/>
          <w:bCs/>
          <w:color w:val="000000"/>
          <w:sz w:val="24"/>
          <w:szCs w:val="24"/>
          <w:vertAlign w:val="superscript"/>
        </w:rPr>
        <w:t>1</w:t>
      </w:r>
      <w:r w:rsidRPr="00DC6A1D">
        <w:rPr>
          <w:rFonts w:ascii="Times New Roman" w:eastAsia="Gulim" w:hAnsi="Times New Roman" w:cs="Times New Roman"/>
          <w:bCs/>
          <w:color w:val="000000"/>
          <w:sz w:val="24"/>
          <w:szCs w:val="24"/>
        </w:rPr>
        <w:t xml:space="preserve"> Stokes Laboratories, School of Engineering, Bernal Institute, University of Limerick, Limerick, V94 T9PX, Ireland.</w:t>
      </w:r>
    </w:p>
    <w:p w14:paraId="64027CDA" w14:textId="77777777" w:rsidR="008613B5" w:rsidRDefault="008613B5" w:rsidP="008613B5">
      <w:pPr>
        <w:snapToGrid w:val="0"/>
        <w:spacing w:before="120" w:after="120" w:line="360" w:lineRule="auto"/>
        <w:jc w:val="both"/>
        <w:rPr>
          <w:rFonts w:ascii="Times New Roman" w:eastAsia="Gulim" w:hAnsi="Times New Roman" w:cs="Times New Roman"/>
          <w:bCs/>
          <w:color w:val="000000"/>
          <w:sz w:val="24"/>
          <w:szCs w:val="24"/>
        </w:rPr>
      </w:pPr>
      <w:r w:rsidRPr="00DC6A1D">
        <w:rPr>
          <w:rFonts w:ascii="Times New Roman" w:eastAsia="Gulim" w:hAnsi="Times New Roman" w:cs="Times New Roman"/>
          <w:iCs/>
          <w:color w:val="000000"/>
          <w:sz w:val="24"/>
          <w:szCs w:val="24"/>
          <w:vertAlign w:val="superscript"/>
        </w:rPr>
        <w:t xml:space="preserve">2 </w:t>
      </w:r>
      <w:r>
        <w:rPr>
          <w:rFonts w:ascii="Times New Roman" w:eastAsia="Gulim" w:hAnsi="Times New Roman" w:cs="Times New Roman"/>
          <w:bCs/>
          <w:color w:val="000000"/>
          <w:sz w:val="24"/>
          <w:szCs w:val="24"/>
        </w:rPr>
        <w:t>AMBER</w:t>
      </w:r>
      <w:r w:rsidRPr="00DC6A1D">
        <w:rPr>
          <w:rFonts w:ascii="Times New Roman" w:eastAsia="Gulim" w:hAnsi="Times New Roman" w:cs="Times New Roman"/>
          <w:bCs/>
          <w:color w:val="000000"/>
          <w:sz w:val="24"/>
          <w:szCs w:val="24"/>
        </w:rPr>
        <w:t>,</w:t>
      </w:r>
      <w:r>
        <w:rPr>
          <w:rFonts w:ascii="Times New Roman" w:eastAsia="Gulim" w:hAnsi="Times New Roman" w:cs="Times New Roman"/>
          <w:bCs/>
          <w:color w:val="000000"/>
          <w:sz w:val="24"/>
          <w:szCs w:val="24"/>
        </w:rPr>
        <w:t xml:space="preserve"> University of Limerick,</w:t>
      </w:r>
      <w:r w:rsidRPr="00DC6A1D">
        <w:rPr>
          <w:rFonts w:ascii="Times New Roman" w:eastAsia="Gulim" w:hAnsi="Times New Roman" w:cs="Times New Roman"/>
          <w:bCs/>
          <w:color w:val="000000"/>
          <w:sz w:val="24"/>
          <w:szCs w:val="24"/>
        </w:rPr>
        <w:t xml:space="preserve"> Ireland.</w:t>
      </w:r>
    </w:p>
    <w:p w14:paraId="4E7CA3D7" w14:textId="77777777" w:rsidR="008613B5" w:rsidRDefault="008613B5" w:rsidP="008613B5">
      <w:pPr>
        <w:snapToGrid w:val="0"/>
        <w:spacing w:before="120" w:after="120" w:line="360" w:lineRule="auto"/>
        <w:jc w:val="both"/>
        <w:rPr>
          <w:rFonts w:ascii="Times New Roman" w:eastAsia="Gulim" w:hAnsi="Times New Roman" w:cs="Times New Roman"/>
          <w:bCs/>
          <w:color w:val="000000"/>
          <w:sz w:val="24"/>
          <w:szCs w:val="24"/>
        </w:rPr>
      </w:pPr>
      <w:r>
        <w:rPr>
          <w:rFonts w:ascii="Times New Roman" w:eastAsia="Gulim" w:hAnsi="Times New Roman" w:cs="Times New Roman"/>
          <w:iCs/>
          <w:color w:val="000000"/>
          <w:sz w:val="24"/>
          <w:szCs w:val="24"/>
          <w:vertAlign w:val="superscript"/>
        </w:rPr>
        <w:t>3</w:t>
      </w:r>
      <w:r w:rsidRPr="00DC6A1D">
        <w:rPr>
          <w:rFonts w:ascii="Times New Roman" w:eastAsia="Gulim" w:hAnsi="Times New Roman" w:cs="Times New Roman"/>
          <w:iCs/>
          <w:color w:val="000000"/>
          <w:sz w:val="24"/>
          <w:szCs w:val="24"/>
          <w:vertAlign w:val="superscript"/>
        </w:rPr>
        <w:t xml:space="preserve"> </w:t>
      </w:r>
      <w:r>
        <w:rPr>
          <w:rFonts w:ascii="Times New Roman" w:eastAsia="Gulim" w:hAnsi="Times New Roman" w:cs="Times New Roman"/>
          <w:bCs/>
          <w:color w:val="000000"/>
          <w:sz w:val="24"/>
          <w:szCs w:val="24"/>
        </w:rPr>
        <w:t>BiOrbic</w:t>
      </w:r>
      <w:r w:rsidRPr="00DC6A1D">
        <w:rPr>
          <w:rFonts w:ascii="Times New Roman" w:eastAsia="Gulim" w:hAnsi="Times New Roman" w:cs="Times New Roman"/>
          <w:bCs/>
          <w:color w:val="000000"/>
          <w:sz w:val="24"/>
          <w:szCs w:val="24"/>
        </w:rPr>
        <w:t>,</w:t>
      </w:r>
      <w:r>
        <w:rPr>
          <w:rFonts w:ascii="Times New Roman" w:eastAsia="Gulim" w:hAnsi="Times New Roman" w:cs="Times New Roman"/>
          <w:bCs/>
          <w:color w:val="000000"/>
          <w:sz w:val="24"/>
          <w:szCs w:val="24"/>
        </w:rPr>
        <w:t xml:space="preserve"> University of Limerick,</w:t>
      </w:r>
      <w:r w:rsidRPr="00DC6A1D">
        <w:rPr>
          <w:rFonts w:ascii="Times New Roman" w:eastAsia="Gulim" w:hAnsi="Times New Roman" w:cs="Times New Roman"/>
          <w:bCs/>
          <w:color w:val="000000"/>
          <w:sz w:val="24"/>
          <w:szCs w:val="24"/>
        </w:rPr>
        <w:t xml:space="preserve"> Ireland.</w:t>
      </w:r>
    </w:p>
    <w:p w14:paraId="0BD2A775" w14:textId="77777777" w:rsidR="008613B5" w:rsidRPr="00DC6A1D" w:rsidRDefault="008613B5" w:rsidP="008613B5">
      <w:pPr>
        <w:spacing w:before="120" w:after="120" w:line="360" w:lineRule="auto"/>
        <w:jc w:val="both"/>
        <w:rPr>
          <w:rFonts w:ascii="Times New Roman" w:eastAsia="MS Mincho" w:hAnsi="Times New Roman" w:cs="Times New Roman"/>
          <w:sz w:val="24"/>
          <w:szCs w:val="24"/>
        </w:rPr>
      </w:pPr>
      <w:r w:rsidRPr="00DC6A1D">
        <w:rPr>
          <w:rFonts w:ascii="Times New Roman" w:hAnsi="Times New Roman" w:cs="Times New Roman"/>
          <w:sz w:val="24"/>
          <w:szCs w:val="24"/>
        </w:rPr>
        <w:t>*Corresponding author.</w:t>
      </w:r>
    </w:p>
    <w:p w14:paraId="2B6EE422" w14:textId="77777777" w:rsidR="008613B5" w:rsidRPr="00DC6A1D" w:rsidRDefault="008613B5" w:rsidP="008613B5">
      <w:pPr>
        <w:spacing w:line="360" w:lineRule="auto"/>
        <w:jc w:val="both"/>
        <w:rPr>
          <w:rFonts w:ascii="Times New Roman" w:hAnsi="Times New Roman" w:cs="Times New Roman"/>
          <w:color w:val="0563C1" w:themeColor="hyperlink"/>
          <w:sz w:val="24"/>
          <w:szCs w:val="24"/>
          <w:u w:val="single"/>
        </w:rPr>
      </w:pPr>
      <w:r w:rsidRPr="00DC6A1D">
        <w:rPr>
          <w:rFonts w:ascii="Times New Roman" w:hAnsi="Times New Roman" w:cs="Times New Roman"/>
          <w:sz w:val="24"/>
          <w:szCs w:val="24"/>
        </w:rPr>
        <w:t xml:space="preserve">E-mail: </w:t>
      </w:r>
      <w:hyperlink r:id="rId5" w:history="1">
        <w:r w:rsidRPr="00DC6A1D">
          <w:rPr>
            <w:rStyle w:val="Hyperlink"/>
            <w:rFonts w:ascii="Times New Roman" w:hAnsi="Times New Roman" w:cs="Times New Roman"/>
            <w:sz w:val="24"/>
            <w:szCs w:val="24"/>
          </w:rPr>
          <w:t>Maurice.Collins@ul.ie</w:t>
        </w:r>
      </w:hyperlink>
    </w:p>
    <w:p w14:paraId="2A5B4027" w14:textId="2C06BC7E" w:rsidR="00594B34" w:rsidRDefault="003661B8">
      <w:pPr>
        <w:rPr>
          <w:rFonts w:ascii="Times New Roman" w:hAnsi="Times New Roman" w:cs="Times New Roman"/>
          <w:b/>
          <w:bCs/>
          <w:sz w:val="24"/>
          <w:szCs w:val="24"/>
        </w:rPr>
      </w:pPr>
      <w:r>
        <w:rPr>
          <w:rFonts w:ascii="Times New Roman" w:hAnsi="Times New Roman" w:cs="Times New Roman"/>
          <w:b/>
          <w:bCs/>
          <w:sz w:val="24"/>
          <w:szCs w:val="24"/>
        </w:rPr>
        <w:br w:type="page"/>
      </w:r>
    </w:p>
    <w:p w14:paraId="1023B500" w14:textId="12157625" w:rsidR="001B19A6" w:rsidRPr="00515FB8" w:rsidRDefault="001B19A6" w:rsidP="001B19A6">
      <w:pPr>
        <w:spacing w:line="360" w:lineRule="auto"/>
        <w:jc w:val="both"/>
        <w:rPr>
          <w:rFonts w:ascii="Times New Roman" w:hAnsi="Times New Roman" w:cs="Times New Roman"/>
          <w:b/>
          <w:bCs/>
          <w:sz w:val="24"/>
          <w:szCs w:val="24"/>
        </w:rPr>
      </w:pPr>
      <w:r w:rsidRPr="00515FB8">
        <w:rPr>
          <w:rFonts w:ascii="Times New Roman" w:hAnsi="Times New Roman" w:cs="Times New Roman"/>
          <w:b/>
          <w:bCs/>
          <w:sz w:val="24"/>
          <w:szCs w:val="24"/>
        </w:rPr>
        <w:lastRenderedPageBreak/>
        <w:t>Chemical Characterization</w:t>
      </w:r>
    </w:p>
    <w:p w14:paraId="44E3729A" w14:textId="77777777" w:rsidR="001B19A6" w:rsidRPr="00515FB8" w:rsidRDefault="001B19A6" w:rsidP="001B19A6">
      <w:pPr>
        <w:spacing w:line="360" w:lineRule="auto"/>
        <w:jc w:val="both"/>
        <w:rPr>
          <w:rFonts w:ascii="Times New Roman" w:hAnsi="Times New Roman" w:cs="Times New Roman"/>
          <w:b/>
          <w:bCs/>
          <w:sz w:val="24"/>
          <w:szCs w:val="24"/>
        </w:rPr>
      </w:pPr>
      <w:r w:rsidRPr="00515FB8">
        <w:rPr>
          <w:rFonts w:ascii="Times New Roman" w:hAnsi="Times New Roman" w:cs="Times New Roman"/>
          <w:b/>
          <w:bCs/>
          <w:sz w:val="24"/>
          <w:szCs w:val="24"/>
        </w:rPr>
        <w:t>Lignin and Residual Carbohydrates Composition</w:t>
      </w:r>
    </w:p>
    <w:p w14:paraId="7A2972E3" w14:textId="77777777" w:rsidR="00CF68AA" w:rsidRPr="00CF68AA" w:rsidRDefault="001B19A6" w:rsidP="001B19A6">
      <w:pPr>
        <w:spacing w:line="360" w:lineRule="auto"/>
        <w:jc w:val="both"/>
        <w:rPr>
          <w:rFonts w:ascii="Times New Roman" w:hAnsi="Times New Roman" w:cs="Times New Roman"/>
          <w:color w:val="FF0000"/>
          <w:sz w:val="24"/>
          <w:szCs w:val="24"/>
        </w:rPr>
      </w:pPr>
      <w:r w:rsidRPr="00515FB8">
        <w:rPr>
          <w:rFonts w:ascii="Times New Roman" w:hAnsi="Times New Roman" w:cs="Times New Roman"/>
          <w:sz w:val="24"/>
          <w:szCs w:val="24"/>
        </w:rPr>
        <w:t>The birch wood and the lignin-rich substrates were analyzed to determine the samples' lignin and residual carbohydrates composition according to NREL “Structural Carbohydrates and Lignin in Biomass” methodology</w:t>
      </w:r>
      <w:r w:rsidR="008C0DC7">
        <w:rPr>
          <w:rFonts w:ascii="Times New Roman" w:hAnsi="Times New Roman" w:cs="Times New Roman"/>
          <w:sz w:val="24"/>
          <w:szCs w:val="24"/>
        </w:rPr>
        <w:t xml:space="preserve"> [13].</w:t>
      </w:r>
      <w:r w:rsidR="00CF68AA">
        <w:rPr>
          <w:rFonts w:ascii="Times New Roman" w:hAnsi="Times New Roman" w:cs="Times New Roman"/>
          <w:sz w:val="24"/>
          <w:szCs w:val="24"/>
        </w:rPr>
        <w:t xml:space="preserve"> </w:t>
      </w:r>
      <w:r w:rsidR="00CF68AA" w:rsidRPr="00CF68AA">
        <w:rPr>
          <w:rFonts w:ascii="Times New Roman" w:hAnsi="Times New Roman" w:cs="Times New Roman"/>
          <w:color w:val="FF0000"/>
          <w:sz w:val="24"/>
          <w:szCs w:val="24"/>
        </w:rPr>
        <w:t>Tested samples were labelled as follows:</w:t>
      </w:r>
    </w:p>
    <w:p w14:paraId="067C13F9" w14:textId="50B0CFD9" w:rsidR="00CF68AA" w:rsidRPr="00CF68AA" w:rsidRDefault="00CF68AA" w:rsidP="00CF68AA">
      <w:pPr>
        <w:pStyle w:val="ListParagraph"/>
        <w:numPr>
          <w:ilvl w:val="0"/>
          <w:numId w:val="2"/>
        </w:numPr>
        <w:spacing w:line="360" w:lineRule="auto"/>
        <w:rPr>
          <w:color w:val="FF0000"/>
        </w:rPr>
      </w:pPr>
      <w:r w:rsidRPr="00CF68AA">
        <w:rPr>
          <w:rFonts w:ascii="Times New Roman" w:hAnsi="Times New Roman" w:cs="Times New Roman"/>
          <w:color w:val="FF0000"/>
          <w:sz w:val="24"/>
          <w:szCs w:val="24"/>
        </w:rPr>
        <w:t>Enzymatic hydrolysis lignin (EHL)</w:t>
      </w:r>
    </w:p>
    <w:p w14:paraId="6F74B4E4" w14:textId="622311DF" w:rsidR="00CF68AA" w:rsidRPr="00CF68AA" w:rsidRDefault="00CF68AA" w:rsidP="00CF68AA">
      <w:pPr>
        <w:pStyle w:val="ListParagraph"/>
        <w:numPr>
          <w:ilvl w:val="0"/>
          <w:numId w:val="2"/>
        </w:numPr>
        <w:spacing w:line="360" w:lineRule="auto"/>
        <w:rPr>
          <w:rFonts w:ascii="Times New Roman" w:hAnsi="Times New Roman" w:cs="Times New Roman"/>
          <w:color w:val="FF0000"/>
          <w:sz w:val="24"/>
          <w:szCs w:val="24"/>
        </w:rPr>
      </w:pPr>
      <w:r w:rsidRPr="00CF68AA">
        <w:rPr>
          <w:rFonts w:ascii="Times New Roman" w:hAnsi="Times New Roman" w:cs="Times New Roman"/>
          <w:color w:val="FF0000"/>
          <w:sz w:val="24"/>
          <w:szCs w:val="24"/>
        </w:rPr>
        <w:t>Hydrothermally pretreated birch wood (HTBW)</w:t>
      </w:r>
    </w:p>
    <w:p w14:paraId="73FE6554" w14:textId="7A461D10" w:rsidR="00CF68AA" w:rsidRPr="00CF68AA" w:rsidRDefault="00CF68AA" w:rsidP="00CF68AA">
      <w:pPr>
        <w:pStyle w:val="ListParagraph"/>
        <w:numPr>
          <w:ilvl w:val="0"/>
          <w:numId w:val="2"/>
        </w:numPr>
        <w:spacing w:line="360" w:lineRule="auto"/>
        <w:rPr>
          <w:rFonts w:ascii="Times New Roman" w:hAnsi="Times New Roman" w:cs="Times New Roman"/>
          <w:color w:val="FF0000"/>
          <w:sz w:val="24"/>
          <w:szCs w:val="24"/>
        </w:rPr>
      </w:pPr>
      <w:r w:rsidRPr="00CF68AA">
        <w:rPr>
          <w:rFonts w:ascii="Times New Roman" w:hAnsi="Times New Roman" w:cs="Times New Roman"/>
          <w:color w:val="FF0000"/>
          <w:sz w:val="24"/>
          <w:szCs w:val="24"/>
        </w:rPr>
        <w:t>Milled birch wood (MBW)</w:t>
      </w:r>
    </w:p>
    <w:p w14:paraId="20DFA27E" w14:textId="7D32D7DC" w:rsidR="00CF68AA" w:rsidRPr="00CF68AA" w:rsidRDefault="00CF68AA" w:rsidP="00CF68AA">
      <w:pPr>
        <w:pStyle w:val="ListParagraph"/>
        <w:numPr>
          <w:ilvl w:val="0"/>
          <w:numId w:val="2"/>
        </w:numPr>
        <w:spacing w:line="360" w:lineRule="auto"/>
        <w:rPr>
          <w:rFonts w:ascii="Times New Roman" w:hAnsi="Times New Roman" w:cs="Times New Roman"/>
          <w:color w:val="FF0000"/>
          <w:sz w:val="24"/>
          <w:szCs w:val="24"/>
        </w:rPr>
      </w:pPr>
      <w:r w:rsidRPr="00CF68AA">
        <w:rPr>
          <w:rFonts w:ascii="Times New Roman" w:hAnsi="Times New Roman" w:cs="Times New Roman"/>
          <w:color w:val="FF0000"/>
          <w:sz w:val="24"/>
          <w:szCs w:val="24"/>
        </w:rPr>
        <w:t>Lignin-rich precipitate at p</w:t>
      </w:r>
      <w:r w:rsidR="00AD14D2">
        <w:rPr>
          <w:rFonts w:ascii="Times New Roman" w:hAnsi="Times New Roman" w:cs="Times New Roman"/>
          <w:color w:val="FF0000"/>
          <w:sz w:val="24"/>
          <w:szCs w:val="24"/>
        </w:rPr>
        <w:t>H</w:t>
      </w:r>
      <w:r w:rsidRPr="00CF68AA">
        <w:rPr>
          <w:rFonts w:ascii="Times New Roman" w:hAnsi="Times New Roman" w:cs="Times New Roman"/>
          <w:color w:val="FF0000"/>
          <w:sz w:val="24"/>
          <w:szCs w:val="24"/>
        </w:rPr>
        <w:t xml:space="preserve"> 4 (LG4)</w:t>
      </w:r>
    </w:p>
    <w:p w14:paraId="64B06139" w14:textId="16AAF45E" w:rsidR="001B19A6" w:rsidRPr="00CF68AA" w:rsidRDefault="00CF68AA" w:rsidP="00CF68AA">
      <w:pPr>
        <w:pStyle w:val="ListParagraph"/>
        <w:numPr>
          <w:ilvl w:val="0"/>
          <w:numId w:val="2"/>
        </w:numPr>
        <w:spacing w:line="360" w:lineRule="auto"/>
        <w:rPr>
          <w:rFonts w:ascii="Times New Roman" w:hAnsi="Times New Roman" w:cs="Times New Roman"/>
          <w:color w:val="FF0000"/>
          <w:sz w:val="24"/>
          <w:szCs w:val="24"/>
        </w:rPr>
      </w:pPr>
      <w:r w:rsidRPr="00CF68AA">
        <w:rPr>
          <w:rFonts w:ascii="Times New Roman" w:hAnsi="Times New Roman" w:cs="Times New Roman"/>
          <w:color w:val="FF0000"/>
          <w:sz w:val="24"/>
          <w:szCs w:val="24"/>
        </w:rPr>
        <w:t>Lignin-rich precipitate at p</w:t>
      </w:r>
      <w:r w:rsidR="00AD14D2">
        <w:rPr>
          <w:rFonts w:ascii="Times New Roman" w:hAnsi="Times New Roman" w:cs="Times New Roman"/>
          <w:color w:val="FF0000"/>
          <w:sz w:val="24"/>
          <w:szCs w:val="24"/>
        </w:rPr>
        <w:t>H</w:t>
      </w:r>
      <w:r w:rsidRPr="00CF68AA">
        <w:rPr>
          <w:rFonts w:ascii="Times New Roman" w:hAnsi="Times New Roman" w:cs="Times New Roman"/>
          <w:color w:val="FF0000"/>
          <w:sz w:val="24"/>
          <w:szCs w:val="24"/>
        </w:rPr>
        <w:t xml:space="preserve"> 1.5(LG1.5)</w:t>
      </w:r>
    </w:p>
    <w:p w14:paraId="5D8EBB65" w14:textId="77777777" w:rsidR="001B19A6" w:rsidRPr="00515FB8" w:rsidRDefault="001B19A6" w:rsidP="001B19A6">
      <w:pPr>
        <w:spacing w:line="360" w:lineRule="auto"/>
        <w:jc w:val="both"/>
        <w:rPr>
          <w:rFonts w:ascii="Times New Roman" w:hAnsi="Times New Roman" w:cs="Times New Roman"/>
          <w:b/>
          <w:bCs/>
          <w:sz w:val="24"/>
          <w:szCs w:val="24"/>
        </w:rPr>
      </w:pPr>
      <w:r w:rsidRPr="00515FB8">
        <w:rPr>
          <w:rFonts w:ascii="Times New Roman" w:hAnsi="Times New Roman" w:cs="Times New Roman"/>
          <w:b/>
          <w:bCs/>
          <w:sz w:val="24"/>
          <w:szCs w:val="24"/>
        </w:rPr>
        <w:t>Elemental Analysis</w:t>
      </w:r>
    </w:p>
    <w:p w14:paraId="47B7FCEA" w14:textId="4737DCA4" w:rsidR="001B19A6" w:rsidRPr="00515FB8" w:rsidRDefault="001B19A6" w:rsidP="001B19A6">
      <w:pPr>
        <w:spacing w:line="360" w:lineRule="auto"/>
        <w:jc w:val="both"/>
        <w:rPr>
          <w:rFonts w:ascii="Times New Roman" w:hAnsi="Times New Roman" w:cs="Times New Roman"/>
          <w:sz w:val="24"/>
          <w:szCs w:val="24"/>
        </w:rPr>
      </w:pPr>
      <w:r w:rsidRPr="00515FB8">
        <w:rPr>
          <w:rFonts w:ascii="Times New Roman" w:hAnsi="Times New Roman" w:cs="Times New Roman"/>
          <w:sz w:val="24"/>
          <w:szCs w:val="24"/>
        </w:rPr>
        <w:t>Elemental analysis (C, H, N, S) was performed using an Elementar Macro Cube elemental analyzer (Quantum Analytics, USA). The analysis was carried according to the European Standard EN 15104:2011 “Solid biofuels – Determination of Total carbon, hydrogen, and nitrogen – Instrumental methods”</w:t>
      </w:r>
      <w:r w:rsidR="005D6CBE">
        <w:rPr>
          <w:rFonts w:ascii="Times New Roman" w:hAnsi="Times New Roman" w:cs="Times New Roman"/>
          <w:sz w:val="24"/>
          <w:szCs w:val="24"/>
        </w:rPr>
        <w:t xml:space="preserve"> [13]</w:t>
      </w:r>
      <w:r w:rsidRPr="00515FB8">
        <w:rPr>
          <w:rFonts w:ascii="Times New Roman" w:hAnsi="Times New Roman" w:cs="Times New Roman"/>
          <w:sz w:val="24"/>
          <w:szCs w:val="24"/>
        </w:rPr>
        <w:t>. For background, 3-4 scans were recorded and subtracted from the evaluated samples. The results were reported on a dry-mass basis. The moisture and ash content of the samples were determined</w:t>
      </w:r>
      <w:r w:rsidR="005D6CBE">
        <w:rPr>
          <w:rFonts w:ascii="Times New Roman" w:hAnsi="Times New Roman" w:cs="Times New Roman"/>
          <w:sz w:val="24"/>
          <w:szCs w:val="24"/>
        </w:rPr>
        <w:t>.</w:t>
      </w:r>
    </w:p>
    <w:p w14:paraId="786E7412" w14:textId="77777777" w:rsidR="001B19A6" w:rsidRPr="00515FB8" w:rsidRDefault="001B19A6" w:rsidP="001B19A6">
      <w:pPr>
        <w:spacing w:line="360" w:lineRule="auto"/>
        <w:jc w:val="both"/>
        <w:rPr>
          <w:rFonts w:ascii="Times New Roman" w:hAnsi="Times New Roman" w:cs="Times New Roman"/>
          <w:sz w:val="24"/>
          <w:szCs w:val="24"/>
        </w:rPr>
      </w:pPr>
      <w:r w:rsidRPr="00515FB8">
        <w:rPr>
          <w:rFonts w:ascii="Times New Roman" w:hAnsi="Times New Roman" w:cs="Times New Roman"/>
          <w:sz w:val="24"/>
          <w:szCs w:val="24"/>
        </w:rPr>
        <w:t xml:space="preserve"> The Elementar was equipped with a combustion tube that contained an ash crucible, with a bottom base of aluminium oxide wool where the sample drops in. The combustion component was granulated tungsten oxide (WO3) separated from the ash crucible by conundrum balls. The WO3 catalyzes the combustion of the samples, providing additional oxygen to the reaction to prevent the formation of non-volatile sulphates and binds alkali elements.</w:t>
      </w:r>
    </w:p>
    <w:p w14:paraId="4067D94A" w14:textId="77777777" w:rsidR="001B19A6" w:rsidRPr="00515FB8" w:rsidRDefault="001B19A6" w:rsidP="001B19A6">
      <w:pPr>
        <w:spacing w:line="360" w:lineRule="auto"/>
        <w:jc w:val="both"/>
        <w:rPr>
          <w:rFonts w:ascii="Times New Roman" w:hAnsi="Times New Roman" w:cs="Times New Roman"/>
          <w:sz w:val="24"/>
          <w:szCs w:val="24"/>
        </w:rPr>
      </w:pPr>
      <w:r w:rsidRPr="00515FB8">
        <w:rPr>
          <w:rFonts w:ascii="Times New Roman" w:hAnsi="Times New Roman" w:cs="Times New Roman"/>
          <w:sz w:val="24"/>
          <w:szCs w:val="24"/>
        </w:rPr>
        <w:t>The combustion tube was maintained at 750 °C while oxygen was dosed to identify the target elements (C, H, N, S) by producing CO2, H2O, NOx, SO2, SO3. After the combustion, 600 ml/min of helium set up at 1.6 bar acted as a carrier gas towards the reduction tube. The reduction tubes were kept at 1100 °C, packed with 3 layers of copper equally distributed along the tube, separated by a 10 mm layer of conundrum balls and a thin layer of silver wool at the top of the tube. NOx is reduced to N2 reacting with copper in the reduction tubes, and the SOx gets attached to the silver layer. The produced gases flow through a thermal conductivity detector, and a series of separation columns quantify the elements corresponding to their retention times.</w:t>
      </w:r>
    </w:p>
    <w:p w14:paraId="6B07C45F" w14:textId="77777777" w:rsidR="001B19A6" w:rsidRPr="00515FB8" w:rsidRDefault="001B19A6" w:rsidP="001B19A6">
      <w:pPr>
        <w:spacing w:line="360" w:lineRule="auto"/>
        <w:jc w:val="both"/>
        <w:rPr>
          <w:rFonts w:ascii="Times New Roman" w:hAnsi="Times New Roman" w:cs="Times New Roman"/>
          <w:b/>
          <w:bCs/>
          <w:sz w:val="24"/>
          <w:szCs w:val="24"/>
        </w:rPr>
      </w:pPr>
      <w:r w:rsidRPr="00515FB8">
        <w:rPr>
          <w:rFonts w:ascii="Times New Roman" w:hAnsi="Times New Roman" w:cs="Times New Roman"/>
          <w:b/>
          <w:bCs/>
          <w:sz w:val="24"/>
          <w:szCs w:val="24"/>
        </w:rPr>
        <w:lastRenderedPageBreak/>
        <w:t xml:space="preserve">Structural Characterization </w:t>
      </w:r>
    </w:p>
    <w:p w14:paraId="24055E35" w14:textId="77777777" w:rsidR="001B19A6" w:rsidRPr="00515FB8" w:rsidRDefault="001B19A6" w:rsidP="001B19A6">
      <w:pPr>
        <w:spacing w:line="360" w:lineRule="auto"/>
        <w:jc w:val="both"/>
        <w:rPr>
          <w:rFonts w:ascii="Times New Roman" w:hAnsi="Times New Roman" w:cs="Times New Roman"/>
          <w:b/>
          <w:bCs/>
          <w:sz w:val="24"/>
          <w:szCs w:val="24"/>
        </w:rPr>
      </w:pPr>
      <w:r w:rsidRPr="00515FB8">
        <w:rPr>
          <w:rFonts w:ascii="Times New Roman" w:hAnsi="Times New Roman" w:cs="Times New Roman"/>
          <w:b/>
          <w:bCs/>
          <w:sz w:val="24"/>
          <w:szCs w:val="24"/>
        </w:rPr>
        <w:t>Fourier Transform Infrared Spectroscopy (FTIR)</w:t>
      </w:r>
    </w:p>
    <w:p w14:paraId="7CFBEE18" w14:textId="51D7D34B" w:rsidR="001B19A6" w:rsidRPr="00515FB8" w:rsidRDefault="001B19A6" w:rsidP="001B19A6">
      <w:pPr>
        <w:spacing w:line="360" w:lineRule="auto"/>
        <w:jc w:val="both"/>
        <w:rPr>
          <w:rFonts w:ascii="Times New Roman" w:hAnsi="Times New Roman" w:cs="Times New Roman"/>
          <w:sz w:val="24"/>
          <w:szCs w:val="24"/>
        </w:rPr>
      </w:pPr>
      <w:r w:rsidRPr="00515FB8">
        <w:rPr>
          <w:rFonts w:ascii="Times New Roman" w:hAnsi="Times New Roman" w:cs="Times New Roman"/>
          <w:sz w:val="24"/>
          <w:szCs w:val="24"/>
        </w:rPr>
        <w:t>FTIR characterization was carried out using a Nicolet Nexus FTIR spectrometer equipped with an attenuated reflectance accessory (ATR). Appropriate contact between the samples and the ATR-crystal was ensured with the pressure mechanism before all measurements to obtain good quality bands with transmittance levels as near as possible to 50%. A total of 10 scans were run-up in transmission mode with a resolution of (2 cm</w:t>
      </w:r>
      <w:r w:rsidRPr="005D6CBE">
        <w:rPr>
          <w:rFonts w:ascii="Times New Roman" w:hAnsi="Times New Roman" w:cs="Times New Roman"/>
          <w:sz w:val="24"/>
          <w:szCs w:val="24"/>
          <w:vertAlign w:val="superscript"/>
        </w:rPr>
        <w:t>-1</w:t>
      </w:r>
      <w:r w:rsidRPr="00515FB8">
        <w:rPr>
          <w:rFonts w:ascii="Times New Roman" w:hAnsi="Times New Roman" w:cs="Times New Roman"/>
          <w:sz w:val="24"/>
          <w:szCs w:val="24"/>
        </w:rPr>
        <w:t>). For background, 10 scans were recorded. The collected spectra were considered in the wavenumber range of 4000 to 650 cm-</w:t>
      </w:r>
      <w:r w:rsidRPr="005D6CBE">
        <w:rPr>
          <w:rFonts w:ascii="Times New Roman" w:hAnsi="Times New Roman" w:cs="Times New Roman"/>
          <w:sz w:val="24"/>
          <w:szCs w:val="24"/>
          <w:vertAlign w:val="superscript"/>
        </w:rPr>
        <w:t>1.</w:t>
      </w:r>
      <w:r w:rsidRPr="00515FB8">
        <w:rPr>
          <w:rFonts w:ascii="Times New Roman" w:hAnsi="Times New Roman" w:cs="Times New Roman"/>
          <w:sz w:val="24"/>
          <w:szCs w:val="24"/>
        </w:rPr>
        <w:t xml:space="preserve"> </w:t>
      </w:r>
    </w:p>
    <w:p w14:paraId="67E9FC90" w14:textId="77777777" w:rsidR="001B19A6" w:rsidRPr="00515FB8" w:rsidRDefault="001B19A6" w:rsidP="001B19A6">
      <w:pPr>
        <w:spacing w:line="360" w:lineRule="auto"/>
        <w:jc w:val="both"/>
        <w:rPr>
          <w:rFonts w:ascii="Times New Roman" w:hAnsi="Times New Roman" w:cs="Times New Roman"/>
          <w:b/>
          <w:bCs/>
          <w:sz w:val="24"/>
          <w:szCs w:val="24"/>
        </w:rPr>
      </w:pPr>
      <w:r w:rsidRPr="00515FB8">
        <w:rPr>
          <w:rFonts w:ascii="Times New Roman" w:hAnsi="Times New Roman" w:cs="Times New Roman"/>
          <w:b/>
          <w:bCs/>
          <w:sz w:val="24"/>
          <w:szCs w:val="24"/>
        </w:rPr>
        <w:t>Nuclear Magnetic Resonance Spectroscopy (NMR)</w:t>
      </w:r>
    </w:p>
    <w:p w14:paraId="168B053E" w14:textId="77777777" w:rsidR="001B19A6" w:rsidRPr="00515FB8" w:rsidRDefault="001B19A6" w:rsidP="001B19A6">
      <w:pPr>
        <w:spacing w:line="360" w:lineRule="auto"/>
        <w:jc w:val="both"/>
        <w:rPr>
          <w:rFonts w:ascii="Times New Roman" w:hAnsi="Times New Roman" w:cs="Times New Roman"/>
          <w:sz w:val="24"/>
          <w:szCs w:val="24"/>
        </w:rPr>
      </w:pPr>
      <w:r w:rsidRPr="00515FB8">
        <w:rPr>
          <w:rFonts w:ascii="Times New Roman" w:hAnsi="Times New Roman" w:cs="Times New Roman"/>
          <w:sz w:val="24"/>
          <w:szCs w:val="24"/>
        </w:rPr>
        <w:t>1H NMR was performed on a benchtop Spinsolve Proton 60 MHz (Magritek, Germany/New Zealand). 50 mg of the samples were dissolved in 0.5 mL DMSO d6 or Deuterated Chloroform. The mixture was sonicated for 30 min before being left to settle for 2h. The supernatant solution was extracted and inserted in a 5mm NMR tube. The volume was brought up to 1 mL for the analysis. 40 scans were recorded.</w:t>
      </w:r>
    </w:p>
    <w:p w14:paraId="6E54E8B2" w14:textId="77777777" w:rsidR="001B19A6" w:rsidRPr="00515FB8" w:rsidRDefault="001B19A6" w:rsidP="001B19A6">
      <w:pPr>
        <w:spacing w:line="360" w:lineRule="auto"/>
        <w:jc w:val="both"/>
        <w:rPr>
          <w:rFonts w:ascii="Times New Roman" w:hAnsi="Times New Roman" w:cs="Times New Roman"/>
          <w:b/>
          <w:bCs/>
          <w:sz w:val="24"/>
          <w:szCs w:val="24"/>
        </w:rPr>
      </w:pPr>
      <w:r w:rsidRPr="00515FB8">
        <w:rPr>
          <w:rFonts w:ascii="Times New Roman" w:hAnsi="Times New Roman" w:cs="Times New Roman"/>
          <w:b/>
          <w:bCs/>
          <w:sz w:val="24"/>
          <w:szCs w:val="24"/>
        </w:rPr>
        <w:t>Thermal Characterization</w:t>
      </w:r>
    </w:p>
    <w:p w14:paraId="4A6FF850" w14:textId="77777777" w:rsidR="001B19A6" w:rsidRPr="00515FB8" w:rsidRDefault="001B19A6" w:rsidP="001B19A6">
      <w:pPr>
        <w:spacing w:line="360" w:lineRule="auto"/>
        <w:jc w:val="both"/>
        <w:rPr>
          <w:rFonts w:ascii="Times New Roman" w:hAnsi="Times New Roman" w:cs="Times New Roman"/>
          <w:b/>
          <w:bCs/>
          <w:sz w:val="24"/>
          <w:szCs w:val="24"/>
        </w:rPr>
      </w:pPr>
      <w:r w:rsidRPr="00515FB8">
        <w:rPr>
          <w:rFonts w:ascii="Times New Roman" w:hAnsi="Times New Roman" w:cs="Times New Roman"/>
          <w:b/>
          <w:bCs/>
          <w:sz w:val="24"/>
          <w:szCs w:val="24"/>
        </w:rPr>
        <w:t>Differential Scanning Calorimetry (DSC)</w:t>
      </w:r>
    </w:p>
    <w:p w14:paraId="4495F472" w14:textId="5FD1C20E" w:rsidR="001B19A6" w:rsidRPr="00515FB8" w:rsidRDefault="001B19A6" w:rsidP="001B19A6">
      <w:pPr>
        <w:spacing w:line="360" w:lineRule="auto"/>
        <w:jc w:val="both"/>
        <w:rPr>
          <w:rFonts w:ascii="Times New Roman" w:hAnsi="Times New Roman" w:cs="Times New Roman"/>
          <w:sz w:val="24"/>
          <w:szCs w:val="24"/>
        </w:rPr>
      </w:pPr>
      <w:r w:rsidRPr="00515FB8">
        <w:rPr>
          <w:rFonts w:ascii="Times New Roman" w:hAnsi="Times New Roman" w:cs="Times New Roman"/>
          <w:sz w:val="24"/>
          <w:szCs w:val="24"/>
        </w:rPr>
        <w:t xml:space="preserve">DSC analysis of the LRSs was performed using a DSC 214 Netzsch Polyma (Germany). The samples were measured (5-10 mg) and placed in an aluminium Netzsch pan (5 mm diameter, 30/40 µl). The analysis was carried out over two cycles under a 60 ml/min nitrogen atmosphere. A first scan was done to remove the thermal history of the LRSs from 20 to 150 °C using a heating rate of 20 °C/min, held isothermally for 2 min, and quenched to -10 °C. The second scan, which was used for characterization, was carried out from -10 to 200 °C employing a heating rate of 10 °C/min under the same atmosphere. </w:t>
      </w:r>
    </w:p>
    <w:p w14:paraId="47CF9C05" w14:textId="77777777" w:rsidR="001B19A6" w:rsidRPr="00515FB8" w:rsidRDefault="001B19A6" w:rsidP="001B19A6">
      <w:pPr>
        <w:spacing w:line="360" w:lineRule="auto"/>
        <w:jc w:val="both"/>
        <w:rPr>
          <w:rFonts w:ascii="Times New Roman" w:hAnsi="Times New Roman" w:cs="Times New Roman"/>
          <w:b/>
          <w:bCs/>
          <w:sz w:val="24"/>
          <w:szCs w:val="24"/>
        </w:rPr>
      </w:pPr>
      <w:r w:rsidRPr="00515FB8">
        <w:rPr>
          <w:rFonts w:ascii="Times New Roman" w:hAnsi="Times New Roman" w:cs="Times New Roman"/>
          <w:b/>
          <w:bCs/>
          <w:sz w:val="24"/>
          <w:szCs w:val="24"/>
        </w:rPr>
        <w:t>Thermogravimetric Analysis (TGA)</w:t>
      </w:r>
    </w:p>
    <w:p w14:paraId="02A14728" w14:textId="0D0E7CD0" w:rsidR="001B19A6" w:rsidRPr="00515FB8" w:rsidRDefault="001B19A6" w:rsidP="001B19A6">
      <w:pPr>
        <w:spacing w:line="360" w:lineRule="auto"/>
        <w:jc w:val="both"/>
        <w:rPr>
          <w:rFonts w:ascii="Times New Roman" w:hAnsi="Times New Roman" w:cs="Times New Roman"/>
          <w:sz w:val="24"/>
          <w:szCs w:val="24"/>
        </w:rPr>
      </w:pPr>
      <w:r w:rsidRPr="00515FB8">
        <w:rPr>
          <w:rFonts w:ascii="Times New Roman" w:hAnsi="Times New Roman" w:cs="Times New Roman"/>
          <w:sz w:val="24"/>
          <w:szCs w:val="24"/>
        </w:rPr>
        <w:t>The thermal stability of the samples was characterized using a SETARAM TG-DTA 1600 (Setaram Instrumentation, France). 6 ± 1 mg of sample was introduced in an Alumina crucible. The samples were heated in nitrogen to 1000 °C at a heating rate of 10 °C/min. The MBW and HTBW were heated only until 900°C. The Carbon Yield was determined using the formula: CY=m_T/m_0 *100</w:t>
      </w:r>
    </w:p>
    <w:p w14:paraId="7A07D9E8" w14:textId="77777777" w:rsidR="001B19A6" w:rsidRPr="00515FB8" w:rsidRDefault="001B19A6" w:rsidP="001B19A6">
      <w:pPr>
        <w:spacing w:line="360" w:lineRule="auto"/>
        <w:jc w:val="both"/>
        <w:rPr>
          <w:rFonts w:ascii="Times New Roman" w:hAnsi="Times New Roman" w:cs="Times New Roman"/>
          <w:b/>
          <w:bCs/>
          <w:sz w:val="24"/>
          <w:szCs w:val="24"/>
        </w:rPr>
      </w:pPr>
      <w:r w:rsidRPr="00515FB8">
        <w:rPr>
          <w:rFonts w:ascii="Times New Roman" w:hAnsi="Times New Roman" w:cs="Times New Roman"/>
          <w:b/>
          <w:bCs/>
          <w:sz w:val="24"/>
          <w:szCs w:val="24"/>
        </w:rPr>
        <w:lastRenderedPageBreak/>
        <w:t>Surface Area and Pore Size Distribution</w:t>
      </w:r>
    </w:p>
    <w:p w14:paraId="1A3F8674" w14:textId="7FD6F659" w:rsidR="001B19A6" w:rsidRPr="00515FB8" w:rsidRDefault="001B19A6" w:rsidP="001B19A6">
      <w:pPr>
        <w:spacing w:line="360" w:lineRule="auto"/>
        <w:jc w:val="both"/>
        <w:rPr>
          <w:rFonts w:ascii="Times New Roman" w:hAnsi="Times New Roman" w:cs="Times New Roman"/>
          <w:sz w:val="24"/>
          <w:szCs w:val="24"/>
        </w:rPr>
      </w:pPr>
      <w:r w:rsidRPr="00515FB8">
        <w:rPr>
          <w:rFonts w:ascii="Times New Roman" w:hAnsi="Times New Roman" w:cs="Times New Roman"/>
          <w:sz w:val="24"/>
          <w:szCs w:val="24"/>
        </w:rPr>
        <w:t>The samples' surface area and Pore Size Distribution (PoSD) were determined using a NOVA 2200e surface area analyzer. The water and volatile compounds trapped in the sample's pores were outgassed to ensure quality results. The outgassing releases loosely bound water and other low-temperature volatile compounds trapped in the sample's pores. Approximately 70% volume of a 9 mm glass bulb cell was filled with the samples of interest and plugged into the vacuum degassing station of the NOVA, and the bulb cell was covered with a heating mantel at 50 °C. This temperature was selected to ensure the structural integrity of the pores. The degassing was carried out overnight for more than 16 hours. The bulb cell was cooled down for around 10 minutes before measuring the weight change of the samples after degassing. Subsequently, a glass rod was inserted into the bulb cell to reduce the cell volume to improve the analysis results. Finally, the bulb cell and the glass rod were plugged into the analysis station, the dewar was filled with liquid nitrogen and placed into the analysis station. The analysis settings were 360 seconds of thermal delay, 30 mmHg of evacuation cross-over pressure, nitrogen as absorbate gas, 0.2 mmHg of pressure tolerance, equilibrium time in/out 200/600 seconds. The pore size distribution measured points were equally distributed from P/Po 0.05 to 0.99 (ads: 12, des: 10). The data reduction parameters for the calculation model were (N2 at 77 K on carbon (slit/cylinder/sphere, QSDFT adsorption branch). The BET results were ensured by the Micropore BET Assistant tool, and the PoSD was obtained using the QSDFT method.</w:t>
      </w:r>
    </w:p>
    <w:p w14:paraId="1215DCA5" w14:textId="77777777" w:rsidR="001B19A6" w:rsidRPr="00515FB8" w:rsidRDefault="001B19A6" w:rsidP="001B19A6">
      <w:pPr>
        <w:spacing w:line="360" w:lineRule="auto"/>
        <w:jc w:val="both"/>
        <w:rPr>
          <w:rFonts w:ascii="Times New Roman" w:hAnsi="Times New Roman" w:cs="Times New Roman"/>
          <w:b/>
          <w:bCs/>
          <w:sz w:val="24"/>
          <w:szCs w:val="24"/>
        </w:rPr>
      </w:pPr>
      <w:r w:rsidRPr="00515FB8">
        <w:rPr>
          <w:rFonts w:ascii="Times New Roman" w:hAnsi="Times New Roman" w:cs="Times New Roman"/>
          <w:b/>
          <w:bCs/>
          <w:sz w:val="24"/>
          <w:szCs w:val="24"/>
        </w:rPr>
        <w:t>Scanning Electron Microscopy (SEM)</w:t>
      </w:r>
    </w:p>
    <w:p w14:paraId="6BBE6AE0" w14:textId="74B5BCC6" w:rsidR="001B19A6" w:rsidRDefault="001B19A6" w:rsidP="001B19A6">
      <w:pPr>
        <w:spacing w:line="360" w:lineRule="auto"/>
        <w:jc w:val="both"/>
        <w:rPr>
          <w:rFonts w:ascii="Times New Roman" w:hAnsi="Times New Roman" w:cs="Times New Roman"/>
          <w:sz w:val="24"/>
          <w:szCs w:val="24"/>
        </w:rPr>
      </w:pPr>
      <w:r w:rsidRPr="00515FB8">
        <w:rPr>
          <w:rFonts w:ascii="Times New Roman" w:hAnsi="Times New Roman" w:cs="Times New Roman"/>
          <w:sz w:val="24"/>
          <w:szCs w:val="24"/>
        </w:rPr>
        <w:t>Scanning electron microscopy (SEM) was performed using a Table Microscope TM-1000 (Hitachi, Japan) to determine the morphology of the Kraft Lignins and Enzymatic Hydrolysis Lignins. The samples were placed in a sample holder and coated with gold sputtering for two minutes. The equipment was run in charge-up reduction mode, and the autofocus tool was used at x1000 before magnification.</w:t>
      </w:r>
    </w:p>
    <w:p w14:paraId="06C42870" w14:textId="77777777" w:rsidR="00C748E6" w:rsidRDefault="00C748E6">
      <w:pPr>
        <w:rPr>
          <w:rFonts w:ascii="Times New Roman" w:hAnsi="Times New Roman" w:cs="Times New Roman"/>
          <w:sz w:val="24"/>
          <w:szCs w:val="24"/>
        </w:rPr>
      </w:pPr>
      <w:r>
        <w:rPr>
          <w:rFonts w:ascii="Times New Roman" w:hAnsi="Times New Roman" w:cs="Times New Roman"/>
          <w:sz w:val="24"/>
          <w:szCs w:val="24"/>
        </w:rPr>
        <w:br w:type="page"/>
      </w:r>
    </w:p>
    <w:p w14:paraId="66DB440E" w14:textId="7876F5E4" w:rsidR="001B19A6" w:rsidRPr="00515FB8" w:rsidRDefault="001B19A6" w:rsidP="001B19A6">
      <w:pPr>
        <w:keepNext/>
        <w:spacing w:line="360" w:lineRule="auto"/>
        <w:jc w:val="both"/>
        <w:rPr>
          <w:rFonts w:ascii="Times New Roman" w:hAnsi="Times New Roman" w:cs="Times New Roman"/>
          <w:sz w:val="24"/>
          <w:szCs w:val="24"/>
        </w:rPr>
      </w:pPr>
      <w:r w:rsidRPr="00515FB8">
        <w:rPr>
          <w:rFonts w:ascii="Times New Roman" w:hAnsi="Times New Roman" w:cs="Times New Roman"/>
          <w:noProof/>
          <w:sz w:val="24"/>
          <w:szCs w:val="24"/>
        </w:rPr>
        <w:lastRenderedPageBreak/>
        <w:drawing>
          <wp:inline distT="0" distB="0" distL="0" distR="0" wp14:anchorId="0C89A2DA" wp14:editId="17393B12">
            <wp:extent cx="5040000" cy="2677987"/>
            <wp:effectExtent l="0" t="0" r="8255" b="8255"/>
            <wp:docPr id="2" name="Picture 2" descr="A row of small plates with different spic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ow of small plates with different spice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40000" cy="2677987"/>
                    </a:xfrm>
                    <a:prstGeom prst="rect">
                      <a:avLst/>
                    </a:prstGeom>
                    <a:effectLst>
                      <a:softEdge rad="63500"/>
                    </a:effectLst>
                  </pic:spPr>
                </pic:pic>
              </a:graphicData>
            </a:graphic>
          </wp:inline>
        </w:drawing>
      </w:r>
    </w:p>
    <w:p w14:paraId="04CECC8B" w14:textId="2280B82D" w:rsidR="001B19A6" w:rsidRDefault="001B19A6" w:rsidP="001B19A6">
      <w:pPr>
        <w:pStyle w:val="Caption"/>
        <w:spacing w:line="360" w:lineRule="auto"/>
        <w:rPr>
          <w:rFonts w:cs="Times New Roman"/>
          <w:i w:val="0"/>
          <w:iCs w:val="0"/>
          <w:color w:val="auto"/>
          <w:sz w:val="24"/>
          <w:szCs w:val="24"/>
        </w:rPr>
      </w:pPr>
      <w:bookmarkStart w:id="2" w:name="_Toc84002525"/>
      <w:bookmarkStart w:id="3" w:name="_Toc91158260"/>
      <w:r w:rsidRPr="001070BD">
        <w:rPr>
          <w:rFonts w:cs="Times New Roman"/>
          <w:b/>
          <w:bCs/>
          <w:i w:val="0"/>
          <w:iCs w:val="0"/>
          <w:color w:val="auto"/>
          <w:sz w:val="24"/>
          <w:szCs w:val="24"/>
        </w:rPr>
        <w:t xml:space="preserve">Figure </w:t>
      </w:r>
      <w:r>
        <w:rPr>
          <w:rFonts w:cs="Times New Roman"/>
          <w:b/>
          <w:bCs/>
          <w:i w:val="0"/>
          <w:iCs w:val="0"/>
          <w:color w:val="auto"/>
          <w:sz w:val="24"/>
          <w:szCs w:val="24"/>
        </w:rPr>
        <w:t>S</w:t>
      </w:r>
      <w:r w:rsidRPr="001070BD">
        <w:rPr>
          <w:rFonts w:cs="Times New Roman"/>
          <w:b/>
          <w:bCs/>
          <w:i w:val="0"/>
          <w:iCs w:val="0"/>
          <w:color w:val="auto"/>
          <w:sz w:val="24"/>
          <w:szCs w:val="24"/>
        </w:rPr>
        <w:fldChar w:fldCharType="begin"/>
      </w:r>
      <w:r w:rsidRPr="001070BD">
        <w:rPr>
          <w:rFonts w:cs="Times New Roman"/>
          <w:b/>
          <w:bCs/>
          <w:i w:val="0"/>
          <w:iCs w:val="0"/>
          <w:color w:val="auto"/>
          <w:sz w:val="24"/>
          <w:szCs w:val="24"/>
        </w:rPr>
        <w:instrText xml:space="preserve"> SEQ Figure \* ARABIC </w:instrText>
      </w:r>
      <w:r w:rsidRPr="001070BD">
        <w:rPr>
          <w:rFonts w:cs="Times New Roman"/>
          <w:b/>
          <w:bCs/>
          <w:i w:val="0"/>
          <w:iCs w:val="0"/>
          <w:color w:val="auto"/>
          <w:sz w:val="24"/>
          <w:szCs w:val="24"/>
        </w:rPr>
        <w:fldChar w:fldCharType="separate"/>
      </w:r>
      <w:r>
        <w:rPr>
          <w:rFonts w:cs="Times New Roman"/>
          <w:b/>
          <w:bCs/>
          <w:i w:val="0"/>
          <w:iCs w:val="0"/>
          <w:noProof/>
          <w:color w:val="auto"/>
          <w:sz w:val="24"/>
          <w:szCs w:val="24"/>
        </w:rPr>
        <w:t>1</w:t>
      </w:r>
      <w:r w:rsidRPr="001070BD">
        <w:rPr>
          <w:rFonts w:cs="Times New Roman"/>
          <w:b/>
          <w:bCs/>
          <w:i w:val="0"/>
          <w:iCs w:val="0"/>
          <w:noProof/>
          <w:color w:val="auto"/>
          <w:sz w:val="24"/>
          <w:szCs w:val="24"/>
        </w:rPr>
        <w:fldChar w:fldCharType="end"/>
      </w:r>
      <w:r w:rsidRPr="001070BD">
        <w:rPr>
          <w:rFonts w:cs="Times New Roman"/>
          <w:b/>
          <w:bCs/>
          <w:i w:val="0"/>
          <w:iCs w:val="0"/>
          <w:color w:val="auto"/>
          <w:sz w:val="24"/>
          <w:szCs w:val="24"/>
        </w:rPr>
        <w:t>.</w:t>
      </w:r>
      <w:r w:rsidRPr="001070BD">
        <w:rPr>
          <w:rFonts w:cs="Times New Roman"/>
          <w:i w:val="0"/>
          <w:iCs w:val="0"/>
          <w:color w:val="auto"/>
          <w:sz w:val="24"/>
          <w:szCs w:val="24"/>
        </w:rPr>
        <w:t xml:space="preserve"> Lignin-rich substrates produced in this research (left to right shows):</w:t>
      </w:r>
      <w:bookmarkEnd w:id="2"/>
      <w:bookmarkEnd w:id="3"/>
      <w:r w:rsidRPr="001070BD">
        <w:rPr>
          <w:rFonts w:cs="Times New Roman"/>
          <w:i w:val="0"/>
          <w:iCs w:val="0"/>
          <w:color w:val="auto"/>
          <w:sz w:val="24"/>
          <w:szCs w:val="24"/>
        </w:rPr>
        <w:t xml:space="preserve"> EHL, HTBW, MBW, LG4, LG1.5.</w:t>
      </w:r>
    </w:p>
    <w:p w14:paraId="160E5892" w14:textId="3F68870C" w:rsidR="00C748E6" w:rsidRDefault="00C748E6">
      <w:pPr>
        <w:rPr>
          <w:lang w:eastAsia="en-US"/>
        </w:rPr>
      </w:pPr>
      <w:r>
        <w:rPr>
          <w:lang w:eastAsia="en-US"/>
        </w:rPr>
        <w:br w:type="page"/>
      </w:r>
    </w:p>
    <w:p w14:paraId="28119F11" w14:textId="77777777" w:rsidR="00C748E6" w:rsidRPr="00C748E6" w:rsidRDefault="00C748E6" w:rsidP="00C748E6">
      <w:pPr>
        <w:rPr>
          <w:lang w:eastAsia="en-US"/>
        </w:rPr>
      </w:pPr>
    </w:p>
    <w:p w14:paraId="44045090" w14:textId="77777777" w:rsidR="00C748E6" w:rsidRPr="00593096" w:rsidRDefault="00C748E6" w:rsidP="00C748E6">
      <w:pPr>
        <w:keepNext/>
        <w:spacing w:line="360" w:lineRule="auto"/>
        <w:jc w:val="both"/>
        <w:rPr>
          <w:rFonts w:ascii="Times New Roman" w:hAnsi="Times New Roman" w:cs="Times New Roman"/>
          <w:sz w:val="24"/>
          <w:szCs w:val="24"/>
        </w:rPr>
      </w:pPr>
      <w:r w:rsidRPr="00593096">
        <w:rPr>
          <w:rFonts w:ascii="Times New Roman" w:hAnsi="Times New Roman" w:cs="Times New Roman"/>
          <w:noProof/>
          <w:sz w:val="24"/>
          <w:szCs w:val="24"/>
        </w:rPr>
        <w:drawing>
          <wp:inline distT="0" distB="0" distL="0" distR="0" wp14:anchorId="428C5B3F" wp14:editId="1D955096">
            <wp:extent cx="5399405" cy="3763926"/>
            <wp:effectExtent l="0" t="0" r="0" b="8255"/>
            <wp:docPr id="11" name="Chart 11">
              <a:extLst xmlns:a="http://schemas.openxmlformats.org/drawingml/2006/main">
                <a:ext uri="{FF2B5EF4-FFF2-40B4-BE49-F238E27FC236}">
                  <a16:creationId xmlns:a16="http://schemas.microsoft.com/office/drawing/2014/main" id="{4C411323-0178-40FF-A19E-DED8AFB002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4936BA4" w14:textId="77777777" w:rsidR="00C748E6" w:rsidRPr="00810DC5" w:rsidRDefault="00C748E6" w:rsidP="00C748E6">
      <w:pPr>
        <w:pStyle w:val="Caption"/>
        <w:spacing w:line="360" w:lineRule="auto"/>
        <w:ind w:left="720" w:firstLine="0"/>
        <w:rPr>
          <w:rFonts w:cs="Times New Roman"/>
          <w:i w:val="0"/>
          <w:iCs w:val="0"/>
          <w:color w:val="auto"/>
          <w:sz w:val="24"/>
          <w:szCs w:val="24"/>
        </w:rPr>
      </w:pPr>
      <w:bookmarkStart w:id="4" w:name="_Ref83724727"/>
      <w:bookmarkStart w:id="5" w:name="_Toc84002530"/>
      <w:bookmarkStart w:id="6" w:name="_Toc91158273"/>
      <w:r w:rsidRPr="00810DC5">
        <w:rPr>
          <w:rFonts w:cs="Times New Roman"/>
          <w:b/>
          <w:bCs/>
          <w:i w:val="0"/>
          <w:iCs w:val="0"/>
          <w:color w:val="auto"/>
          <w:sz w:val="24"/>
          <w:szCs w:val="24"/>
        </w:rPr>
        <w:t>Figure S</w:t>
      </w:r>
      <w:r w:rsidRPr="00810DC5">
        <w:rPr>
          <w:rFonts w:cs="Times New Roman"/>
          <w:b/>
          <w:bCs/>
          <w:i w:val="0"/>
          <w:iCs w:val="0"/>
          <w:color w:val="auto"/>
          <w:sz w:val="24"/>
          <w:szCs w:val="24"/>
        </w:rPr>
        <w:fldChar w:fldCharType="begin"/>
      </w:r>
      <w:r w:rsidRPr="00810DC5">
        <w:rPr>
          <w:rFonts w:cs="Times New Roman"/>
          <w:b/>
          <w:bCs/>
          <w:i w:val="0"/>
          <w:iCs w:val="0"/>
          <w:color w:val="auto"/>
          <w:sz w:val="24"/>
          <w:szCs w:val="24"/>
        </w:rPr>
        <w:instrText xml:space="preserve"> SEQ Figure \* ARABIC </w:instrText>
      </w:r>
      <w:r w:rsidRPr="00810DC5">
        <w:rPr>
          <w:rFonts w:cs="Times New Roman"/>
          <w:b/>
          <w:bCs/>
          <w:i w:val="0"/>
          <w:iCs w:val="0"/>
          <w:color w:val="auto"/>
          <w:sz w:val="24"/>
          <w:szCs w:val="24"/>
        </w:rPr>
        <w:fldChar w:fldCharType="separate"/>
      </w:r>
      <w:r w:rsidRPr="00810DC5">
        <w:rPr>
          <w:rFonts w:cs="Times New Roman"/>
          <w:b/>
          <w:bCs/>
          <w:i w:val="0"/>
          <w:iCs w:val="0"/>
          <w:noProof/>
          <w:color w:val="auto"/>
          <w:sz w:val="24"/>
          <w:szCs w:val="24"/>
        </w:rPr>
        <w:t>2</w:t>
      </w:r>
      <w:r w:rsidRPr="00810DC5">
        <w:rPr>
          <w:rFonts w:cs="Times New Roman"/>
          <w:b/>
          <w:bCs/>
          <w:i w:val="0"/>
          <w:iCs w:val="0"/>
          <w:noProof/>
          <w:color w:val="auto"/>
          <w:sz w:val="24"/>
          <w:szCs w:val="24"/>
        </w:rPr>
        <w:fldChar w:fldCharType="end"/>
      </w:r>
      <w:bookmarkEnd w:id="4"/>
      <w:r w:rsidRPr="00810DC5">
        <w:rPr>
          <w:rFonts w:cs="Times New Roman"/>
          <w:i w:val="0"/>
          <w:iCs w:val="0"/>
          <w:color w:val="auto"/>
          <w:sz w:val="24"/>
          <w:szCs w:val="24"/>
        </w:rPr>
        <w:t>. Pretreated birch wood and enzymatic hydrolysis lignin Isotherms</w:t>
      </w:r>
      <w:bookmarkEnd w:id="5"/>
      <w:r w:rsidRPr="00810DC5">
        <w:rPr>
          <w:rFonts w:cs="Times New Roman"/>
          <w:i w:val="0"/>
          <w:iCs w:val="0"/>
          <w:color w:val="auto"/>
          <w:sz w:val="24"/>
          <w:szCs w:val="24"/>
        </w:rPr>
        <w:t xml:space="preserve"> graphs by using nitrogen as sorption gas</w:t>
      </w:r>
      <w:bookmarkEnd w:id="6"/>
      <w:r w:rsidRPr="00810DC5">
        <w:rPr>
          <w:rFonts w:cs="Times New Roman"/>
          <w:i w:val="0"/>
          <w:iCs w:val="0"/>
          <w:color w:val="auto"/>
          <w:sz w:val="24"/>
          <w:szCs w:val="24"/>
        </w:rPr>
        <w:t xml:space="preserve"> </w:t>
      </w:r>
    </w:p>
    <w:p w14:paraId="56956FC8" w14:textId="77777777" w:rsidR="00C748E6" w:rsidRPr="00810DC5" w:rsidRDefault="00C748E6" w:rsidP="00C748E6">
      <w:pPr>
        <w:spacing w:line="360" w:lineRule="auto"/>
        <w:jc w:val="both"/>
        <w:rPr>
          <w:rFonts w:ascii="Times New Roman" w:hAnsi="Times New Roman" w:cs="Times New Roman"/>
          <w:sz w:val="24"/>
          <w:szCs w:val="24"/>
        </w:rPr>
      </w:pPr>
      <w:r w:rsidRPr="00810DC5">
        <w:rPr>
          <w:rFonts w:ascii="Times New Roman" w:hAnsi="Times New Roman" w:cs="Times New Roman"/>
          <w:sz w:val="24"/>
          <w:szCs w:val="24"/>
        </w:rPr>
        <w:br w:type="page"/>
      </w:r>
    </w:p>
    <w:p w14:paraId="3DEE3994" w14:textId="77777777" w:rsidR="00C748E6" w:rsidRPr="00810DC5" w:rsidRDefault="00C748E6" w:rsidP="00C748E6">
      <w:pPr>
        <w:spacing w:line="360" w:lineRule="auto"/>
        <w:jc w:val="both"/>
        <w:rPr>
          <w:rFonts w:ascii="Times New Roman" w:hAnsi="Times New Roman" w:cs="Times New Roman"/>
          <w:sz w:val="24"/>
          <w:szCs w:val="24"/>
        </w:rPr>
      </w:pPr>
      <w:r w:rsidRPr="00810DC5">
        <w:rPr>
          <w:rFonts w:ascii="Times New Roman" w:hAnsi="Times New Roman" w:cs="Times New Roman"/>
          <w:noProof/>
          <w:sz w:val="24"/>
          <w:szCs w:val="24"/>
        </w:rPr>
        <w:lastRenderedPageBreak/>
        <w:drawing>
          <wp:inline distT="0" distB="0" distL="0" distR="0" wp14:anchorId="04415606" wp14:editId="598DDB40">
            <wp:extent cx="5642809" cy="3179135"/>
            <wp:effectExtent l="0" t="0" r="0" b="2540"/>
            <wp:docPr id="20" name="Picture 20"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graph of a graph&#10;&#10;Description automatically generated with medium confidence"/>
                    <pic:cNvPicPr/>
                  </pic:nvPicPr>
                  <pic:blipFill>
                    <a:blip r:embed="rId8"/>
                    <a:stretch>
                      <a:fillRect/>
                    </a:stretch>
                  </pic:blipFill>
                  <pic:spPr>
                    <a:xfrm>
                      <a:off x="0" y="0"/>
                      <a:ext cx="5647472" cy="3181762"/>
                    </a:xfrm>
                    <a:prstGeom prst="rect">
                      <a:avLst/>
                    </a:prstGeom>
                  </pic:spPr>
                </pic:pic>
              </a:graphicData>
            </a:graphic>
          </wp:inline>
        </w:drawing>
      </w:r>
    </w:p>
    <w:p w14:paraId="7723A825" w14:textId="77777777" w:rsidR="00C748E6" w:rsidRDefault="00C748E6" w:rsidP="00C748E6">
      <w:pPr>
        <w:pStyle w:val="Caption"/>
        <w:spacing w:line="360" w:lineRule="auto"/>
        <w:ind w:left="720" w:firstLine="0"/>
        <w:rPr>
          <w:rFonts w:cs="Times New Roman"/>
          <w:i w:val="0"/>
          <w:iCs w:val="0"/>
          <w:color w:val="auto"/>
          <w:sz w:val="24"/>
          <w:szCs w:val="24"/>
        </w:rPr>
      </w:pPr>
      <w:bookmarkStart w:id="7" w:name="_Ref83724677"/>
      <w:bookmarkStart w:id="8" w:name="_Toc84002531"/>
      <w:bookmarkStart w:id="9" w:name="_Toc91158274"/>
      <w:r w:rsidRPr="00810DC5">
        <w:rPr>
          <w:rFonts w:cs="Times New Roman"/>
          <w:b/>
          <w:bCs/>
          <w:i w:val="0"/>
          <w:iCs w:val="0"/>
          <w:color w:val="auto"/>
          <w:sz w:val="24"/>
          <w:szCs w:val="24"/>
        </w:rPr>
        <w:t>Figure S</w:t>
      </w:r>
      <w:r w:rsidRPr="00810DC5">
        <w:rPr>
          <w:rFonts w:cs="Times New Roman"/>
          <w:b/>
          <w:bCs/>
          <w:i w:val="0"/>
          <w:iCs w:val="0"/>
          <w:color w:val="auto"/>
          <w:sz w:val="24"/>
          <w:szCs w:val="24"/>
        </w:rPr>
        <w:fldChar w:fldCharType="begin"/>
      </w:r>
      <w:r w:rsidRPr="00810DC5">
        <w:rPr>
          <w:rFonts w:cs="Times New Roman"/>
          <w:b/>
          <w:bCs/>
          <w:i w:val="0"/>
          <w:iCs w:val="0"/>
          <w:color w:val="auto"/>
          <w:sz w:val="24"/>
          <w:szCs w:val="24"/>
        </w:rPr>
        <w:instrText xml:space="preserve"> SEQ Figure \* ARABIC </w:instrText>
      </w:r>
      <w:r w:rsidRPr="00810DC5">
        <w:rPr>
          <w:rFonts w:cs="Times New Roman"/>
          <w:b/>
          <w:bCs/>
          <w:i w:val="0"/>
          <w:iCs w:val="0"/>
          <w:color w:val="auto"/>
          <w:sz w:val="24"/>
          <w:szCs w:val="24"/>
        </w:rPr>
        <w:fldChar w:fldCharType="separate"/>
      </w:r>
      <w:r w:rsidRPr="00810DC5">
        <w:rPr>
          <w:rFonts w:cs="Times New Roman"/>
          <w:b/>
          <w:bCs/>
          <w:i w:val="0"/>
          <w:iCs w:val="0"/>
          <w:noProof/>
          <w:color w:val="auto"/>
          <w:sz w:val="24"/>
          <w:szCs w:val="24"/>
        </w:rPr>
        <w:t>3</w:t>
      </w:r>
      <w:r w:rsidRPr="00810DC5">
        <w:rPr>
          <w:rFonts w:cs="Times New Roman"/>
          <w:b/>
          <w:bCs/>
          <w:i w:val="0"/>
          <w:iCs w:val="0"/>
          <w:noProof/>
          <w:color w:val="auto"/>
          <w:sz w:val="24"/>
          <w:szCs w:val="24"/>
        </w:rPr>
        <w:fldChar w:fldCharType="end"/>
      </w:r>
      <w:bookmarkEnd w:id="7"/>
      <w:r w:rsidRPr="00810DC5">
        <w:rPr>
          <w:rFonts w:cs="Times New Roman"/>
          <w:b/>
          <w:bCs/>
          <w:i w:val="0"/>
          <w:iCs w:val="0"/>
          <w:color w:val="auto"/>
          <w:sz w:val="24"/>
          <w:szCs w:val="24"/>
        </w:rPr>
        <w:t>.</w:t>
      </w:r>
      <w:r w:rsidRPr="00810DC5">
        <w:rPr>
          <w:rFonts w:cs="Times New Roman"/>
          <w:i w:val="0"/>
          <w:iCs w:val="0"/>
          <w:color w:val="auto"/>
          <w:sz w:val="24"/>
          <w:szCs w:val="24"/>
        </w:rPr>
        <w:t xml:space="preserve"> Pretreated birch wood and enzymatic hydrolysis lignin                                                                  Pore Size Distribution Area Histogram</w:t>
      </w:r>
      <w:bookmarkEnd w:id="8"/>
      <w:bookmarkEnd w:id="9"/>
    </w:p>
    <w:p w14:paraId="2DF69B4A" w14:textId="77777777" w:rsidR="00C748E6" w:rsidRDefault="00C748E6" w:rsidP="00C748E6">
      <w:pPr>
        <w:rPr>
          <w:rFonts w:ascii="Times New Roman" w:eastAsiaTheme="minorHAnsi" w:hAnsi="Times New Roman" w:cs="Times New Roman"/>
          <w:kern w:val="0"/>
          <w:sz w:val="24"/>
          <w:szCs w:val="24"/>
          <w:lang w:eastAsia="en-US"/>
          <w14:ligatures w14:val="none"/>
        </w:rPr>
      </w:pPr>
      <w:r>
        <w:rPr>
          <w:rFonts w:cs="Times New Roman"/>
          <w:i/>
          <w:iCs/>
          <w:sz w:val="24"/>
          <w:szCs w:val="24"/>
        </w:rPr>
        <w:br w:type="page"/>
      </w:r>
    </w:p>
    <w:p w14:paraId="68B0257F" w14:textId="77777777" w:rsidR="00C748E6" w:rsidRPr="00810DC5" w:rsidRDefault="00C748E6" w:rsidP="00C748E6">
      <w:pPr>
        <w:pStyle w:val="Caption"/>
        <w:spacing w:line="360" w:lineRule="auto"/>
        <w:ind w:left="720" w:firstLine="0"/>
        <w:rPr>
          <w:rFonts w:cs="Times New Roman"/>
          <w:i w:val="0"/>
          <w:iCs w:val="0"/>
          <w:color w:val="auto"/>
          <w:sz w:val="24"/>
          <w:szCs w:val="24"/>
        </w:rPr>
      </w:pPr>
    </w:p>
    <w:p w14:paraId="489B5B25" w14:textId="77777777" w:rsidR="00C748E6" w:rsidRPr="00810DC5" w:rsidRDefault="00C748E6" w:rsidP="00C748E6">
      <w:pPr>
        <w:pStyle w:val="Caption"/>
        <w:keepNext/>
        <w:spacing w:line="360" w:lineRule="auto"/>
        <w:ind w:firstLine="0"/>
        <w:rPr>
          <w:rFonts w:cs="Times New Roman"/>
          <w:i w:val="0"/>
          <w:iCs w:val="0"/>
          <w:color w:val="auto"/>
          <w:sz w:val="24"/>
          <w:szCs w:val="24"/>
        </w:rPr>
      </w:pPr>
      <w:r w:rsidRPr="00810DC5">
        <w:rPr>
          <w:rFonts w:cs="Times New Roman"/>
          <w:i w:val="0"/>
          <w:iCs w:val="0"/>
          <w:noProof/>
          <w:color w:val="auto"/>
          <w:sz w:val="24"/>
          <w:szCs w:val="24"/>
        </w:rPr>
        <w:drawing>
          <wp:inline distT="0" distB="0" distL="0" distR="0" wp14:anchorId="3221137F" wp14:editId="39F5C288">
            <wp:extent cx="5454502" cy="3359888"/>
            <wp:effectExtent l="0" t="0" r="0" b="0"/>
            <wp:docPr id="27" name="Chart 27">
              <a:extLst xmlns:a="http://schemas.openxmlformats.org/drawingml/2006/main">
                <a:ext uri="{FF2B5EF4-FFF2-40B4-BE49-F238E27FC236}">
                  <a16:creationId xmlns:a16="http://schemas.microsoft.com/office/drawing/2014/main" id="{086F9F0D-2453-4CB9-B6B3-4903EF6A23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B046466" w14:textId="77777777" w:rsidR="00C748E6" w:rsidRPr="00810DC5" w:rsidRDefault="00C748E6" w:rsidP="005D6CBE">
      <w:pPr>
        <w:pStyle w:val="Caption"/>
        <w:spacing w:line="360" w:lineRule="auto"/>
        <w:ind w:firstLine="0"/>
        <w:rPr>
          <w:rFonts w:cs="Times New Roman"/>
          <w:i w:val="0"/>
          <w:iCs w:val="0"/>
          <w:color w:val="auto"/>
          <w:sz w:val="24"/>
          <w:szCs w:val="24"/>
        </w:rPr>
      </w:pPr>
      <w:bookmarkStart w:id="10" w:name="_Ref83724678"/>
      <w:bookmarkStart w:id="11" w:name="_Toc84002532"/>
      <w:bookmarkStart w:id="12" w:name="_Toc91158275"/>
      <w:r w:rsidRPr="00810DC5">
        <w:rPr>
          <w:rFonts w:cs="Times New Roman"/>
          <w:b/>
          <w:bCs/>
          <w:i w:val="0"/>
          <w:iCs w:val="0"/>
          <w:color w:val="auto"/>
          <w:sz w:val="24"/>
          <w:szCs w:val="24"/>
        </w:rPr>
        <w:t>Figure S</w:t>
      </w:r>
      <w:r w:rsidRPr="00810DC5">
        <w:rPr>
          <w:rFonts w:cs="Times New Roman"/>
          <w:b/>
          <w:bCs/>
          <w:i w:val="0"/>
          <w:iCs w:val="0"/>
          <w:color w:val="auto"/>
          <w:sz w:val="24"/>
          <w:szCs w:val="24"/>
        </w:rPr>
        <w:fldChar w:fldCharType="begin"/>
      </w:r>
      <w:r w:rsidRPr="00810DC5">
        <w:rPr>
          <w:rFonts w:cs="Times New Roman"/>
          <w:b/>
          <w:bCs/>
          <w:i w:val="0"/>
          <w:iCs w:val="0"/>
          <w:color w:val="auto"/>
          <w:sz w:val="24"/>
          <w:szCs w:val="24"/>
        </w:rPr>
        <w:instrText xml:space="preserve"> SEQ Figure \* ARABIC </w:instrText>
      </w:r>
      <w:r w:rsidRPr="00810DC5">
        <w:rPr>
          <w:rFonts w:cs="Times New Roman"/>
          <w:b/>
          <w:bCs/>
          <w:i w:val="0"/>
          <w:iCs w:val="0"/>
          <w:color w:val="auto"/>
          <w:sz w:val="24"/>
          <w:szCs w:val="24"/>
        </w:rPr>
        <w:fldChar w:fldCharType="separate"/>
      </w:r>
      <w:r w:rsidRPr="00810DC5">
        <w:rPr>
          <w:rFonts w:cs="Times New Roman"/>
          <w:b/>
          <w:bCs/>
          <w:i w:val="0"/>
          <w:iCs w:val="0"/>
          <w:noProof/>
          <w:color w:val="auto"/>
          <w:sz w:val="24"/>
          <w:szCs w:val="24"/>
        </w:rPr>
        <w:t>4</w:t>
      </w:r>
      <w:r w:rsidRPr="00810DC5">
        <w:rPr>
          <w:rFonts w:cs="Times New Roman"/>
          <w:b/>
          <w:bCs/>
          <w:i w:val="0"/>
          <w:iCs w:val="0"/>
          <w:noProof/>
          <w:color w:val="auto"/>
          <w:sz w:val="24"/>
          <w:szCs w:val="24"/>
        </w:rPr>
        <w:fldChar w:fldCharType="end"/>
      </w:r>
      <w:bookmarkEnd w:id="10"/>
      <w:r w:rsidRPr="00810DC5">
        <w:rPr>
          <w:rFonts w:cs="Times New Roman"/>
          <w:b/>
          <w:bCs/>
          <w:i w:val="0"/>
          <w:iCs w:val="0"/>
          <w:color w:val="auto"/>
          <w:sz w:val="24"/>
          <w:szCs w:val="24"/>
        </w:rPr>
        <w:t>.</w:t>
      </w:r>
      <w:r w:rsidRPr="00810DC5">
        <w:rPr>
          <w:rFonts w:cs="Times New Roman"/>
          <w:i w:val="0"/>
          <w:iCs w:val="0"/>
          <w:color w:val="auto"/>
          <w:sz w:val="24"/>
          <w:szCs w:val="24"/>
        </w:rPr>
        <w:t xml:space="preserve"> Pretreated birch wood and enzymatic hydrolysis lignin pore size distribution</w:t>
      </w:r>
      <w:bookmarkEnd w:id="11"/>
      <w:r w:rsidRPr="00810DC5">
        <w:rPr>
          <w:rFonts w:cs="Times New Roman"/>
          <w:i w:val="0"/>
          <w:iCs w:val="0"/>
          <w:color w:val="auto"/>
          <w:sz w:val="24"/>
          <w:szCs w:val="24"/>
        </w:rPr>
        <w:t xml:space="preserve"> graphs</w:t>
      </w:r>
      <w:bookmarkEnd w:id="12"/>
    </w:p>
    <w:p w14:paraId="354F733A" w14:textId="77777777" w:rsidR="00C748E6" w:rsidRPr="00C748E6" w:rsidRDefault="00C748E6" w:rsidP="00C748E6">
      <w:pPr>
        <w:rPr>
          <w:lang w:eastAsia="en-US"/>
        </w:rPr>
      </w:pPr>
    </w:p>
    <w:p w14:paraId="7B73B2ED" w14:textId="77777777" w:rsidR="001B19A6" w:rsidRDefault="001B19A6" w:rsidP="001B19A6">
      <w:pPr>
        <w:pStyle w:val="Caption"/>
        <w:keepNext/>
        <w:spacing w:line="360" w:lineRule="auto"/>
        <w:ind w:left="720" w:firstLine="0"/>
        <w:rPr>
          <w:rFonts w:cs="Times New Roman"/>
          <w:sz w:val="24"/>
          <w:szCs w:val="24"/>
        </w:rPr>
      </w:pPr>
    </w:p>
    <w:p w14:paraId="52695622" w14:textId="77777777" w:rsidR="001B19A6" w:rsidRPr="001B19A6" w:rsidRDefault="001B19A6" w:rsidP="001B19A6">
      <w:pPr>
        <w:pStyle w:val="Caption"/>
        <w:keepNext/>
        <w:spacing w:line="360" w:lineRule="auto"/>
        <w:ind w:left="720" w:firstLine="0"/>
        <w:rPr>
          <w:rFonts w:cs="Times New Roman"/>
          <w:i w:val="0"/>
          <w:iCs w:val="0"/>
          <w:color w:val="auto"/>
          <w:sz w:val="24"/>
          <w:szCs w:val="24"/>
        </w:rPr>
      </w:pPr>
    </w:p>
    <w:p w14:paraId="049E2A61" w14:textId="77777777" w:rsidR="00DE666E" w:rsidRDefault="00DE666E">
      <w:pPr>
        <w:rPr>
          <w:rFonts w:ascii="Times New Roman" w:eastAsiaTheme="minorHAnsi" w:hAnsi="Times New Roman" w:cs="Times New Roman"/>
          <w:b/>
          <w:bCs/>
          <w:kern w:val="0"/>
          <w:sz w:val="24"/>
          <w:szCs w:val="24"/>
          <w:lang w:eastAsia="en-US"/>
          <w14:ligatures w14:val="none"/>
        </w:rPr>
      </w:pPr>
      <w:r>
        <w:rPr>
          <w:rFonts w:cs="Times New Roman"/>
          <w:b/>
          <w:bCs/>
          <w:i/>
          <w:iCs/>
          <w:sz w:val="24"/>
          <w:szCs w:val="24"/>
        </w:rPr>
        <w:br w:type="page"/>
      </w:r>
    </w:p>
    <w:p w14:paraId="733C5EF1" w14:textId="29C1A330" w:rsidR="001B19A6" w:rsidRPr="001B19A6" w:rsidRDefault="001B19A6" w:rsidP="001B19A6">
      <w:pPr>
        <w:pStyle w:val="Caption"/>
        <w:keepNext/>
        <w:spacing w:line="360" w:lineRule="auto"/>
        <w:ind w:left="720" w:firstLine="0"/>
        <w:rPr>
          <w:rFonts w:cs="Times New Roman"/>
          <w:i w:val="0"/>
          <w:iCs w:val="0"/>
          <w:color w:val="auto"/>
          <w:sz w:val="24"/>
          <w:szCs w:val="24"/>
        </w:rPr>
      </w:pPr>
      <w:r w:rsidRPr="001B19A6">
        <w:rPr>
          <w:rFonts w:cs="Times New Roman"/>
          <w:b/>
          <w:bCs/>
          <w:i w:val="0"/>
          <w:iCs w:val="0"/>
          <w:color w:val="auto"/>
          <w:sz w:val="24"/>
          <w:szCs w:val="24"/>
        </w:rPr>
        <w:lastRenderedPageBreak/>
        <w:t>Table S</w:t>
      </w:r>
      <w:r w:rsidRPr="001B19A6">
        <w:rPr>
          <w:rFonts w:cs="Times New Roman"/>
          <w:b/>
          <w:bCs/>
          <w:i w:val="0"/>
          <w:iCs w:val="0"/>
          <w:color w:val="auto"/>
          <w:sz w:val="24"/>
          <w:szCs w:val="24"/>
        </w:rPr>
        <w:fldChar w:fldCharType="begin"/>
      </w:r>
      <w:r w:rsidRPr="001B19A6">
        <w:rPr>
          <w:rFonts w:cs="Times New Roman"/>
          <w:b/>
          <w:bCs/>
          <w:i w:val="0"/>
          <w:iCs w:val="0"/>
          <w:color w:val="auto"/>
          <w:sz w:val="24"/>
          <w:szCs w:val="24"/>
        </w:rPr>
        <w:instrText xml:space="preserve"> SEQ Table \* ARABIC </w:instrText>
      </w:r>
      <w:r w:rsidRPr="001B19A6">
        <w:rPr>
          <w:rFonts w:cs="Times New Roman"/>
          <w:b/>
          <w:bCs/>
          <w:i w:val="0"/>
          <w:iCs w:val="0"/>
          <w:color w:val="auto"/>
          <w:sz w:val="24"/>
          <w:szCs w:val="24"/>
        </w:rPr>
        <w:fldChar w:fldCharType="separate"/>
      </w:r>
      <w:r w:rsidRPr="001B19A6">
        <w:rPr>
          <w:rFonts w:cs="Times New Roman"/>
          <w:b/>
          <w:bCs/>
          <w:i w:val="0"/>
          <w:iCs w:val="0"/>
          <w:noProof/>
          <w:color w:val="auto"/>
          <w:sz w:val="24"/>
          <w:szCs w:val="24"/>
        </w:rPr>
        <w:t>1</w:t>
      </w:r>
      <w:r w:rsidRPr="001B19A6">
        <w:rPr>
          <w:rFonts w:cs="Times New Roman"/>
          <w:b/>
          <w:bCs/>
          <w:i w:val="0"/>
          <w:iCs w:val="0"/>
          <w:noProof/>
          <w:color w:val="auto"/>
          <w:sz w:val="24"/>
          <w:szCs w:val="24"/>
        </w:rPr>
        <w:fldChar w:fldCharType="end"/>
      </w:r>
      <w:bookmarkEnd w:id="0"/>
      <w:r w:rsidRPr="001B19A6">
        <w:rPr>
          <w:rFonts w:cs="Times New Roman"/>
          <w:i w:val="0"/>
          <w:iCs w:val="0"/>
          <w:color w:val="auto"/>
          <w:sz w:val="24"/>
          <w:szCs w:val="24"/>
        </w:rPr>
        <w:t>. Composition of hydrothermally treated birch wood produced utilizing accelerated solvent extraction.</w:t>
      </w:r>
      <w:bookmarkEnd w:id="1"/>
    </w:p>
    <w:tbl>
      <w:tblPr>
        <w:tblW w:w="1059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01"/>
        <w:gridCol w:w="1030"/>
        <w:gridCol w:w="976"/>
        <w:gridCol w:w="1150"/>
        <w:gridCol w:w="1270"/>
        <w:gridCol w:w="1216"/>
        <w:gridCol w:w="1297"/>
        <w:gridCol w:w="976"/>
        <w:gridCol w:w="976"/>
      </w:tblGrid>
      <w:tr w:rsidR="001B19A6" w:rsidRPr="00515FB8" w14:paraId="37EC23D7" w14:textId="77777777" w:rsidTr="00C748E6">
        <w:trPr>
          <w:trHeight w:val="300"/>
          <w:jc w:val="center"/>
        </w:trPr>
        <w:tc>
          <w:tcPr>
            <w:tcW w:w="2501" w:type="dxa"/>
            <w:tcBorders>
              <w:top w:val="single" w:sz="4" w:space="0" w:color="auto"/>
              <w:left w:val="nil"/>
              <w:bottom w:val="single" w:sz="12" w:space="0" w:color="auto"/>
            </w:tcBorders>
            <w:shd w:val="clear" w:color="auto" w:fill="auto"/>
            <w:noWrap/>
            <w:vAlign w:val="bottom"/>
            <w:hideMark/>
          </w:tcPr>
          <w:p w14:paraId="6E1334FD"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r w:rsidRPr="00515FB8">
              <w:rPr>
                <w:rFonts w:ascii="Times New Roman" w:eastAsia="Times New Roman" w:hAnsi="Times New Roman" w:cs="Times New Roman"/>
                <w:sz w:val="24"/>
                <w:szCs w:val="24"/>
                <w:lang w:eastAsia="en-IE"/>
              </w:rPr>
              <w:t>%</w:t>
            </w:r>
          </w:p>
        </w:tc>
        <w:tc>
          <w:tcPr>
            <w:tcW w:w="236" w:type="dxa"/>
            <w:tcBorders>
              <w:top w:val="single" w:sz="4" w:space="0" w:color="auto"/>
              <w:bottom w:val="single" w:sz="12" w:space="0" w:color="auto"/>
            </w:tcBorders>
            <w:shd w:val="clear" w:color="auto" w:fill="auto"/>
            <w:noWrap/>
            <w:vAlign w:val="bottom"/>
            <w:hideMark/>
          </w:tcPr>
          <w:p w14:paraId="71E4CE69"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Glucose</w:t>
            </w:r>
          </w:p>
        </w:tc>
        <w:tc>
          <w:tcPr>
            <w:tcW w:w="976" w:type="dxa"/>
            <w:tcBorders>
              <w:top w:val="single" w:sz="4" w:space="0" w:color="auto"/>
              <w:bottom w:val="single" w:sz="12" w:space="0" w:color="auto"/>
            </w:tcBorders>
            <w:shd w:val="clear" w:color="auto" w:fill="auto"/>
            <w:noWrap/>
            <w:vAlign w:val="bottom"/>
            <w:hideMark/>
          </w:tcPr>
          <w:p w14:paraId="71CF7FC3"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Xylose</w:t>
            </w:r>
          </w:p>
        </w:tc>
        <w:tc>
          <w:tcPr>
            <w:tcW w:w="1150" w:type="dxa"/>
            <w:tcBorders>
              <w:top w:val="single" w:sz="4" w:space="0" w:color="auto"/>
              <w:bottom w:val="single" w:sz="12" w:space="0" w:color="auto"/>
            </w:tcBorders>
            <w:shd w:val="clear" w:color="auto" w:fill="auto"/>
            <w:noWrap/>
            <w:vAlign w:val="bottom"/>
            <w:hideMark/>
          </w:tcPr>
          <w:p w14:paraId="40655227"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Mannose</w:t>
            </w:r>
          </w:p>
        </w:tc>
        <w:tc>
          <w:tcPr>
            <w:tcW w:w="1270" w:type="dxa"/>
            <w:tcBorders>
              <w:top w:val="single" w:sz="4" w:space="0" w:color="auto"/>
              <w:bottom w:val="single" w:sz="12" w:space="0" w:color="auto"/>
            </w:tcBorders>
            <w:shd w:val="clear" w:color="auto" w:fill="auto"/>
            <w:noWrap/>
            <w:vAlign w:val="bottom"/>
            <w:hideMark/>
          </w:tcPr>
          <w:p w14:paraId="0A0D74D1"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Arabinose</w:t>
            </w:r>
          </w:p>
        </w:tc>
        <w:tc>
          <w:tcPr>
            <w:tcW w:w="1216" w:type="dxa"/>
            <w:tcBorders>
              <w:top w:val="single" w:sz="4" w:space="0" w:color="auto"/>
              <w:bottom w:val="single" w:sz="12" w:space="0" w:color="auto"/>
            </w:tcBorders>
            <w:shd w:val="clear" w:color="auto" w:fill="auto"/>
            <w:noWrap/>
            <w:vAlign w:val="bottom"/>
            <w:hideMark/>
          </w:tcPr>
          <w:p w14:paraId="414736D0"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Galactose</w:t>
            </w:r>
          </w:p>
        </w:tc>
        <w:tc>
          <w:tcPr>
            <w:tcW w:w="1297" w:type="dxa"/>
            <w:tcBorders>
              <w:top w:val="single" w:sz="4" w:space="0" w:color="auto"/>
              <w:bottom w:val="single" w:sz="12" w:space="0" w:color="auto"/>
            </w:tcBorders>
            <w:shd w:val="clear" w:color="auto" w:fill="auto"/>
            <w:noWrap/>
            <w:vAlign w:val="bottom"/>
            <w:hideMark/>
          </w:tcPr>
          <w:p w14:paraId="640EAEF0"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Rhamnose</w:t>
            </w:r>
          </w:p>
        </w:tc>
        <w:tc>
          <w:tcPr>
            <w:tcW w:w="976" w:type="dxa"/>
            <w:tcBorders>
              <w:top w:val="single" w:sz="4" w:space="0" w:color="auto"/>
              <w:bottom w:val="single" w:sz="12" w:space="0" w:color="auto"/>
            </w:tcBorders>
            <w:shd w:val="clear" w:color="auto" w:fill="auto"/>
            <w:noWrap/>
            <w:vAlign w:val="bottom"/>
            <w:hideMark/>
          </w:tcPr>
          <w:p w14:paraId="225A242D"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Lignin</w:t>
            </w:r>
          </w:p>
        </w:tc>
        <w:tc>
          <w:tcPr>
            <w:tcW w:w="976" w:type="dxa"/>
            <w:tcBorders>
              <w:top w:val="single" w:sz="4" w:space="0" w:color="auto"/>
              <w:bottom w:val="single" w:sz="12" w:space="0" w:color="auto"/>
              <w:right w:val="nil"/>
            </w:tcBorders>
            <w:shd w:val="clear" w:color="auto" w:fill="auto"/>
            <w:noWrap/>
            <w:vAlign w:val="bottom"/>
            <w:hideMark/>
          </w:tcPr>
          <w:p w14:paraId="772A96E7"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Ash</w:t>
            </w:r>
          </w:p>
        </w:tc>
      </w:tr>
      <w:tr w:rsidR="001B19A6" w:rsidRPr="00515FB8" w14:paraId="70B4DA59" w14:textId="77777777" w:rsidTr="00C748E6">
        <w:trPr>
          <w:trHeight w:val="300"/>
          <w:jc w:val="center"/>
        </w:trPr>
        <w:tc>
          <w:tcPr>
            <w:tcW w:w="2501" w:type="dxa"/>
            <w:tcBorders>
              <w:top w:val="single" w:sz="12" w:space="0" w:color="auto"/>
              <w:left w:val="nil"/>
              <w:bottom w:val="nil"/>
            </w:tcBorders>
            <w:shd w:val="clear" w:color="auto" w:fill="auto"/>
            <w:noWrap/>
            <w:vAlign w:val="bottom"/>
            <w:hideMark/>
          </w:tcPr>
          <w:p w14:paraId="7927B5C2"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MBW</w:t>
            </w:r>
          </w:p>
        </w:tc>
        <w:tc>
          <w:tcPr>
            <w:tcW w:w="236" w:type="dxa"/>
            <w:tcBorders>
              <w:top w:val="single" w:sz="12" w:space="0" w:color="auto"/>
              <w:bottom w:val="nil"/>
            </w:tcBorders>
            <w:shd w:val="clear" w:color="auto" w:fill="auto"/>
            <w:noWrap/>
            <w:vAlign w:val="bottom"/>
            <w:hideMark/>
          </w:tcPr>
          <w:p w14:paraId="0374DEB3"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35.7</w:t>
            </w:r>
          </w:p>
        </w:tc>
        <w:tc>
          <w:tcPr>
            <w:tcW w:w="976" w:type="dxa"/>
            <w:tcBorders>
              <w:top w:val="single" w:sz="12" w:space="0" w:color="auto"/>
              <w:bottom w:val="nil"/>
            </w:tcBorders>
            <w:shd w:val="clear" w:color="auto" w:fill="auto"/>
            <w:noWrap/>
            <w:vAlign w:val="bottom"/>
            <w:hideMark/>
          </w:tcPr>
          <w:p w14:paraId="35901906"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20.5</w:t>
            </w:r>
          </w:p>
        </w:tc>
        <w:tc>
          <w:tcPr>
            <w:tcW w:w="1150" w:type="dxa"/>
            <w:tcBorders>
              <w:top w:val="single" w:sz="12" w:space="0" w:color="auto"/>
              <w:bottom w:val="nil"/>
            </w:tcBorders>
            <w:shd w:val="clear" w:color="auto" w:fill="auto"/>
            <w:noWrap/>
            <w:vAlign w:val="bottom"/>
            <w:hideMark/>
          </w:tcPr>
          <w:p w14:paraId="741CC428"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1.7</w:t>
            </w:r>
          </w:p>
        </w:tc>
        <w:tc>
          <w:tcPr>
            <w:tcW w:w="1270" w:type="dxa"/>
            <w:tcBorders>
              <w:top w:val="single" w:sz="12" w:space="0" w:color="auto"/>
              <w:bottom w:val="nil"/>
            </w:tcBorders>
            <w:shd w:val="clear" w:color="auto" w:fill="auto"/>
            <w:noWrap/>
            <w:vAlign w:val="bottom"/>
            <w:hideMark/>
          </w:tcPr>
          <w:p w14:paraId="0E9E2F97"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0.5</w:t>
            </w:r>
          </w:p>
        </w:tc>
        <w:tc>
          <w:tcPr>
            <w:tcW w:w="1216" w:type="dxa"/>
            <w:tcBorders>
              <w:top w:val="single" w:sz="12" w:space="0" w:color="auto"/>
              <w:bottom w:val="nil"/>
            </w:tcBorders>
            <w:shd w:val="clear" w:color="auto" w:fill="auto"/>
            <w:noWrap/>
            <w:vAlign w:val="bottom"/>
            <w:hideMark/>
          </w:tcPr>
          <w:p w14:paraId="65946D79"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0.7</w:t>
            </w:r>
          </w:p>
        </w:tc>
        <w:tc>
          <w:tcPr>
            <w:tcW w:w="1297" w:type="dxa"/>
            <w:tcBorders>
              <w:top w:val="single" w:sz="12" w:space="0" w:color="auto"/>
              <w:bottom w:val="nil"/>
            </w:tcBorders>
            <w:shd w:val="clear" w:color="auto" w:fill="auto"/>
            <w:noWrap/>
            <w:vAlign w:val="bottom"/>
            <w:hideMark/>
          </w:tcPr>
          <w:p w14:paraId="0A38AEF3"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0.4</w:t>
            </w:r>
          </w:p>
        </w:tc>
        <w:tc>
          <w:tcPr>
            <w:tcW w:w="976" w:type="dxa"/>
            <w:tcBorders>
              <w:top w:val="single" w:sz="12" w:space="0" w:color="auto"/>
              <w:bottom w:val="nil"/>
            </w:tcBorders>
            <w:shd w:val="clear" w:color="auto" w:fill="auto"/>
            <w:noWrap/>
            <w:vAlign w:val="bottom"/>
            <w:hideMark/>
          </w:tcPr>
          <w:p w14:paraId="3B9C5AA6"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22.7</w:t>
            </w:r>
          </w:p>
        </w:tc>
        <w:tc>
          <w:tcPr>
            <w:tcW w:w="976" w:type="dxa"/>
            <w:tcBorders>
              <w:top w:val="single" w:sz="12" w:space="0" w:color="auto"/>
              <w:bottom w:val="nil"/>
              <w:right w:val="nil"/>
            </w:tcBorders>
            <w:shd w:val="clear" w:color="auto" w:fill="auto"/>
            <w:noWrap/>
            <w:vAlign w:val="bottom"/>
            <w:hideMark/>
          </w:tcPr>
          <w:p w14:paraId="784E58E2"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0.4</w:t>
            </w:r>
          </w:p>
        </w:tc>
      </w:tr>
      <w:tr w:rsidR="001B19A6" w:rsidRPr="00515FB8" w14:paraId="18DBC715" w14:textId="77777777" w:rsidTr="00C748E6">
        <w:trPr>
          <w:trHeight w:val="300"/>
          <w:jc w:val="center"/>
        </w:trPr>
        <w:tc>
          <w:tcPr>
            <w:tcW w:w="2501" w:type="dxa"/>
            <w:tcBorders>
              <w:top w:val="nil"/>
              <w:left w:val="nil"/>
              <w:bottom w:val="nil"/>
            </w:tcBorders>
            <w:shd w:val="clear" w:color="auto" w:fill="auto"/>
            <w:noWrap/>
            <w:vAlign w:val="bottom"/>
            <w:hideMark/>
          </w:tcPr>
          <w:p w14:paraId="65297919"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p>
        </w:tc>
        <w:tc>
          <w:tcPr>
            <w:tcW w:w="236" w:type="dxa"/>
            <w:tcBorders>
              <w:top w:val="nil"/>
              <w:bottom w:val="nil"/>
            </w:tcBorders>
            <w:shd w:val="clear" w:color="auto" w:fill="auto"/>
            <w:noWrap/>
            <w:vAlign w:val="bottom"/>
            <w:hideMark/>
          </w:tcPr>
          <w:p w14:paraId="03179C29"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tcBorders>
              <w:top w:val="nil"/>
              <w:bottom w:val="nil"/>
            </w:tcBorders>
            <w:shd w:val="clear" w:color="auto" w:fill="auto"/>
            <w:noWrap/>
            <w:vAlign w:val="bottom"/>
            <w:hideMark/>
          </w:tcPr>
          <w:p w14:paraId="3BCE8FD6"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150" w:type="dxa"/>
            <w:tcBorders>
              <w:top w:val="nil"/>
              <w:bottom w:val="nil"/>
            </w:tcBorders>
            <w:shd w:val="clear" w:color="auto" w:fill="auto"/>
            <w:noWrap/>
            <w:vAlign w:val="bottom"/>
            <w:hideMark/>
          </w:tcPr>
          <w:p w14:paraId="7E70CE65"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70" w:type="dxa"/>
            <w:tcBorders>
              <w:top w:val="nil"/>
              <w:bottom w:val="nil"/>
            </w:tcBorders>
            <w:shd w:val="clear" w:color="auto" w:fill="auto"/>
            <w:noWrap/>
            <w:vAlign w:val="bottom"/>
            <w:hideMark/>
          </w:tcPr>
          <w:p w14:paraId="48AAFEBD"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16" w:type="dxa"/>
            <w:tcBorders>
              <w:top w:val="nil"/>
              <w:bottom w:val="nil"/>
            </w:tcBorders>
            <w:shd w:val="clear" w:color="auto" w:fill="auto"/>
            <w:noWrap/>
            <w:vAlign w:val="bottom"/>
            <w:hideMark/>
          </w:tcPr>
          <w:p w14:paraId="62FB70D9"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97" w:type="dxa"/>
            <w:tcBorders>
              <w:top w:val="nil"/>
              <w:bottom w:val="nil"/>
            </w:tcBorders>
            <w:shd w:val="clear" w:color="auto" w:fill="auto"/>
            <w:noWrap/>
            <w:vAlign w:val="bottom"/>
            <w:hideMark/>
          </w:tcPr>
          <w:p w14:paraId="63252D04"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tcBorders>
              <w:top w:val="nil"/>
              <w:bottom w:val="nil"/>
            </w:tcBorders>
            <w:shd w:val="clear" w:color="auto" w:fill="auto"/>
            <w:noWrap/>
            <w:vAlign w:val="bottom"/>
            <w:hideMark/>
          </w:tcPr>
          <w:p w14:paraId="243CD9C8"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tcBorders>
              <w:top w:val="nil"/>
              <w:bottom w:val="nil"/>
              <w:right w:val="nil"/>
            </w:tcBorders>
            <w:shd w:val="clear" w:color="auto" w:fill="auto"/>
            <w:noWrap/>
            <w:vAlign w:val="bottom"/>
            <w:hideMark/>
          </w:tcPr>
          <w:p w14:paraId="4D7B93A4"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r>
      <w:tr w:rsidR="001B19A6" w:rsidRPr="00515FB8" w14:paraId="144318A2" w14:textId="77777777" w:rsidTr="00C748E6">
        <w:trPr>
          <w:trHeight w:val="300"/>
          <w:jc w:val="center"/>
        </w:trPr>
        <w:tc>
          <w:tcPr>
            <w:tcW w:w="2501" w:type="dxa"/>
            <w:tcBorders>
              <w:top w:val="nil"/>
              <w:left w:val="nil"/>
              <w:bottom w:val="nil"/>
            </w:tcBorders>
            <w:shd w:val="clear" w:color="auto" w:fill="auto"/>
            <w:noWrap/>
            <w:vAlign w:val="bottom"/>
            <w:hideMark/>
          </w:tcPr>
          <w:p w14:paraId="42713590"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HTBW (170 °C)</w:t>
            </w:r>
          </w:p>
        </w:tc>
        <w:tc>
          <w:tcPr>
            <w:tcW w:w="236" w:type="dxa"/>
            <w:tcBorders>
              <w:top w:val="nil"/>
              <w:bottom w:val="nil"/>
            </w:tcBorders>
            <w:shd w:val="clear" w:color="auto" w:fill="auto"/>
            <w:noWrap/>
            <w:vAlign w:val="bottom"/>
            <w:hideMark/>
          </w:tcPr>
          <w:p w14:paraId="0C20B35A"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48.0</w:t>
            </w:r>
          </w:p>
        </w:tc>
        <w:tc>
          <w:tcPr>
            <w:tcW w:w="976" w:type="dxa"/>
            <w:tcBorders>
              <w:top w:val="nil"/>
              <w:bottom w:val="nil"/>
            </w:tcBorders>
            <w:shd w:val="clear" w:color="auto" w:fill="auto"/>
            <w:noWrap/>
            <w:vAlign w:val="bottom"/>
            <w:hideMark/>
          </w:tcPr>
          <w:p w14:paraId="5D8D3599"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5.2</w:t>
            </w:r>
          </w:p>
        </w:tc>
        <w:tc>
          <w:tcPr>
            <w:tcW w:w="1150" w:type="dxa"/>
            <w:tcBorders>
              <w:top w:val="nil"/>
              <w:bottom w:val="nil"/>
            </w:tcBorders>
            <w:shd w:val="clear" w:color="auto" w:fill="auto"/>
            <w:noWrap/>
            <w:vAlign w:val="bottom"/>
            <w:hideMark/>
          </w:tcPr>
          <w:p w14:paraId="0D4E0760"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0.7</w:t>
            </w:r>
          </w:p>
        </w:tc>
        <w:tc>
          <w:tcPr>
            <w:tcW w:w="1270" w:type="dxa"/>
            <w:tcBorders>
              <w:top w:val="nil"/>
              <w:bottom w:val="nil"/>
            </w:tcBorders>
            <w:shd w:val="clear" w:color="auto" w:fill="auto"/>
            <w:noWrap/>
            <w:vAlign w:val="bottom"/>
            <w:hideMark/>
          </w:tcPr>
          <w:p w14:paraId="057DAAB8"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0.1</w:t>
            </w:r>
          </w:p>
        </w:tc>
        <w:tc>
          <w:tcPr>
            <w:tcW w:w="1216" w:type="dxa"/>
            <w:tcBorders>
              <w:top w:val="nil"/>
              <w:bottom w:val="nil"/>
            </w:tcBorders>
            <w:shd w:val="clear" w:color="auto" w:fill="auto"/>
            <w:noWrap/>
            <w:vAlign w:val="bottom"/>
            <w:hideMark/>
          </w:tcPr>
          <w:p w14:paraId="410B1B34"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0.1</w:t>
            </w:r>
          </w:p>
        </w:tc>
        <w:tc>
          <w:tcPr>
            <w:tcW w:w="1297" w:type="dxa"/>
            <w:tcBorders>
              <w:top w:val="nil"/>
              <w:bottom w:val="nil"/>
            </w:tcBorders>
            <w:shd w:val="clear" w:color="auto" w:fill="auto"/>
            <w:noWrap/>
            <w:vAlign w:val="bottom"/>
            <w:hideMark/>
          </w:tcPr>
          <w:p w14:paraId="621F62DE"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976" w:type="dxa"/>
            <w:tcBorders>
              <w:top w:val="nil"/>
              <w:bottom w:val="nil"/>
            </w:tcBorders>
            <w:shd w:val="clear" w:color="auto" w:fill="auto"/>
            <w:noWrap/>
            <w:vAlign w:val="bottom"/>
            <w:hideMark/>
          </w:tcPr>
          <w:p w14:paraId="6920DBB4"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34.4</w:t>
            </w:r>
          </w:p>
        </w:tc>
        <w:tc>
          <w:tcPr>
            <w:tcW w:w="976" w:type="dxa"/>
            <w:tcBorders>
              <w:top w:val="nil"/>
              <w:bottom w:val="nil"/>
              <w:right w:val="nil"/>
            </w:tcBorders>
            <w:shd w:val="clear" w:color="auto" w:fill="auto"/>
            <w:noWrap/>
            <w:vAlign w:val="bottom"/>
            <w:hideMark/>
          </w:tcPr>
          <w:p w14:paraId="2C99684D"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0.1</w:t>
            </w:r>
          </w:p>
        </w:tc>
      </w:tr>
      <w:tr w:rsidR="001B19A6" w:rsidRPr="00515FB8" w14:paraId="40A115BD" w14:textId="77777777" w:rsidTr="00C748E6">
        <w:trPr>
          <w:trHeight w:val="300"/>
          <w:jc w:val="center"/>
        </w:trPr>
        <w:tc>
          <w:tcPr>
            <w:tcW w:w="2501" w:type="dxa"/>
            <w:tcBorders>
              <w:top w:val="nil"/>
              <w:left w:val="nil"/>
              <w:bottom w:val="nil"/>
            </w:tcBorders>
            <w:shd w:val="clear" w:color="auto" w:fill="auto"/>
            <w:noWrap/>
            <w:vAlign w:val="bottom"/>
            <w:hideMark/>
          </w:tcPr>
          <w:p w14:paraId="6D14BD57"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p>
        </w:tc>
        <w:tc>
          <w:tcPr>
            <w:tcW w:w="236" w:type="dxa"/>
            <w:tcBorders>
              <w:top w:val="nil"/>
              <w:bottom w:val="nil"/>
            </w:tcBorders>
            <w:shd w:val="clear" w:color="auto" w:fill="auto"/>
            <w:noWrap/>
            <w:vAlign w:val="bottom"/>
            <w:hideMark/>
          </w:tcPr>
          <w:p w14:paraId="4FB09F2D"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tcBorders>
              <w:top w:val="nil"/>
              <w:bottom w:val="nil"/>
            </w:tcBorders>
            <w:shd w:val="clear" w:color="auto" w:fill="auto"/>
            <w:noWrap/>
            <w:vAlign w:val="bottom"/>
            <w:hideMark/>
          </w:tcPr>
          <w:p w14:paraId="45D762D4"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150" w:type="dxa"/>
            <w:tcBorders>
              <w:top w:val="nil"/>
              <w:bottom w:val="nil"/>
            </w:tcBorders>
            <w:shd w:val="clear" w:color="auto" w:fill="auto"/>
            <w:noWrap/>
            <w:vAlign w:val="bottom"/>
            <w:hideMark/>
          </w:tcPr>
          <w:p w14:paraId="72F744EA"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70" w:type="dxa"/>
            <w:tcBorders>
              <w:top w:val="nil"/>
              <w:bottom w:val="nil"/>
            </w:tcBorders>
            <w:shd w:val="clear" w:color="auto" w:fill="auto"/>
            <w:noWrap/>
            <w:vAlign w:val="bottom"/>
            <w:hideMark/>
          </w:tcPr>
          <w:p w14:paraId="131BC669"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16" w:type="dxa"/>
            <w:tcBorders>
              <w:top w:val="nil"/>
              <w:bottom w:val="nil"/>
            </w:tcBorders>
            <w:shd w:val="clear" w:color="auto" w:fill="auto"/>
            <w:noWrap/>
            <w:vAlign w:val="bottom"/>
            <w:hideMark/>
          </w:tcPr>
          <w:p w14:paraId="2B97784C"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97" w:type="dxa"/>
            <w:tcBorders>
              <w:top w:val="nil"/>
              <w:bottom w:val="nil"/>
            </w:tcBorders>
            <w:shd w:val="clear" w:color="auto" w:fill="auto"/>
            <w:noWrap/>
            <w:vAlign w:val="bottom"/>
            <w:hideMark/>
          </w:tcPr>
          <w:p w14:paraId="6CEEC064"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tcBorders>
              <w:top w:val="nil"/>
              <w:bottom w:val="nil"/>
            </w:tcBorders>
            <w:shd w:val="clear" w:color="auto" w:fill="auto"/>
            <w:noWrap/>
            <w:vAlign w:val="bottom"/>
            <w:hideMark/>
          </w:tcPr>
          <w:p w14:paraId="1E57B2CB"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tcBorders>
              <w:top w:val="nil"/>
              <w:bottom w:val="nil"/>
              <w:right w:val="nil"/>
            </w:tcBorders>
            <w:shd w:val="clear" w:color="auto" w:fill="auto"/>
            <w:noWrap/>
            <w:vAlign w:val="bottom"/>
            <w:hideMark/>
          </w:tcPr>
          <w:p w14:paraId="2572CFF8"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r>
      <w:tr w:rsidR="001B19A6" w:rsidRPr="00515FB8" w14:paraId="1828C426" w14:textId="77777777" w:rsidTr="00C748E6">
        <w:trPr>
          <w:trHeight w:val="300"/>
          <w:jc w:val="center"/>
        </w:trPr>
        <w:tc>
          <w:tcPr>
            <w:tcW w:w="2501" w:type="dxa"/>
            <w:tcBorders>
              <w:top w:val="nil"/>
              <w:left w:val="nil"/>
              <w:bottom w:val="nil"/>
            </w:tcBorders>
            <w:shd w:val="clear" w:color="auto" w:fill="auto"/>
            <w:noWrap/>
            <w:vAlign w:val="bottom"/>
            <w:hideMark/>
          </w:tcPr>
          <w:p w14:paraId="7ECBD9C9"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HTBW (190 °C)</w:t>
            </w:r>
          </w:p>
        </w:tc>
        <w:tc>
          <w:tcPr>
            <w:tcW w:w="236" w:type="dxa"/>
            <w:tcBorders>
              <w:top w:val="nil"/>
              <w:bottom w:val="nil"/>
            </w:tcBorders>
            <w:shd w:val="clear" w:color="auto" w:fill="auto"/>
            <w:noWrap/>
            <w:vAlign w:val="bottom"/>
            <w:hideMark/>
          </w:tcPr>
          <w:p w14:paraId="6D6EE3F6"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48.9</w:t>
            </w:r>
          </w:p>
        </w:tc>
        <w:tc>
          <w:tcPr>
            <w:tcW w:w="976" w:type="dxa"/>
            <w:tcBorders>
              <w:top w:val="nil"/>
              <w:bottom w:val="nil"/>
            </w:tcBorders>
            <w:shd w:val="clear" w:color="auto" w:fill="auto"/>
            <w:noWrap/>
            <w:vAlign w:val="bottom"/>
            <w:hideMark/>
          </w:tcPr>
          <w:p w14:paraId="522C3C97"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2.0</w:t>
            </w:r>
          </w:p>
        </w:tc>
        <w:tc>
          <w:tcPr>
            <w:tcW w:w="1150" w:type="dxa"/>
            <w:tcBorders>
              <w:top w:val="nil"/>
              <w:bottom w:val="nil"/>
            </w:tcBorders>
            <w:shd w:val="clear" w:color="auto" w:fill="auto"/>
            <w:noWrap/>
            <w:vAlign w:val="bottom"/>
            <w:hideMark/>
          </w:tcPr>
          <w:p w14:paraId="061D602D"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0.3</w:t>
            </w:r>
          </w:p>
        </w:tc>
        <w:tc>
          <w:tcPr>
            <w:tcW w:w="1270" w:type="dxa"/>
            <w:tcBorders>
              <w:top w:val="nil"/>
              <w:bottom w:val="nil"/>
            </w:tcBorders>
            <w:shd w:val="clear" w:color="auto" w:fill="auto"/>
            <w:noWrap/>
            <w:vAlign w:val="bottom"/>
            <w:hideMark/>
          </w:tcPr>
          <w:p w14:paraId="2FFF405E"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1216" w:type="dxa"/>
            <w:tcBorders>
              <w:top w:val="nil"/>
              <w:bottom w:val="nil"/>
            </w:tcBorders>
            <w:shd w:val="clear" w:color="auto" w:fill="auto"/>
            <w:noWrap/>
            <w:vAlign w:val="bottom"/>
            <w:hideMark/>
          </w:tcPr>
          <w:p w14:paraId="6E551B74"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0.1</w:t>
            </w:r>
          </w:p>
        </w:tc>
        <w:tc>
          <w:tcPr>
            <w:tcW w:w="1297" w:type="dxa"/>
            <w:tcBorders>
              <w:top w:val="nil"/>
              <w:bottom w:val="nil"/>
            </w:tcBorders>
            <w:shd w:val="clear" w:color="auto" w:fill="auto"/>
            <w:noWrap/>
            <w:vAlign w:val="bottom"/>
            <w:hideMark/>
          </w:tcPr>
          <w:p w14:paraId="520B3204"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976" w:type="dxa"/>
            <w:tcBorders>
              <w:top w:val="nil"/>
              <w:bottom w:val="nil"/>
            </w:tcBorders>
            <w:shd w:val="clear" w:color="auto" w:fill="auto"/>
            <w:noWrap/>
            <w:vAlign w:val="bottom"/>
            <w:hideMark/>
          </w:tcPr>
          <w:p w14:paraId="128AAD7B"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39.2</w:t>
            </w:r>
          </w:p>
        </w:tc>
        <w:tc>
          <w:tcPr>
            <w:tcW w:w="976" w:type="dxa"/>
            <w:tcBorders>
              <w:top w:val="nil"/>
              <w:bottom w:val="nil"/>
              <w:right w:val="nil"/>
            </w:tcBorders>
            <w:shd w:val="clear" w:color="auto" w:fill="auto"/>
            <w:noWrap/>
            <w:vAlign w:val="bottom"/>
            <w:hideMark/>
          </w:tcPr>
          <w:p w14:paraId="6D2DFBFB"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0.1</w:t>
            </w:r>
          </w:p>
        </w:tc>
      </w:tr>
      <w:tr w:rsidR="001B19A6" w:rsidRPr="00515FB8" w14:paraId="734B1522" w14:textId="77777777" w:rsidTr="00C748E6">
        <w:trPr>
          <w:trHeight w:val="300"/>
          <w:jc w:val="center"/>
        </w:trPr>
        <w:tc>
          <w:tcPr>
            <w:tcW w:w="2501" w:type="dxa"/>
            <w:tcBorders>
              <w:top w:val="nil"/>
              <w:left w:val="nil"/>
              <w:bottom w:val="nil"/>
            </w:tcBorders>
            <w:shd w:val="clear" w:color="auto" w:fill="auto"/>
            <w:noWrap/>
            <w:vAlign w:val="bottom"/>
            <w:hideMark/>
          </w:tcPr>
          <w:p w14:paraId="6EF991EF"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p>
        </w:tc>
        <w:tc>
          <w:tcPr>
            <w:tcW w:w="236" w:type="dxa"/>
            <w:tcBorders>
              <w:top w:val="nil"/>
              <w:bottom w:val="nil"/>
            </w:tcBorders>
            <w:shd w:val="clear" w:color="auto" w:fill="auto"/>
            <w:noWrap/>
            <w:vAlign w:val="bottom"/>
            <w:hideMark/>
          </w:tcPr>
          <w:p w14:paraId="77607D80"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tcBorders>
              <w:top w:val="nil"/>
              <w:bottom w:val="nil"/>
            </w:tcBorders>
            <w:shd w:val="clear" w:color="auto" w:fill="auto"/>
            <w:noWrap/>
            <w:vAlign w:val="bottom"/>
            <w:hideMark/>
          </w:tcPr>
          <w:p w14:paraId="4BBB851F"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150" w:type="dxa"/>
            <w:tcBorders>
              <w:top w:val="nil"/>
              <w:bottom w:val="nil"/>
            </w:tcBorders>
            <w:shd w:val="clear" w:color="auto" w:fill="auto"/>
            <w:noWrap/>
            <w:vAlign w:val="bottom"/>
            <w:hideMark/>
          </w:tcPr>
          <w:p w14:paraId="73EEC635"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70" w:type="dxa"/>
            <w:tcBorders>
              <w:top w:val="nil"/>
              <w:bottom w:val="nil"/>
            </w:tcBorders>
            <w:shd w:val="clear" w:color="auto" w:fill="auto"/>
            <w:noWrap/>
            <w:vAlign w:val="bottom"/>
            <w:hideMark/>
          </w:tcPr>
          <w:p w14:paraId="2A36D831"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16" w:type="dxa"/>
            <w:tcBorders>
              <w:top w:val="nil"/>
              <w:bottom w:val="nil"/>
            </w:tcBorders>
            <w:shd w:val="clear" w:color="auto" w:fill="auto"/>
            <w:noWrap/>
            <w:vAlign w:val="bottom"/>
            <w:hideMark/>
          </w:tcPr>
          <w:p w14:paraId="151089E0"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97" w:type="dxa"/>
            <w:tcBorders>
              <w:top w:val="nil"/>
              <w:bottom w:val="nil"/>
            </w:tcBorders>
            <w:shd w:val="clear" w:color="auto" w:fill="auto"/>
            <w:noWrap/>
            <w:vAlign w:val="bottom"/>
            <w:hideMark/>
          </w:tcPr>
          <w:p w14:paraId="36860116"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tcBorders>
              <w:top w:val="nil"/>
              <w:bottom w:val="nil"/>
            </w:tcBorders>
            <w:shd w:val="clear" w:color="auto" w:fill="auto"/>
            <w:noWrap/>
            <w:vAlign w:val="bottom"/>
            <w:hideMark/>
          </w:tcPr>
          <w:p w14:paraId="4DE470FF"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tcBorders>
              <w:top w:val="nil"/>
              <w:bottom w:val="nil"/>
              <w:right w:val="nil"/>
            </w:tcBorders>
            <w:shd w:val="clear" w:color="auto" w:fill="auto"/>
            <w:noWrap/>
            <w:vAlign w:val="bottom"/>
            <w:hideMark/>
          </w:tcPr>
          <w:p w14:paraId="4FCFD5D4"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r>
      <w:tr w:rsidR="001B19A6" w:rsidRPr="00515FB8" w14:paraId="4461E8E8" w14:textId="77777777" w:rsidTr="00C748E6">
        <w:trPr>
          <w:trHeight w:val="300"/>
          <w:jc w:val="center"/>
        </w:trPr>
        <w:tc>
          <w:tcPr>
            <w:tcW w:w="2501" w:type="dxa"/>
            <w:tcBorders>
              <w:top w:val="nil"/>
              <w:left w:val="nil"/>
              <w:bottom w:val="single" w:sz="4" w:space="0" w:color="auto"/>
            </w:tcBorders>
            <w:shd w:val="clear" w:color="auto" w:fill="auto"/>
            <w:noWrap/>
            <w:vAlign w:val="bottom"/>
            <w:hideMark/>
          </w:tcPr>
          <w:p w14:paraId="2276A181"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HTBW (200 °C)</w:t>
            </w:r>
          </w:p>
        </w:tc>
        <w:tc>
          <w:tcPr>
            <w:tcW w:w="236" w:type="dxa"/>
            <w:tcBorders>
              <w:top w:val="nil"/>
              <w:bottom w:val="single" w:sz="4" w:space="0" w:color="auto"/>
            </w:tcBorders>
            <w:shd w:val="clear" w:color="auto" w:fill="auto"/>
            <w:noWrap/>
            <w:vAlign w:val="bottom"/>
            <w:hideMark/>
          </w:tcPr>
          <w:p w14:paraId="3C1E97EC"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10.5</w:t>
            </w:r>
          </w:p>
        </w:tc>
        <w:tc>
          <w:tcPr>
            <w:tcW w:w="976" w:type="dxa"/>
            <w:tcBorders>
              <w:top w:val="nil"/>
              <w:bottom w:val="single" w:sz="4" w:space="0" w:color="auto"/>
            </w:tcBorders>
            <w:shd w:val="clear" w:color="auto" w:fill="auto"/>
            <w:noWrap/>
            <w:vAlign w:val="bottom"/>
            <w:hideMark/>
          </w:tcPr>
          <w:p w14:paraId="7CB70C33"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0.1</w:t>
            </w:r>
          </w:p>
        </w:tc>
        <w:tc>
          <w:tcPr>
            <w:tcW w:w="1150" w:type="dxa"/>
            <w:tcBorders>
              <w:top w:val="nil"/>
              <w:bottom w:val="single" w:sz="4" w:space="0" w:color="auto"/>
            </w:tcBorders>
            <w:shd w:val="clear" w:color="auto" w:fill="auto"/>
            <w:noWrap/>
            <w:vAlign w:val="bottom"/>
            <w:hideMark/>
          </w:tcPr>
          <w:p w14:paraId="155C0E12"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1270" w:type="dxa"/>
            <w:tcBorders>
              <w:top w:val="nil"/>
              <w:bottom w:val="single" w:sz="4" w:space="0" w:color="auto"/>
            </w:tcBorders>
            <w:shd w:val="clear" w:color="auto" w:fill="auto"/>
            <w:noWrap/>
            <w:vAlign w:val="bottom"/>
            <w:hideMark/>
          </w:tcPr>
          <w:p w14:paraId="079480AA"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1216" w:type="dxa"/>
            <w:tcBorders>
              <w:top w:val="nil"/>
              <w:bottom w:val="single" w:sz="4" w:space="0" w:color="auto"/>
            </w:tcBorders>
            <w:shd w:val="clear" w:color="auto" w:fill="auto"/>
            <w:noWrap/>
            <w:vAlign w:val="bottom"/>
            <w:hideMark/>
          </w:tcPr>
          <w:p w14:paraId="6718AF1B"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1297" w:type="dxa"/>
            <w:tcBorders>
              <w:top w:val="nil"/>
              <w:bottom w:val="single" w:sz="4" w:space="0" w:color="auto"/>
            </w:tcBorders>
            <w:shd w:val="clear" w:color="auto" w:fill="auto"/>
            <w:noWrap/>
            <w:vAlign w:val="bottom"/>
            <w:hideMark/>
          </w:tcPr>
          <w:p w14:paraId="3902853C"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976" w:type="dxa"/>
            <w:tcBorders>
              <w:top w:val="nil"/>
              <w:bottom w:val="single" w:sz="4" w:space="0" w:color="auto"/>
            </w:tcBorders>
            <w:shd w:val="clear" w:color="auto" w:fill="auto"/>
            <w:noWrap/>
            <w:vAlign w:val="bottom"/>
            <w:hideMark/>
          </w:tcPr>
          <w:p w14:paraId="30BE3440"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49.3</w:t>
            </w:r>
          </w:p>
        </w:tc>
        <w:tc>
          <w:tcPr>
            <w:tcW w:w="976" w:type="dxa"/>
            <w:tcBorders>
              <w:top w:val="nil"/>
              <w:bottom w:val="single" w:sz="4" w:space="0" w:color="auto"/>
              <w:right w:val="nil"/>
            </w:tcBorders>
            <w:shd w:val="clear" w:color="auto" w:fill="auto"/>
            <w:noWrap/>
            <w:vAlign w:val="bottom"/>
            <w:hideMark/>
          </w:tcPr>
          <w:p w14:paraId="0BE752D8"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0.1</w:t>
            </w:r>
          </w:p>
        </w:tc>
      </w:tr>
      <w:tr w:rsidR="001B19A6" w:rsidRPr="00515FB8" w14:paraId="0D7D1430" w14:textId="77777777" w:rsidTr="00C748E6">
        <w:trPr>
          <w:trHeight w:val="300"/>
          <w:jc w:val="center"/>
        </w:trPr>
        <w:tc>
          <w:tcPr>
            <w:tcW w:w="2501" w:type="dxa"/>
            <w:tcBorders>
              <w:top w:val="single" w:sz="4" w:space="0" w:color="auto"/>
              <w:left w:val="nil"/>
              <w:bottom w:val="nil"/>
            </w:tcBorders>
            <w:shd w:val="clear" w:color="auto" w:fill="auto"/>
            <w:noWrap/>
            <w:vAlign w:val="bottom"/>
            <w:hideMark/>
          </w:tcPr>
          <w:p w14:paraId="7B30EE36"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p>
        </w:tc>
        <w:tc>
          <w:tcPr>
            <w:tcW w:w="236" w:type="dxa"/>
            <w:tcBorders>
              <w:top w:val="single" w:sz="4" w:space="0" w:color="auto"/>
              <w:bottom w:val="nil"/>
            </w:tcBorders>
            <w:shd w:val="clear" w:color="auto" w:fill="auto"/>
            <w:noWrap/>
            <w:vAlign w:val="bottom"/>
            <w:hideMark/>
          </w:tcPr>
          <w:p w14:paraId="1F2F76F8"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tcBorders>
              <w:top w:val="single" w:sz="4" w:space="0" w:color="auto"/>
              <w:bottom w:val="nil"/>
            </w:tcBorders>
            <w:shd w:val="clear" w:color="auto" w:fill="auto"/>
            <w:noWrap/>
            <w:vAlign w:val="bottom"/>
            <w:hideMark/>
          </w:tcPr>
          <w:p w14:paraId="7AF3CA8D"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150" w:type="dxa"/>
            <w:tcBorders>
              <w:top w:val="single" w:sz="4" w:space="0" w:color="auto"/>
              <w:bottom w:val="nil"/>
            </w:tcBorders>
            <w:shd w:val="clear" w:color="auto" w:fill="auto"/>
            <w:noWrap/>
            <w:vAlign w:val="bottom"/>
            <w:hideMark/>
          </w:tcPr>
          <w:p w14:paraId="75AE87D8"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70" w:type="dxa"/>
            <w:tcBorders>
              <w:top w:val="single" w:sz="4" w:space="0" w:color="auto"/>
              <w:bottom w:val="nil"/>
            </w:tcBorders>
            <w:shd w:val="clear" w:color="auto" w:fill="auto"/>
            <w:noWrap/>
            <w:vAlign w:val="bottom"/>
            <w:hideMark/>
          </w:tcPr>
          <w:p w14:paraId="439E56CA"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16" w:type="dxa"/>
            <w:tcBorders>
              <w:top w:val="single" w:sz="4" w:space="0" w:color="auto"/>
              <w:bottom w:val="nil"/>
            </w:tcBorders>
            <w:shd w:val="clear" w:color="auto" w:fill="auto"/>
            <w:noWrap/>
            <w:vAlign w:val="bottom"/>
            <w:hideMark/>
          </w:tcPr>
          <w:p w14:paraId="2C745DD3"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97" w:type="dxa"/>
            <w:tcBorders>
              <w:top w:val="single" w:sz="4" w:space="0" w:color="auto"/>
              <w:bottom w:val="nil"/>
            </w:tcBorders>
            <w:shd w:val="clear" w:color="auto" w:fill="auto"/>
            <w:noWrap/>
            <w:vAlign w:val="bottom"/>
            <w:hideMark/>
          </w:tcPr>
          <w:p w14:paraId="07402459"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tcBorders>
              <w:top w:val="single" w:sz="4" w:space="0" w:color="auto"/>
              <w:bottom w:val="nil"/>
            </w:tcBorders>
            <w:shd w:val="clear" w:color="auto" w:fill="auto"/>
            <w:noWrap/>
            <w:vAlign w:val="bottom"/>
            <w:hideMark/>
          </w:tcPr>
          <w:p w14:paraId="42BF22C1"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tcBorders>
              <w:top w:val="single" w:sz="4" w:space="0" w:color="auto"/>
              <w:bottom w:val="nil"/>
              <w:right w:val="nil"/>
            </w:tcBorders>
            <w:shd w:val="clear" w:color="auto" w:fill="auto"/>
            <w:noWrap/>
            <w:vAlign w:val="bottom"/>
            <w:hideMark/>
          </w:tcPr>
          <w:p w14:paraId="39A51756"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r>
    </w:tbl>
    <w:p w14:paraId="31CA0F50" w14:textId="77777777" w:rsidR="00F04C0D" w:rsidRDefault="00F04C0D"/>
    <w:p w14:paraId="0E21DD95" w14:textId="77777777" w:rsidR="001B19A6" w:rsidRDefault="001B19A6"/>
    <w:p w14:paraId="39400E80" w14:textId="77777777" w:rsidR="00DE666E" w:rsidRDefault="00DE666E">
      <w:pPr>
        <w:rPr>
          <w:rFonts w:ascii="Times New Roman" w:eastAsiaTheme="minorHAnsi" w:hAnsi="Times New Roman" w:cs="Times New Roman"/>
          <w:b/>
          <w:bCs/>
          <w:kern w:val="0"/>
          <w:sz w:val="24"/>
          <w:szCs w:val="24"/>
          <w:lang w:eastAsia="en-US"/>
          <w14:ligatures w14:val="none"/>
        </w:rPr>
      </w:pPr>
      <w:bookmarkStart w:id="13" w:name="_Ref91157097"/>
      <w:bookmarkStart w:id="14" w:name="_Toc101958154"/>
      <w:r>
        <w:rPr>
          <w:rFonts w:cs="Times New Roman"/>
          <w:b/>
          <w:bCs/>
          <w:i/>
          <w:iCs/>
          <w:sz w:val="24"/>
          <w:szCs w:val="24"/>
        </w:rPr>
        <w:br w:type="page"/>
      </w:r>
    </w:p>
    <w:p w14:paraId="6F2B3C14" w14:textId="65643D0C" w:rsidR="001B19A6" w:rsidRPr="001B19A6" w:rsidRDefault="001B19A6" w:rsidP="001B19A6">
      <w:pPr>
        <w:pStyle w:val="Caption"/>
        <w:keepNext/>
        <w:spacing w:line="360" w:lineRule="auto"/>
        <w:ind w:left="720" w:firstLine="0"/>
        <w:rPr>
          <w:rFonts w:cs="Times New Roman"/>
          <w:i w:val="0"/>
          <w:iCs w:val="0"/>
          <w:color w:val="auto"/>
          <w:sz w:val="24"/>
          <w:szCs w:val="24"/>
        </w:rPr>
      </w:pPr>
      <w:r w:rsidRPr="001B19A6">
        <w:rPr>
          <w:rFonts w:cs="Times New Roman"/>
          <w:b/>
          <w:bCs/>
          <w:i w:val="0"/>
          <w:iCs w:val="0"/>
          <w:color w:val="auto"/>
          <w:sz w:val="24"/>
          <w:szCs w:val="24"/>
        </w:rPr>
        <w:lastRenderedPageBreak/>
        <w:t>Table S</w:t>
      </w:r>
      <w:r w:rsidRPr="001B19A6">
        <w:rPr>
          <w:rFonts w:cs="Times New Roman"/>
          <w:b/>
          <w:bCs/>
          <w:i w:val="0"/>
          <w:iCs w:val="0"/>
          <w:color w:val="auto"/>
          <w:sz w:val="24"/>
          <w:szCs w:val="24"/>
        </w:rPr>
        <w:fldChar w:fldCharType="begin"/>
      </w:r>
      <w:r w:rsidRPr="001B19A6">
        <w:rPr>
          <w:rFonts w:cs="Times New Roman"/>
          <w:b/>
          <w:bCs/>
          <w:i w:val="0"/>
          <w:iCs w:val="0"/>
          <w:color w:val="auto"/>
          <w:sz w:val="24"/>
          <w:szCs w:val="24"/>
        </w:rPr>
        <w:instrText xml:space="preserve"> SEQ Table \* ARABIC </w:instrText>
      </w:r>
      <w:r w:rsidRPr="001B19A6">
        <w:rPr>
          <w:rFonts w:cs="Times New Roman"/>
          <w:b/>
          <w:bCs/>
          <w:i w:val="0"/>
          <w:iCs w:val="0"/>
          <w:color w:val="auto"/>
          <w:sz w:val="24"/>
          <w:szCs w:val="24"/>
        </w:rPr>
        <w:fldChar w:fldCharType="separate"/>
      </w:r>
      <w:r w:rsidRPr="001B19A6">
        <w:rPr>
          <w:rFonts w:cs="Times New Roman"/>
          <w:b/>
          <w:bCs/>
          <w:i w:val="0"/>
          <w:iCs w:val="0"/>
          <w:noProof/>
          <w:color w:val="auto"/>
          <w:sz w:val="24"/>
          <w:szCs w:val="24"/>
        </w:rPr>
        <w:t>2</w:t>
      </w:r>
      <w:r w:rsidRPr="001B19A6">
        <w:rPr>
          <w:rFonts w:cs="Times New Roman"/>
          <w:b/>
          <w:bCs/>
          <w:i w:val="0"/>
          <w:iCs w:val="0"/>
          <w:noProof/>
          <w:color w:val="auto"/>
          <w:sz w:val="24"/>
          <w:szCs w:val="24"/>
        </w:rPr>
        <w:fldChar w:fldCharType="end"/>
      </w:r>
      <w:bookmarkEnd w:id="13"/>
      <w:r w:rsidRPr="001B19A6">
        <w:rPr>
          <w:rFonts w:cs="Times New Roman"/>
          <w:i w:val="0"/>
          <w:iCs w:val="0"/>
          <w:color w:val="auto"/>
          <w:sz w:val="24"/>
          <w:szCs w:val="24"/>
        </w:rPr>
        <w:t xml:space="preserve">. </w:t>
      </w:r>
      <w:bookmarkEnd w:id="14"/>
      <w:r w:rsidR="00533D1C" w:rsidRPr="00533D1C">
        <w:rPr>
          <w:rFonts w:cs="Times New Roman"/>
          <w:i w:val="0"/>
          <w:iCs w:val="0"/>
          <w:color w:val="FF0000"/>
          <w:sz w:val="24"/>
          <w:szCs w:val="24"/>
        </w:rPr>
        <w:t>Composition of enzymatic hydrolysis lignin produced using hydrothermal pretreatment with subsequent enzymatic hydrolysis.</w:t>
      </w:r>
    </w:p>
    <w:tbl>
      <w:tblPr>
        <w:tblW w:w="10592" w:type="dxa"/>
        <w:jc w:val="center"/>
        <w:tblBorders>
          <w:top w:val="single" w:sz="4" w:space="0" w:color="auto"/>
          <w:bottom w:val="single" w:sz="4" w:space="0" w:color="auto"/>
        </w:tblBorders>
        <w:tblLook w:val="04A0" w:firstRow="1" w:lastRow="0" w:firstColumn="1" w:lastColumn="0" w:noHBand="0" w:noVBand="1"/>
      </w:tblPr>
      <w:tblGrid>
        <w:gridCol w:w="1701"/>
        <w:gridCol w:w="1030"/>
        <w:gridCol w:w="976"/>
        <w:gridCol w:w="1150"/>
        <w:gridCol w:w="1270"/>
        <w:gridCol w:w="1216"/>
        <w:gridCol w:w="1297"/>
        <w:gridCol w:w="976"/>
        <w:gridCol w:w="976"/>
      </w:tblGrid>
      <w:tr w:rsidR="001B19A6" w:rsidRPr="00515FB8" w14:paraId="6C1E04E2" w14:textId="77777777" w:rsidTr="001B19A6">
        <w:trPr>
          <w:trHeight w:val="300"/>
          <w:jc w:val="center"/>
        </w:trPr>
        <w:tc>
          <w:tcPr>
            <w:tcW w:w="1701" w:type="dxa"/>
            <w:tcBorders>
              <w:top w:val="single" w:sz="4" w:space="0" w:color="auto"/>
              <w:bottom w:val="single" w:sz="12" w:space="0" w:color="auto"/>
            </w:tcBorders>
            <w:shd w:val="clear" w:color="auto" w:fill="auto"/>
            <w:noWrap/>
            <w:vAlign w:val="bottom"/>
            <w:hideMark/>
          </w:tcPr>
          <w:p w14:paraId="68ACC998"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r w:rsidRPr="00515FB8">
              <w:rPr>
                <w:rFonts w:ascii="Times New Roman" w:eastAsia="Times New Roman" w:hAnsi="Times New Roman" w:cs="Times New Roman"/>
                <w:sz w:val="24"/>
                <w:szCs w:val="24"/>
                <w:lang w:eastAsia="en-IE"/>
              </w:rPr>
              <w:t>%</w:t>
            </w:r>
          </w:p>
        </w:tc>
        <w:tc>
          <w:tcPr>
            <w:tcW w:w="1030" w:type="dxa"/>
            <w:tcBorders>
              <w:top w:val="single" w:sz="4" w:space="0" w:color="auto"/>
              <w:bottom w:val="single" w:sz="12" w:space="0" w:color="auto"/>
            </w:tcBorders>
            <w:shd w:val="clear" w:color="auto" w:fill="auto"/>
            <w:noWrap/>
            <w:vAlign w:val="bottom"/>
            <w:hideMark/>
          </w:tcPr>
          <w:p w14:paraId="47BEAFA6"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Glucose</w:t>
            </w:r>
          </w:p>
        </w:tc>
        <w:tc>
          <w:tcPr>
            <w:tcW w:w="976" w:type="dxa"/>
            <w:tcBorders>
              <w:top w:val="single" w:sz="4" w:space="0" w:color="auto"/>
              <w:bottom w:val="single" w:sz="12" w:space="0" w:color="auto"/>
            </w:tcBorders>
            <w:shd w:val="clear" w:color="auto" w:fill="auto"/>
            <w:noWrap/>
            <w:vAlign w:val="bottom"/>
            <w:hideMark/>
          </w:tcPr>
          <w:p w14:paraId="79654E90"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Xylose</w:t>
            </w:r>
          </w:p>
        </w:tc>
        <w:tc>
          <w:tcPr>
            <w:tcW w:w="1150" w:type="dxa"/>
            <w:tcBorders>
              <w:top w:val="single" w:sz="4" w:space="0" w:color="auto"/>
              <w:bottom w:val="single" w:sz="12" w:space="0" w:color="auto"/>
            </w:tcBorders>
            <w:shd w:val="clear" w:color="auto" w:fill="auto"/>
            <w:noWrap/>
            <w:vAlign w:val="bottom"/>
            <w:hideMark/>
          </w:tcPr>
          <w:p w14:paraId="3E83F3A8"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Mannose</w:t>
            </w:r>
          </w:p>
        </w:tc>
        <w:tc>
          <w:tcPr>
            <w:tcW w:w="1270" w:type="dxa"/>
            <w:tcBorders>
              <w:top w:val="single" w:sz="4" w:space="0" w:color="auto"/>
              <w:bottom w:val="single" w:sz="12" w:space="0" w:color="auto"/>
            </w:tcBorders>
            <w:shd w:val="clear" w:color="auto" w:fill="auto"/>
            <w:noWrap/>
            <w:vAlign w:val="bottom"/>
            <w:hideMark/>
          </w:tcPr>
          <w:p w14:paraId="67274BEC"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Arabinose</w:t>
            </w:r>
          </w:p>
        </w:tc>
        <w:tc>
          <w:tcPr>
            <w:tcW w:w="1216" w:type="dxa"/>
            <w:tcBorders>
              <w:top w:val="single" w:sz="4" w:space="0" w:color="auto"/>
              <w:bottom w:val="single" w:sz="12" w:space="0" w:color="auto"/>
            </w:tcBorders>
            <w:shd w:val="clear" w:color="auto" w:fill="auto"/>
            <w:noWrap/>
            <w:vAlign w:val="bottom"/>
            <w:hideMark/>
          </w:tcPr>
          <w:p w14:paraId="6998790B"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Galactose</w:t>
            </w:r>
          </w:p>
        </w:tc>
        <w:tc>
          <w:tcPr>
            <w:tcW w:w="1297" w:type="dxa"/>
            <w:tcBorders>
              <w:top w:val="single" w:sz="4" w:space="0" w:color="auto"/>
              <w:bottom w:val="single" w:sz="12" w:space="0" w:color="auto"/>
            </w:tcBorders>
            <w:shd w:val="clear" w:color="auto" w:fill="auto"/>
            <w:noWrap/>
            <w:vAlign w:val="bottom"/>
            <w:hideMark/>
          </w:tcPr>
          <w:p w14:paraId="196892CF"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Rhamnose</w:t>
            </w:r>
          </w:p>
        </w:tc>
        <w:tc>
          <w:tcPr>
            <w:tcW w:w="976" w:type="dxa"/>
            <w:tcBorders>
              <w:top w:val="single" w:sz="4" w:space="0" w:color="auto"/>
              <w:bottom w:val="single" w:sz="12" w:space="0" w:color="auto"/>
            </w:tcBorders>
            <w:shd w:val="clear" w:color="auto" w:fill="auto"/>
            <w:noWrap/>
            <w:vAlign w:val="bottom"/>
            <w:hideMark/>
          </w:tcPr>
          <w:p w14:paraId="5BD4D3AF"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Lignin</w:t>
            </w:r>
          </w:p>
        </w:tc>
        <w:tc>
          <w:tcPr>
            <w:tcW w:w="976" w:type="dxa"/>
            <w:tcBorders>
              <w:top w:val="single" w:sz="4" w:space="0" w:color="auto"/>
              <w:bottom w:val="single" w:sz="12" w:space="0" w:color="auto"/>
            </w:tcBorders>
            <w:shd w:val="clear" w:color="auto" w:fill="auto"/>
            <w:noWrap/>
            <w:vAlign w:val="bottom"/>
            <w:hideMark/>
          </w:tcPr>
          <w:p w14:paraId="0EC9BB2A"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Ash</w:t>
            </w:r>
          </w:p>
        </w:tc>
      </w:tr>
      <w:tr w:rsidR="001B19A6" w:rsidRPr="00515FB8" w14:paraId="08B415F4" w14:textId="77777777" w:rsidTr="001B19A6">
        <w:trPr>
          <w:trHeight w:val="300"/>
          <w:jc w:val="center"/>
        </w:trPr>
        <w:tc>
          <w:tcPr>
            <w:tcW w:w="1701" w:type="dxa"/>
            <w:tcBorders>
              <w:top w:val="single" w:sz="12" w:space="0" w:color="auto"/>
            </w:tcBorders>
            <w:shd w:val="clear" w:color="auto" w:fill="auto"/>
            <w:noWrap/>
            <w:vAlign w:val="bottom"/>
            <w:hideMark/>
          </w:tcPr>
          <w:p w14:paraId="56AE4F02"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MBW</w:t>
            </w:r>
          </w:p>
        </w:tc>
        <w:tc>
          <w:tcPr>
            <w:tcW w:w="1030" w:type="dxa"/>
            <w:tcBorders>
              <w:top w:val="single" w:sz="12" w:space="0" w:color="auto"/>
            </w:tcBorders>
            <w:shd w:val="clear" w:color="auto" w:fill="auto"/>
            <w:noWrap/>
            <w:vAlign w:val="bottom"/>
            <w:hideMark/>
          </w:tcPr>
          <w:p w14:paraId="7819D1C5"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35.</w:t>
            </w:r>
          </w:p>
        </w:tc>
        <w:tc>
          <w:tcPr>
            <w:tcW w:w="976" w:type="dxa"/>
            <w:tcBorders>
              <w:top w:val="single" w:sz="12" w:space="0" w:color="auto"/>
            </w:tcBorders>
            <w:shd w:val="clear" w:color="auto" w:fill="auto"/>
            <w:noWrap/>
            <w:vAlign w:val="bottom"/>
            <w:hideMark/>
          </w:tcPr>
          <w:p w14:paraId="11916ECD"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20.5</w:t>
            </w:r>
          </w:p>
        </w:tc>
        <w:tc>
          <w:tcPr>
            <w:tcW w:w="1150" w:type="dxa"/>
            <w:tcBorders>
              <w:top w:val="single" w:sz="12" w:space="0" w:color="auto"/>
            </w:tcBorders>
            <w:shd w:val="clear" w:color="auto" w:fill="auto"/>
            <w:noWrap/>
            <w:vAlign w:val="bottom"/>
            <w:hideMark/>
          </w:tcPr>
          <w:p w14:paraId="1354683F"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1.</w:t>
            </w:r>
          </w:p>
        </w:tc>
        <w:tc>
          <w:tcPr>
            <w:tcW w:w="1270" w:type="dxa"/>
            <w:tcBorders>
              <w:top w:val="single" w:sz="12" w:space="0" w:color="auto"/>
            </w:tcBorders>
            <w:shd w:val="clear" w:color="auto" w:fill="auto"/>
            <w:noWrap/>
            <w:vAlign w:val="bottom"/>
            <w:hideMark/>
          </w:tcPr>
          <w:p w14:paraId="282FEE16"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0.5</w:t>
            </w:r>
          </w:p>
        </w:tc>
        <w:tc>
          <w:tcPr>
            <w:tcW w:w="1216" w:type="dxa"/>
            <w:tcBorders>
              <w:top w:val="single" w:sz="12" w:space="0" w:color="auto"/>
            </w:tcBorders>
            <w:shd w:val="clear" w:color="auto" w:fill="auto"/>
            <w:noWrap/>
            <w:vAlign w:val="bottom"/>
            <w:hideMark/>
          </w:tcPr>
          <w:p w14:paraId="51CD9A7B"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0.7</w:t>
            </w:r>
          </w:p>
        </w:tc>
        <w:tc>
          <w:tcPr>
            <w:tcW w:w="1297" w:type="dxa"/>
            <w:tcBorders>
              <w:top w:val="single" w:sz="12" w:space="0" w:color="auto"/>
            </w:tcBorders>
            <w:shd w:val="clear" w:color="auto" w:fill="auto"/>
            <w:noWrap/>
            <w:vAlign w:val="bottom"/>
            <w:hideMark/>
          </w:tcPr>
          <w:p w14:paraId="57AC4E61"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0.4</w:t>
            </w:r>
          </w:p>
        </w:tc>
        <w:tc>
          <w:tcPr>
            <w:tcW w:w="976" w:type="dxa"/>
            <w:tcBorders>
              <w:top w:val="single" w:sz="12" w:space="0" w:color="auto"/>
            </w:tcBorders>
            <w:shd w:val="clear" w:color="auto" w:fill="auto"/>
            <w:noWrap/>
            <w:vAlign w:val="bottom"/>
            <w:hideMark/>
          </w:tcPr>
          <w:p w14:paraId="0847B615"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22.7</w:t>
            </w:r>
          </w:p>
        </w:tc>
        <w:tc>
          <w:tcPr>
            <w:tcW w:w="976" w:type="dxa"/>
            <w:tcBorders>
              <w:top w:val="single" w:sz="12" w:space="0" w:color="auto"/>
            </w:tcBorders>
            <w:shd w:val="clear" w:color="auto" w:fill="auto"/>
            <w:noWrap/>
            <w:vAlign w:val="bottom"/>
            <w:hideMark/>
          </w:tcPr>
          <w:p w14:paraId="42210B1C"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0.4</w:t>
            </w:r>
          </w:p>
        </w:tc>
      </w:tr>
      <w:tr w:rsidR="001B19A6" w:rsidRPr="00515FB8" w14:paraId="2A15D7A1" w14:textId="77777777" w:rsidTr="001B19A6">
        <w:trPr>
          <w:trHeight w:val="300"/>
          <w:jc w:val="center"/>
        </w:trPr>
        <w:tc>
          <w:tcPr>
            <w:tcW w:w="1701" w:type="dxa"/>
            <w:shd w:val="clear" w:color="auto" w:fill="auto"/>
            <w:noWrap/>
            <w:vAlign w:val="bottom"/>
            <w:hideMark/>
          </w:tcPr>
          <w:p w14:paraId="7FBAF0E0"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p>
        </w:tc>
        <w:tc>
          <w:tcPr>
            <w:tcW w:w="1030" w:type="dxa"/>
            <w:shd w:val="clear" w:color="auto" w:fill="auto"/>
            <w:noWrap/>
            <w:vAlign w:val="bottom"/>
            <w:hideMark/>
          </w:tcPr>
          <w:p w14:paraId="41B7CD44"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shd w:val="clear" w:color="auto" w:fill="auto"/>
            <w:noWrap/>
            <w:vAlign w:val="bottom"/>
            <w:hideMark/>
          </w:tcPr>
          <w:p w14:paraId="434A8856"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150" w:type="dxa"/>
            <w:shd w:val="clear" w:color="auto" w:fill="auto"/>
            <w:noWrap/>
            <w:vAlign w:val="bottom"/>
            <w:hideMark/>
          </w:tcPr>
          <w:p w14:paraId="1D5D34E5"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70" w:type="dxa"/>
            <w:shd w:val="clear" w:color="auto" w:fill="auto"/>
            <w:noWrap/>
            <w:vAlign w:val="bottom"/>
            <w:hideMark/>
          </w:tcPr>
          <w:p w14:paraId="1BC2ED04"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16" w:type="dxa"/>
            <w:shd w:val="clear" w:color="auto" w:fill="auto"/>
            <w:noWrap/>
            <w:vAlign w:val="bottom"/>
            <w:hideMark/>
          </w:tcPr>
          <w:p w14:paraId="200B724B"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97" w:type="dxa"/>
            <w:shd w:val="clear" w:color="auto" w:fill="auto"/>
            <w:noWrap/>
            <w:vAlign w:val="bottom"/>
            <w:hideMark/>
          </w:tcPr>
          <w:p w14:paraId="722C77CB"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shd w:val="clear" w:color="auto" w:fill="auto"/>
            <w:noWrap/>
            <w:vAlign w:val="bottom"/>
            <w:hideMark/>
          </w:tcPr>
          <w:p w14:paraId="2EFC8AB4"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shd w:val="clear" w:color="auto" w:fill="auto"/>
            <w:noWrap/>
            <w:vAlign w:val="bottom"/>
            <w:hideMark/>
          </w:tcPr>
          <w:p w14:paraId="2961DADB"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r>
      <w:tr w:rsidR="001B19A6" w:rsidRPr="00515FB8" w14:paraId="6B0FBCAF" w14:textId="77777777" w:rsidTr="001B19A6">
        <w:trPr>
          <w:trHeight w:val="300"/>
          <w:jc w:val="center"/>
        </w:trPr>
        <w:tc>
          <w:tcPr>
            <w:tcW w:w="1701" w:type="dxa"/>
            <w:shd w:val="clear" w:color="auto" w:fill="auto"/>
            <w:noWrap/>
            <w:vAlign w:val="bottom"/>
            <w:hideMark/>
          </w:tcPr>
          <w:p w14:paraId="22FE0DB0"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EHL (170 °C)</w:t>
            </w:r>
          </w:p>
        </w:tc>
        <w:tc>
          <w:tcPr>
            <w:tcW w:w="1030" w:type="dxa"/>
            <w:shd w:val="clear" w:color="auto" w:fill="auto"/>
            <w:noWrap/>
            <w:vAlign w:val="bottom"/>
            <w:hideMark/>
          </w:tcPr>
          <w:p w14:paraId="075FD662"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30.1</w:t>
            </w:r>
          </w:p>
        </w:tc>
        <w:tc>
          <w:tcPr>
            <w:tcW w:w="976" w:type="dxa"/>
            <w:shd w:val="clear" w:color="auto" w:fill="auto"/>
            <w:noWrap/>
            <w:vAlign w:val="bottom"/>
            <w:hideMark/>
          </w:tcPr>
          <w:p w14:paraId="02B01EFC"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3.3</w:t>
            </w:r>
          </w:p>
        </w:tc>
        <w:tc>
          <w:tcPr>
            <w:tcW w:w="1150" w:type="dxa"/>
            <w:shd w:val="clear" w:color="auto" w:fill="auto"/>
            <w:noWrap/>
            <w:vAlign w:val="bottom"/>
            <w:hideMark/>
          </w:tcPr>
          <w:p w14:paraId="39A1518F"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0.7</w:t>
            </w:r>
          </w:p>
        </w:tc>
        <w:tc>
          <w:tcPr>
            <w:tcW w:w="1270" w:type="dxa"/>
            <w:shd w:val="clear" w:color="auto" w:fill="auto"/>
            <w:noWrap/>
            <w:vAlign w:val="bottom"/>
            <w:hideMark/>
          </w:tcPr>
          <w:p w14:paraId="7CC2B4A3"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1216" w:type="dxa"/>
            <w:shd w:val="clear" w:color="auto" w:fill="auto"/>
            <w:noWrap/>
            <w:vAlign w:val="bottom"/>
            <w:hideMark/>
          </w:tcPr>
          <w:p w14:paraId="5498D251"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0.2</w:t>
            </w:r>
          </w:p>
        </w:tc>
        <w:tc>
          <w:tcPr>
            <w:tcW w:w="1297" w:type="dxa"/>
            <w:shd w:val="clear" w:color="auto" w:fill="auto"/>
            <w:noWrap/>
            <w:vAlign w:val="bottom"/>
            <w:hideMark/>
          </w:tcPr>
          <w:p w14:paraId="05C94612"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0.1</w:t>
            </w:r>
          </w:p>
        </w:tc>
        <w:tc>
          <w:tcPr>
            <w:tcW w:w="976" w:type="dxa"/>
            <w:shd w:val="clear" w:color="auto" w:fill="auto"/>
            <w:noWrap/>
            <w:vAlign w:val="bottom"/>
            <w:hideMark/>
          </w:tcPr>
          <w:p w14:paraId="1591CF72"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54.0</w:t>
            </w:r>
          </w:p>
        </w:tc>
        <w:tc>
          <w:tcPr>
            <w:tcW w:w="976" w:type="dxa"/>
            <w:shd w:val="clear" w:color="auto" w:fill="auto"/>
            <w:noWrap/>
            <w:vAlign w:val="bottom"/>
            <w:hideMark/>
          </w:tcPr>
          <w:p w14:paraId="15D01704"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2.4</w:t>
            </w:r>
          </w:p>
        </w:tc>
      </w:tr>
      <w:tr w:rsidR="001B19A6" w:rsidRPr="00515FB8" w14:paraId="593F1DBC" w14:textId="77777777" w:rsidTr="001B19A6">
        <w:trPr>
          <w:trHeight w:val="300"/>
          <w:jc w:val="center"/>
        </w:trPr>
        <w:tc>
          <w:tcPr>
            <w:tcW w:w="1701" w:type="dxa"/>
            <w:shd w:val="clear" w:color="auto" w:fill="auto"/>
            <w:noWrap/>
            <w:vAlign w:val="bottom"/>
            <w:hideMark/>
          </w:tcPr>
          <w:p w14:paraId="55C6634F"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p>
        </w:tc>
        <w:tc>
          <w:tcPr>
            <w:tcW w:w="1030" w:type="dxa"/>
            <w:shd w:val="clear" w:color="auto" w:fill="auto"/>
            <w:noWrap/>
            <w:vAlign w:val="bottom"/>
            <w:hideMark/>
          </w:tcPr>
          <w:p w14:paraId="36DCB088"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shd w:val="clear" w:color="auto" w:fill="auto"/>
            <w:noWrap/>
            <w:vAlign w:val="bottom"/>
            <w:hideMark/>
          </w:tcPr>
          <w:p w14:paraId="4B6D1B49"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150" w:type="dxa"/>
            <w:shd w:val="clear" w:color="auto" w:fill="auto"/>
            <w:noWrap/>
            <w:vAlign w:val="bottom"/>
            <w:hideMark/>
          </w:tcPr>
          <w:p w14:paraId="33BC9D1B"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70" w:type="dxa"/>
            <w:shd w:val="clear" w:color="auto" w:fill="auto"/>
            <w:noWrap/>
            <w:vAlign w:val="bottom"/>
            <w:hideMark/>
          </w:tcPr>
          <w:p w14:paraId="65E3E9A0"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16" w:type="dxa"/>
            <w:shd w:val="clear" w:color="auto" w:fill="auto"/>
            <w:noWrap/>
            <w:vAlign w:val="bottom"/>
            <w:hideMark/>
          </w:tcPr>
          <w:p w14:paraId="738690A3"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97" w:type="dxa"/>
            <w:shd w:val="clear" w:color="auto" w:fill="auto"/>
            <w:noWrap/>
            <w:vAlign w:val="bottom"/>
            <w:hideMark/>
          </w:tcPr>
          <w:p w14:paraId="0C67C48A"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shd w:val="clear" w:color="auto" w:fill="auto"/>
            <w:noWrap/>
            <w:vAlign w:val="bottom"/>
            <w:hideMark/>
          </w:tcPr>
          <w:p w14:paraId="03EB9769"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shd w:val="clear" w:color="auto" w:fill="auto"/>
            <w:noWrap/>
            <w:vAlign w:val="bottom"/>
            <w:hideMark/>
          </w:tcPr>
          <w:p w14:paraId="001C503E"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r>
      <w:tr w:rsidR="001B19A6" w:rsidRPr="00515FB8" w14:paraId="0F9570DA" w14:textId="77777777" w:rsidTr="001B19A6">
        <w:trPr>
          <w:trHeight w:val="300"/>
          <w:jc w:val="center"/>
        </w:trPr>
        <w:tc>
          <w:tcPr>
            <w:tcW w:w="1701" w:type="dxa"/>
            <w:tcBorders>
              <w:bottom w:val="nil"/>
            </w:tcBorders>
            <w:shd w:val="clear" w:color="auto" w:fill="auto"/>
            <w:noWrap/>
            <w:vAlign w:val="bottom"/>
            <w:hideMark/>
          </w:tcPr>
          <w:p w14:paraId="65648C83"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EHL (190 °C)</w:t>
            </w:r>
          </w:p>
        </w:tc>
        <w:tc>
          <w:tcPr>
            <w:tcW w:w="1030" w:type="dxa"/>
            <w:tcBorders>
              <w:bottom w:val="nil"/>
            </w:tcBorders>
            <w:shd w:val="clear" w:color="auto" w:fill="auto"/>
            <w:noWrap/>
            <w:vAlign w:val="bottom"/>
            <w:hideMark/>
          </w:tcPr>
          <w:p w14:paraId="5D6F764C"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24.1</w:t>
            </w:r>
          </w:p>
        </w:tc>
        <w:tc>
          <w:tcPr>
            <w:tcW w:w="976" w:type="dxa"/>
            <w:tcBorders>
              <w:bottom w:val="nil"/>
            </w:tcBorders>
            <w:shd w:val="clear" w:color="auto" w:fill="auto"/>
            <w:noWrap/>
            <w:vAlign w:val="bottom"/>
            <w:hideMark/>
          </w:tcPr>
          <w:p w14:paraId="181A335A"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0.8</w:t>
            </w:r>
          </w:p>
        </w:tc>
        <w:tc>
          <w:tcPr>
            <w:tcW w:w="1150" w:type="dxa"/>
            <w:tcBorders>
              <w:bottom w:val="nil"/>
            </w:tcBorders>
            <w:shd w:val="clear" w:color="auto" w:fill="auto"/>
            <w:noWrap/>
            <w:vAlign w:val="bottom"/>
            <w:hideMark/>
          </w:tcPr>
          <w:p w14:paraId="4030D332"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0.4</w:t>
            </w:r>
          </w:p>
        </w:tc>
        <w:tc>
          <w:tcPr>
            <w:tcW w:w="1270" w:type="dxa"/>
            <w:tcBorders>
              <w:bottom w:val="nil"/>
            </w:tcBorders>
            <w:shd w:val="clear" w:color="auto" w:fill="auto"/>
            <w:noWrap/>
            <w:vAlign w:val="bottom"/>
            <w:hideMark/>
          </w:tcPr>
          <w:p w14:paraId="2C22F44A"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1216" w:type="dxa"/>
            <w:tcBorders>
              <w:bottom w:val="nil"/>
            </w:tcBorders>
            <w:shd w:val="clear" w:color="auto" w:fill="auto"/>
            <w:noWrap/>
            <w:vAlign w:val="bottom"/>
            <w:hideMark/>
          </w:tcPr>
          <w:p w14:paraId="54028D87"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0.1</w:t>
            </w:r>
          </w:p>
        </w:tc>
        <w:tc>
          <w:tcPr>
            <w:tcW w:w="1297" w:type="dxa"/>
            <w:tcBorders>
              <w:bottom w:val="nil"/>
            </w:tcBorders>
            <w:shd w:val="clear" w:color="auto" w:fill="auto"/>
            <w:noWrap/>
            <w:vAlign w:val="bottom"/>
            <w:hideMark/>
          </w:tcPr>
          <w:p w14:paraId="00FC5B4C"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976" w:type="dxa"/>
            <w:tcBorders>
              <w:bottom w:val="nil"/>
            </w:tcBorders>
            <w:shd w:val="clear" w:color="auto" w:fill="auto"/>
            <w:noWrap/>
            <w:vAlign w:val="bottom"/>
            <w:hideMark/>
          </w:tcPr>
          <w:p w14:paraId="6C47319F"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67.0</w:t>
            </w:r>
          </w:p>
        </w:tc>
        <w:tc>
          <w:tcPr>
            <w:tcW w:w="976" w:type="dxa"/>
            <w:tcBorders>
              <w:bottom w:val="nil"/>
            </w:tcBorders>
            <w:shd w:val="clear" w:color="auto" w:fill="auto"/>
            <w:noWrap/>
            <w:vAlign w:val="bottom"/>
            <w:hideMark/>
          </w:tcPr>
          <w:p w14:paraId="024797C1"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1.9</w:t>
            </w:r>
          </w:p>
        </w:tc>
      </w:tr>
      <w:tr w:rsidR="001B19A6" w:rsidRPr="00515FB8" w14:paraId="4471627E" w14:textId="77777777" w:rsidTr="001B19A6">
        <w:trPr>
          <w:trHeight w:val="300"/>
          <w:jc w:val="center"/>
        </w:trPr>
        <w:tc>
          <w:tcPr>
            <w:tcW w:w="1701" w:type="dxa"/>
            <w:tcBorders>
              <w:top w:val="nil"/>
              <w:bottom w:val="nil"/>
            </w:tcBorders>
            <w:shd w:val="clear" w:color="auto" w:fill="auto"/>
            <w:noWrap/>
            <w:vAlign w:val="bottom"/>
            <w:hideMark/>
          </w:tcPr>
          <w:p w14:paraId="73171557"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p>
        </w:tc>
        <w:tc>
          <w:tcPr>
            <w:tcW w:w="1030" w:type="dxa"/>
            <w:tcBorders>
              <w:top w:val="nil"/>
              <w:bottom w:val="nil"/>
            </w:tcBorders>
            <w:shd w:val="clear" w:color="auto" w:fill="auto"/>
            <w:noWrap/>
            <w:vAlign w:val="bottom"/>
            <w:hideMark/>
          </w:tcPr>
          <w:p w14:paraId="579A99A6"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tcBorders>
              <w:top w:val="nil"/>
              <w:bottom w:val="nil"/>
            </w:tcBorders>
            <w:shd w:val="clear" w:color="auto" w:fill="auto"/>
            <w:noWrap/>
            <w:vAlign w:val="bottom"/>
            <w:hideMark/>
          </w:tcPr>
          <w:p w14:paraId="610556A3"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150" w:type="dxa"/>
            <w:tcBorders>
              <w:top w:val="nil"/>
              <w:bottom w:val="nil"/>
            </w:tcBorders>
            <w:shd w:val="clear" w:color="auto" w:fill="auto"/>
            <w:noWrap/>
            <w:vAlign w:val="bottom"/>
            <w:hideMark/>
          </w:tcPr>
          <w:p w14:paraId="24D9832F"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70" w:type="dxa"/>
            <w:tcBorders>
              <w:top w:val="nil"/>
              <w:bottom w:val="nil"/>
            </w:tcBorders>
            <w:shd w:val="clear" w:color="auto" w:fill="auto"/>
            <w:noWrap/>
            <w:vAlign w:val="bottom"/>
            <w:hideMark/>
          </w:tcPr>
          <w:p w14:paraId="478A5EFE"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16" w:type="dxa"/>
            <w:tcBorders>
              <w:top w:val="nil"/>
              <w:bottom w:val="nil"/>
            </w:tcBorders>
            <w:shd w:val="clear" w:color="auto" w:fill="auto"/>
            <w:noWrap/>
            <w:vAlign w:val="bottom"/>
            <w:hideMark/>
          </w:tcPr>
          <w:p w14:paraId="226B039A"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97" w:type="dxa"/>
            <w:tcBorders>
              <w:top w:val="nil"/>
              <w:bottom w:val="nil"/>
            </w:tcBorders>
            <w:shd w:val="clear" w:color="auto" w:fill="auto"/>
            <w:noWrap/>
            <w:vAlign w:val="bottom"/>
            <w:hideMark/>
          </w:tcPr>
          <w:p w14:paraId="7E75EFCD"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tcBorders>
              <w:top w:val="nil"/>
              <w:bottom w:val="nil"/>
            </w:tcBorders>
            <w:shd w:val="clear" w:color="auto" w:fill="auto"/>
            <w:noWrap/>
            <w:vAlign w:val="bottom"/>
            <w:hideMark/>
          </w:tcPr>
          <w:p w14:paraId="0D7D88E8"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tcBorders>
              <w:top w:val="nil"/>
              <w:bottom w:val="nil"/>
            </w:tcBorders>
            <w:shd w:val="clear" w:color="auto" w:fill="auto"/>
            <w:noWrap/>
            <w:vAlign w:val="bottom"/>
            <w:hideMark/>
          </w:tcPr>
          <w:p w14:paraId="23F9E275"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r>
      <w:tr w:rsidR="001B19A6" w:rsidRPr="00515FB8" w14:paraId="08E566BD" w14:textId="77777777" w:rsidTr="001B19A6">
        <w:trPr>
          <w:trHeight w:val="300"/>
          <w:jc w:val="center"/>
        </w:trPr>
        <w:tc>
          <w:tcPr>
            <w:tcW w:w="1701" w:type="dxa"/>
            <w:tcBorders>
              <w:top w:val="nil"/>
              <w:bottom w:val="single" w:sz="4" w:space="0" w:color="auto"/>
            </w:tcBorders>
            <w:shd w:val="clear" w:color="auto" w:fill="auto"/>
            <w:noWrap/>
            <w:vAlign w:val="bottom"/>
            <w:hideMark/>
          </w:tcPr>
          <w:p w14:paraId="4CDC5A42"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EHL (200 °C)</w:t>
            </w:r>
          </w:p>
        </w:tc>
        <w:tc>
          <w:tcPr>
            <w:tcW w:w="1030" w:type="dxa"/>
            <w:tcBorders>
              <w:top w:val="nil"/>
              <w:bottom w:val="single" w:sz="4" w:space="0" w:color="auto"/>
            </w:tcBorders>
            <w:shd w:val="clear" w:color="auto" w:fill="auto"/>
            <w:noWrap/>
            <w:vAlign w:val="bottom"/>
            <w:hideMark/>
          </w:tcPr>
          <w:p w14:paraId="3C7F71B0"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38.9</w:t>
            </w:r>
          </w:p>
        </w:tc>
        <w:tc>
          <w:tcPr>
            <w:tcW w:w="976" w:type="dxa"/>
            <w:tcBorders>
              <w:top w:val="nil"/>
              <w:bottom w:val="single" w:sz="4" w:space="0" w:color="auto"/>
            </w:tcBorders>
            <w:shd w:val="clear" w:color="auto" w:fill="auto"/>
            <w:noWrap/>
            <w:vAlign w:val="bottom"/>
            <w:hideMark/>
          </w:tcPr>
          <w:p w14:paraId="0039535E"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0.4</w:t>
            </w:r>
          </w:p>
        </w:tc>
        <w:tc>
          <w:tcPr>
            <w:tcW w:w="1150" w:type="dxa"/>
            <w:tcBorders>
              <w:top w:val="nil"/>
              <w:bottom w:val="single" w:sz="4" w:space="0" w:color="auto"/>
            </w:tcBorders>
            <w:shd w:val="clear" w:color="auto" w:fill="auto"/>
            <w:noWrap/>
            <w:vAlign w:val="bottom"/>
            <w:hideMark/>
          </w:tcPr>
          <w:p w14:paraId="323FFC3D"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0.2</w:t>
            </w:r>
          </w:p>
        </w:tc>
        <w:tc>
          <w:tcPr>
            <w:tcW w:w="1270" w:type="dxa"/>
            <w:tcBorders>
              <w:top w:val="nil"/>
              <w:bottom w:val="single" w:sz="4" w:space="0" w:color="auto"/>
            </w:tcBorders>
            <w:shd w:val="clear" w:color="auto" w:fill="auto"/>
            <w:noWrap/>
            <w:vAlign w:val="bottom"/>
            <w:hideMark/>
          </w:tcPr>
          <w:p w14:paraId="5BBC87C0"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1216" w:type="dxa"/>
            <w:tcBorders>
              <w:top w:val="nil"/>
              <w:bottom w:val="single" w:sz="4" w:space="0" w:color="auto"/>
            </w:tcBorders>
            <w:shd w:val="clear" w:color="auto" w:fill="auto"/>
            <w:noWrap/>
            <w:vAlign w:val="bottom"/>
            <w:hideMark/>
          </w:tcPr>
          <w:p w14:paraId="6AB0C5F0"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1297" w:type="dxa"/>
            <w:tcBorders>
              <w:top w:val="nil"/>
              <w:bottom w:val="single" w:sz="4" w:space="0" w:color="auto"/>
            </w:tcBorders>
            <w:shd w:val="clear" w:color="auto" w:fill="auto"/>
            <w:noWrap/>
            <w:vAlign w:val="bottom"/>
            <w:hideMark/>
          </w:tcPr>
          <w:p w14:paraId="1AA66553"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976" w:type="dxa"/>
            <w:tcBorders>
              <w:top w:val="nil"/>
              <w:bottom w:val="single" w:sz="4" w:space="0" w:color="auto"/>
            </w:tcBorders>
            <w:shd w:val="clear" w:color="auto" w:fill="auto"/>
            <w:noWrap/>
            <w:vAlign w:val="bottom"/>
            <w:hideMark/>
          </w:tcPr>
          <w:p w14:paraId="7C89F285"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54.4</w:t>
            </w:r>
          </w:p>
        </w:tc>
        <w:tc>
          <w:tcPr>
            <w:tcW w:w="976" w:type="dxa"/>
            <w:tcBorders>
              <w:top w:val="nil"/>
              <w:bottom w:val="single" w:sz="4" w:space="0" w:color="auto"/>
            </w:tcBorders>
            <w:shd w:val="clear" w:color="auto" w:fill="auto"/>
            <w:noWrap/>
            <w:vAlign w:val="bottom"/>
            <w:hideMark/>
          </w:tcPr>
          <w:p w14:paraId="5329E28F"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1.3</w:t>
            </w:r>
          </w:p>
        </w:tc>
      </w:tr>
      <w:tr w:rsidR="001B19A6" w:rsidRPr="00515FB8" w14:paraId="2DEC5B03" w14:textId="77777777" w:rsidTr="001B19A6">
        <w:trPr>
          <w:trHeight w:val="300"/>
          <w:jc w:val="center"/>
        </w:trPr>
        <w:tc>
          <w:tcPr>
            <w:tcW w:w="1701" w:type="dxa"/>
            <w:tcBorders>
              <w:top w:val="single" w:sz="4" w:space="0" w:color="auto"/>
              <w:bottom w:val="nil"/>
            </w:tcBorders>
            <w:shd w:val="clear" w:color="auto" w:fill="auto"/>
            <w:noWrap/>
            <w:vAlign w:val="bottom"/>
          </w:tcPr>
          <w:p w14:paraId="63A30B84"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p>
        </w:tc>
        <w:tc>
          <w:tcPr>
            <w:tcW w:w="1030" w:type="dxa"/>
            <w:tcBorders>
              <w:top w:val="single" w:sz="4" w:space="0" w:color="auto"/>
              <w:bottom w:val="nil"/>
            </w:tcBorders>
            <w:shd w:val="clear" w:color="auto" w:fill="auto"/>
            <w:noWrap/>
            <w:vAlign w:val="bottom"/>
          </w:tcPr>
          <w:p w14:paraId="00FDC343"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p>
        </w:tc>
        <w:tc>
          <w:tcPr>
            <w:tcW w:w="976" w:type="dxa"/>
            <w:tcBorders>
              <w:top w:val="single" w:sz="4" w:space="0" w:color="auto"/>
              <w:bottom w:val="nil"/>
            </w:tcBorders>
            <w:shd w:val="clear" w:color="auto" w:fill="auto"/>
            <w:noWrap/>
            <w:vAlign w:val="bottom"/>
          </w:tcPr>
          <w:p w14:paraId="2238A1EE"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p>
        </w:tc>
        <w:tc>
          <w:tcPr>
            <w:tcW w:w="1150" w:type="dxa"/>
            <w:tcBorders>
              <w:top w:val="single" w:sz="4" w:space="0" w:color="auto"/>
              <w:bottom w:val="nil"/>
            </w:tcBorders>
            <w:shd w:val="clear" w:color="auto" w:fill="auto"/>
            <w:noWrap/>
            <w:vAlign w:val="bottom"/>
          </w:tcPr>
          <w:p w14:paraId="71A8F0F7"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p>
        </w:tc>
        <w:tc>
          <w:tcPr>
            <w:tcW w:w="1270" w:type="dxa"/>
            <w:tcBorders>
              <w:top w:val="single" w:sz="4" w:space="0" w:color="auto"/>
              <w:bottom w:val="nil"/>
            </w:tcBorders>
            <w:shd w:val="clear" w:color="auto" w:fill="auto"/>
            <w:noWrap/>
            <w:vAlign w:val="bottom"/>
          </w:tcPr>
          <w:p w14:paraId="79312056"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p>
        </w:tc>
        <w:tc>
          <w:tcPr>
            <w:tcW w:w="1216" w:type="dxa"/>
            <w:tcBorders>
              <w:top w:val="single" w:sz="4" w:space="0" w:color="auto"/>
              <w:bottom w:val="nil"/>
            </w:tcBorders>
            <w:shd w:val="clear" w:color="auto" w:fill="auto"/>
            <w:noWrap/>
            <w:vAlign w:val="bottom"/>
          </w:tcPr>
          <w:p w14:paraId="6CB27B5A"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p>
        </w:tc>
        <w:tc>
          <w:tcPr>
            <w:tcW w:w="1297" w:type="dxa"/>
            <w:tcBorders>
              <w:top w:val="single" w:sz="4" w:space="0" w:color="auto"/>
              <w:bottom w:val="nil"/>
            </w:tcBorders>
            <w:shd w:val="clear" w:color="auto" w:fill="auto"/>
            <w:noWrap/>
            <w:vAlign w:val="bottom"/>
          </w:tcPr>
          <w:p w14:paraId="16330C22"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p>
        </w:tc>
        <w:tc>
          <w:tcPr>
            <w:tcW w:w="976" w:type="dxa"/>
            <w:tcBorders>
              <w:top w:val="single" w:sz="4" w:space="0" w:color="auto"/>
              <w:bottom w:val="nil"/>
            </w:tcBorders>
            <w:shd w:val="clear" w:color="auto" w:fill="auto"/>
            <w:noWrap/>
            <w:vAlign w:val="bottom"/>
          </w:tcPr>
          <w:p w14:paraId="3F651F23"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p>
        </w:tc>
        <w:tc>
          <w:tcPr>
            <w:tcW w:w="976" w:type="dxa"/>
            <w:tcBorders>
              <w:top w:val="single" w:sz="4" w:space="0" w:color="auto"/>
              <w:bottom w:val="nil"/>
            </w:tcBorders>
            <w:shd w:val="clear" w:color="auto" w:fill="auto"/>
            <w:noWrap/>
            <w:vAlign w:val="bottom"/>
          </w:tcPr>
          <w:p w14:paraId="256850B1"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p>
        </w:tc>
      </w:tr>
    </w:tbl>
    <w:p w14:paraId="23782580" w14:textId="77777777" w:rsidR="001B19A6" w:rsidRDefault="001B19A6" w:rsidP="001B19A6">
      <w:pPr>
        <w:pStyle w:val="Caption"/>
        <w:keepNext/>
        <w:spacing w:line="360" w:lineRule="auto"/>
        <w:rPr>
          <w:rFonts w:cs="Times New Roman"/>
          <w:sz w:val="24"/>
          <w:szCs w:val="24"/>
        </w:rPr>
      </w:pPr>
      <w:bookmarkStart w:id="15" w:name="_Ref91157160"/>
      <w:bookmarkStart w:id="16" w:name="_Toc101958155"/>
    </w:p>
    <w:p w14:paraId="5E287510" w14:textId="77777777" w:rsidR="001B19A6" w:rsidRDefault="001B19A6">
      <w:pPr>
        <w:rPr>
          <w:rFonts w:ascii="Times New Roman" w:eastAsiaTheme="minorHAnsi" w:hAnsi="Times New Roman" w:cs="Times New Roman"/>
          <w:i/>
          <w:iCs/>
          <w:color w:val="44546A" w:themeColor="text2"/>
          <w:kern w:val="0"/>
          <w:sz w:val="24"/>
          <w:szCs w:val="24"/>
          <w:lang w:eastAsia="en-US"/>
          <w14:ligatures w14:val="none"/>
        </w:rPr>
      </w:pPr>
      <w:r>
        <w:rPr>
          <w:rFonts w:cs="Times New Roman"/>
          <w:sz w:val="24"/>
          <w:szCs w:val="24"/>
        </w:rPr>
        <w:br w:type="page"/>
      </w:r>
    </w:p>
    <w:p w14:paraId="548F6FFF" w14:textId="13CF10D7" w:rsidR="001B19A6" w:rsidRPr="001B19A6" w:rsidRDefault="001B19A6" w:rsidP="001B19A6">
      <w:pPr>
        <w:pStyle w:val="Caption"/>
        <w:keepNext/>
        <w:spacing w:line="360" w:lineRule="auto"/>
        <w:rPr>
          <w:rFonts w:cs="Times New Roman"/>
          <w:i w:val="0"/>
          <w:iCs w:val="0"/>
          <w:color w:val="auto"/>
          <w:sz w:val="24"/>
          <w:szCs w:val="24"/>
        </w:rPr>
      </w:pPr>
      <w:r w:rsidRPr="001B19A6">
        <w:rPr>
          <w:rFonts w:cs="Times New Roman"/>
          <w:b/>
          <w:bCs/>
          <w:i w:val="0"/>
          <w:iCs w:val="0"/>
          <w:color w:val="auto"/>
          <w:sz w:val="24"/>
          <w:szCs w:val="24"/>
        </w:rPr>
        <w:lastRenderedPageBreak/>
        <w:t>Table S</w:t>
      </w:r>
      <w:r w:rsidRPr="001B19A6">
        <w:rPr>
          <w:rFonts w:cs="Times New Roman"/>
          <w:b/>
          <w:bCs/>
          <w:i w:val="0"/>
          <w:iCs w:val="0"/>
          <w:color w:val="auto"/>
          <w:sz w:val="24"/>
          <w:szCs w:val="24"/>
        </w:rPr>
        <w:fldChar w:fldCharType="begin"/>
      </w:r>
      <w:r w:rsidRPr="001B19A6">
        <w:rPr>
          <w:rFonts w:cs="Times New Roman"/>
          <w:b/>
          <w:bCs/>
          <w:i w:val="0"/>
          <w:iCs w:val="0"/>
          <w:color w:val="auto"/>
          <w:sz w:val="24"/>
          <w:szCs w:val="24"/>
        </w:rPr>
        <w:instrText xml:space="preserve"> SEQ Table \* ARABIC </w:instrText>
      </w:r>
      <w:r w:rsidRPr="001B19A6">
        <w:rPr>
          <w:rFonts w:cs="Times New Roman"/>
          <w:b/>
          <w:bCs/>
          <w:i w:val="0"/>
          <w:iCs w:val="0"/>
          <w:color w:val="auto"/>
          <w:sz w:val="24"/>
          <w:szCs w:val="24"/>
        </w:rPr>
        <w:fldChar w:fldCharType="separate"/>
      </w:r>
      <w:r w:rsidRPr="001B19A6">
        <w:rPr>
          <w:rFonts w:cs="Times New Roman"/>
          <w:b/>
          <w:bCs/>
          <w:i w:val="0"/>
          <w:iCs w:val="0"/>
          <w:noProof/>
          <w:color w:val="auto"/>
          <w:sz w:val="24"/>
          <w:szCs w:val="24"/>
        </w:rPr>
        <w:t>3</w:t>
      </w:r>
      <w:r w:rsidRPr="001B19A6">
        <w:rPr>
          <w:rFonts w:cs="Times New Roman"/>
          <w:b/>
          <w:bCs/>
          <w:i w:val="0"/>
          <w:iCs w:val="0"/>
          <w:noProof/>
          <w:color w:val="auto"/>
          <w:sz w:val="24"/>
          <w:szCs w:val="24"/>
        </w:rPr>
        <w:fldChar w:fldCharType="end"/>
      </w:r>
      <w:bookmarkEnd w:id="15"/>
      <w:r w:rsidRPr="001B19A6">
        <w:rPr>
          <w:rFonts w:cs="Times New Roman"/>
          <w:b/>
          <w:bCs/>
          <w:i w:val="0"/>
          <w:iCs w:val="0"/>
          <w:color w:val="auto"/>
          <w:sz w:val="24"/>
          <w:szCs w:val="24"/>
        </w:rPr>
        <w:t>.</w:t>
      </w:r>
      <w:r w:rsidRPr="001B19A6">
        <w:rPr>
          <w:rFonts w:cs="Times New Roman"/>
          <w:i w:val="0"/>
          <w:iCs w:val="0"/>
          <w:color w:val="auto"/>
          <w:sz w:val="24"/>
          <w:szCs w:val="24"/>
        </w:rPr>
        <w:t xml:space="preserve"> </w:t>
      </w:r>
      <w:r>
        <w:rPr>
          <w:rFonts w:cs="Times New Roman"/>
          <w:i w:val="0"/>
          <w:iCs w:val="0"/>
          <w:color w:val="auto"/>
          <w:sz w:val="24"/>
          <w:szCs w:val="24"/>
        </w:rPr>
        <w:t>The composition</w:t>
      </w:r>
      <w:r w:rsidRPr="001B19A6">
        <w:rPr>
          <w:rFonts w:cs="Times New Roman"/>
          <w:i w:val="0"/>
          <w:iCs w:val="0"/>
          <w:color w:val="auto"/>
          <w:sz w:val="24"/>
          <w:szCs w:val="24"/>
        </w:rPr>
        <w:t xml:space="preserve"> of kraft lignins produced at 140, 170 and 190 °C and precipitated at pH 4 and 1.5</w:t>
      </w:r>
      <w:bookmarkEnd w:id="16"/>
    </w:p>
    <w:tbl>
      <w:tblPr>
        <w:tblW w:w="10824" w:type="dxa"/>
        <w:jc w:val="center"/>
        <w:tblBorders>
          <w:top w:val="single" w:sz="4" w:space="0" w:color="auto"/>
          <w:bottom w:val="single" w:sz="4" w:space="0" w:color="auto"/>
        </w:tblBorders>
        <w:tblLook w:val="04A0" w:firstRow="1" w:lastRow="0" w:firstColumn="1" w:lastColumn="0" w:noHBand="0" w:noVBand="1"/>
      </w:tblPr>
      <w:tblGrid>
        <w:gridCol w:w="1843"/>
        <w:gridCol w:w="1030"/>
        <w:gridCol w:w="976"/>
        <w:gridCol w:w="1150"/>
        <w:gridCol w:w="1270"/>
        <w:gridCol w:w="1216"/>
        <w:gridCol w:w="1297"/>
        <w:gridCol w:w="976"/>
        <w:gridCol w:w="1349"/>
      </w:tblGrid>
      <w:tr w:rsidR="001B19A6" w:rsidRPr="00515FB8" w14:paraId="78E1312F" w14:textId="77777777" w:rsidTr="001B19A6">
        <w:trPr>
          <w:trHeight w:val="300"/>
          <w:jc w:val="center"/>
        </w:trPr>
        <w:tc>
          <w:tcPr>
            <w:tcW w:w="1843" w:type="dxa"/>
            <w:tcBorders>
              <w:top w:val="single" w:sz="4" w:space="0" w:color="auto"/>
              <w:bottom w:val="single" w:sz="12" w:space="0" w:color="auto"/>
            </w:tcBorders>
            <w:shd w:val="clear" w:color="auto" w:fill="auto"/>
            <w:noWrap/>
            <w:vAlign w:val="center"/>
            <w:hideMark/>
          </w:tcPr>
          <w:p w14:paraId="1DC87742"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r w:rsidRPr="00515FB8">
              <w:rPr>
                <w:rFonts w:ascii="Times New Roman" w:eastAsia="Times New Roman" w:hAnsi="Times New Roman" w:cs="Times New Roman"/>
                <w:sz w:val="24"/>
                <w:szCs w:val="24"/>
                <w:lang w:eastAsia="en-IE"/>
              </w:rPr>
              <w:t>%</w:t>
            </w:r>
          </w:p>
        </w:tc>
        <w:tc>
          <w:tcPr>
            <w:tcW w:w="747" w:type="dxa"/>
            <w:tcBorders>
              <w:top w:val="single" w:sz="4" w:space="0" w:color="auto"/>
              <w:bottom w:val="single" w:sz="12" w:space="0" w:color="auto"/>
            </w:tcBorders>
            <w:shd w:val="clear" w:color="auto" w:fill="auto"/>
            <w:noWrap/>
            <w:vAlign w:val="center"/>
            <w:hideMark/>
          </w:tcPr>
          <w:p w14:paraId="2E93EEDA"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Glucose</w:t>
            </w:r>
          </w:p>
        </w:tc>
        <w:tc>
          <w:tcPr>
            <w:tcW w:w="976" w:type="dxa"/>
            <w:tcBorders>
              <w:top w:val="single" w:sz="4" w:space="0" w:color="auto"/>
              <w:bottom w:val="single" w:sz="12" w:space="0" w:color="auto"/>
            </w:tcBorders>
            <w:shd w:val="clear" w:color="auto" w:fill="auto"/>
            <w:noWrap/>
            <w:vAlign w:val="center"/>
            <w:hideMark/>
          </w:tcPr>
          <w:p w14:paraId="7C3EECCB"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Xylose</w:t>
            </w:r>
          </w:p>
        </w:tc>
        <w:tc>
          <w:tcPr>
            <w:tcW w:w="1150" w:type="dxa"/>
            <w:tcBorders>
              <w:top w:val="single" w:sz="4" w:space="0" w:color="auto"/>
              <w:bottom w:val="single" w:sz="12" w:space="0" w:color="auto"/>
            </w:tcBorders>
            <w:shd w:val="clear" w:color="auto" w:fill="auto"/>
            <w:noWrap/>
            <w:vAlign w:val="center"/>
            <w:hideMark/>
          </w:tcPr>
          <w:p w14:paraId="150F3284"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Mannose</w:t>
            </w:r>
          </w:p>
        </w:tc>
        <w:tc>
          <w:tcPr>
            <w:tcW w:w="1270" w:type="dxa"/>
            <w:tcBorders>
              <w:top w:val="single" w:sz="4" w:space="0" w:color="auto"/>
              <w:bottom w:val="single" w:sz="12" w:space="0" w:color="auto"/>
            </w:tcBorders>
            <w:shd w:val="clear" w:color="auto" w:fill="auto"/>
            <w:noWrap/>
            <w:vAlign w:val="center"/>
            <w:hideMark/>
          </w:tcPr>
          <w:p w14:paraId="0311B4B8"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Arabinose</w:t>
            </w:r>
          </w:p>
        </w:tc>
        <w:tc>
          <w:tcPr>
            <w:tcW w:w="1216" w:type="dxa"/>
            <w:tcBorders>
              <w:top w:val="single" w:sz="4" w:space="0" w:color="auto"/>
              <w:bottom w:val="single" w:sz="12" w:space="0" w:color="auto"/>
            </w:tcBorders>
            <w:shd w:val="clear" w:color="auto" w:fill="auto"/>
            <w:noWrap/>
            <w:vAlign w:val="center"/>
            <w:hideMark/>
          </w:tcPr>
          <w:p w14:paraId="594EA440"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Galactose</w:t>
            </w:r>
          </w:p>
        </w:tc>
        <w:tc>
          <w:tcPr>
            <w:tcW w:w="1297" w:type="dxa"/>
            <w:tcBorders>
              <w:top w:val="single" w:sz="4" w:space="0" w:color="auto"/>
              <w:bottom w:val="single" w:sz="12" w:space="0" w:color="auto"/>
            </w:tcBorders>
            <w:shd w:val="clear" w:color="auto" w:fill="auto"/>
            <w:noWrap/>
            <w:vAlign w:val="center"/>
            <w:hideMark/>
          </w:tcPr>
          <w:p w14:paraId="390007F0"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Rhamnose</w:t>
            </w:r>
          </w:p>
        </w:tc>
        <w:tc>
          <w:tcPr>
            <w:tcW w:w="976" w:type="dxa"/>
            <w:tcBorders>
              <w:top w:val="single" w:sz="4" w:space="0" w:color="auto"/>
              <w:bottom w:val="single" w:sz="12" w:space="0" w:color="auto"/>
            </w:tcBorders>
            <w:shd w:val="clear" w:color="auto" w:fill="auto"/>
            <w:noWrap/>
            <w:vAlign w:val="center"/>
            <w:hideMark/>
          </w:tcPr>
          <w:p w14:paraId="513D671D"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Lignin</w:t>
            </w:r>
          </w:p>
        </w:tc>
        <w:tc>
          <w:tcPr>
            <w:tcW w:w="1349" w:type="dxa"/>
            <w:tcBorders>
              <w:top w:val="single" w:sz="4" w:space="0" w:color="auto"/>
              <w:bottom w:val="single" w:sz="12" w:space="0" w:color="auto"/>
            </w:tcBorders>
            <w:shd w:val="clear" w:color="auto" w:fill="auto"/>
            <w:noWrap/>
            <w:vAlign w:val="center"/>
            <w:hideMark/>
          </w:tcPr>
          <w:p w14:paraId="3BA9B713"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Ash</w:t>
            </w:r>
          </w:p>
        </w:tc>
      </w:tr>
      <w:tr w:rsidR="001B19A6" w:rsidRPr="00515FB8" w14:paraId="792001FE" w14:textId="77777777" w:rsidTr="001B19A6">
        <w:trPr>
          <w:trHeight w:val="300"/>
          <w:jc w:val="center"/>
        </w:trPr>
        <w:tc>
          <w:tcPr>
            <w:tcW w:w="1843" w:type="dxa"/>
            <w:tcBorders>
              <w:top w:val="single" w:sz="12" w:space="0" w:color="auto"/>
            </w:tcBorders>
            <w:shd w:val="clear" w:color="auto" w:fill="auto"/>
            <w:noWrap/>
            <w:vAlign w:val="center"/>
            <w:hideMark/>
          </w:tcPr>
          <w:p w14:paraId="7228DDBE"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MBW</w:t>
            </w:r>
          </w:p>
        </w:tc>
        <w:tc>
          <w:tcPr>
            <w:tcW w:w="747" w:type="dxa"/>
            <w:tcBorders>
              <w:top w:val="single" w:sz="12" w:space="0" w:color="auto"/>
            </w:tcBorders>
            <w:shd w:val="clear" w:color="auto" w:fill="auto"/>
            <w:noWrap/>
            <w:vAlign w:val="center"/>
            <w:hideMark/>
          </w:tcPr>
          <w:p w14:paraId="24CFC407"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35.7</w:t>
            </w:r>
          </w:p>
        </w:tc>
        <w:tc>
          <w:tcPr>
            <w:tcW w:w="976" w:type="dxa"/>
            <w:tcBorders>
              <w:top w:val="single" w:sz="12" w:space="0" w:color="auto"/>
            </w:tcBorders>
            <w:shd w:val="clear" w:color="auto" w:fill="auto"/>
            <w:noWrap/>
            <w:vAlign w:val="center"/>
            <w:hideMark/>
          </w:tcPr>
          <w:p w14:paraId="519FF9B6"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20.5</w:t>
            </w:r>
          </w:p>
        </w:tc>
        <w:tc>
          <w:tcPr>
            <w:tcW w:w="1150" w:type="dxa"/>
            <w:tcBorders>
              <w:top w:val="single" w:sz="12" w:space="0" w:color="auto"/>
            </w:tcBorders>
            <w:shd w:val="clear" w:color="auto" w:fill="auto"/>
            <w:noWrap/>
            <w:vAlign w:val="center"/>
            <w:hideMark/>
          </w:tcPr>
          <w:p w14:paraId="013BABAA"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1.6</w:t>
            </w:r>
          </w:p>
        </w:tc>
        <w:tc>
          <w:tcPr>
            <w:tcW w:w="1270" w:type="dxa"/>
            <w:tcBorders>
              <w:top w:val="single" w:sz="12" w:space="0" w:color="auto"/>
            </w:tcBorders>
            <w:shd w:val="clear" w:color="auto" w:fill="auto"/>
            <w:noWrap/>
            <w:vAlign w:val="center"/>
            <w:hideMark/>
          </w:tcPr>
          <w:p w14:paraId="6935457D"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0.5</w:t>
            </w:r>
          </w:p>
        </w:tc>
        <w:tc>
          <w:tcPr>
            <w:tcW w:w="1216" w:type="dxa"/>
            <w:tcBorders>
              <w:top w:val="single" w:sz="12" w:space="0" w:color="auto"/>
            </w:tcBorders>
            <w:shd w:val="clear" w:color="auto" w:fill="auto"/>
            <w:noWrap/>
            <w:vAlign w:val="center"/>
            <w:hideMark/>
          </w:tcPr>
          <w:p w14:paraId="3BB7B71C"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0.7</w:t>
            </w:r>
          </w:p>
        </w:tc>
        <w:tc>
          <w:tcPr>
            <w:tcW w:w="1297" w:type="dxa"/>
            <w:tcBorders>
              <w:top w:val="single" w:sz="12" w:space="0" w:color="auto"/>
            </w:tcBorders>
            <w:shd w:val="clear" w:color="auto" w:fill="auto"/>
            <w:noWrap/>
            <w:vAlign w:val="center"/>
            <w:hideMark/>
          </w:tcPr>
          <w:p w14:paraId="11F8854A"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0.4</w:t>
            </w:r>
          </w:p>
        </w:tc>
        <w:tc>
          <w:tcPr>
            <w:tcW w:w="976" w:type="dxa"/>
            <w:tcBorders>
              <w:top w:val="single" w:sz="12" w:space="0" w:color="auto"/>
            </w:tcBorders>
            <w:shd w:val="clear" w:color="auto" w:fill="auto"/>
            <w:noWrap/>
            <w:vAlign w:val="center"/>
            <w:hideMark/>
          </w:tcPr>
          <w:p w14:paraId="061E32BD"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22.7</w:t>
            </w:r>
          </w:p>
        </w:tc>
        <w:tc>
          <w:tcPr>
            <w:tcW w:w="1349" w:type="dxa"/>
            <w:tcBorders>
              <w:top w:val="single" w:sz="12" w:space="0" w:color="auto"/>
            </w:tcBorders>
            <w:shd w:val="clear" w:color="auto" w:fill="auto"/>
            <w:noWrap/>
            <w:vAlign w:val="center"/>
            <w:hideMark/>
          </w:tcPr>
          <w:p w14:paraId="4F8D41BE"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0.4</w:t>
            </w:r>
          </w:p>
        </w:tc>
      </w:tr>
      <w:tr w:rsidR="001B19A6" w:rsidRPr="00515FB8" w14:paraId="503076D6" w14:textId="77777777" w:rsidTr="001B19A6">
        <w:trPr>
          <w:trHeight w:val="300"/>
          <w:jc w:val="center"/>
        </w:trPr>
        <w:tc>
          <w:tcPr>
            <w:tcW w:w="1843" w:type="dxa"/>
            <w:shd w:val="clear" w:color="auto" w:fill="auto"/>
            <w:noWrap/>
            <w:vAlign w:val="center"/>
            <w:hideMark/>
          </w:tcPr>
          <w:p w14:paraId="5BF963A9"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p>
        </w:tc>
        <w:tc>
          <w:tcPr>
            <w:tcW w:w="747" w:type="dxa"/>
            <w:shd w:val="clear" w:color="auto" w:fill="auto"/>
            <w:noWrap/>
            <w:vAlign w:val="center"/>
            <w:hideMark/>
          </w:tcPr>
          <w:p w14:paraId="097123F0"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shd w:val="clear" w:color="auto" w:fill="auto"/>
            <w:noWrap/>
            <w:vAlign w:val="center"/>
            <w:hideMark/>
          </w:tcPr>
          <w:p w14:paraId="547C63FC"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150" w:type="dxa"/>
            <w:shd w:val="clear" w:color="auto" w:fill="auto"/>
            <w:noWrap/>
            <w:vAlign w:val="center"/>
            <w:hideMark/>
          </w:tcPr>
          <w:p w14:paraId="4314A46C"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70" w:type="dxa"/>
            <w:shd w:val="clear" w:color="auto" w:fill="auto"/>
            <w:noWrap/>
            <w:vAlign w:val="center"/>
            <w:hideMark/>
          </w:tcPr>
          <w:p w14:paraId="09F48FF7"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16" w:type="dxa"/>
            <w:shd w:val="clear" w:color="auto" w:fill="auto"/>
            <w:noWrap/>
            <w:vAlign w:val="center"/>
            <w:hideMark/>
          </w:tcPr>
          <w:p w14:paraId="0643AA36"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97" w:type="dxa"/>
            <w:shd w:val="clear" w:color="auto" w:fill="auto"/>
            <w:noWrap/>
            <w:vAlign w:val="center"/>
            <w:hideMark/>
          </w:tcPr>
          <w:p w14:paraId="6CE584EC"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shd w:val="clear" w:color="auto" w:fill="auto"/>
            <w:noWrap/>
            <w:vAlign w:val="center"/>
            <w:hideMark/>
          </w:tcPr>
          <w:p w14:paraId="3C29517D"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349" w:type="dxa"/>
            <w:shd w:val="clear" w:color="auto" w:fill="auto"/>
            <w:noWrap/>
            <w:vAlign w:val="center"/>
            <w:hideMark/>
          </w:tcPr>
          <w:p w14:paraId="1827F6B7"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r>
      <w:tr w:rsidR="001B19A6" w:rsidRPr="00515FB8" w14:paraId="39B495BE" w14:textId="77777777" w:rsidTr="001B19A6">
        <w:trPr>
          <w:trHeight w:val="300"/>
          <w:jc w:val="center"/>
        </w:trPr>
        <w:tc>
          <w:tcPr>
            <w:tcW w:w="1843" w:type="dxa"/>
            <w:shd w:val="clear" w:color="auto" w:fill="auto"/>
            <w:noWrap/>
            <w:vAlign w:val="center"/>
            <w:hideMark/>
          </w:tcPr>
          <w:p w14:paraId="6E4BDDF6"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LG4 (140 °C)</w:t>
            </w:r>
          </w:p>
        </w:tc>
        <w:tc>
          <w:tcPr>
            <w:tcW w:w="747" w:type="dxa"/>
            <w:shd w:val="clear" w:color="auto" w:fill="auto"/>
            <w:noWrap/>
            <w:vAlign w:val="center"/>
            <w:hideMark/>
          </w:tcPr>
          <w:p w14:paraId="6F8F079F"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0.3</w:t>
            </w:r>
          </w:p>
        </w:tc>
        <w:tc>
          <w:tcPr>
            <w:tcW w:w="976" w:type="dxa"/>
            <w:shd w:val="clear" w:color="auto" w:fill="auto"/>
            <w:noWrap/>
            <w:vAlign w:val="center"/>
            <w:hideMark/>
          </w:tcPr>
          <w:p w14:paraId="5D245645"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24.3</w:t>
            </w:r>
          </w:p>
        </w:tc>
        <w:tc>
          <w:tcPr>
            <w:tcW w:w="1150" w:type="dxa"/>
            <w:shd w:val="clear" w:color="auto" w:fill="auto"/>
            <w:noWrap/>
            <w:vAlign w:val="center"/>
            <w:hideMark/>
          </w:tcPr>
          <w:p w14:paraId="560E8A7A"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1270" w:type="dxa"/>
            <w:shd w:val="clear" w:color="auto" w:fill="auto"/>
            <w:noWrap/>
            <w:vAlign w:val="center"/>
            <w:hideMark/>
          </w:tcPr>
          <w:p w14:paraId="06E35C5D"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0.1</w:t>
            </w:r>
          </w:p>
        </w:tc>
        <w:tc>
          <w:tcPr>
            <w:tcW w:w="1216" w:type="dxa"/>
            <w:shd w:val="clear" w:color="auto" w:fill="auto"/>
            <w:noWrap/>
            <w:vAlign w:val="center"/>
            <w:hideMark/>
          </w:tcPr>
          <w:p w14:paraId="5B5B20CB"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0.3</w:t>
            </w:r>
          </w:p>
        </w:tc>
        <w:tc>
          <w:tcPr>
            <w:tcW w:w="1297" w:type="dxa"/>
            <w:shd w:val="clear" w:color="auto" w:fill="auto"/>
            <w:noWrap/>
            <w:vAlign w:val="center"/>
            <w:hideMark/>
          </w:tcPr>
          <w:p w14:paraId="5205F0C0"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976" w:type="dxa"/>
            <w:shd w:val="clear" w:color="auto" w:fill="auto"/>
            <w:noWrap/>
            <w:vAlign w:val="center"/>
            <w:hideMark/>
          </w:tcPr>
          <w:p w14:paraId="48F1C9E5"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31.1</w:t>
            </w:r>
          </w:p>
        </w:tc>
        <w:tc>
          <w:tcPr>
            <w:tcW w:w="1349" w:type="dxa"/>
            <w:shd w:val="clear" w:color="auto" w:fill="auto"/>
            <w:noWrap/>
            <w:vAlign w:val="center"/>
            <w:hideMark/>
          </w:tcPr>
          <w:p w14:paraId="7EDB2F5A"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25.9</w:t>
            </w:r>
          </w:p>
        </w:tc>
      </w:tr>
      <w:tr w:rsidR="001B19A6" w:rsidRPr="00515FB8" w14:paraId="5C604CDE" w14:textId="77777777" w:rsidTr="001B19A6">
        <w:trPr>
          <w:trHeight w:val="300"/>
          <w:jc w:val="center"/>
        </w:trPr>
        <w:tc>
          <w:tcPr>
            <w:tcW w:w="1843" w:type="dxa"/>
            <w:shd w:val="clear" w:color="auto" w:fill="auto"/>
            <w:noWrap/>
            <w:vAlign w:val="center"/>
            <w:hideMark/>
          </w:tcPr>
          <w:p w14:paraId="5FE17236"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p>
        </w:tc>
        <w:tc>
          <w:tcPr>
            <w:tcW w:w="747" w:type="dxa"/>
            <w:shd w:val="clear" w:color="auto" w:fill="auto"/>
            <w:noWrap/>
            <w:vAlign w:val="center"/>
            <w:hideMark/>
          </w:tcPr>
          <w:p w14:paraId="66E779CD"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shd w:val="clear" w:color="auto" w:fill="auto"/>
            <w:noWrap/>
            <w:vAlign w:val="center"/>
            <w:hideMark/>
          </w:tcPr>
          <w:p w14:paraId="593894CC"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150" w:type="dxa"/>
            <w:shd w:val="clear" w:color="auto" w:fill="auto"/>
            <w:noWrap/>
            <w:vAlign w:val="center"/>
            <w:hideMark/>
          </w:tcPr>
          <w:p w14:paraId="6AB14274"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70" w:type="dxa"/>
            <w:shd w:val="clear" w:color="auto" w:fill="auto"/>
            <w:noWrap/>
            <w:vAlign w:val="center"/>
            <w:hideMark/>
          </w:tcPr>
          <w:p w14:paraId="2D4F4F02"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16" w:type="dxa"/>
            <w:shd w:val="clear" w:color="auto" w:fill="auto"/>
            <w:noWrap/>
            <w:vAlign w:val="center"/>
            <w:hideMark/>
          </w:tcPr>
          <w:p w14:paraId="5696C4A9"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97" w:type="dxa"/>
            <w:shd w:val="clear" w:color="auto" w:fill="auto"/>
            <w:noWrap/>
            <w:vAlign w:val="center"/>
            <w:hideMark/>
          </w:tcPr>
          <w:p w14:paraId="7103656D"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shd w:val="clear" w:color="auto" w:fill="auto"/>
            <w:noWrap/>
            <w:vAlign w:val="center"/>
            <w:hideMark/>
          </w:tcPr>
          <w:p w14:paraId="2A57053A"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349" w:type="dxa"/>
            <w:shd w:val="clear" w:color="auto" w:fill="auto"/>
            <w:noWrap/>
            <w:vAlign w:val="center"/>
            <w:hideMark/>
          </w:tcPr>
          <w:p w14:paraId="67705B02"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r>
      <w:tr w:rsidR="001B19A6" w:rsidRPr="00515FB8" w14:paraId="276B074C" w14:textId="77777777" w:rsidTr="001B19A6">
        <w:trPr>
          <w:trHeight w:val="300"/>
          <w:jc w:val="center"/>
        </w:trPr>
        <w:tc>
          <w:tcPr>
            <w:tcW w:w="1843" w:type="dxa"/>
            <w:shd w:val="clear" w:color="auto" w:fill="auto"/>
            <w:noWrap/>
            <w:vAlign w:val="center"/>
            <w:hideMark/>
          </w:tcPr>
          <w:p w14:paraId="7571C520"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LG4 (170 °C)</w:t>
            </w:r>
          </w:p>
        </w:tc>
        <w:tc>
          <w:tcPr>
            <w:tcW w:w="747" w:type="dxa"/>
            <w:shd w:val="clear" w:color="auto" w:fill="auto"/>
            <w:noWrap/>
            <w:vAlign w:val="center"/>
            <w:hideMark/>
          </w:tcPr>
          <w:p w14:paraId="28A44CB8"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0.2</w:t>
            </w:r>
          </w:p>
        </w:tc>
        <w:tc>
          <w:tcPr>
            <w:tcW w:w="976" w:type="dxa"/>
            <w:shd w:val="clear" w:color="auto" w:fill="auto"/>
            <w:noWrap/>
            <w:vAlign w:val="center"/>
            <w:hideMark/>
          </w:tcPr>
          <w:p w14:paraId="421FFE7E"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5.5</w:t>
            </w:r>
          </w:p>
        </w:tc>
        <w:tc>
          <w:tcPr>
            <w:tcW w:w="1150" w:type="dxa"/>
            <w:shd w:val="clear" w:color="auto" w:fill="auto"/>
            <w:noWrap/>
            <w:vAlign w:val="center"/>
            <w:hideMark/>
          </w:tcPr>
          <w:p w14:paraId="607304D5"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1270" w:type="dxa"/>
            <w:shd w:val="clear" w:color="auto" w:fill="auto"/>
            <w:noWrap/>
            <w:vAlign w:val="center"/>
            <w:hideMark/>
          </w:tcPr>
          <w:p w14:paraId="378D5026"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0.2</w:t>
            </w:r>
          </w:p>
        </w:tc>
        <w:tc>
          <w:tcPr>
            <w:tcW w:w="1216" w:type="dxa"/>
            <w:shd w:val="clear" w:color="auto" w:fill="auto"/>
            <w:noWrap/>
            <w:vAlign w:val="center"/>
            <w:hideMark/>
          </w:tcPr>
          <w:p w14:paraId="43488371"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0.4</w:t>
            </w:r>
          </w:p>
        </w:tc>
        <w:tc>
          <w:tcPr>
            <w:tcW w:w="1297" w:type="dxa"/>
            <w:shd w:val="clear" w:color="auto" w:fill="auto"/>
            <w:noWrap/>
            <w:vAlign w:val="center"/>
            <w:hideMark/>
          </w:tcPr>
          <w:p w14:paraId="4FE76463"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976" w:type="dxa"/>
            <w:shd w:val="clear" w:color="auto" w:fill="auto"/>
            <w:noWrap/>
            <w:vAlign w:val="center"/>
            <w:hideMark/>
          </w:tcPr>
          <w:p w14:paraId="7B02F7BD"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51.5</w:t>
            </w:r>
          </w:p>
        </w:tc>
        <w:tc>
          <w:tcPr>
            <w:tcW w:w="1349" w:type="dxa"/>
            <w:shd w:val="clear" w:color="auto" w:fill="auto"/>
            <w:noWrap/>
            <w:vAlign w:val="center"/>
            <w:hideMark/>
          </w:tcPr>
          <w:p w14:paraId="3BE6FC54"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21.6</w:t>
            </w:r>
          </w:p>
        </w:tc>
      </w:tr>
      <w:tr w:rsidR="001B19A6" w:rsidRPr="00515FB8" w14:paraId="535FF00E" w14:textId="77777777" w:rsidTr="001B19A6">
        <w:trPr>
          <w:trHeight w:val="300"/>
          <w:jc w:val="center"/>
        </w:trPr>
        <w:tc>
          <w:tcPr>
            <w:tcW w:w="1843" w:type="dxa"/>
            <w:shd w:val="clear" w:color="auto" w:fill="auto"/>
            <w:noWrap/>
            <w:vAlign w:val="center"/>
            <w:hideMark/>
          </w:tcPr>
          <w:p w14:paraId="5003ADD9"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p>
        </w:tc>
        <w:tc>
          <w:tcPr>
            <w:tcW w:w="747" w:type="dxa"/>
            <w:shd w:val="clear" w:color="auto" w:fill="auto"/>
            <w:noWrap/>
            <w:vAlign w:val="center"/>
            <w:hideMark/>
          </w:tcPr>
          <w:p w14:paraId="3831435C"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shd w:val="clear" w:color="auto" w:fill="auto"/>
            <w:noWrap/>
            <w:vAlign w:val="center"/>
            <w:hideMark/>
          </w:tcPr>
          <w:p w14:paraId="54F1FEFB"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150" w:type="dxa"/>
            <w:shd w:val="clear" w:color="auto" w:fill="auto"/>
            <w:noWrap/>
            <w:vAlign w:val="center"/>
            <w:hideMark/>
          </w:tcPr>
          <w:p w14:paraId="62CFC5DD"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70" w:type="dxa"/>
            <w:shd w:val="clear" w:color="auto" w:fill="auto"/>
            <w:noWrap/>
            <w:vAlign w:val="center"/>
            <w:hideMark/>
          </w:tcPr>
          <w:p w14:paraId="57E69197"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16" w:type="dxa"/>
            <w:shd w:val="clear" w:color="auto" w:fill="auto"/>
            <w:noWrap/>
            <w:vAlign w:val="center"/>
            <w:hideMark/>
          </w:tcPr>
          <w:p w14:paraId="436C33AF"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97" w:type="dxa"/>
            <w:shd w:val="clear" w:color="auto" w:fill="auto"/>
            <w:noWrap/>
            <w:vAlign w:val="center"/>
            <w:hideMark/>
          </w:tcPr>
          <w:p w14:paraId="290794A5"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shd w:val="clear" w:color="auto" w:fill="auto"/>
            <w:noWrap/>
            <w:vAlign w:val="center"/>
            <w:hideMark/>
          </w:tcPr>
          <w:p w14:paraId="22DE5024"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349" w:type="dxa"/>
            <w:shd w:val="clear" w:color="auto" w:fill="auto"/>
            <w:noWrap/>
            <w:vAlign w:val="center"/>
            <w:hideMark/>
          </w:tcPr>
          <w:p w14:paraId="45B53285"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r>
      <w:tr w:rsidR="001B19A6" w:rsidRPr="00515FB8" w14:paraId="37FBD912" w14:textId="77777777" w:rsidTr="001B19A6">
        <w:trPr>
          <w:trHeight w:val="300"/>
          <w:jc w:val="center"/>
        </w:trPr>
        <w:tc>
          <w:tcPr>
            <w:tcW w:w="1843" w:type="dxa"/>
            <w:shd w:val="clear" w:color="auto" w:fill="auto"/>
            <w:noWrap/>
            <w:vAlign w:val="center"/>
            <w:hideMark/>
          </w:tcPr>
          <w:p w14:paraId="22893DD4"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LG4 (190 °C)</w:t>
            </w:r>
          </w:p>
        </w:tc>
        <w:tc>
          <w:tcPr>
            <w:tcW w:w="747" w:type="dxa"/>
            <w:shd w:val="clear" w:color="auto" w:fill="auto"/>
            <w:noWrap/>
            <w:vAlign w:val="center"/>
            <w:hideMark/>
          </w:tcPr>
          <w:p w14:paraId="0615A158"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0.2</w:t>
            </w:r>
          </w:p>
        </w:tc>
        <w:tc>
          <w:tcPr>
            <w:tcW w:w="976" w:type="dxa"/>
            <w:shd w:val="clear" w:color="auto" w:fill="auto"/>
            <w:noWrap/>
            <w:vAlign w:val="center"/>
            <w:hideMark/>
          </w:tcPr>
          <w:p w14:paraId="06DB70B5"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0.1</w:t>
            </w:r>
          </w:p>
        </w:tc>
        <w:tc>
          <w:tcPr>
            <w:tcW w:w="1150" w:type="dxa"/>
            <w:shd w:val="clear" w:color="auto" w:fill="auto"/>
            <w:noWrap/>
            <w:vAlign w:val="center"/>
            <w:hideMark/>
          </w:tcPr>
          <w:p w14:paraId="2B7F8B06"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1270" w:type="dxa"/>
            <w:shd w:val="clear" w:color="auto" w:fill="auto"/>
            <w:noWrap/>
            <w:vAlign w:val="center"/>
            <w:hideMark/>
          </w:tcPr>
          <w:p w14:paraId="570532A8"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1216" w:type="dxa"/>
            <w:shd w:val="clear" w:color="auto" w:fill="auto"/>
            <w:noWrap/>
            <w:vAlign w:val="center"/>
            <w:hideMark/>
          </w:tcPr>
          <w:p w14:paraId="7D7529D3"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0.1</w:t>
            </w:r>
          </w:p>
        </w:tc>
        <w:tc>
          <w:tcPr>
            <w:tcW w:w="1297" w:type="dxa"/>
            <w:shd w:val="clear" w:color="auto" w:fill="auto"/>
            <w:noWrap/>
            <w:vAlign w:val="center"/>
            <w:hideMark/>
          </w:tcPr>
          <w:p w14:paraId="12D278D8"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976" w:type="dxa"/>
            <w:shd w:val="clear" w:color="auto" w:fill="auto"/>
            <w:noWrap/>
            <w:vAlign w:val="center"/>
            <w:hideMark/>
          </w:tcPr>
          <w:p w14:paraId="2F72AD3E"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59.2</w:t>
            </w:r>
          </w:p>
        </w:tc>
        <w:tc>
          <w:tcPr>
            <w:tcW w:w="1349" w:type="dxa"/>
            <w:shd w:val="clear" w:color="auto" w:fill="auto"/>
            <w:noWrap/>
            <w:vAlign w:val="center"/>
            <w:hideMark/>
          </w:tcPr>
          <w:p w14:paraId="5D6CF4E5"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14.7</w:t>
            </w:r>
          </w:p>
        </w:tc>
      </w:tr>
      <w:tr w:rsidR="001B19A6" w:rsidRPr="00515FB8" w14:paraId="021063F2" w14:textId="77777777" w:rsidTr="001B19A6">
        <w:trPr>
          <w:trHeight w:val="300"/>
          <w:jc w:val="center"/>
        </w:trPr>
        <w:tc>
          <w:tcPr>
            <w:tcW w:w="1843" w:type="dxa"/>
            <w:shd w:val="clear" w:color="auto" w:fill="auto"/>
            <w:noWrap/>
            <w:vAlign w:val="center"/>
            <w:hideMark/>
          </w:tcPr>
          <w:p w14:paraId="53C3663F"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p>
        </w:tc>
        <w:tc>
          <w:tcPr>
            <w:tcW w:w="747" w:type="dxa"/>
            <w:shd w:val="clear" w:color="auto" w:fill="auto"/>
            <w:noWrap/>
            <w:vAlign w:val="center"/>
            <w:hideMark/>
          </w:tcPr>
          <w:p w14:paraId="0A366F82"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shd w:val="clear" w:color="auto" w:fill="auto"/>
            <w:noWrap/>
            <w:vAlign w:val="center"/>
            <w:hideMark/>
          </w:tcPr>
          <w:p w14:paraId="656081ED"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150" w:type="dxa"/>
            <w:shd w:val="clear" w:color="auto" w:fill="auto"/>
            <w:noWrap/>
            <w:vAlign w:val="center"/>
            <w:hideMark/>
          </w:tcPr>
          <w:p w14:paraId="426547AD"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70" w:type="dxa"/>
            <w:shd w:val="clear" w:color="auto" w:fill="auto"/>
            <w:noWrap/>
            <w:vAlign w:val="center"/>
            <w:hideMark/>
          </w:tcPr>
          <w:p w14:paraId="427B84E0"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16" w:type="dxa"/>
            <w:shd w:val="clear" w:color="auto" w:fill="auto"/>
            <w:noWrap/>
            <w:vAlign w:val="center"/>
            <w:hideMark/>
          </w:tcPr>
          <w:p w14:paraId="17A554BA"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97" w:type="dxa"/>
            <w:shd w:val="clear" w:color="auto" w:fill="auto"/>
            <w:noWrap/>
            <w:vAlign w:val="center"/>
            <w:hideMark/>
          </w:tcPr>
          <w:p w14:paraId="3CB024C2"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shd w:val="clear" w:color="auto" w:fill="auto"/>
            <w:noWrap/>
            <w:vAlign w:val="center"/>
            <w:hideMark/>
          </w:tcPr>
          <w:p w14:paraId="4C7F015D"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349" w:type="dxa"/>
            <w:shd w:val="clear" w:color="auto" w:fill="auto"/>
            <w:noWrap/>
            <w:vAlign w:val="center"/>
            <w:hideMark/>
          </w:tcPr>
          <w:p w14:paraId="3F64334A"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r>
      <w:tr w:rsidR="001B19A6" w:rsidRPr="00515FB8" w14:paraId="42B9967D" w14:textId="77777777" w:rsidTr="001B19A6">
        <w:trPr>
          <w:trHeight w:val="300"/>
          <w:jc w:val="center"/>
        </w:trPr>
        <w:tc>
          <w:tcPr>
            <w:tcW w:w="1843" w:type="dxa"/>
            <w:shd w:val="clear" w:color="auto" w:fill="auto"/>
            <w:noWrap/>
            <w:vAlign w:val="center"/>
            <w:hideMark/>
          </w:tcPr>
          <w:p w14:paraId="49D6E805"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LG1.5 (140 °C)</w:t>
            </w:r>
          </w:p>
        </w:tc>
        <w:tc>
          <w:tcPr>
            <w:tcW w:w="747" w:type="dxa"/>
            <w:shd w:val="clear" w:color="auto" w:fill="auto"/>
            <w:noWrap/>
            <w:vAlign w:val="center"/>
            <w:hideMark/>
          </w:tcPr>
          <w:p w14:paraId="548FEEFE"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0.4</w:t>
            </w:r>
          </w:p>
        </w:tc>
        <w:tc>
          <w:tcPr>
            <w:tcW w:w="976" w:type="dxa"/>
            <w:shd w:val="clear" w:color="auto" w:fill="auto"/>
            <w:noWrap/>
            <w:vAlign w:val="center"/>
            <w:hideMark/>
          </w:tcPr>
          <w:p w14:paraId="30D07BB0"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11.0</w:t>
            </w:r>
          </w:p>
        </w:tc>
        <w:tc>
          <w:tcPr>
            <w:tcW w:w="1150" w:type="dxa"/>
            <w:shd w:val="clear" w:color="auto" w:fill="auto"/>
            <w:noWrap/>
            <w:vAlign w:val="center"/>
            <w:hideMark/>
          </w:tcPr>
          <w:p w14:paraId="4925DA9D"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1270" w:type="dxa"/>
            <w:shd w:val="clear" w:color="auto" w:fill="auto"/>
            <w:noWrap/>
            <w:vAlign w:val="center"/>
            <w:hideMark/>
          </w:tcPr>
          <w:p w14:paraId="4C40A468"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0.1</w:t>
            </w:r>
          </w:p>
        </w:tc>
        <w:tc>
          <w:tcPr>
            <w:tcW w:w="1216" w:type="dxa"/>
            <w:shd w:val="clear" w:color="auto" w:fill="auto"/>
            <w:noWrap/>
            <w:vAlign w:val="center"/>
            <w:hideMark/>
          </w:tcPr>
          <w:p w14:paraId="66F00EC8"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0.3</w:t>
            </w:r>
          </w:p>
        </w:tc>
        <w:tc>
          <w:tcPr>
            <w:tcW w:w="1297" w:type="dxa"/>
            <w:shd w:val="clear" w:color="auto" w:fill="auto"/>
            <w:noWrap/>
            <w:vAlign w:val="center"/>
            <w:hideMark/>
          </w:tcPr>
          <w:p w14:paraId="2274092B"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976" w:type="dxa"/>
            <w:shd w:val="clear" w:color="auto" w:fill="auto"/>
            <w:noWrap/>
            <w:vAlign w:val="center"/>
            <w:hideMark/>
          </w:tcPr>
          <w:p w14:paraId="5890696C"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64.8</w:t>
            </w:r>
          </w:p>
        </w:tc>
        <w:tc>
          <w:tcPr>
            <w:tcW w:w="1349" w:type="dxa"/>
            <w:shd w:val="clear" w:color="auto" w:fill="auto"/>
            <w:noWrap/>
            <w:vAlign w:val="center"/>
            <w:hideMark/>
          </w:tcPr>
          <w:p w14:paraId="372933EB"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33.8</w:t>
            </w:r>
          </w:p>
        </w:tc>
      </w:tr>
      <w:tr w:rsidR="001B19A6" w:rsidRPr="00515FB8" w14:paraId="32528FC8" w14:textId="77777777" w:rsidTr="001B19A6">
        <w:trPr>
          <w:trHeight w:val="300"/>
          <w:jc w:val="center"/>
        </w:trPr>
        <w:tc>
          <w:tcPr>
            <w:tcW w:w="1843" w:type="dxa"/>
            <w:shd w:val="clear" w:color="auto" w:fill="auto"/>
            <w:noWrap/>
            <w:vAlign w:val="center"/>
            <w:hideMark/>
          </w:tcPr>
          <w:p w14:paraId="64CF0443"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p>
        </w:tc>
        <w:tc>
          <w:tcPr>
            <w:tcW w:w="747" w:type="dxa"/>
            <w:shd w:val="clear" w:color="auto" w:fill="auto"/>
            <w:noWrap/>
            <w:vAlign w:val="center"/>
            <w:hideMark/>
          </w:tcPr>
          <w:p w14:paraId="74E369C9"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shd w:val="clear" w:color="auto" w:fill="auto"/>
            <w:noWrap/>
            <w:vAlign w:val="center"/>
            <w:hideMark/>
          </w:tcPr>
          <w:p w14:paraId="535E2FFE"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150" w:type="dxa"/>
            <w:shd w:val="clear" w:color="auto" w:fill="auto"/>
            <w:noWrap/>
            <w:vAlign w:val="center"/>
            <w:hideMark/>
          </w:tcPr>
          <w:p w14:paraId="5F63F35F"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70" w:type="dxa"/>
            <w:shd w:val="clear" w:color="auto" w:fill="auto"/>
            <w:noWrap/>
            <w:vAlign w:val="center"/>
            <w:hideMark/>
          </w:tcPr>
          <w:p w14:paraId="187C6406"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16" w:type="dxa"/>
            <w:shd w:val="clear" w:color="auto" w:fill="auto"/>
            <w:noWrap/>
            <w:vAlign w:val="center"/>
            <w:hideMark/>
          </w:tcPr>
          <w:p w14:paraId="7715EBDB"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97" w:type="dxa"/>
            <w:shd w:val="clear" w:color="auto" w:fill="auto"/>
            <w:noWrap/>
            <w:vAlign w:val="center"/>
            <w:hideMark/>
          </w:tcPr>
          <w:p w14:paraId="1F061ACF"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shd w:val="clear" w:color="auto" w:fill="auto"/>
            <w:noWrap/>
            <w:vAlign w:val="center"/>
            <w:hideMark/>
          </w:tcPr>
          <w:p w14:paraId="483F408E"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349" w:type="dxa"/>
            <w:shd w:val="clear" w:color="auto" w:fill="auto"/>
            <w:noWrap/>
            <w:vAlign w:val="center"/>
            <w:hideMark/>
          </w:tcPr>
          <w:p w14:paraId="3D9C5AC2"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r>
      <w:tr w:rsidR="001B19A6" w:rsidRPr="00515FB8" w14:paraId="25B3291F" w14:textId="77777777" w:rsidTr="001B19A6">
        <w:trPr>
          <w:trHeight w:val="450"/>
          <w:jc w:val="center"/>
        </w:trPr>
        <w:tc>
          <w:tcPr>
            <w:tcW w:w="1843" w:type="dxa"/>
            <w:shd w:val="clear" w:color="auto" w:fill="auto"/>
            <w:noWrap/>
            <w:vAlign w:val="center"/>
            <w:hideMark/>
          </w:tcPr>
          <w:p w14:paraId="2462B430"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LG1.5 (170 °C)</w:t>
            </w:r>
          </w:p>
        </w:tc>
        <w:tc>
          <w:tcPr>
            <w:tcW w:w="747" w:type="dxa"/>
            <w:shd w:val="clear" w:color="auto" w:fill="auto"/>
            <w:noWrap/>
            <w:vAlign w:val="center"/>
            <w:hideMark/>
          </w:tcPr>
          <w:p w14:paraId="79A768AE"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0.3</w:t>
            </w:r>
          </w:p>
        </w:tc>
        <w:tc>
          <w:tcPr>
            <w:tcW w:w="976" w:type="dxa"/>
            <w:shd w:val="clear" w:color="auto" w:fill="auto"/>
            <w:noWrap/>
            <w:vAlign w:val="center"/>
            <w:hideMark/>
          </w:tcPr>
          <w:p w14:paraId="2667D3D9"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1.5</w:t>
            </w:r>
          </w:p>
        </w:tc>
        <w:tc>
          <w:tcPr>
            <w:tcW w:w="1150" w:type="dxa"/>
            <w:shd w:val="clear" w:color="auto" w:fill="auto"/>
            <w:noWrap/>
            <w:vAlign w:val="center"/>
            <w:hideMark/>
          </w:tcPr>
          <w:p w14:paraId="7836F063"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1270" w:type="dxa"/>
            <w:shd w:val="clear" w:color="auto" w:fill="auto"/>
            <w:noWrap/>
            <w:vAlign w:val="center"/>
            <w:hideMark/>
          </w:tcPr>
          <w:p w14:paraId="6EB10DE2"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1216" w:type="dxa"/>
            <w:shd w:val="clear" w:color="auto" w:fill="auto"/>
            <w:noWrap/>
            <w:vAlign w:val="center"/>
            <w:hideMark/>
          </w:tcPr>
          <w:p w14:paraId="196E8420"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0.2</w:t>
            </w:r>
          </w:p>
        </w:tc>
        <w:tc>
          <w:tcPr>
            <w:tcW w:w="1297" w:type="dxa"/>
            <w:shd w:val="clear" w:color="auto" w:fill="auto"/>
            <w:noWrap/>
            <w:vAlign w:val="center"/>
            <w:hideMark/>
          </w:tcPr>
          <w:p w14:paraId="3FCF7E31"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976" w:type="dxa"/>
            <w:shd w:val="clear" w:color="auto" w:fill="auto"/>
            <w:noWrap/>
            <w:vAlign w:val="center"/>
            <w:hideMark/>
          </w:tcPr>
          <w:p w14:paraId="1628EAFB"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47.9</w:t>
            </w:r>
          </w:p>
        </w:tc>
        <w:tc>
          <w:tcPr>
            <w:tcW w:w="1349" w:type="dxa"/>
            <w:shd w:val="clear" w:color="auto" w:fill="auto"/>
            <w:vAlign w:val="center"/>
            <w:hideMark/>
          </w:tcPr>
          <w:p w14:paraId="3ACB561B"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Not Determined</w:t>
            </w:r>
          </w:p>
        </w:tc>
      </w:tr>
      <w:tr w:rsidR="001B19A6" w:rsidRPr="00515FB8" w14:paraId="5B3C9D86" w14:textId="77777777" w:rsidTr="001B19A6">
        <w:trPr>
          <w:trHeight w:val="300"/>
          <w:jc w:val="center"/>
        </w:trPr>
        <w:tc>
          <w:tcPr>
            <w:tcW w:w="1843" w:type="dxa"/>
            <w:tcBorders>
              <w:bottom w:val="nil"/>
            </w:tcBorders>
            <w:shd w:val="clear" w:color="auto" w:fill="auto"/>
            <w:noWrap/>
            <w:vAlign w:val="center"/>
            <w:hideMark/>
          </w:tcPr>
          <w:p w14:paraId="653D3F89"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p>
        </w:tc>
        <w:tc>
          <w:tcPr>
            <w:tcW w:w="747" w:type="dxa"/>
            <w:tcBorders>
              <w:bottom w:val="nil"/>
            </w:tcBorders>
            <w:shd w:val="clear" w:color="auto" w:fill="auto"/>
            <w:noWrap/>
            <w:vAlign w:val="center"/>
            <w:hideMark/>
          </w:tcPr>
          <w:p w14:paraId="79BB4A3A"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tcBorders>
              <w:bottom w:val="nil"/>
            </w:tcBorders>
            <w:shd w:val="clear" w:color="auto" w:fill="auto"/>
            <w:noWrap/>
            <w:vAlign w:val="center"/>
            <w:hideMark/>
          </w:tcPr>
          <w:p w14:paraId="211B7CA6"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150" w:type="dxa"/>
            <w:tcBorders>
              <w:bottom w:val="nil"/>
            </w:tcBorders>
            <w:shd w:val="clear" w:color="auto" w:fill="auto"/>
            <w:noWrap/>
            <w:vAlign w:val="center"/>
            <w:hideMark/>
          </w:tcPr>
          <w:p w14:paraId="36899D3C"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70" w:type="dxa"/>
            <w:tcBorders>
              <w:bottom w:val="nil"/>
            </w:tcBorders>
            <w:shd w:val="clear" w:color="auto" w:fill="auto"/>
            <w:noWrap/>
            <w:vAlign w:val="center"/>
            <w:hideMark/>
          </w:tcPr>
          <w:p w14:paraId="5861D1B9"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16" w:type="dxa"/>
            <w:tcBorders>
              <w:bottom w:val="nil"/>
            </w:tcBorders>
            <w:shd w:val="clear" w:color="auto" w:fill="auto"/>
            <w:noWrap/>
            <w:vAlign w:val="center"/>
            <w:hideMark/>
          </w:tcPr>
          <w:p w14:paraId="3BB798A0"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297" w:type="dxa"/>
            <w:tcBorders>
              <w:bottom w:val="nil"/>
            </w:tcBorders>
            <w:shd w:val="clear" w:color="auto" w:fill="auto"/>
            <w:noWrap/>
            <w:vAlign w:val="center"/>
            <w:hideMark/>
          </w:tcPr>
          <w:p w14:paraId="0D66F39E"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976" w:type="dxa"/>
            <w:tcBorders>
              <w:bottom w:val="nil"/>
            </w:tcBorders>
            <w:shd w:val="clear" w:color="auto" w:fill="auto"/>
            <w:noWrap/>
            <w:vAlign w:val="center"/>
            <w:hideMark/>
          </w:tcPr>
          <w:p w14:paraId="419C9E6F"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c>
          <w:tcPr>
            <w:tcW w:w="1349" w:type="dxa"/>
            <w:tcBorders>
              <w:bottom w:val="nil"/>
            </w:tcBorders>
            <w:shd w:val="clear" w:color="auto" w:fill="auto"/>
            <w:noWrap/>
            <w:vAlign w:val="center"/>
            <w:hideMark/>
          </w:tcPr>
          <w:p w14:paraId="3076DE58" w14:textId="77777777" w:rsidR="001B19A6" w:rsidRPr="00515FB8" w:rsidRDefault="001B19A6" w:rsidP="00CD23E9">
            <w:pPr>
              <w:spacing w:after="0" w:line="360" w:lineRule="auto"/>
              <w:jc w:val="both"/>
              <w:rPr>
                <w:rFonts w:ascii="Times New Roman" w:eastAsia="Times New Roman" w:hAnsi="Times New Roman" w:cs="Times New Roman"/>
                <w:sz w:val="24"/>
                <w:szCs w:val="24"/>
                <w:lang w:eastAsia="en-IE"/>
              </w:rPr>
            </w:pPr>
          </w:p>
        </w:tc>
      </w:tr>
      <w:tr w:rsidR="001B19A6" w:rsidRPr="00515FB8" w14:paraId="34B38FB9" w14:textId="77777777" w:rsidTr="001B19A6">
        <w:trPr>
          <w:trHeight w:val="450"/>
          <w:jc w:val="center"/>
        </w:trPr>
        <w:tc>
          <w:tcPr>
            <w:tcW w:w="1843" w:type="dxa"/>
            <w:tcBorders>
              <w:top w:val="nil"/>
              <w:bottom w:val="single" w:sz="4" w:space="0" w:color="auto"/>
            </w:tcBorders>
            <w:shd w:val="clear" w:color="auto" w:fill="auto"/>
            <w:noWrap/>
            <w:vAlign w:val="center"/>
            <w:hideMark/>
          </w:tcPr>
          <w:p w14:paraId="3F74096D" w14:textId="77777777" w:rsidR="001B19A6" w:rsidRPr="00515FB8" w:rsidRDefault="001B19A6" w:rsidP="00CD23E9">
            <w:pPr>
              <w:spacing w:after="0" w:line="360" w:lineRule="auto"/>
              <w:jc w:val="both"/>
              <w:rPr>
                <w:rFonts w:ascii="Times New Roman" w:eastAsia="Times New Roman" w:hAnsi="Times New Roman" w:cs="Times New Roman"/>
                <w:b/>
                <w:bCs/>
                <w:color w:val="000000"/>
                <w:sz w:val="24"/>
                <w:szCs w:val="24"/>
                <w:lang w:eastAsia="en-IE"/>
              </w:rPr>
            </w:pPr>
            <w:r w:rsidRPr="00515FB8">
              <w:rPr>
                <w:rFonts w:ascii="Times New Roman" w:eastAsia="Times New Roman" w:hAnsi="Times New Roman" w:cs="Times New Roman"/>
                <w:b/>
                <w:bCs/>
                <w:color w:val="000000"/>
                <w:sz w:val="24"/>
                <w:szCs w:val="24"/>
                <w:lang w:eastAsia="en-IE"/>
              </w:rPr>
              <w:t>LG1.5 (190 °C)</w:t>
            </w:r>
          </w:p>
        </w:tc>
        <w:tc>
          <w:tcPr>
            <w:tcW w:w="747" w:type="dxa"/>
            <w:tcBorders>
              <w:top w:val="nil"/>
              <w:bottom w:val="single" w:sz="4" w:space="0" w:color="auto"/>
            </w:tcBorders>
            <w:shd w:val="clear" w:color="auto" w:fill="auto"/>
            <w:noWrap/>
            <w:vAlign w:val="center"/>
            <w:hideMark/>
          </w:tcPr>
          <w:p w14:paraId="619A7C14"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0.3</w:t>
            </w:r>
          </w:p>
        </w:tc>
        <w:tc>
          <w:tcPr>
            <w:tcW w:w="976" w:type="dxa"/>
            <w:tcBorders>
              <w:top w:val="nil"/>
              <w:bottom w:val="single" w:sz="4" w:space="0" w:color="auto"/>
            </w:tcBorders>
            <w:shd w:val="clear" w:color="auto" w:fill="auto"/>
            <w:noWrap/>
            <w:vAlign w:val="center"/>
            <w:hideMark/>
          </w:tcPr>
          <w:p w14:paraId="7E96F12A"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0.1</w:t>
            </w:r>
          </w:p>
        </w:tc>
        <w:tc>
          <w:tcPr>
            <w:tcW w:w="1150" w:type="dxa"/>
            <w:tcBorders>
              <w:top w:val="nil"/>
              <w:bottom w:val="single" w:sz="4" w:space="0" w:color="auto"/>
            </w:tcBorders>
            <w:shd w:val="clear" w:color="auto" w:fill="auto"/>
            <w:noWrap/>
            <w:vAlign w:val="center"/>
            <w:hideMark/>
          </w:tcPr>
          <w:p w14:paraId="7FAED9A8"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1270" w:type="dxa"/>
            <w:tcBorders>
              <w:top w:val="nil"/>
              <w:bottom w:val="single" w:sz="4" w:space="0" w:color="auto"/>
            </w:tcBorders>
            <w:shd w:val="clear" w:color="auto" w:fill="auto"/>
            <w:noWrap/>
            <w:vAlign w:val="center"/>
            <w:hideMark/>
          </w:tcPr>
          <w:p w14:paraId="71E0F68B"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1216" w:type="dxa"/>
            <w:tcBorders>
              <w:top w:val="nil"/>
              <w:bottom w:val="single" w:sz="4" w:space="0" w:color="auto"/>
            </w:tcBorders>
            <w:shd w:val="clear" w:color="auto" w:fill="auto"/>
            <w:noWrap/>
            <w:vAlign w:val="center"/>
            <w:hideMark/>
          </w:tcPr>
          <w:p w14:paraId="5E5F1DB8"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0.2</w:t>
            </w:r>
          </w:p>
        </w:tc>
        <w:tc>
          <w:tcPr>
            <w:tcW w:w="1297" w:type="dxa"/>
            <w:tcBorders>
              <w:top w:val="nil"/>
              <w:bottom w:val="single" w:sz="4" w:space="0" w:color="auto"/>
            </w:tcBorders>
            <w:shd w:val="clear" w:color="auto" w:fill="auto"/>
            <w:noWrap/>
            <w:vAlign w:val="center"/>
            <w:hideMark/>
          </w:tcPr>
          <w:p w14:paraId="0203F2FD"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0.0</w:t>
            </w:r>
          </w:p>
        </w:tc>
        <w:tc>
          <w:tcPr>
            <w:tcW w:w="976" w:type="dxa"/>
            <w:tcBorders>
              <w:top w:val="nil"/>
              <w:bottom w:val="single" w:sz="4" w:space="0" w:color="auto"/>
            </w:tcBorders>
            <w:shd w:val="clear" w:color="auto" w:fill="auto"/>
            <w:noWrap/>
            <w:vAlign w:val="center"/>
            <w:hideMark/>
          </w:tcPr>
          <w:p w14:paraId="6C8D90E6"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49.3</w:t>
            </w:r>
          </w:p>
        </w:tc>
        <w:tc>
          <w:tcPr>
            <w:tcW w:w="1349" w:type="dxa"/>
            <w:tcBorders>
              <w:top w:val="nil"/>
              <w:bottom w:val="single" w:sz="4" w:space="0" w:color="auto"/>
            </w:tcBorders>
            <w:shd w:val="clear" w:color="auto" w:fill="auto"/>
            <w:vAlign w:val="center"/>
            <w:hideMark/>
          </w:tcPr>
          <w:p w14:paraId="0DFCC238" w14:textId="77777777" w:rsidR="001B19A6" w:rsidRPr="00515FB8" w:rsidRDefault="001B19A6" w:rsidP="00CD23E9">
            <w:pPr>
              <w:spacing w:after="0" w:line="360" w:lineRule="auto"/>
              <w:jc w:val="both"/>
              <w:rPr>
                <w:rFonts w:ascii="Times New Roman" w:eastAsia="Times New Roman" w:hAnsi="Times New Roman" w:cs="Times New Roman"/>
                <w:color w:val="000000"/>
                <w:sz w:val="24"/>
                <w:szCs w:val="24"/>
                <w:lang w:eastAsia="en-IE"/>
              </w:rPr>
            </w:pPr>
            <w:r w:rsidRPr="00515FB8">
              <w:rPr>
                <w:rFonts w:ascii="Times New Roman" w:eastAsia="Times New Roman" w:hAnsi="Times New Roman" w:cs="Times New Roman"/>
                <w:color w:val="000000"/>
                <w:sz w:val="24"/>
                <w:szCs w:val="24"/>
                <w:lang w:eastAsia="en-IE"/>
              </w:rPr>
              <w:t>Not Determined</w:t>
            </w:r>
          </w:p>
        </w:tc>
      </w:tr>
    </w:tbl>
    <w:p w14:paraId="444F925A" w14:textId="77777777" w:rsidR="001B19A6" w:rsidRDefault="001B19A6"/>
    <w:p w14:paraId="57AF1DE1" w14:textId="38786BE3" w:rsidR="002D5BE9" w:rsidRDefault="002D5BE9">
      <w:r>
        <w:br w:type="page"/>
      </w:r>
    </w:p>
    <w:p w14:paraId="7ECFB13D" w14:textId="77777777" w:rsidR="002D5BE9" w:rsidRPr="002D5BE9" w:rsidRDefault="002D5BE9"/>
    <w:p w14:paraId="1FF0F87B" w14:textId="0C8D3EE2" w:rsidR="002D5BE9" w:rsidRPr="002D5BE9" w:rsidRDefault="002D5BE9" w:rsidP="002D5BE9">
      <w:pPr>
        <w:pStyle w:val="Caption"/>
        <w:keepNext/>
        <w:spacing w:line="360" w:lineRule="auto"/>
        <w:rPr>
          <w:rFonts w:cs="Times New Roman"/>
          <w:i w:val="0"/>
          <w:iCs w:val="0"/>
          <w:color w:val="auto"/>
          <w:sz w:val="24"/>
          <w:szCs w:val="24"/>
        </w:rPr>
      </w:pPr>
      <w:bookmarkStart w:id="17" w:name="_Ref91157287"/>
      <w:bookmarkStart w:id="18" w:name="_Toc101958157"/>
      <w:r w:rsidRPr="002D5BE9">
        <w:rPr>
          <w:rFonts w:cs="Times New Roman"/>
          <w:b/>
          <w:bCs/>
          <w:i w:val="0"/>
          <w:iCs w:val="0"/>
          <w:color w:val="auto"/>
          <w:sz w:val="24"/>
          <w:szCs w:val="24"/>
        </w:rPr>
        <w:t>Table S</w:t>
      </w:r>
      <w:r w:rsidRPr="002D5BE9">
        <w:rPr>
          <w:rFonts w:cs="Times New Roman"/>
          <w:b/>
          <w:bCs/>
          <w:i w:val="0"/>
          <w:iCs w:val="0"/>
          <w:color w:val="auto"/>
          <w:sz w:val="24"/>
          <w:szCs w:val="24"/>
        </w:rPr>
        <w:fldChar w:fldCharType="begin"/>
      </w:r>
      <w:r w:rsidRPr="002D5BE9">
        <w:rPr>
          <w:rFonts w:cs="Times New Roman"/>
          <w:b/>
          <w:bCs/>
          <w:i w:val="0"/>
          <w:iCs w:val="0"/>
          <w:color w:val="auto"/>
          <w:sz w:val="24"/>
          <w:szCs w:val="24"/>
        </w:rPr>
        <w:instrText xml:space="preserve"> SEQ Table \* ARABIC </w:instrText>
      </w:r>
      <w:r w:rsidRPr="002D5BE9">
        <w:rPr>
          <w:rFonts w:cs="Times New Roman"/>
          <w:b/>
          <w:bCs/>
          <w:i w:val="0"/>
          <w:iCs w:val="0"/>
          <w:color w:val="auto"/>
          <w:sz w:val="24"/>
          <w:szCs w:val="24"/>
        </w:rPr>
        <w:fldChar w:fldCharType="separate"/>
      </w:r>
      <w:r w:rsidRPr="002D5BE9">
        <w:rPr>
          <w:rFonts w:cs="Times New Roman"/>
          <w:b/>
          <w:bCs/>
          <w:i w:val="0"/>
          <w:iCs w:val="0"/>
          <w:noProof/>
          <w:color w:val="auto"/>
          <w:sz w:val="24"/>
          <w:szCs w:val="24"/>
        </w:rPr>
        <w:t>4</w:t>
      </w:r>
      <w:r w:rsidRPr="002D5BE9">
        <w:rPr>
          <w:rFonts w:cs="Times New Roman"/>
          <w:b/>
          <w:bCs/>
          <w:i w:val="0"/>
          <w:iCs w:val="0"/>
          <w:noProof/>
          <w:color w:val="auto"/>
          <w:sz w:val="24"/>
          <w:szCs w:val="24"/>
        </w:rPr>
        <w:fldChar w:fldCharType="end"/>
      </w:r>
      <w:bookmarkEnd w:id="17"/>
      <w:r w:rsidRPr="002D5BE9">
        <w:rPr>
          <w:rFonts w:cs="Times New Roman"/>
          <w:b/>
          <w:bCs/>
          <w:i w:val="0"/>
          <w:iCs w:val="0"/>
          <w:color w:val="auto"/>
          <w:sz w:val="24"/>
          <w:szCs w:val="24"/>
        </w:rPr>
        <w:t>.</w:t>
      </w:r>
      <w:r w:rsidRPr="002D5BE9">
        <w:rPr>
          <w:rFonts w:cs="Times New Roman"/>
          <w:i w:val="0"/>
          <w:iCs w:val="0"/>
          <w:color w:val="auto"/>
          <w:sz w:val="24"/>
          <w:szCs w:val="24"/>
        </w:rPr>
        <w:t xml:space="preserve"> Assignation of lignin-related bands corresponding </w:t>
      </w:r>
      <w:r>
        <w:rPr>
          <w:rFonts w:cs="Times New Roman"/>
          <w:i w:val="0"/>
          <w:iCs w:val="0"/>
          <w:color w:val="auto"/>
          <w:sz w:val="24"/>
          <w:szCs w:val="24"/>
        </w:rPr>
        <w:t xml:space="preserve">to </w:t>
      </w:r>
      <w:r w:rsidRPr="002D5BE9">
        <w:rPr>
          <w:rFonts w:cs="Times New Roman"/>
          <w:i w:val="0"/>
          <w:iCs w:val="0"/>
          <w:color w:val="auto"/>
          <w:sz w:val="24"/>
          <w:szCs w:val="24"/>
        </w:rPr>
        <w:t>FTIR spectra</w:t>
      </w:r>
      <w:bookmarkEnd w:id="18"/>
    </w:p>
    <w:tbl>
      <w:tblPr>
        <w:tblStyle w:val="TableGrid1"/>
        <w:tblW w:w="0" w:type="auto"/>
        <w:jc w:val="center"/>
        <w:tblBorders>
          <w:left w:val="none" w:sz="0" w:space="0" w:color="auto"/>
          <w:right w:val="none" w:sz="0" w:space="0" w:color="auto"/>
          <w:insideV w:val="none" w:sz="0" w:space="0" w:color="auto"/>
        </w:tblBorders>
        <w:tblLook w:val="01E0" w:firstRow="1" w:lastRow="1" w:firstColumn="1" w:lastColumn="1" w:noHBand="0" w:noVBand="0"/>
      </w:tblPr>
      <w:tblGrid>
        <w:gridCol w:w="2143"/>
        <w:gridCol w:w="6452"/>
      </w:tblGrid>
      <w:tr w:rsidR="00D07FEB" w:rsidRPr="005813C7" w14:paraId="47114D97" w14:textId="77777777" w:rsidTr="00DE666E">
        <w:trPr>
          <w:trHeight w:val="790"/>
          <w:jc w:val="center"/>
        </w:trPr>
        <w:tc>
          <w:tcPr>
            <w:tcW w:w="2143" w:type="dxa"/>
            <w:tcBorders>
              <w:bottom w:val="single" w:sz="12" w:space="0" w:color="auto"/>
            </w:tcBorders>
            <w:shd w:val="clear" w:color="auto" w:fill="auto"/>
          </w:tcPr>
          <w:p w14:paraId="7A7942C6" w14:textId="77777777" w:rsidR="00D07FEB" w:rsidRPr="005813C7" w:rsidRDefault="00D07FEB" w:rsidP="00CD23E9">
            <w:pPr>
              <w:spacing w:line="360" w:lineRule="auto"/>
              <w:jc w:val="both"/>
              <w:rPr>
                <w:rFonts w:ascii="Times New Roman" w:hAnsi="Times New Roman" w:cs="Times New Roman"/>
                <w:b/>
                <w:bCs/>
                <w:sz w:val="24"/>
                <w:szCs w:val="24"/>
              </w:rPr>
            </w:pPr>
            <w:bookmarkStart w:id="19" w:name="_Hlk83292614"/>
            <w:r w:rsidRPr="005813C7">
              <w:rPr>
                <w:rFonts w:ascii="Times New Roman" w:hAnsi="Times New Roman" w:cs="Times New Roman"/>
                <w:b/>
                <w:bCs/>
                <w:sz w:val="24"/>
                <w:szCs w:val="24"/>
              </w:rPr>
              <w:t xml:space="preserve">Band Position </w:t>
            </w:r>
          </w:p>
        </w:tc>
        <w:tc>
          <w:tcPr>
            <w:tcW w:w="6452" w:type="dxa"/>
            <w:tcBorders>
              <w:bottom w:val="single" w:sz="12" w:space="0" w:color="auto"/>
            </w:tcBorders>
            <w:shd w:val="clear" w:color="auto" w:fill="auto"/>
          </w:tcPr>
          <w:p w14:paraId="190399B2" w14:textId="77777777" w:rsidR="00D07FEB" w:rsidRPr="005813C7" w:rsidRDefault="00D07FEB" w:rsidP="00CD23E9">
            <w:pPr>
              <w:spacing w:line="360" w:lineRule="auto"/>
              <w:jc w:val="both"/>
              <w:rPr>
                <w:rFonts w:ascii="Times New Roman" w:hAnsi="Times New Roman" w:cs="Times New Roman"/>
                <w:b/>
                <w:bCs/>
                <w:sz w:val="24"/>
                <w:szCs w:val="24"/>
              </w:rPr>
            </w:pPr>
            <w:r w:rsidRPr="005813C7">
              <w:rPr>
                <w:rFonts w:ascii="Times New Roman" w:hAnsi="Times New Roman" w:cs="Times New Roman"/>
                <w:b/>
                <w:bCs/>
                <w:sz w:val="24"/>
                <w:szCs w:val="24"/>
              </w:rPr>
              <w:t>Band Assignation</w:t>
            </w:r>
          </w:p>
        </w:tc>
      </w:tr>
      <w:tr w:rsidR="00D07FEB" w:rsidRPr="005813C7" w14:paraId="74CB4A92" w14:textId="77777777" w:rsidTr="00DE666E">
        <w:trPr>
          <w:trHeight w:val="394"/>
          <w:jc w:val="center"/>
        </w:trPr>
        <w:tc>
          <w:tcPr>
            <w:tcW w:w="2143" w:type="dxa"/>
            <w:tcBorders>
              <w:top w:val="single" w:sz="12" w:space="0" w:color="auto"/>
            </w:tcBorders>
          </w:tcPr>
          <w:p w14:paraId="7DDA727E" w14:textId="77777777" w:rsidR="00D07FEB" w:rsidRPr="005813C7" w:rsidRDefault="00D07FEB" w:rsidP="00CD23E9">
            <w:pPr>
              <w:spacing w:line="360" w:lineRule="auto"/>
              <w:jc w:val="both"/>
              <w:rPr>
                <w:rFonts w:ascii="Times New Roman" w:hAnsi="Times New Roman" w:cs="Times New Roman"/>
                <w:sz w:val="24"/>
                <w:szCs w:val="24"/>
              </w:rPr>
            </w:pPr>
            <w:r w:rsidRPr="005813C7">
              <w:rPr>
                <w:rFonts w:ascii="Times New Roman" w:hAnsi="Times New Roman" w:cs="Times New Roman"/>
                <w:sz w:val="24"/>
                <w:szCs w:val="24"/>
              </w:rPr>
              <w:t>1750-1730</w:t>
            </w:r>
          </w:p>
        </w:tc>
        <w:tc>
          <w:tcPr>
            <w:tcW w:w="6452" w:type="dxa"/>
            <w:tcBorders>
              <w:top w:val="single" w:sz="12" w:space="0" w:color="auto"/>
            </w:tcBorders>
          </w:tcPr>
          <w:p w14:paraId="40674768" w14:textId="77777777" w:rsidR="00D07FEB" w:rsidRPr="005813C7" w:rsidRDefault="00D07FEB" w:rsidP="00CD23E9">
            <w:pPr>
              <w:spacing w:line="360" w:lineRule="auto"/>
              <w:jc w:val="both"/>
              <w:rPr>
                <w:rFonts w:ascii="Times New Roman" w:hAnsi="Times New Roman" w:cs="Times New Roman"/>
                <w:sz w:val="24"/>
                <w:szCs w:val="24"/>
              </w:rPr>
            </w:pPr>
            <w:r w:rsidRPr="005813C7">
              <w:rPr>
                <w:rFonts w:ascii="Times New Roman" w:hAnsi="Times New Roman" w:cs="Times New Roman"/>
                <w:sz w:val="24"/>
                <w:szCs w:val="24"/>
              </w:rPr>
              <w:t>Acetyl groups, hemicellulose</w:t>
            </w:r>
          </w:p>
        </w:tc>
      </w:tr>
      <w:tr w:rsidR="00D07FEB" w:rsidRPr="005813C7" w14:paraId="3FA7B9F1" w14:textId="77777777" w:rsidTr="00DE666E">
        <w:trPr>
          <w:trHeight w:val="394"/>
          <w:jc w:val="center"/>
        </w:trPr>
        <w:tc>
          <w:tcPr>
            <w:tcW w:w="2143" w:type="dxa"/>
          </w:tcPr>
          <w:p w14:paraId="35F8BEE5" w14:textId="77777777" w:rsidR="00D07FEB" w:rsidRPr="005813C7" w:rsidRDefault="00D07FEB" w:rsidP="00CD23E9">
            <w:pPr>
              <w:spacing w:line="360" w:lineRule="auto"/>
              <w:contextualSpacing/>
              <w:jc w:val="both"/>
              <w:rPr>
                <w:rFonts w:ascii="Times New Roman" w:hAnsi="Times New Roman" w:cs="Times New Roman"/>
                <w:sz w:val="24"/>
                <w:szCs w:val="24"/>
              </w:rPr>
            </w:pPr>
            <w:r w:rsidRPr="005813C7">
              <w:rPr>
                <w:rFonts w:ascii="Times New Roman" w:hAnsi="Times New Roman" w:cs="Times New Roman"/>
                <w:sz w:val="24"/>
                <w:szCs w:val="24"/>
              </w:rPr>
              <w:t>1607-1597</w:t>
            </w:r>
          </w:p>
        </w:tc>
        <w:tc>
          <w:tcPr>
            <w:tcW w:w="6452" w:type="dxa"/>
          </w:tcPr>
          <w:p w14:paraId="22C03AC6" w14:textId="77777777" w:rsidR="00D07FEB" w:rsidRPr="005813C7" w:rsidRDefault="00D07FEB" w:rsidP="00CD23E9">
            <w:pPr>
              <w:spacing w:line="360" w:lineRule="auto"/>
              <w:contextualSpacing/>
              <w:jc w:val="both"/>
              <w:rPr>
                <w:rFonts w:ascii="Times New Roman" w:hAnsi="Times New Roman" w:cs="Times New Roman"/>
                <w:sz w:val="24"/>
                <w:szCs w:val="24"/>
              </w:rPr>
            </w:pPr>
            <w:r w:rsidRPr="005813C7">
              <w:rPr>
                <w:rFonts w:ascii="Times New Roman" w:hAnsi="Times New Roman" w:cs="Times New Roman"/>
                <w:sz w:val="24"/>
                <w:szCs w:val="24"/>
              </w:rPr>
              <w:t>Aromatic skeletal vibrations (S &gt; G)</w:t>
            </w:r>
          </w:p>
        </w:tc>
      </w:tr>
      <w:tr w:rsidR="00D07FEB" w:rsidRPr="005813C7" w14:paraId="121FE61C" w14:textId="77777777" w:rsidTr="00DE666E">
        <w:trPr>
          <w:trHeight w:val="394"/>
          <w:jc w:val="center"/>
        </w:trPr>
        <w:tc>
          <w:tcPr>
            <w:tcW w:w="2143" w:type="dxa"/>
          </w:tcPr>
          <w:p w14:paraId="20952B1E" w14:textId="77777777" w:rsidR="00D07FEB" w:rsidRPr="005813C7" w:rsidRDefault="00D07FEB" w:rsidP="00CD23E9">
            <w:pPr>
              <w:spacing w:line="360" w:lineRule="auto"/>
              <w:contextualSpacing/>
              <w:jc w:val="both"/>
              <w:rPr>
                <w:rFonts w:ascii="Times New Roman" w:hAnsi="Times New Roman" w:cs="Times New Roman"/>
                <w:sz w:val="24"/>
                <w:szCs w:val="24"/>
              </w:rPr>
            </w:pPr>
            <w:r w:rsidRPr="005813C7">
              <w:rPr>
                <w:rFonts w:ascii="Times New Roman" w:hAnsi="Times New Roman" w:cs="Times New Roman"/>
                <w:sz w:val="24"/>
                <w:szCs w:val="24"/>
              </w:rPr>
              <w:t>1514-1511</w:t>
            </w:r>
          </w:p>
        </w:tc>
        <w:tc>
          <w:tcPr>
            <w:tcW w:w="6452" w:type="dxa"/>
          </w:tcPr>
          <w:p w14:paraId="15A3EC34" w14:textId="77777777" w:rsidR="00D07FEB" w:rsidRPr="005813C7" w:rsidRDefault="00D07FEB" w:rsidP="00CD23E9">
            <w:pPr>
              <w:spacing w:line="360" w:lineRule="auto"/>
              <w:contextualSpacing/>
              <w:jc w:val="both"/>
              <w:rPr>
                <w:rFonts w:ascii="Times New Roman" w:hAnsi="Times New Roman" w:cs="Times New Roman"/>
                <w:sz w:val="24"/>
                <w:szCs w:val="24"/>
              </w:rPr>
            </w:pPr>
            <w:r w:rsidRPr="005813C7">
              <w:rPr>
                <w:rFonts w:ascii="Times New Roman" w:hAnsi="Times New Roman" w:cs="Times New Roman"/>
                <w:sz w:val="24"/>
                <w:szCs w:val="24"/>
              </w:rPr>
              <w:t>Aromatic skeletal vibrations (G &gt; S)</w:t>
            </w:r>
          </w:p>
        </w:tc>
      </w:tr>
      <w:tr w:rsidR="00D07FEB" w:rsidRPr="005813C7" w14:paraId="48D811C9" w14:textId="77777777" w:rsidTr="00DE666E">
        <w:trPr>
          <w:trHeight w:val="790"/>
          <w:jc w:val="center"/>
        </w:trPr>
        <w:tc>
          <w:tcPr>
            <w:tcW w:w="2143" w:type="dxa"/>
          </w:tcPr>
          <w:p w14:paraId="6CCB7B10" w14:textId="77777777" w:rsidR="00D07FEB" w:rsidRPr="005813C7" w:rsidRDefault="00D07FEB" w:rsidP="00CD23E9">
            <w:pPr>
              <w:spacing w:line="360" w:lineRule="auto"/>
              <w:jc w:val="both"/>
              <w:rPr>
                <w:rFonts w:ascii="Times New Roman" w:hAnsi="Times New Roman" w:cs="Times New Roman"/>
                <w:sz w:val="24"/>
                <w:szCs w:val="24"/>
              </w:rPr>
            </w:pPr>
            <w:r w:rsidRPr="005813C7">
              <w:rPr>
                <w:rFonts w:ascii="Times New Roman" w:hAnsi="Times New Roman" w:cs="Times New Roman"/>
                <w:sz w:val="24"/>
                <w:szCs w:val="24"/>
              </w:rPr>
              <w:t>1460-1450</w:t>
            </w:r>
          </w:p>
        </w:tc>
        <w:tc>
          <w:tcPr>
            <w:tcW w:w="6452" w:type="dxa"/>
          </w:tcPr>
          <w:p w14:paraId="553D0C2C" w14:textId="77777777" w:rsidR="00D07FEB" w:rsidRPr="005813C7" w:rsidRDefault="00D07FEB" w:rsidP="00CD23E9">
            <w:pPr>
              <w:spacing w:line="360" w:lineRule="auto"/>
              <w:jc w:val="both"/>
              <w:rPr>
                <w:rFonts w:ascii="Times New Roman" w:hAnsi="Times New Roman" w:cs="Times New Roman"/>
                <w:sz w:val="24"/>
                <w:szCs w:val="24"/>
              </w:rPr>
            </w:pPr>
            <w:r w:rsidRPr="005813C7">
              <w:rPr>
                <w:rFonts w:ascii="Times New Roman" w:hAnsi="Times New Roman" w:cs="Times New Roman"/>
                <w:sz w:val="24"/>
                <w:szCs w:val="24"/>
              </w:rPr>
              <w:t xml:space="preserve">C-H deformations; asym. in -CH3 and -CH2- </w:t>
            </w:r>
          </w:p>
        </w:tc>
      </w:tr>
      <w:tr w:rsidR="00D07FEB" w:rsidRPr="005813C7" w14:paraId="47C70651" w14:textId="77777777" w:rsidTr="00DE666E">
        <w:trPr>
          <w:trHeight w:val="767"/>
          <w:jc w:val="center"/>
        </w:trPr>
        <w:tc>
          <w:tcPr>
            <w:tcW w:w="2143" w:type="dxa"/>
          </w:tcPr>
          <w:p w14:paraId="242F36A5" w14:textId="77777777" w:rsidR="00D07FEB" w:rsidRPr="005813C7" w:rsidRDefault="00D07FEB" w:rsidP="00CD23E9">
            <w:pPr>
              <w:spacing w:line="360" w:lineRule="auto"/>
              <w:jc w:val="both"/>
              <w:rPr>
                <w:rFonts w:ascii="Times New Roman" w:hAnsi="Times New Roman" w:cs="Times New Roman"/>
                <w:sz w:val="24"/>
                <w:szCs w:val="24"/>
              </w:rPr>
            </w:pPr>
            <w:r w:rsidRPr="005813C7">
              <w:rPr>
                <w:rFonts w:ascii="Times New Roman" w:hAnsi="Times New Roman" w:cs="Times New Roman"/>
                <w:sz w:val="24"/>
                <w:szCs w:val="24"/>
              </w:rPr>
              <w:t>1426-1420</w:t>
            </w:r>
          </w:p>
        </w:tc>
        <w:tc>
          <w:tcPr>
            <w:tcW w:w="6452" w:type="dxa"/>
          </w:tcPr>
          <w:p w14:paraId="42501DA0" w14:textId="77777777" w:rsidR="00D07FEB" w:rsidRPr="005813C7" w:rsidRDefault="00D07FEB" w:rsidP="00CD23E9">
            <w:pPr>
              <w:spacing w:line="360" w:lineRule="auto"/>
              <w:jc w:val="both"/>
              <w:rPr>
                <w:rFonts w:ascii="Times New Roman" w:hAnsi="Times New Roman" w:cs="Times New Roman"/>
                <w:sz w:val="24"/>
                <w:szCs w:val="24"/>
              </w:rPr>
            </w:pPr>
            <w:r w:rsidRPr="005813C7">
              <w:rPr>
                <w:rFonts w:ascii="Times New Roman" w:hAnsi="Times New Roman" w:cs="Times New Roman"/>
                <w:sz w:val="24"/>
                <w:szCs w:val="24"/>
              </w:rPr>
              <w:t>Aromatic skeletal vibrations with C-H in-plane deform.</w:t>
            </w:r>
          </w:p>
        </w:tc>
      </w:tr>
      <w:tr w:rsidR="00D07FEB" w:rsidRPr="005813C7" w14:paraId="36347B4E" w14:textId="77777777" w:rsidTr="00DE666E">
        <w:trPr>
          <w:trHeight w:val="790"/>
          <w:jc w:val="center"/>
        </w:trPr>
        <w:tc>
          <w:tcPr>
            <w:tcW w:w="2143" w:type="dxa"/>
          </w:tcPr>
          <w:p w14:paraId="394A2DF7" w14:textId="77777777" w:rsidR="00D07FEB" w:rsidRPr="005813C7" w:rsidRDefault="00D07FEB" w:rsidP="00CD23E9">
            <w:pPr>
              <w:spacing w:line="360" w:lineRule="auto"/>
              <w:jc w:val="both"/>
              <w:rPr>
                <w:rFonts w:ascii="Times New Roman" w:hAnsi="Times New Roman" w:cs="Times New Roman"/>
                <w:sz w:val="24"/>
                <w:szCs w:val="24"/>
              </w:rPr>
            </w:pPr>
            <w:r w:rsidRPr="005813C7">
              <w:rPr>
                <w:rFonts w:ascii="Times New Roman" w:hAnsi="Times New Roman" w:cs="Times New Roman"/>
                <w:sz w:val="24"/>
                <w:szCs w:val="24"/>
              </w:rPr>
              <w:t>1374-1353</w:t>
            </w:r>
          </w:p>
        </w:tc>
        <w:tc>
          <w:tcPr>
            <w:tcW w:w="6452" w:type="dxa"/>
          </w:tcPr>
          <w:p w14:paraId="6DD21CB7" w14:textId="77777777" w:rsidR="00D07FEB" w:rsidRPr="005813C7" w:rsidRDefault="00D07FEB" w:rsidP="00CD23E9">
            <w:pPr>
              <w:spacing w:line="360" w:lineRule="auto"/>
              <w:jc w:val="both"/>
              <w:rPr>
                <w:rFonts w:ascii="Times New Roman" w:hAnsi="Times New Roman" w:cs="Times New Roman"/>
                <w:sz w:val="24"/>
                <w:szCs w:val="24"/>
              </w:rPr>
            </w:pPr>
            <w:r w:rsidRPr="005813C7">
              <w:rPr>
                <w:rFonts w:ascii="Times New Roman" w:hAnsi="Times New Roman" w:cs="Times New Roman"/>
                <w:sz w:val="24"/>
                <w:szCs w:val="24"/>
              </w:rPr>
              <w:t>Aliphatic C—H stretching in CH3, not in OCH3</w:t>
            </w:r>
          </w:p>
        </w:tc>
      </w:tr>
      <w:tr w:rsidR="00D07FEB" w:rsidRPr="005813C7" w14:paraId="0B34DE97" w14:textId="77777777" w:rsidTr="00DE666E">
        <w:trPr>
          <w:trHeight w:val="394"/>
          <w:jc w:val="center"/>
        </w:trPr>
        <w:tc>
          <w:tcPr>
            <w:tcW w:w="2143" w:type="dxa"/>
          </w:tcPr>
          <w:p w14:paraId="166B265F" w14:textId="77777777" w:rsidR="00D07FEB" w:rsidRPr="005813C7" w:rsidRDefault="00D07FEB" w:rsidP="00CD23E9">
            <w:pPr>
              <w:spacing w:line="360" w:lineRule="auto"/>
              <w:jc w:val="both"/>
              <w:rPr>
                <w:rFonts w:ascii="Times New Roman" w:hAnsi="Times New Roman" w:cs="Times New Roman"/>
                <w:sz w:val="24"/>
                <w:szCs w:val="24"/>
              </w:rPr>
            </w:pPr>
            <w:r w:rsidRPr="005813C7">
              <w:rPr>
                <w:rFonts w:ascii="Times New Roman" w:hAnsi="Times New Roman" w:cs="Times New Roman"/>
                <w:sz w:val="24"/>
                <w:szCs w:val="24"/>
              </w:rPr>
              <w:t>1330-1325</w:t>
            </w:r>
          </w:p>
        </w:tc>
        <w:tc>
          <w:tcPr>
            <w:tcW w:w="6452" w:type="dxa"/>
          </w:tcPr>
          <w:p w14:paraId="27ABC57B" w14:textId="77777777" w:rsidR="00D07FEB" w:rsidRPr="005813C7" w:rsidRDefault="00D07FEB" w:rsidP="00CD23E9">
            <w:pPr>
              <w:spacing w:line="360" w:lineRule="auto"/>
              <w:jc w:val="both"/>
              <w:rPr>
                <w:rFonts w:ascii="Times New Roman" w:hAnsi="Times New Roman" w:cs="Times New Roman"/>
                <w:sz w:val="24"/>
                <w:szCs w:val="24"/>
              </w:rPr>
            </w:pPr>
            <w:r w:rsidRPr="005813C7">
              <w:rPr>
                <w:rFonts w:ascii="Times New Roman" w:hAnsi="Times New Roman" w:cs="Times New Roman"/>
                <w:sz w:val="24"/>
                <w:szCs w:val="24"/>
              </w:rPr>
              <w:t>S ring breathing</w:t>
            </w:r>
          </w:p>
        </w:tc>
      </w:tr>
      <w:tr w:rsidR="00D07FEB" w:rsidRPr="005813C7" w14:paraId="7A823565" w14:textId="77777777" w:rsidTr="00DE666E">
        <w:trPr>
          <w:trHeight w:val="394"/>
          <w:jc w:val="center"/>
        </w:trPr>
        <w:tc>
          <w:tcPr>
            <w:tcW w:w="2143" w:type="dxa"/>
          </w:tcPr>
          <w:p w14:paraId="064BEDD2" w14:textId="77777777" w:rsidR="00D07FEB" w:rsidRPr="005813C7" w:rsidRDefault="00D07FEB" w:rsidP="00CD23E9">
            <w:pPr>
              <w:spacing w:line="360" w:lineRule="auto"/>
              <w:jc w:val="both"/>
              <w:rPr>
                <w:rFonts w:ascii="Times New Roman" w:hAnsi="Times New Roman" w:cs="Times New Roman"/>
                <w:sz w:val="24"/>
                <w:szCs w:val="24"/>
              </w:rPr>
            </w:pPr>
            <w:r w:rsidRPr="005813C7">
              <w:rPr>
                <w:rFonts w:ascii="Times New Roman" w:hAnsi="Times New Roman" w:cs="Times New Roman"/>
                <w:sz w:val="24"/>
                <w:szCs w:val="24"/>
              </w:rPr>
              <w:t>1273-1257</w:t>
            </w:r>
          </w:p>
        </w:tc>
        <w:tc>
          <w:tcPr>
            <w:tcW w:w="6452" w:type="dxa"/>
          </w:tcPr>
          <w:p w14:paraId="29EF5626" w14:textId="77777777" w:rsidR="00D07FEB" w:rsidRPr="005813C7" w:rsidRDefault="00D07FEB" w:rsidP="00CD23E9">
            <w:pPr>
              <w:spacing w:line="360" w:lineRule="auto"/>
              <w:jc w:val="both"/>
              <w:rPr>
                <w:rFonts w:ascii="Times New Roman" w:hAnsi="Times New Roman" w:cs="Times New Roman"/>
                <w:sz w:val="24"/>
                <w:szCs w:val="24"/>
              </w:rPr>
            </w:pPr>
            <w:r w:rsidRPr="005813C7">
              <w:rPr>
                <w:rFonts w:ascii="Times New Roman" w:hAnsi="Times New Roman" w:cs="Times New Roman"/>
                <w:sz w:val="24"/>
                <w:szCs w:val="24"/>
              </w:rPr>
              <w:t>G ring breathing</w:t>
            </w:r>
          </w:p>
        </w:tc>
      </w:tr>
      <w:tr w:rsidR="00D07FEB" w:rsidRPr="005813C7" w14:paraId="20B5032B" w14:textId="77777777" w:rsidTr="00DE666E">
        <w:trPr>
          <w:trHeight w:val="394"/>
          <w:jc w:val="center"/>
        </w:trPr>
        <w:tc>
          <w:tcPr>
            <w:tcW w:w="2143" w:type="dxa"/>
          </w:tcPr>
          <w:p w14:paraId="70476278" w14:textId="77777777" w:rsidR="00D07FEB" w:rsidRPr="005813C7" w:rsidRDefault="00D07FEB" w:rsidP="00CD23E9">
            <w:pPr>
              <w:spacing w:line="360" w:lineRule="auto"/>
              <w:jc w:val="both"/>
              <w:rPr>
                <w:rFonts w:ascii="Times New Roman" w:hAnsi="Times New Roman" w:cs="Times New Roman"/>
                <w:sz w:val="24"/>
                <w:szCs w:val="24"/>
              </w:rPr>
            </w:pPr>
            <w:r w:rsidRPr="005813C7">
              <w:rPr>
                <w:rFonts w:ascii="Times New Roman" w:hAnsi="Times New Roman" w:cs="Times New Roman"/>
                <w:sz w:val="24"/>
                <w:szCs w:val="24"/>
              </w:rPr>
              <w:t>1228-1214</w:t>
            </w:r>
          </w:p>
        </w:tc>
        <w:tc>
          <w:tcPr>
            <w:tcW w:w="6452" w:type="dxa"/>
          </w:tcPr>
          <w:p w14:paraId="7D997C51" w14:textId="77777777" w:rsidR="00D07FEB" w:rsidRPr="005813C7" w:rsidRDefault="00D07FEB" w:rsidP="00CD23E9">
            <w:pPr>
              <w:spacing w:line="360" w:lineRule="auto"/>
              <w:jc w:val="both"/>
              <w:rPr>
                <w:rFonts w:ascii="Times New Roman" w:hAnsi="Times New Roman" w:cs="Times New Roman"/>
                <w:sz w:val="24"/>
                <w:szCs w:val="24"/>
              </w:rPr>
            </w:pPr>
            <w:r w:rsidRPr="005813C7">
              <w:rPr>
                <w:rFonts w:ascii="Times New Roman" w:hAnsi="Times New Roman" w:cs="Times New Roman"/>
                <w:sz w:val="24"/>
                <w:szCs w:val="24"/>
              </w:rPr>
              <w:t>C-C and C-O stretch, G condensed &gt; G</w:t>
            </w:r>
          </w:p>
        </w:tc>
      </w:tr>
      <w:tr w:rsidR="00D07FEB" w:rsidRPr="005813C7" w14:paraId="73FC4EED" w14:textId="77777777" w:rsidTr="00DE666E">
        <w:trPr>
          <w:trHeight w:val="790"/>
          <w:jc w:val="center"/>
        </w:trPr>
        <w:tc>
          <w:tcPr>
            <w:tcW w:w="2143" w:type="dxa"/>
          </w:tcPr>
          <w:p w14:paraId="5B474D67" w14:textId="77777777" w:rsidR="00D07FEB" w:rsidRPr="005813C7" w:rsidRDefault="00D07FEB" w:rsidP="00CD23E9">
            <w:pPr>
              <w:spacing w:line="360" w:lineRule="auto"/>
              <w:jc w:val="both"/>
              <w:rPr>
                <w:rFonts w:ascii="Times New Roman" w:hAnsi="Times New Roman" w:cs="Times New Roman"/>
                <w:sz w:val="24"/>
                <w:szCs w:val="24"/>
              </w:rPr>
            </w:pPr>
            <w:r w:rsidRPr="005813C7">
              <w:rPr>
                <w:rFonts w:ascii="Times New Roman" w:hAnsi="Times New Roman" w:cs="Times New Roman"/>
                <w:sz w:val="24"/>
                <w:szCs w:val="24"/>
              </w:rPr>
              <w:t>1167-1165</w:t>
            </w:r>
          </w:p>
        </w:tc>
        <w:tc>
          <w:tcPr>
            <w:tcW w:w="6452" w:type="dxa"/>
          </w:tcPr>
          <w:p w14:paraId="59715EE1" w14:textId="77777777" w:rsidR="00D07FEB" w:rsidRPr="005813C7" w:rsidRDefault="00D07FEB" w:rsidP="00CD23E9">
            <w:pPr>
              <w:spacing w:line="360" w:lineRule="auto"/>
              <w:jc w:val="both"/>
              <w:rPr>
                <w:rFonts w:ascii="Times New Roman" w:hAnsi="Times New Roman" w:cs="Times New Roman"/>
                <w:sz w:val="24"/>
                <w:szCs w:val="24"/>
              </w:rPr>
            </w:pPr>
            <w:r w:rsidRPr="005813C7">
              <w:rPr>
                <w:rFonts w:ascii="Times New Roman" w:hAnsi="Times New Roman" w:cs="Times New Roman"/>
                <w:sz w:val="24"/>
                <w:szCs w:val="24"/>
              </w:rPr>
              <w:t>Typical for HGS lignins: C=O stretch in ester groups</w:t>
            </w:r>
          </w:p>
        </w:tc>
      </w:tr>
      <w:tr w:rsidR="00D07FEB" w:rsidRPr="005813C7" w14:paraId="0C8B95CA" w14:textId="77777777" w:rsidTr="00DE666E">
        <w:trPr>
          <w:trHeight w:val="394"/>
          <w:jc w:val="center"/>
        </w:trPr>
        <w:tc>
          <w:tcPr>
            <w:tcW w:w="2143" w:type="dxa"/>
          </w:tcPr>
          <w:p w14:paraId="316CC46C" w14:textId="77777777" w:rsidR="00D07FEB" w:rsidRPr="005813C7" w:rsidRDefault="00D07FEB" w:rsidP="00CD23E9">
            <w:pPr>
              <w:spacing w:line="360" w:lineRule="auto"/>
              <w:jc w:val="both"/>
              <w:rPr>
                <w:rFonts w:ascii="Times New Roman" w:hAnsi="Times New Roman" w:cs="Times New Roman"/>
                <w:sz w:val="24"/>
                <w:szCs w:val="24"/>
              </w:rPr>
            </w:pPr>
            <w:r w:rsidRPr="005813C7">
              <w:rPr>
                <w:rFonts w:ascii="Times New Roman" w:hAnsi="Times New Roman" w:cs="Times New Roman"/>
                <w:sz w:val="24"/>
                <w:szCs w:val="24"/>
              </w:rPr>
              <w:t>1140</w:t>
            </w:r>
          </w:p>
        </w:tc>
        <w:tc>
          <w:tcPr>
            <w:tcW w:w="6452" w:type="dxa"/>
          </w:tcPr>
          <w:p w14:paraId="34B8337C" w14:textId="77777777" w:rsidR="00D07FEB" w:rsidRPr="005813C7" w:rsidRDefault="00D07FEB" w:rsidP="00CD23E9">
            <w:pPr>
              <w:spacing w:line="360" w:lineRule="auto"/>
              <w:jc w:val="both"/>
              <w:rPr>
                <w:rFonts w:ascii="Times New Roman" w:hAnsi="Times New Roman" w:cs="Times New Roman"/>
                <w:sz w:val="24"/>
                <w:szCs w:val="24"/>
              </w:rPr>
            </w:pPr>
            <w:r w:rsidRPr="005813C7">
              <w:rPr>
                <w:rFonts w:ascii="Times New Roman" w:hAnsi="Times New Roman" w:cs="Times New Roman"/>
                <w:sz w:val="24"/>
                <w:szCs w:val="24"/>
              </w:rPr>
              <w:t>Typical for G unit</w:t>
            </w:r>
          </w:p>
        </w:tc>
      </w:tr>
      <w:tr w:rsidR="00D07FEB" w:rsidRPr="005813C7" w14:paraId="57EF5B7B" w14:textId="77777777" w:rsidTr="00DE666E">
        <w:trPr>
          <w:trHeight w:val="394"/>
          <w:jc w:val="center"/>
        </w:trPr>
        <w:tc>
          <w:tcPr>
            <w:tcW w:w="2143" w:type="dxa"/>
          </w:tcPr>
          <w:p w14:paraId="61FE2B04" w14:textId="77777777" w:rsidR="00D07FEB" w:rsidRPr="005813C7" w:rsidRDefault="00D07FEB" w:rsidP="00CD23E9">
            <w:pPr>
              <w:spacing w:line="360" w:lineRule="auto"/>
              <w:jc w:val="both"/>
              <w:rPr>
                <w:rFonts w:ascii="Times New Roman" w:hAnsi="Times New Roman" w:cs="Times New Roman"/>
                <w:sz w:val="24"/>
                <w:szCs w:val="24"/>
              </w:rPr>
            </w:pPr>
            <w:r w:rsidRPr="005813C7">
              <w:rPr>
                <w:rFonts w:ascii="Times New Roman" w:hAnsi="Times New Roman" w:cs="Times New Roman"/>
                <w:sz w:val="24"/>
                <w:szCs w:val="24"/>
              </w:rPr>
              <w:t>1128-1086</w:t>
            </w:r>
          </w:p>
        </w:tc>
        <w:tc>
          <w:tcPr>
            <w:tcW w:w="6452" w:type="dxa"/>
          </w:tcPr>
          <w:p w14:paraId="6EC520FA" w14:textId="77777777" w:rsidR="00D07FEB" w:rsidRPr="005813C7" w:rsidRDefault="00D07FEB" w:rsidP="00CD23E9">
            <w:pPr>
              <w:spacing w:line="360" w:lineRule="auto"/>
              <w:jc w:val="both"/>
              <w:rPr>
                <w:rFonts w:ascii="Times New Roman" w:hAnsi="Times New Roman" w:cs="Times New Roman"/>
                <w:sz w:val="24"/>
                <w:szCs w:val="24"/>
              </w:rPr>
            </w:pPr>
            <w:r w:rsidRPr="005813C7">
              <w:rPr>
                <w:rFonts w:ascii="Times New Roman" w:hAnsi="Times New Roman" w:cs="Times New Roman"/>
                <w:sz w:val="24"/>
                <w:szCs w:val="24"/>
              </w:rPr>
              <w:t>Typical for S unit</w:t>
            </w:r>
          </w:p>
        </w:tc>
      </w:tr>
      <w:tr w:rsidR="00D07FEB" w:rsidRPr="005813C7" w14:paraId="2A0A8E95" w14:textId="77777777" w:rsidTr="00DE666E">
        <w:trPr>
          <w:trHeight w:val="790"/>
          <w:jc w:val="center"/>
        </w:trPr>
        <w:tc>
          <w:tcPr>
            <w:tcW w:w="2143" w:type="dxa"/>
          </w:tcPr>
          <w:p w14:paraId="1495568D" w14:textId="77777777" w:rsidR="00D07FEB" w:rsidRPr="005813C7" w:rsidRDefault="00D07FEB" w:rsidP="00CD23E9">
            <w:pPr>
              <w:spacing w:line="360" w:lineRule="auto"/>
              <w:jc w:val="both"/>
              <w:rPr>
                <w:rFonts w:ascii="Times New Roman" w:hAnsi="Times New Roman" w:cs="Times New Roman"/>
                <w:sz w:val="24"/>
                <w:szCs w:val="24"/>
              </w:rPr>
            </w:pPr>
            <w:r w:rsidRPr="005813C7">
              <w:rPr>
                <w:rFonts w:ascii="Times New Roman" w:hAnsi="Times New Roman" w:cs="Times New Roman"/>
                <w:sz w:val="24"/>
                <w:szCs w:val="24"/>
              </w:rPr>
              <w:t>1037-1028</w:t>
            </w:r>
          </w:p>
        </w:tc>
        <w:tc>
          <w:tcPr>
            <w:tcW w:w="6452" w:type="dxa"/>
          </w:tcPr>
          <w:p w14:paraId="40262308" w14:textId="77777777" w:rsidR="00D07FEB" w:rsidRPr="005813C7" w:rsidRDefault="00D07FEB" w:rsidP="00CD23E9">
            <w:pPr>
              <w:spacing w:line="360" w:lineRule="auto"/>
              <w:jc w:val="both"/>
              <w:rPr>
                <w:rFonts w:ascii="Times New Roman" w:hAnsi="Times New Roman" w:cs="Times New Roman"/>
                <w:sz w:val="24"/>
                <w:szCs w:val="24"/>
              </w:rPr>
            </w:pPr>
            <w:r w:rsidRPr="005813C7">
              <w:rPr>
                <w:rFonts w:ascii="Times New Roman" w:hAnsi="Times New Roman" w:cs="Times New Roman"/>
                <w:sz w:val="24"/>
                <w:szCs w:val="24"/>
              </w:rPr>
              <w:t>Aromatic C-H in plane deformation (G &gt; S)</w:t>
            </w:r>
          </w:p>
        </w:tc>
      </w:tr>
      <w:tr w:rsidR="00D07FEB" w:rsidRPr="005813C7" w14:paraId="0969CD59" w14:textId="77777777" w:rsidTr="00DE666E">
        <w:trPr>
          <w:trHeight w:val="394"/>
          <w:jc w:val="center"/>
        </w:trPr>
        <w:tc>
          <w:tcPr>
            <w:tcW w:w="2143" w:type="dxa"/>
          </w:tcPr>
          <w:p w14:paraId="720CBD4C" w14:textId="77777777" w:rsidR="00D07FEB" w:rsidRPr="005813C7" w:rsidRDefault="00D07FEB" w:rsidP="00CD23E9">
            <w:pPr>
              <w:spacing w:line="360" w:lineRule="auto"/>
              <w:jc w:val="both"/>
              <w:rPr>
                <w:rFonts w:ascii="Times New Roman" w:hAnsi="Times New Roman" w:cs="Times New Roman"/>
                <w:sz w:val="24"/>
                <w:szCs w:val="24"/>
              </w:rPr>
            </w:pPr>
            <w:r w:rsidRPr="005813C7">
              <w:rPr>
                <w:rFonts w:ascii="Times New Roman" w:hAnsi="Times New Roman" w:cs="Times New Roman"/>
                <w:sz w:val="24"/>
                <w:szCs w:val="24"/>
              </w:rPr>
              <w:t>1035-1030</w:t>
            </w:r>
          </w:p>
        </w:tc>
        <w:tc>
          <w:tcPr>
            <w:tcW w:w="6452" w:type="dxa"/>
          </w:tcPr>
          <w:p w14:paraId="6DC6FE46" w14:textId="77777777" w:rsidR="00D07FEB" w:rsidRPr="005813C7" w:rsidRDefault="00D07FEB" w:rsidP="00CD23E9">
            <w:pPr>
              <w:spacing w:line="360" w:lineRule="auto"/>
              <w:jc w:val="both"/>
              <w:rPr>
                <w:rFonts w:ascii="Times New Roman" w:hAnsi="Times New Roman" w:cs="Times New Roman"/>
                <w:sz w:val="24"/>
                <w:szCs w:val="24"/>
              </w:rPr>
            </w:pPr>
            <w:r w:rsidRPr="005813C7">
              <w:rPr>
                <w:rFonts w:ascii="Times New Roman" w:hAnsi="Times New Roman" w:cs="Times New Roman"/>
                <w:sz w:val="24"/>
                <w:szCs w:val="24"/>
              </w:rPr>
              <w:t>Glycosidic C-O-C, hemicelluloses</w:t>
            </w:r>
          </w:p>
        </w:tc>
      </w:tr>
      <w:tr w:rsidR="00D07FEB" w:rsidRPr="005813C7" w14:paraId="1009C4DF" w14:textId="77777777" w:rsidTr="00DE666E">
        <w:trPr>
          <w:trHeight w:val="394"/>
          <w:jc w:val="center"/>
        </w:trPr>
        <w:tc>
          <w:tcPr>
            <w:tcW w:w="2143" w:type="dxa"/>
            <w:tcBorders>
              <w:bottom w:val="single" w:sz="4" w:space="0" w:color="auto"/>
            </w:tcBorders>
          </w:tcPr>
          <w:p w14:paraId="3AF77E17" w14:textId="77777777" w:rsidR="00D07FEB" w:rsidRPr="005813C7" w:rsidRDefault="00D07FEB" w:rsidP="00CD23E9">
            <w:pPr>
              <w:spacing w:line="360" w:lineRule="auto"/>
              <w:jc w:val="both"/>
              <w:rPr>
                <w:rFonts w:ascii="Times New Roman" w:hAnsi="Times New Roman" w:cs="Times New Roman"/>
                <w:sz w:val="24"/>
                <w:szCs w:val="24"/>
              </w:rPr>
            </w:pPr>
            <w:r w:rsidRPr="005813C7">
              <w:rPr>
                <w:rFonts w:ascii="Times New Roman" w:hAnsi="Times New Roman" w:cs="Times New Roman"/>
                <w:sz w:val="24"/>
                <w:szCs w:val="24"/>
              </w:rPr>
              <w:t>898</w:t>
            </w:r>
          </w:p>
        </w:tc>
        <w:tc>
          <w:tcPr>
            <w:tcW w:w="6452" w:type="dxa"/>
            <w:tcBorders>
              <w:bottom w:val="single" w:sz="4" w:space="0" w:color="auto"/>
            </w:tcBorders>
          </w:tcPr>
          <w:p w14:paraId="43ACF905" w14:textId="77777777" w:rsidR="00D07FEB" w:rsidRPr="005813C7" w:rsidRDefault="00D07FEB" w:rsidP="00CD23E9">
            <w:pPr>
              <w:spacing w:line="360" w:lineRule="auto"/>
              <w:jc w:val="both"/>
              <w:rPr>
                <w:rFonts w:ascii="Times New Roman" w:hAnsi="Times New Roman" w:cs="Times New Roman"/>
                <w:sz w:val="24"/>
                <w:szCs w:val="24"/>
              </w:rPr>
            </w:pPr>
            <w:r w:rsidRPr="005813C7">
              <w:rPr>
                <w:rFonts w:ascii="Times New Roman" w:hAnsi="Times New Roman" w:cs="Times New Roman"/>
                <w:sz w:val="24"/>
                <w:szCs w:val="24"/>
              </w:rPr>
              <w:t>Presense of cellulose</w:t>
            </w:r>
          </w:p>
        </w:tc>
      </w:tr>
      <w:tr w:rsidR="00D07FEB" w:rsidRPr="005813C7" w14:paraId="27403B3C" w14:textId="77777777" w:rsidTr="00DE666E">
        <w:trPr>
          <w:trHeight w:val="394"/>
          <w:jc w:val="center"/>
        </w:trPr>
        <w:tc>
          <w:tcPr>
            <w:tcW w:w="2143" w:type="dxa"/>
            <w:tcBorders>
              <w:bottom w:val="nil"/>
            </w:tcBorders>
          </w:tcPr>
          <w:p w14:paraId="61D26272" w14:textId="77777777" w:rsidR="00D07FEB" w:rsidRPr="005813C7" w:rsidRDefault="00D07FEB" w:rsidP="00CD23E9">
            <w:pPr>
              <w:spacing w:line="360" w:lineRule="auto"/>
              <w:jc w:val="both"/>
              <w:rPr>
                <w:rFonts w:ascii="Times New Roman" w:hAnsi="Times New Roman" w:cs="Times New Roman"/>
                <w:sz w:val="24"/>
                <w:szCs w:val="24"/>
              </w:rPr>
            </w:pPr>
          </w:p>
        </w:tc>
        <w:tc>
          <w:tcPr>
            <w:tcW w:w="6452" w:type="dxa"/>
            <w:tcBorders>
              <w:bottom w:val="nil"/>
            </w:tcBorders>
          </w:tcPr>
          <w:p w14:paraId="5F179B89" w14:textId="77777777" w:rsidR="00D07FEB" w:rsidRPr="005813C7" w:rsidRDefault="00D07FEB" w:rsidP="00CD23E9">
            <w:pPr>
              <w:spacing w:line="360" w:lineRule="auto"/>
              <w:jc w:val="both"/>
              <w:rPr>
                <w:rFonts w:ascii="Times New Roman" w:hAnsi="Times New Roman" w:cs="Times New Roman"/>
                <w:sz w:val="24"/>
                <w:szCs w:val="24"/>
              </w:rPr>
            </w:pPr>
          </w:p>
        </w:tc>
      </w:tr>
    </w:tbl>
    <w:p w14:paraId="645FE21C" w14:textId="77777777" w:rsidR="00DE666E" w:rsidRDefault="00DE666E" w:rsidP="00DE666E">
      <w:pPr>
        <w:pStyle w:val="Caption"/>
        <w:keepNext/>
        <w:spacing w:before="0" w:beforeAutospacing="0" w:line="360" w:lineRule="auto"/>
        <w:rPr>
          <w:rFonts w:cs="Times New Roman"/>
          <w:sz w:val="24"/>
          <w:szCs w:val="24"/>
        </w:rPr>
      </w:pPr>
      <w:bookmarkStart w:id="20" w:name="_Ref87278786"/>
      <w:bookmarkStart w:id="21" w:name="_Toc101958158"/>
      <w:bookmarkEnd w:id="19"/>
    </w:p>
    <w:p w14:paraId="33C0BDDE" w14:textId="77777777" w:rsidR="00DE666E" w:rsidRDefault="00DE666E">
      <w:pPr>
        <w:rPr>
          <w:rFonts w:ascii="Times New Roman" w:eastAsiaTheme="minorHAnsi" w:hAnsi="Times New Roman" w:cs="Times New Roman"/>
          <w:i/>
          <w:iCs/>
          <w:color w:val="44546A" w:themeColor="text2"/>
          <w:kern w:val="0"/>
          <w:sz w:val="24"/>
          <w:szCs w:val="24"/>
          <w:lang w:eastAsia="en-US"/>
          <w14:ligatures w14:val="none"/>
        </w:rPr>
      </w:pPr>
      <w:r>
        <w:rPr>
          <w:rFonts w:cs="Times New Roman"/>
          <w:sz w:val="24"/>
          <w:szCs w:val="24"/>
        </w:rPr>
        <w:br w:type="page"/>
      </w:r>
    </w:p>
    <w:p w14:paraId="4B4A5C5C" w14:textId="1EA7E324" w:rsidR="00DE666E" w:rsidRPr="00DE666E" w:rsidRDefault="00DE666E" w:rsidP="00DE666E">
      <w:pPr>
        <w:pStyle w:val="Caption"/>
        <w:keepNext/>
        <w:spacing w:before="0" w:beforeAutospacing="0" w:line="360" w:lineRule="auto"/>
        <w:rPr>
          <w:rFonts w:cs="Times New Roman"/>
          <w:i w:val="0"/>
          <w:iCs w:val="0"/>
          <w:color w:val="auto"/>
          <w:sz w:val="24"/>
          <w:szCs w:val="24"/>
        </w:rPr>
      </w:pPr>
      <w:r w:rsidRPr="00DE666E">
        <w:rPr>
          <w:rFonts w:cs="Times New Roman"/>
          <w:b/>
          <w:bCs/>
          <w:i w:val="0"/>
          <w:iCs w:val="0"/>
          <w:color w:val="auto"/>
          <w:sz w:val="24"/>
          <w:szCs w:val="24"/>
        </w:rPr>
        <w:lastRenderedPageBreak/>
        <w:t>Table S</w:t>
      </w:r>
      <w:r w:rsidRPr="00DE666E">
        <w:rPr>
          <w:rFonts w:cs="Times New Roman"/>
          <w:b/>
          <w:bCs/>
          <w:i w:val="0"/>
          <w:iCs w:val="0"/>
          <w:color w:val="auto"/>
          <w:sz w:val="24"/>
          <w:szCs w:val="24"/>
        </w:rPr>
        <w:fldChar w:fldCharType="begin"/>
      </w:r>
      <w:r w:rsidRPr="00DE666E">
        <w:rPr>
          <w:rFonts w:cs="Times New Roman"/>
          <w:b/>
          <w:bCs/>
          <w:i w:val="0"/>
          <w:iCs w:val="0"/>
          <w:color w:val="auto"/>
          <w:sz w:val="24"/>
          <w:szCs w:val="24"/>
        </w:rPr>
        <w:instrText xml:space="preserve"> SEQ Table \* ARABIC </w:instrText>
      </w:r>
      <w:r w:rsidRPr="00DE666E">
        <w:rPr>
          <w:rFonts w:cs="Times New Roman"/>
          <w:b/>
          <w:bCs/>
          <w:i w:val="0"/>
          <w:iCs w:val="0"/>
          <w:color w:val="auto"/>
          <w:sz w:val="24"/>
          <w:szCs w:val="24"/>
        </w:rPr>
        <w:fldChar w:fldCharType="separate"/>
      </w:r>
      <w:r>
        <w:rPr>
          <w:rFonts w:cs="Times New Roman"/>
          <w:b/>
          <w:bCs/>
          <w:i w:val="0"/>
          <w:iCs w:val="0"/>
          <w:noProof/>
          <w:color w:val="auto"/>
          <w:sz w:val="24"/>
          <w:szCs w:val="24"/>
        </w:rPr>
        <w:t>5</w:t>
      </w:r>
      <w:r w:rsidRPr="00DE666E">
        <w:rPr>
          <w:rFonts w:cs="Times New Roman"/>
          <w:b/>
          <w:bCs/>
          <w:i w:val="0"/>
          <w:iCs w:val="0"/>
          <w:noProof/>
          <w:color w:val="auto"/>
          <w:sz w:val="24"/>
          <w:szCs w:val="24"/>
        </w:rPr>
        <w:fldChar w:fldCharType="end"/>
      </w:r>
      <w:bookmarkEnd w:id="20"/>
      <w:r w:rsidRPr="00DE666E">
        <w:rPr>
          <w:rFonts w:cs="Times New Roman"/>
          <w:i w:val="0"/>
          <w:iCs w:val="0"/>
          <w:color w:val="auto"/>
          <w:sz w:val="24"/>
          <w:szCs w:val="24"/>
        </w:rPr>
        <w:t>. Solubility of 50mg of samples in 0.5 mL of solvent, a solution used for NMR analysis</w:t>
      </w:r>
      <w:bookmarkEnd w:id="21"/>
    </w:p>
    <w:tbl>
      <w:tblPr>
        <w:tblStyle w:val="TableGrid2"/>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3"/>
        <w:gridCol w:w="2055"/>
        <w:gridCol w:w="2126"/>
        <w:gridCol w:w="2312"/>
      </w:tblGrid>
      <w:tr w:rsidR="00DE666E" w:rsidRPr="005813C7" w14:paraId="262AC187" w14:textId="77777777" w:rsidTr="00CD23E9">
        <w:trPr>
          <w:jc w:val="center"/>
        </w:trPr>
        <w:tc>
          <w:tcPr>
            <w:tcW w:w="2540" w:type="dxa"/>
            <w:tcBorders>
              <w:top w:val="single" w:sz="4" w:space="0" w:color="auto"/>
              <w:bottom w:val="single" w:sz="12" w:space="0" w:color="auto"/>
            </w:tcBorders>
            <w:hideMark/>
          </w:tcPr>
          <w:p w14:paraId="7EC60C69" w14:textId="77777777" w:rsidR="00DE666E" w:rsidRPr="005813C7" w:rsidRDefault="00DE666E" w:rsidP="00CD23E9">
            <w:pPr>
              <w:spacing w:line="360" w:lineRule="auto"/>
              <w:jc w:val="both"/>
              <w:rPr>
                <w:b/>
                <w:bCs/>
                <w:sz w:val="24"/>
                <w:szCs w:val="24"/>
              </w:rPr>
            </w:pPr>
            <w:r w:rsidRPr="005813C7">
              <w:rPr>
                <w:b/>
                <w:bCs/>
                <w:sz w:val="24"/>
                <w:szCs w:val="24"/>
              </w:rPr>
              <w:t>Sample/Solubility</w:t>
            </w:r>
          </w:p>
        </w:tc>
        <w:tc>
          <w:tcPr>
            <w:tcW w:w="2068" w:type="dxa"/>
            <w:tcBorders>
              <w:top w:val="single" w:sz="4" w:space="0" w:color="auto"/>
              <w:bottom w:val="single" w:sz="12" w:space="0" w:color="auto"/>
            </w:tcBorders>
            <w:hideMark/>
          </w:tcPr>
          <w:p w14:paraId="0ED713EE" w14:textId="77777777" w:rsidR="00DE666E" w:rsidRPr="005813C7" w:rsidRDefault="00DE666E" w:rsidP="00CD23E9">
            <w:pPr>
              <w:spacing w:line="360" w:lineRule="auto"/>
              <w:jc w:val="both"/>
              <w:rPr>
                <w:b/>
                <w:bCs/>
                <w:sz w:val="24"/>
                <w:szCs w:val="24"/>
              </w:rPr>
            </w:pPr>
            <w:r w:rsidRPr="005813C7">
              <w:rPr>
                <w:b/>
                <w:bCs/>
                <w:sz w:val="24"/>
                <w:szCs w:val="24"/>
              </w:rPr>
              <w:t>Name</w:t>
            </w:r>
          </w:p>
        </w:tc>
        <w:tc>
          <w:tcPr>
            <w:tcW w:w="2140" w:type="dxa"/>
            <w:tcBorders>
              <w:top w:val="single" w:sz="4" w:space="0" w:color="auto"/>
              <w:bottom w:val="single" w:sz="12" w:space="0" w:color="auto"/>
            </w:tcBorders>
            <w:hideMark/>
          </w:tcPr>
          <w:p w14:paraId="6C2447A2" w14:textId="77777777" w:rsidR="00DE666E" w:rsidRPr="005813C7" w:rsidRDefault="00DE666E" w:rsidP="00CD23E9">
            <w:pPr>
              <w:spacing w:line="360" w:lineRule="auto"/>
              <w:jc w:val="both"/>
              <w:rPr>
                <w:b/>
                <w:bCs/>
                <w:sz w:val="24"/>
                <w:szCs w:val="24"/>
              </w:rPr>
            </w:pPr>
            <w:r w:rsidRPr="005813C7">
              <w:rPr>
                <w:b/>
                <w:bCs/>
                <w:sz w:val="24"/>
                <w:szCs w:val="24"/>
              </w:rPr>
              <w:t>In DMSO</w:t>
            </w:r>
          </w:p>
        </w:tc>
        <w:tc>
          <w:tcPr>
            <w:tcW w:w="2322" w:type="dxa"/>
            <w:tcBorders>
              <w:top w:val="single" w:sz="4" w:space="0" w:color="auto"/>
              <w:bottom w:val="single" w:sz="12" w:space="0" w:color="auto"/>
            </w:tcBorders>
            <w:hideMark/>
          </w:tcPr>
          <w:p w14:paraId="46DCF834" w14:textId="77777777" w:rsidR="00DE666E" w:rsidRPr="005813C7" w:rsidRDefault="00DE666E" w:rsidP="00CD23E9">
            <w:pPr>
              <w:spacing w:line="360" w:lineRule="auto"/>
              <w:jc w:val="both"/>
              <w:rPr>
                <w:b/>
                <w:bCs/>
                <w:sz w:val="24"/>
                <w:szCs w:val="24"/>
              </w:rPr>
            </w:pPr>
            <w:r w:rsidRPr="005813C7">
              <w:rPr>
                <w:b/>
                <w:bCs/>
                <w:sz w:val="24"/>
                <w:szCs w:val="24"/>
              </w:rPr>
              <w:t>In Chloroform</w:t>
            </w:r>
          </w:p>
        </w:tc>
      </w:tr>
      <w:tr w:rsidR="00DE666E" w:rsidRPr="005813C7" w14:paraId="7130BC23" w14:textId="77777777" w:rsidTr="00CD23E9">
        <w:trPr>
          <w:jc w:val="center"/>
        </w:trPr>
        <w:tc>
          <w:tcPr>
            <w:tcW w:w="2540" w:type="dxa"/>
            <w:tcBorders>
              <w:top w:val="single" w:sz="12" w:space="0" w:color="auto"/>
            </w:tcBorders>
            <w:hideMark/>
          </w:tcPr>
          <w:p w14:paraId="514F1B54" w14:textId="77777777" w:rsidR="00DE666E" w:rsidRPr="005813C7" w:rsidRDefault="00DE666E" w:rsidP="00CD23E9">
            <w:pPr>
              <w:spacing w:line="360" w:lineRule="auto"/>
              <w:jc w:val="both"/>
              <w:rPr>
                <w:sz w:val="24"/>
                <w:szCs w:val="24"/>
              </w:rPr>
            </w:pPr>
            <w:r w:rsidRPr="005813C7">
              <w:rPr>
                <w:sz w:val="24"/>
                <w:szCs w:val="24"/>
              </w:rPr>
              <w:t>Sample 1</w:t>
            </w:r>
          </w:p>
        </w:tc>
        <w:tc>
          <w:tcPr>
            <w:tcW w:w="2068" w:type="dxa"/>
            <w:tcBorders>
              <w:top w:val="single" w:sz="12" w:space="0" w:color="auto"/>
            </w:tcBorders>
            <w:hideMark/>
          </w:tcPr>
          <w:p w14:paraId="62D843B3" w14:textId="77777777" w:rsidR="00DE666E" w:rsidRPr="005813C7" w:rsidRDefault="00DE666E" w:rsidP="00CD23E9">
            <w:pPr>
              <w:spacing w:line="360" w:lineRule="auto"/>
              <w:jc w:val="both"/>
              <w:rPr>
                <w:sz w:val="24"/>
                <w:szCs w:val="24"/>
              </w:rPr>
            </w:pPr>
            <w:r w:rsidRPr="005813C7">
              <w:rPr>
                <w:sz w:val="24"/>
                <w:szCs w:val="24"/>
              </w:rPr>
              <w:t>EHL</w:t>
            </w:r>
          </w:p>
        </w:tc>
        <w:tc>
          <w:tcPr>
            <w:tcW w:w="2140" w:type="dxa"/>
            <w:tcBorders>
              <w:top w:val="single" w:sz="12" w:space="0" w:color="auto"/>
            </w:tcBorders>
            <w:hideMark/>
          </w:tcPr>
          <w:p w14:paraId="1DAA103B" w14:textId="77777777" w:rsidR="00DE666E" w:rsidRPr="005813C7" w:rsidRDefault="00DE666E" w:rsidP="00CD23E9">
            <w:pPr>
              <w:spacing w:line="360" w:lineRule="auto"/>
              <w:jc w:val="both"/>
              <w:rPr>
                <w:sz w:val="24"/>
                <w:szCs w:val="24"/>
              </w:rPr>
            </w:pPr>
            <w:r w:rsidRPr="005813C7">
              <w:rPr>
                <w:sz w:val="24"/>
                <w:szCs w:val="24"/>
              </w:rPr>
              <w:t>Good</w:t>
            </w:r>
          </w:p>
        </w:tc>
        <w:tc>
          <w:tcPr>
            <w:tcW w:w="2322" w:type="dxa"/>
            <w:tcBorders>
              <w:top w:val="single" w:sz="12" w:space="0" w:color="auto"/>
            </w:tcBorders>
            <w:hideMark/>
          </w:tcPr>
          <w:p w14:paraId="203D77FC" w14:textId="77777777" w:rsidR="00DE666E" w:rsidRPr="005813C7" w:rsidRDefault="00DE666E" w:rsidP="00CD23E9">
            <w:pPr>
              <w:spacing w:line="360" w:lineRule="auto"/>
              <w:jc w:val="both"/>
              <w:rPr>
                <w:sz w:val="24"/>
                <w:szCs w:val="24"/>
              </w:rPr>
            </w:pPr>
            <w:r w:rsidRPr="005813C7">
              <w:rPr>
                <w:sz w:val="24"/>
                <w:szCs w:val="24"/>
              </w:rPr>
              <w:t>Good</w:t>
            </w:r>
          </w:p>
        </w:tc>
      </w:tr>
      <w:tr w:rsidR="00DE666E" w:rsidRPr="005813C7" w14:paraId="0FC12F07" w14:textId="77777777" w:rsidTr="00CD23E9">
        <w:trPr>
          <w:jc w:val="center"/>
        </w:trPr>
        <w:tc>
          <w:tcPr>
            <w:tcW w:w="2540" w:type="dxa"/>
            <w:hideMark/>
          </w:tcPr>
          <w:p w14:paraId="75AE7064" w14:textId="77777777" w:rsidR="00DE666E" w:rsidRPr="005813C7" w:rsidRDefault="00DE666E" w:rsidP="00CD23E9">
            <w:pPr>
              <w:spacing w:line="360" w:lineRule="auto"/>
              <w:jc w:val="both"/>
              <w:rPr>
                <w:sz w:val="24"/>
                <w:szCs w:val="24"/>
              </w:rPr>
            </w:pPr>
            <w:r w:rsidRPr="005813C7">
              <w:rPr>
                <w:sz w:val="24"/>
                <w:szCs w:val="24"/>
              </w:rPr>
              <w:t>Sample 2</w:t>
            </w:r>
          </w:p>
        </w:tc>
        <w:tc>
          <w:tcPr>
            <w:tcW w:w="2068" w:type="dxa"/>
            <w:shd w:val="clear" w:color="auto" w:fill="auto"/>
          </w:tcPr>
          <w:p w14:paraId="401A98E6" w14:textId="77777777" w:rsidR="00DE666E" w:rsidRPr="005813C7" w:rsidRDefault="00DE666E" w:rsidP="00CD23E9">
            <w:pPr>
              <w:spacing w:line="360" w:lineRule="auto"/>
              <w:jc w:val="both"/>
              <w:rPr>
                <w:sz w:val="24"/>
                <w:szCs w:val="24"/>
              </w:rPr>
            </w:pPr>
            <w:r w:rsidRPr="005813C7">
              <w:rPr>
                <w:sz w:val="24"/>
                <w:szCs w:val="24"/>
              </w:rPr>
              <w:t>LG4</w:t>
            </w:r>
          </w:p>
        </w:tc>
        <w:tc>
          <w:tcPr>
            <w:tcW w:w="2140" w:type="dxa"/>
            <w:hideMark/>
          </w:tcPr>
          <w:p w14:paraId="57689109" w14:textId="77777777" w:rsidR="00DE666E" w:rsidRPr="005813C7" w:rsidRDefault="00DE666E" w:rsidP="00CD23E9">
            <w:pPr>
              <w:spacing w:line="360" w:lineRule="auto"/>
              <w:jc w:val="both"/>
              <w:rPr>
                <w:sz w:val="24"/>
                <w:szCs w:val="24"/>
              </w:rPr>
            </w:pPr>
            <w:r w:rsidRPr="005813C7">
              <w:rPr>
                <w:sz w:val="24"/>
                <w:szCs w:val="24"/>
              </w:rPr>
              <w:t>Fully</w:t>
            </w:r>
          </w:p>
        </w:tc>
        <w:tc>
          <w:tcPr>
            <w:tcW w:w="2322" w:type="dxa"/>
            <w:hideMark/>
          </w:tcPr>
          <w:p w14:paraId="6190EC2C" w14:textId="77777777" w:rsidR="00DE666E" w:rsidRPr="005813C7" w:rsidRDefault="00DE666E" w:rsidP="00CD23E9">
            <w:pPr>
              <w:spacing w:line="360" w:lineRule="auto"/>
              <w:jc w:val="both"/>
              <w:rPr>
                <w:sz w:val="24"/>
                <w:szCs w:val="24"/>
              </w:rPr>
            </w:pPr>
            <w:r w:rsidRPr="005813C7">
              <w:rPr>
                <w:sz w:val="24"/>
                <w:szCs w:val="24"/>
              </w:rPr>
              <w:t>Poor</w:t>
            </w:r>
          </w:p>
        </w:tc>
      </w:tr>
      <w:tr w:rsidR="00DE666E" w:rsidRPr="005813C7" w14:paraId="1161C01D" w14:textId="77777777" w:rsidTr="00CD23E9">
        <w:trPr>
          <w:jc w:val="center"/>
        </w:trPr>
        <w:tc>
          <w:tcPr>
            <w:tcW w:w="2540" w:type="dxa"/>
            <w:hideMark/>
          </w:tcPr>
          <w:p w14:paraId="0135C742" w14:textId="77777777" w:rsidR="00DE666E" w:rsidRPr="005813C7" w:rsidRDefault="00DE666E" w:rsidP="00CD23E9">
            <w:pPr>
              <w:spacing w:line="360" w:lineRule="auto"/>
              <w:jc w:val="both"/>
              <w:rPr>
                <w:sz w:val="24"/>
                <w:szCs w:val="24"/>
              </w:rPr>
            </w:pPr>
            <w:r w:rsidRPr="005813C7">
              <w:rPr>
                <w:sz w:val="24"/>
                <w:szCs w:val="24"/>
              </w:rPr>
              <w:t>Sample 3</w:t>
            </w:r>
          </w:p>
        </w:tc>
        <w:tc>
          <w:tcPr>
            <w:tcW w:w="2068" w:type="dxa"/>
            <w:shd w:val="clear" w:color="auto" w:fill="auto"/>
          </w:tcPr>
          <w:p w14:paraId="0729ECCC" w14:textId="77777777" w:rsidR="00DE666E" w:rsidRPr="005813C7" w:rsidRDefault="00DE666E" w:rsidP="00CD23E9">
            <w:pPr>
              <w:spacing w:line="360" w:lineRule="auto"/>
              <w:jc w:val="both"/>
              <w:rPr>
                <w:sz w:val="24"/>
                <w:szCs w:val="24"/>
              </w:rPr>
            </w:pPr>
            <w:r w:rsidRPr="005813C7">
              <w:rPr>
                <w:sz w:val="24"/>
                <w:szCs w:val="24"/>
              </w:rPr>
              <w:t>LG1.5</w:t>
            </w:r>
          </w:p>
        </w:tc>
        <w:tc>
          <w:tcPr>
            <w:tcW w:w="2140" w:type="dxa"/>
            <w:hideMark/>
          </w:tcPr>
          <w:p w14:paraId="6E6DFBF7" w14:textId="77777777" w:rsidR="00DE666E" w:rsidRPr="005813C7" w:rsidRDefault="00DE666E" w:rsidP="00CD23E9">
            <w:pPr>
              <w:spacing w:line="360" w:lineRule="auto"/>
              <w:jc w:val="both"/>
              <w:rPr>
                <w:sz w:val="24"/>
                <w:szCs w:val="24"/>
              </w:rPr>
            </w:pPr>
            <w:r w:rsidRPr="005813C7">
              <w:rPr>
                <w:sz w:val="24"/>
                <w:szCs w:val="24"/>
              </w:rPr>
              <w:t>Fully</w:t>
            </w:r>
          </w:p>
        </w:tc>
        <w:tc>
          <w:tcPr>
            <w:tcW w:w="2322" w:type="dxa"/>
            <w:hideMark/>
          </w:tcPr>
          <w:p w14:paraId="0C681E5E" w14:textId="77777777" w:rsidR="00DE666E" w:rsidRPr="005813C7" w:rsidRDefault="00DE666E" w:rsidP="00CD23E9">
            <w:pPr>
              <w:spacing w:line="360" w:lineRule="auto"/>
              <w:jc w:val="both"/>
              <w:rPr>
                <w:sz w:val="24"/>
                <w:szCs w:val="24"/>
              </w:rPr>
            </w:pPr>
            <w:r w:rsidRPr="005813C7">
              <w:rPr>
                <w:sz w:val="24"/>
                <w:szCs w:val="24"/>
              </w:rPr>
              <w:t>Poor</w:t>
            </w:r>
          </w:p>
        </w:tc>
      </w:tr>
      <w:tr w:rsidR="00DE666E" w:rsidRPr="005813C7" w14:paraId="56ACF570" w14:textId="77777777" w:rsidTr="00CD23E9">
        <w:trPr>
          <w:jc w:val="center"/>
        </w:trPr>
        <w:tc>
          <w:tcPr>
            <w:tcW w:w="2540" w:type="dxa"/>
            <w:hideMark/>
          </w:tcPr>
          <w:p w14:paraId="6E13C258" w14:textId="77777777" w:rsidR="00DE666E" w:rsidRPr="005813C7" w:rsidRDefault="00DE666E" w:rsidP="00CD23E9">
            <w:pPr>
              <w:spacing w:line="360" w:lineRule="auto"/>
              <w:jc w:val="both"/>
              <w:rPr>
                <w:sz w:val="24"/>
                <w:szCs w:val="24"/>
              </w:rPr>
            </w:pPr>
            <w:r w:rsidRPr="005813C7">
              <w:rPr>
                <w:sz w:val="24"/>
                <w:szCs w:val="24"/>
              </w:rPr>
              <w:t>Sample 4</w:t>
            </w:r>
          </w:p>
        </w:tc>
        <w:tc>
          <w:tcPr>
            <w:tcW w:w="2068" w:type="dxa"/>
            <w:shd w:val="clear" w:color="auto" w:fill="auto"/>
          </w:tcPr>
          <w:p w14:paraId="07139173" w14:textId="77777777" w:rsidR="00DE666E" w:rsidRPr="005813C7" w:rsidRDefault="00DE666E" w:rsidP="00CD23E9">
            <w:pPr>
              <w:spacing w:line="360" w:lineRule="auto"/>
              <w:jc w:val="both"/>
              <w:rPr>
                <w:sz w:val="24"/>
                <w:szCs w:val="24"/>
              </w:rPr>
            </w:pPr>
            <w:r w:rsidRPr="005813C7">
              <w:rPr>
                <w:sz w:val="24"/>
                <w:szCs w:val="24"/>
              </w:rPr>
              <w:t>HTBW</w:t>
            </w:r>
          </w:p>
        </w:tc>
        <w:tc>
          <w:tcPr>
            <w:tcW w:w="2140" w:type="dxa"/>
            <w:hideMark/>
          </w:tcPr>
          <w:p w14:paraId="14BF9669" w14:textId="77777777" w:rsidR="00DE666E" w:rsidRPr="005813C7" w:rsidRDefault="00DE666E" w:rsidP="00CD23E9">
            <w:pPr>
              <w:spacing w:line="360" w:lineRule="auto"/>
              <w:jc w:val="both"/>
              <w:rPr>
                <w:sz w:val="24"/>
                <w:szCs w:val="24"/>
              </w:rPr>
            </w:pPr>
            <w:r w:rsidRPr="005813C7">
              <w:rPr>
                <w:sz w:val="24"/>
                <w:szCs w:val="24"/>
              </w:rPr>
              <w:t>None</w:t>
            </w:r>
          </w:p>
        </w:tc>
        <w:tc>
          <w:tcPr>
            <w:tcW w:w="2322" w:type="dxa"/>
            <w:hideMark/>
          </w:tcPr>
          <w:p w14:paraId="14FA0560" w14:textId="77777777" w:rsidR="00DE666E" w:rsidRPr="005813C7" w:rsidRDefault="00DE666E" w:rsidP="00CD23E9">
            <w:pPr>
              <w:spacing w:line="360" w:lineRule="auto"/>
              <w:jc w:val="both"/>
              <w:rPr>
                <w:sz w:val="24"/>
                <w:szCs w:val="24"/>
              </w:rPr>
            </w:pPr>
            <w:r w:rsidRPr="005813C7">
              <w:rPr>
                <w:sz w:val="24"/>
                <w:szCs w:val="24"/>
              </w:rPr>
              <w:t>Good</w:t>
            </w:r>
          </w:p>
        </w:tc>
      </w:tr>
      <w:tr w:rsidR="00DE666E" w:rsidRPr="005813C7" w14:paraId="59995DCF" w14:textId="77777777" w:rsidTr="00CD23E9">
        <w:trPr>
          <w:jc w:val="center"/>
        </w:trPr>
        <w:tc>
          <w:tcPr>
            <w:tcW w:w="2540" w:type="dxa"/>
            <w:tcBorders>
              <w:bottom w:val="single" w:sz="4" w:space="0" w:color="auto"/>
            </w:tcBorders>
            <w:hideMark/>
          </w:tcPr>
          <w:p w14:paraId="4450A10E" w14:textId="77777777" w:rsidR="00DE666E" w:rsidRPr="005813C7" w:rsidRDefault="00DE666E" w:rsidP="00CD23E9">
            <w:pPr>
              <w:spacing w:line="360" w:lineRule="auto"/>
              <w:jc w:val="both"/>
              <w:rPr>
                <w:sz w:val="24"/>
                <w:szCs w:val="24"/>
              </w:rPr>
            </w:pPr>
            <w:r w:rsidRPr="005813C7">
              <w:rPr>
                <w:sz w:val="24"/>
                <w:szCs w:val="24"/>
              </w:rPr>
              <w:t>Sample 5</w:t>
            </w:r>
          </w:p>
        </w:tc>
        <w:tc>
          <w:tcPr>
            <w:tcW w:w="2068" w:type="dxa"/>
            <w:tcBorders>
              <w:bottom w:val="single" w:sz="4" w:space="0" w:color="auto"/>
            </w:tcBorders>
            <w:hideMark/>
          </w:tcPr>
          <w:p w14:paraId="643F67FB" w14:textId="77777777" w:rsidR="00DE666E" w:rsidRPr="005813C7" w:rsidRDefault="00DE666E" w:rsidP="00CD23E9">
            <w:pPr>
              <w:spacing w:line="360" w:lineRule="auto"/>
              <w:jc w:val="both"/>
              <w:rPr>
                <w:sz w:val="24"/>
                <w:szCs w:val="24"/>
              </w:rPr>
            </w:pPr>
            <w:r w:rsidRPr="005813C7">
              <w:rPr>
                <w:sz w:val="24"/>
                <w:szCs w:val="24"/>
              </w:rPr>
              <w:t>MBW</w:t>
            </w:r>
          </w:p>
        </w:tc>
        <w:tc>
          <w:tcPr>
            <w:tcW w:w="2140" w:type="dxa"/>
            <w:tcBorders>
              <w:bottom w:val="single" w:sz="4" w:space="0" w:color="auto"/>
            </w:tcBorders>
            <w:hideMark/>
          </w:tcPr>
          <w:p w14:paraId="6F84F67A" w14:textId="77777777" w:rsidR="00DE666E" w:rsidRPr="005813C7" w:rsidRDefault="00DE666E" w:rsidP="00CD23E9">
            <w:pPr>
              <w:spacing w:line="360" w:lineRule="auto"/>
              <w:jc w:val="both"/>
              <w:rPr>
                <w:sz w:val="24"/>
                <w:szCs w:val="24"/>
              </w:rPr>
            </w:pPr>
            <w:r w:rsidRPr="005813C7">
              <w:rPr>
                <w:sz w:val="24"/>
                <w:szCs w:val="24"/>
              </w:rPr>
              <w:t>Very Poor</w:t>
            </w:r>
          </w:p>
        </w:tc>
        <w:tc>
          <w:tcPr>
            <w:tcW w:w="2322" w:type="dxa"/>
            <w:tcBorders>
              <w:bottom w:val="single" w:sz="4" w:space="0" w:color="auto"/>
            </w:tcBorders>
            <w:hideMark/>
          </w:tcPr>
          <w:p w14:paraId="5AF08E8B" w14:textId="77777777" w:rsidR="00DE666E" w:rsidRPr="005813C7" w:rsidRDefault="00DE666E" w:rsidP="00CD23E9">
            <w:pPr>
              <w:spacing w:line="360" w:lineRule="auto"/>
              <w:jc w:val="both"/>
              <w:rPr>
                <w:sz w:val="24"/>
                <w:szCs w:val="24"/>
              </w:rPr>
            </w:pPr>
            <w:r w:rsidRPr="005813C7">
              <w:rPr>
                <w:sz w:val="24"/>
                <w:szCs w:val="24"/>
              </w:rPr>
              <w:t>Very poor</w:t>
            </w:r>
          </w:p>
        </w:tc>
      </w:tr>
      <w:tr w:rsidR="00DE666E" w:rsidRPr="005813C7" w14:paraId="3CFD8693" w14:textId="77777777" w:rsidTr="00CD23E9">
        <w:trPr>
          <w:jc w:val="center"/>
        </w:trPr>
        <w:tc>
          <w:tcPr>
            <w:tcW w:w="2540" w:type="dxa"/>
            <w:tcBorders>
              <w:top w:val="single" w:sz="4" w:space="0" w:color="auto"/>
            </w:tcBorders>
          </w:tcPr>
          <w:p w14:paraId="6BB0BCF1" w14:textId="77777777" w:rsidR="00DE666E" w:rsidRPr="005813C7" w:rsidRDefault="00DE666E" w:rsidP="00CD23E9">
            <w:pPr>
              <w:spacing w:line="360" w:lineRule="auto"/>
              <w:jc w:val="both"/>
              <w:rPr>
                <w:sz w:val="24"/>
                <w:szCs w:val="24"/>
              </w:rPr>
            </w:pPr>
          </w:p>
        </w:tc>
        <w:tc>
          <w:tcPr>
            <w:tcW w:w="2068" w:type="dxa"/>
            <w:tcBorders>
              <w:top w:val="single" w:sz="4" w:space="0" w:color="auto"/>
            </w:tcBorders>
          </w:tcPr>
          <w:p w14:paraId="764D5538" w14:textId="77777777" w:rsidR="00DE666E" w:rsidRPr="005813C7" w:rsidRDefault="00DE666E" w:rsidP="00CD23E9">
            <w:pPr>
              <w:spacing w:line="360" w:lineRule="auto"/>
              <w:jc w:val="both"/>
              <w:rPr>
                <w:sz w:val="24"/>
                <w:szCs w:val="24"/>
              </w:rPr>
            </w:pPr>
          </w:p>
        </w:tc>
        <w:tc>
          <w:tcPr>
            <w:tcW w:w="2140" w:type="dxa"/>
            <w:tcBorders>
              <w:top w:val="single" w:sz="4" w:space="0" w:color="auto"/>
            </w:tcBorders>
          </w:tcPr>
          <w:p w14:paraId="0FCB464C" w14:textId="77777777" w:rsidR="00DE666E" w:rsidRPr="005813C7" w:rsidRDefault="00DE666E" w:rsidP="00CD23E9">
            <w:pPr>
              <w:spacing w:line="360" w:lineRule="auto"/>
              <w:jc w:val="both"/>
              <w:rPr>
                <w:sz w:val="24"/>
                <w:szCs w:val="24"/>
              </w:rPr>
            </w:pPr>
          </w:p>
        </w:tc>
        <w:tc>
          <w:tcPr>
            <w:tcW w:w="2322" w:type="dxa"/>
            <w:tcBorders>
              <w:top w:val="single" w:sz="4" w:space="0" w:color="auto"/>
            </w:tcBorders>
          </w:tcPr>
          <w:p w14:paraId="04549C51" w14:textId="77777777" w:rsidR="00DE666E" w:rsidRPr="005813C7" w:rsidRDefault="00DE666E" w:rsidP="00CD23E9">
            <w:pPr>
              <w:spacing w:line="360" w:lineRule="auto"/>
              <w:jc w:val="both"/>
              <w:rPr>
                <w:sz w:val="24"/>
                <w:szCs w:val="24"/>
              </w:rPr>
            </w:pPr>
          </w:p>
        </w:tc>
      </w:tr>
    </w:tbl>
    <w:p w14:paraId="27B9DA1B" w14:textId="77777777" w:rsidR="0056256A" w:rsidRDefault="0056256A"/>
    <w:p w14:paraId="35847D12" w14:textId="77777777" w:rsidR="0056256A" w:rsidRDefault="0056256A">
      <w:r>
        <w:br w:type="page"/>
      </w:r>
    </w:p>
    <w:p w14:paraId="7078AC9D" w14:textId="25BC6A4C" w:rsidR="0056256A" w:rsidRPr="0056256A" w:rsidRDefault="0056256A" w:rsidP="0056256A">
      <w:pPr>
        <w:pStyle w:val="Caption"/>
        <w:keepNext/>
        <w:spacing w:line="360" w:lineRule="auto"/>
        <w:rPr>
          <w:rFonts w:cs="Times New Roman"/>
          <w:i w:val="0"/>
          <w:iCs w:val="0"/>
          <w:color w:val="auto"/>
          <w:sz w:val="24"/>
          <w:szCs w:val="24"/>
        </w:rPr>
      </w:pPr>
      <w:bookmarkStart w:id="22" w:name="_Ref84438085"/>
      <w:bookmarkStart w:id="23" w:name="_Toc101958159"/>
      <w:r w:rsidRPr="0056256A">
        <w:rPr>
          <w:rFonts w:cs="Times New Roman"/>
          <w:b/>
          <w:bCs/>
          <w:i w:val="0"/>
          <w:iCs w:val="0"/>
          <w:color w:val="auto"/>
          <w:sz w:val="24"/>
          <w:szCs w:val="24"/>
        </w:rPr>
        <w:lastRenderedPageBreak/>
        <w:t>Table S</w:t>
      </w:r>
      <w:r w:rsidRPr="0056256A">
        <w:rPr>
          <w:rFonts w:cs="Times New Roman"/>
          <w:b/>
          <w:bCs/>
          <w:i w:val="0"/>
          <w:iCs w:val="0"/>
          <w:color w:val="auto"/>
          <w:sz w:val="24"/>
          <w:szCs w:val="24"/>
        </w:rPr>
        <w:fldChar w:fldCharType="begin"/>
      </w:r>
      <w:r w:rsidRPr="0056256A">
        <w:rPr>
          <w:rFonts w:cs="Times New Roman"/>
          <w:b/>
          <w:bCs/>
          <w:i w:val="0"/>
          <w:iCs w:val="0"/>
          <w:color w:val="auto"/>
          <w:sz w:val="24"/>
          <w:szCs w:val="24"/>
        </w:rPr>
        <w:instrText xml:space="preserve"> SEQ Table \* ARABIC </w:instrText>
      </w:r>
      <w:r w:rsidRPr="0056256A">
        <w:rPr>
          <w:rFonts w:cs="Times New Roman"/>
          <w:b/>
          <w:bCs/>
          <w:i w:val="0"/>
          <w:iCs w:val="0"/>
          <w:color w:val="auto"/>
          <w:sz w:val="24"/>
          <w:szCs w:val="24"/>
        </w:rPr>
        <w:fldChar w:fldCharType="separate"/>
      </w:r>
      <w:r w:rsidRPr="0056256A">
        <w:rPr>
          <w:rFonts w:cs="Times New Roman"/>
          <w:b/>
          <w:bCs/>
          <w:i w:val="0"/>
          <w:iCs w:val="0"/>
          <w:noProof/>
          <w:color w:val="auto"/>
          <w:sz w:val="24"/>
          <w:szCs w:val="24"/>
        </w:rPr>
        <w:t>6</w:t>
      </w:r>
      <w:r w:rsidRPr="0056256A">
        <w:rPr>
          <w:rFonts w:cs="Times New Roman"/>
          <w:b/>
          <w:bCs/>
          <w:i w:val="0"/>
          <w:iCs w:val="0"/>
          <w:noProof/>
          <w:color w:val="auto"/>
          <w:sz w:val="24"/>
          <w:szCs w:val="24"/>
        </w:rPr>
        <w:fldChar w:fldCharType="end"/>
      </w:r>
      <w:bookmarkEnd w:id="22"/>
      <w:r w:rsidRPr="0056256A">
        <w:rPr>
          <w:rFonts w:cs="Times New Roman"/>
          <w:i w:val="0"/>
          <w:iCs w:val="0"/>
          <w:color w:val="auto"/>
          <w:sz w:val="24"/>
          <w:szCs w:val="24"/>
        </w:rPr>
        <w:t>. TGA. Maximum weight loss temperature and carbon yield of lignin-rich substrates</w:t>
      </w:r>
      <w:bookmarkEnd w:id="23"/>
    </w:p>
    <w:tbl>
      <w:tblPr>
        <w:tblW w:w="5000" w:type="pct"/>
        <w:jc w:val="center"/>
        <w:tblBorders>
          <w:top w:val="single" w:sz="4" w:space="0" w:color="auto"/>
          <w:bottom w:val="single" w:sz="4" w:space="0" w:color="auto"/>
        </w:tblBorders>
        <w:tblLook w:val="04A0" w:firstRow="1" w:lastRow="0" w:firstColumn="1" w:lastColumn="0" w:noHBand="0" w:noVBand="1"/>
      </w:tblPr>
      <w:tblGrid>
        <w:gridCol w:w="2665"/>
        <w:gridCol w:w="2794"/>
        <w:gridCol w:w="3567"/>
      </w:tblGrid>
      <w:tr w:rsidR="0056256A" w:rsidRPr="00BB6CF9" w14:paraId="66C10480" w14:textId="77777777" w:rsidTr="00CD23E9">
        <w:trPr>
          <w:trHeight w:val="255"/>
          <w:jc w:val="center"/>
        </w:trPr>
        <w:tc>
          <w:tcPr>
            <w:tcW w:w="1476" w:type="pct"/>
            <w:tcBorders>
              <w:top w:val="single" w:sz="4" w:space="0" w:color="auto"/>
              <w:bottom w:val="single" w:sz="12" w:space="0" w:color="auto"/>
            </w:tcBorders>
            <w:shd w:val="clear" w:color="auto" w:fill="auto"/>
            <w:noWrap/>
            <w:vAlign w:val="bottom"/>
            <w:hideMark/>
          </w:tcPr>
          <w:p w14:paraId="6082EE1B" w14:textId="77777777" w:rsidR="0056256A" w:rsidRPr="00BB6CF9" w:rsidRDefault="0056256A" w:rsidP="00CD23E9">
            <w:pPr>
              <w:spacing w:after="0" w:line="360" w:lineRule="auto"/>
              <w:jc w:val="both"/>
              <w:rPr>
                <w:rFonts w:ascii="Times New Roman" w:eastAsia="Times New Roman" w:hAnsi="Times New Roman" w:cs="Times New Roman"/>
                <w:sz w:val="24"/>
                <w:szCs w:val="24"/>
                <w:lang w:eastAsia="en-IE"/>
              </w:rPr>
            </w:pPr>
          </w:p>
        </w:tc>
        <w:tc>
          <w:tcPr>
            <w:tcW w:w="1548" w:type="pct"/>
            <w:tcBorders>
              <w:top w:val="single" w:sz="4" w:space="0" w:color="auto"/>
              <w:bottom w:val="single" w:sz="12" w:space="0" w:color="auto"/>
            </w:tcBorders>
            <w:shd w:val="clear" w:color="auto" w:fill="auto"/>
            <w:noWrap/>
            <w:vAlign w:val="bottom"/>
            <w:hideMark/>
          </w:tcPr>
          <w:p w14:paraId="19F57161" w14:textId="77777777" w:rsidR="0056256A" w:rsidRPr="00BB6CF9" w:rsidRDefault="0056256A" w:rsidP="00CD23E9">
            <w:pPr>
              <w:spacing w:after="0" w:line="360" w:lineRule="auto"/>
              <w:jc w:val="both"/>
              <w:rPr>
                <w:rFonts w:ascii="Times New Roman" w:eastAsia="Times New Roman" w:hAnsi="Times New Roman" w:cs="Times New Roman"/>
                <w:b/>
                <w:bCs/>
                <w:sz w:val="24"/>
                <w:szCs w:val="24"/>
                <w:lang w:eastAsia="en-IE"/>
              </w:rPr>
            </w:pPr>
            <w:r w:rsidRPr="00BB6CF9">
              <w:rPr>
                <w:rFonts w:ascii="Times New Roman" w:eastAsia="Times New Roman" w:hAnsi="Times New Roman" w:cs="Times New Roman"/>
                <w:b/>
                <w:bCs/>
                <w:sz w:val="24"/>
                <w:szCs w:val="24"/>
                <w:lang w:eastAsia="en-IE"/>
              </w:rPr>
              <w:t xml:space="preserve">Tmax </w:t>
            </w:r>
            <w:r w:rsidRPr="00BB6CF9">
              <w:rPr>
                <w:rFonts w:ascii="Times New Roman" w:eastAsia="Times New Roman" w:hAnsi="Times New Roman" w:cs="Times New Roman"/>
                <w:sz w:val="24"/>
                <w:szCs w:val="24"/>
                <w:lang w:eastAsia="en-IE"/>
              </w:rPr>
              <w:t>(°C)</w:t>
            </w:r>
          </w:p>
        </w:tc>
        <w:tc>
          <w:tcPr>
            <w:tcW w:w="1976" w:type="pct"/>
            <w:tcBorders>
              <w:top w:val="single" w:sz="4" w:space="0" w:color="auto"/>
              <w:bottom w:val="single" w:sz="12" w:space="0" w:color="auto"/>
            </w:tcBorders>
            <w:shd w:val="clear" w:color="auto" w:fill="auto"/>
            <w:noWrap/>
            <w:vAlign w:val="bottom"/>
            <w:hideMark/>
          </w:tcPr>
          <w:p w14:paraId="780B5B78" w14:textId="77777777" w:rsidR="0056256A" w:rsidRPr="00BB6CF9" w:rsidRDefault="0056256A" w:rsidP="00CD23E9">
            <w:pPr>
              <w:spacing w:after="0" w:line="360" w:lineRule="auto"/>
              <w:jc w:val="both"/>
              <w:rPr>
                <w:rFonts w:ascii="Times New Roman" w:eastAsia="Times New Roman" w:hAnsi="Times New Roman" w:cs="Times New Roman"/>
                <w:b/>
                <w:bCs/>
                <w:sz w:val="24"/>
                <w:szCs w:val="24"/>
                <w:lang w:eastAsia="en-IE"/>
              </w:rPr>
            </w:pPr>
            <w:r w:rsidRPr="00BB6CF9">
              <w:rPr>
                <w:rFonts w:ascii="Times New Roman" w:eastAsia="Times New Roman" w:hAnsi="Times New Roman" w:cs="Times New Roman"/>
                <w:b/>
                <w:bCs/>
                <w:sz w:val="24"/>
                <w:szCs w:val="24"/>
                <w:lang w:eastAsia="en-IE"/>
              </w:rPr>
              <w:t xml:space="preserve">Carbon Yield </w:t>
            </w:r>
            <w:r w:rsidRPr="00BB6CF9">
              <w:rPr>
                <w:rFonts w:ascii="Times New Roman" w:eastAsia="Times New Roman" w:hAnsi="Times New Roman" w:cs="Times New Roman"/>
                <w:sz w:val="24"/>
                <w:szCs w:val="24"/>
                <w:lang w:eastAsia="en-IE"/>
              </w:rPr>
              <w:t>(%)</w:t>
            </w:r>
          </w:p>
        </w:tc>
      </w:tr>
      <w:tr w:rsidR="0056256A" w:rsidRPr="00BB6CF9" w14:paraId="654BD873" w14:textId="77777777" w:rsidTr="00CD23E9">
        <w:trPr>
          <w:trHeight w:val="170"/>
          <w:jc w:val="center"/>
        </w:trPr>
        <w:tc>
          <w:tcPr>
            <w:tcW w:w="1476" w:type="pct"/>
            <w:tcBorders>
              <w:top w:val="single" w:sz="12" w:space="0" w:color="auto"/>
            </w:tcBorders>
            <w:shd w:val="clear" w:color="auto" w:fill="auto"/>
            <w:noWrap/>
            <w:vAlign w:val="bottom"/>
            <w:hideMark/>
          </w:tcPr>
          <w:p w14:paraId="15D690B9" w14:textId="77777777" w:rsidR="0056256A" w:rsidRPr="00BB6CF9" w:rsidRDefault="0056256A" w:rsidP="00CD23E9">
            <w:pPr>
              <w:spacing w:after="0" w:line="360" w:lineRule="auto"/>
              <w:jc w:val="both"/>
              <w:rPr>
                <w:rFonts w:ascii="Times New Roman" w:eastAsia="Times New Roman" w:hAnsi="Times New Roman" w:cs="Times New Roman"/>
                <w:b/>
                <w:bCs/>
                <w:sz w:val="24"/>
                <w:szCs w:val="24"/>
                <w:lang w:eastAsia="en-IE"/>
              </w:rPr>
            </w:pPr>
            <w:r w:rsidRPr="00BB6CF9">
              <w:rPr>
                <w:rFonts w:ascii="Times New Roman" w:eastAsia="Times New Roman" w:hAnsi="Times New Roman" w:cs="Times New Roman"/>
                <w:b/>
                <w:bCs/>
                <w:sz w:val="24"/>
                <w:szCs w:val="24"/>
                <w:lang w:eastAsia="en-IE"/>
              </w:rPr>
              <w:t>MBW</w:t>
            </w:r>
          </w:p>
        </w:tc>
        <w:tc>
          <w:tcPr>
            <w:tcW w:w="1548" w:type="pct"/>
            <w:tcBorders>
              <w:top w:val="single" w:sz="12" w:space="0" w:color="auto"/>
            </w:tcBorders>
            <w:shd w:val="clear" w:color="auto" w:fill="auto"/>
            <w:noWrap/>
            <w:vAlign w:val="bottom"/>
            <w:hideMark/>
          </w:tcPr>
          <w:p w14:paraId="637AC419" w14:textId="77777777" w:rsidR="0056256A" w:rsidRPr="00BB6CF9" w:rsidRDefault="0056256A" w:rsidP="00CD23E9">
            <w:pPr>
              <w:spacing w:after="0" w:line="360" w:lineRule="auto"/>
              <w:jc w:val="both"/>
              <w:rPr>
                <w:rFonts w:ascii="Times New Roman" w:eastAsia="Times New Roman" w:hAnsi="Times New Roman" w:cs="Times New Roman"/>
                <w:sz w:val="24"/>
                <w:szCs w:val="24"/>
                <w:lang w:eastAsia="en-IE"/>
              </w:rPr>
            </w:pPr>
            <w:r w:rsidRPr="00BB6CF9">
              <w:rPr>
                <w:rFonts w:ascii="Times New Roman" w:eastAsia="Times New Roman" w:hAnsi="Times New Roman" w:cs="Times New Roman"/>
                <w:sz w:val="24"/>
                <w:szCs w:val="24"/>
                <w:lang w:eastAsia="en-IE"/>
              </w:rPr>
              <w:t>377</w:t>
            </w:r>
          </w:p>
        </w:tc>
        <w:tc>
          <w:tcPr>
            <w:tcW w:w="1976" w:type="pct"/>
            <w:tcBorders>
              <w:top w:val="single" w:sz="12" w:space="0" w:color="auto"/>
            </w:tcBorders>
            <w:shd w:val="clear" w:color="auto" w:fill="auto"/>
            <w:noWrap/>
            <w:vAlign w:val="bottom"/>
            <w:hideMark/>
          </w:tcPr>
          <w:p w14:paraId="77C1EA71" w14:textId="77777777" w:rsidR="0056256A" w:rsidRPr="00BB6CF9" w:rsidRDefault="0056256A" w:rsidP="00CD23E9">
            <w:pPr>
              <w:spacing w:after="0" w:line="360" w:lineRule="auto"/>
              <w:jc w:val="both"/>
              <w:rPr>
                <w:rFonts w:ascii="Times New Roman" w:eastAsia="Times New Roman" w:hAnsi="Times New Roman" w:cs="Times New Roman"/>
                <w:sz w:val="24"/>
                <w:szCs w:val="24"/>
                <w:lang w:eastAsia="en-IE"/>
              </w:rPr>
            </w:pPr>
            <w:r w:rsidRPr="00BB6CF9">
              <w:rPr>
                <w:rFonts w:ascii="Times New Roman" w:eastAsia="Times New Roman" w:hAnsi="Times New Roman" w:cs="Times New Roman"/>
                <w:sz w:val="24"/>
                <w:szCs w:val="24"/>
                <w:lang w:eastAsia="en-IE"/>
              </w:rPr>
              <w:t>12.0</w:t>
            </w:r>
          </w:p>
        </w:tc>
      </w:tr>
      <w:tr w:rsidR="0056256A" w:rsidRPr="00BB6CF9" w14:paraId="300EF4A1" w14:textId="77777777" w:rsidTr="00CD23E9">
        <w:trPr>
          <w:trHeight w:val="170"/>
          <w:jc w:val="center"/>
        </w:trPr>
        <w:tc>
          <w:tcPr>
            <w:tcW w:w="1476" w:type="pct"/>
            <w:shd w:val="clear" w:color="auto" w:fill="auto"/>
            <w:noWrap/>
            <w:vAlign w:val="bottom"/>
            <w:hideMark/>
          </w:tcPr>
          <w:p w14:paraId="29BBA718" w14:textId="77777777" w:rsidR="0056256A" w:rsidRPr="00BB6CF9" w:rsidRDefault="0056256A" w:rsidP="00CD23E9">
            <w:pPr>
              <w:spacing w:after="0" w:line="360" w:lineRule="auto"/>
              <w:jc w:val="both"/>
              <w:rPr>
                <w:rFonts w:ascii="Times New Roman" w:eastAsia="Times New Roman" w:hAnsi="Times New Roman" w:cs="Times New Roman"/>
                <w:b/>
                <w:bCs/>
                <w:sz w:val="24"/>
                <w:szCs w:val="24"/>
                <w:lang w:eastAsia="en-IE"/>
              </w:rPr>
            </w:pPr>
            <w:r w:rsidRPr="00BB6CF9">
              <w:rPr>
                <w:rFonts w:ascii="Times New Roman" w:eastAsia="Times New Roman" w:hAnsi="Times New Roman" w:cs="Times New Roman"/>
                <w:b/>
                <w:bCs/>
                <w:sz w:val="24"/>
                <w:szCs w:val="24"/>
                <w:lang w:eastAsia="en-IE"/>
              </w:rPr>
              <w:t>HTBW</w:t>
            </w:r>
          </w:p>
        </w:tc>
        <w:tc>
          <w:tcPr>
            <w:tcW w:w="1548" w:type="pct"/>
            <w:shd w:val="clear" w:color="auto" w:fill="auto"/>
            <w:noWrap/>
            <w:vAlign w:val="bottom"/>
            <w:hideMark/>
          </w:tcPr>
          <w:p w14:paraId="1F060C1A" w14:textId="77777777" w:rsidR="0056256A" w:rsidRPr="00BB6CF9" w:rsidRDefault="0056256A" w:rsidP="00CD23E9">
            <w:pPr>
              <w:spacing w:after="0" w:line="360" w:lineRule="auto"/>
              <w:jc w:val="both"/>
              <w:rPr>
                <w:rFonts w:ascii="Times New Roman" w:eastAsia="Times New Roman" w:hAnsi="Times New Roman" w:cs="Times New Roman"/>
                <w:sz w:val="24"/>
                <w:szCs w:val="24"/>
                <w:lang w:eastAsia="en-IE"/>
              </w:rPr>
            </w:pPr>
            <w:r w:rsidRPr="00BB6CF9">
              <w:rPr>
                <w:rFonts w:ascii="Times New Roman" w:eastAsia="Times New Roman" w:hAnsi="Times New Roman" w:cs="Times New Roman"/>
                <w:sz w:val="24"/>
                <w:szCs w:val="24"/>
                <w:lang w:eastAsia="en-IE"/>
              </w:rPr>
              <w:t>379</w:t>
            </w:r>
          </w:p>
        </w:tc>
        <w:tc>
          <w:tcPr>
            <w:tcW w:w="1976" w:type="pct"/>
            <w:shd w:val="clear" w:color="auto" w:fill="auto"/>
            <w:noWrap/>
            <w:vAlign w:val="bottom"/>
            <w:hideMark/>
          </w:tcPr>
          <w:p w14:paraId="460B06C1" w14:textId="77777777" w:rsidR="0056256A" w:rsidRPr="00BB6CF9" w:rsidRDefault="0056256A" w:rsidP="00CD23E9">
            <w:pPr>
              <w:spacing w:after="0" w:line="360" w:lineRule="auto"/>
              <w:jc w:val="both"/>
              <w:rPr>
                <w:rFonts w:ascii="Times New Roman" w:eastAsia="Times New Roman" w:hAnsi="Times New Roman" w:cs="Times New Roman"/>
                <w:sz w:val="24"/>
                <w:szCs w:val="24"/>
                <w:lang w:eastAsia="en-IE"/>
              </w:rPr>
            </w:pPr>
            <w:r w:rsidRPr="00BB6CF9">
              <w:rPr>
                <w:rFonts w:ascii="Times New Roman" w:eastAsia="Times New Roman" w:hAnsi="Times New Roman" w:cs="Times New Roman"/>
                <w:sz w:val="24"/>
                <w:szCs w:val="24"/>
                <w:lang w:eastAsia="en-IE"/>
              </w:rPr>
              <w:t>17.6</w:t>
            </w:r>
          </w:p>
        </w:tc>
      </w:tr>
      <w:tr w:rsidR="0056256A" w:rsidRPr="00BB6CF9" w14:paraId="74D83738" w14:textId="77777777" w:rsidTr="00CD23E9">
        <w:trPr>
          <w:trHeight w:val="170"/>
          <w:jc w:val="center"/>
        </w:trPr>
        <w:tc>
          <w:tcPr>
            <w:tcW w:w="1476" w:type="pct"/>
            <w:shd w:val="clear" w:color="auto" w:fill="auto"/>
            <w:noWrap/>
            <w:vAlign w:val="bottom"/>
            <w:hideMark/>
          </w:tcPr>
          <w:p w14:paraId="48CB8826" w14:textId="77777777" w:rsidR="0056256A" w:rsidRPr="00BB6CF9" w:rsidRDefault="0056256A" w:rsidP="00CD23E9">
            <w:pPr>
              <w:spacing w:after="0" w:line="360" w:lineRule="auto"/>
              <w:jc w:val="both"/>
              <w:rPr>
                <w:rFonts w:ascii="Times New Roman" w:eastAsia="Times New Roman" w:hAnsi="Times New Roman" w:cs="Times New Roman"/>
                <w:b/>
                <w:bCs/>
                <w:sz w:val="24"/>
                <w:szCs w:val="24"/>
                <w:lang w:eastAsia="en-IE"/>
              </w:rPr>
            </w:pPr>
            <w:r w:rsidRPr="00BB6CF9">
              <w:rPr>
                <w:rFonts w:ascii="Times New Roman" w:eastAsia="Times New Roman" w:hAnsi="Times New Roman" w:cs="Times New Roman"/>
                <w:b/>
                <w:bCs/>
                <w:sz w:val="24"/>
                <w:szCs w:val="24"/>
                <w:lang w:eastAsia="en-IE"/>
              </w:rPr>
              <w:t>EHL</w:t>
            </w:r>
          </w:p>
        </w:tc>
        <w:tc>
          <w:tcPr>
            <w:tcW w:w="1548" w:type="pct"/>
            <w:shd w:val="clear" w:color="auto" w:fill="auto"/>
            <w:noWrap/>
            <w:vAlign w:val="bottom"/>
            <w:hideMark/>
          </w:tcPr>
          <w:p w14:paraId="4332F478" w14:textId="77777777" w:rsidR="0056256A" w:rsidRPr="00BB6CF9" w:rsidRDefault="0056256A" w:rsidP="00CD23E9">
            <w:pPr>
              <w:spacing w:after="0" w:line="360" w:lineRule="auto"/>
              <w:jc w:val="both"/>
              <w:rPr>
                <w:rFonts w:ascii="Times New Roman" w:eastAsia="Times New Roman" w:hAnsi="Times New Roman" w:cs="Times New Roman"/>
                <w:sz w:val="24"/>
                <w:szCs w:val="24"/>
                <w:lang w:eastAsia="en-IE"/>
              </w:rPr>
            </w:pPr>
            <w:r w:rsidRPr="00BB6CF9">
              <w:rPr>
                <w:rFonts w:ascii="Times New Roman" w:eastAsia="Times New Roman" w:hAnsi="Times New Roman" w:cs="Times New Roman"/>
                <w:sz w:val="24"/>
                <w:szCs w:val="24"/>
                <w:lang w:eastAsia="en-IE"/>
              </w:rPr>
              <w:t>329</w:t>
            </w:r>
          </w:p>
        </w:tc>
        <w:tc>
          <w:tcPr>
            <w:tcW w:w="1976" w:type="pct"/>
            <w:shd w:val="clear" w:color="auto" w:fill="auto"/>
            <w:noWrap/>
            <w:vAlign w:val="bottom"/>
            <w:hideMark/>
          </w:tcPr>
          <w:p w14:paraId="14D97132" w14:textId="77777777" w:rsidR="0056256A" w:rsidRPr="00BB6CF9" w:rsidRDefault="0056256A" w:rsidP="00CD23E9">
            <w:pPr>
              <w:spacing w:after="0" w:line="360" w:lineRule="auto"/>
              <w:jc w:val="both"/>
              <w:rPr>
                <w:rFonts w:ascii="Times New Roman" w:eastAsia="Times New Roman" w:hAnsi="Times New Roman" w:cs="Times New Roman"/>
                <w:sz w:val="24"/>
                <w:szCs w:val="24"/>
                <w:lang w:eastAsia="en-IE"/>
              </w:rPr>
            </w:pPr>
            <w:r w:rsidRPr="00BB6CF9">
              <w:rPr>
                <w:rFonts w:ascii="Times New Roman" w:eastAsia="Times New Roman" w:hAnsi="Times New Roman" w:cs="Times New Roman"/>
                <w:sz w:val="24"/>
                <w:szCs w:val="24"/>
                <w:lang w:eastAsia="en-IE"/>
              </w:rPr>
              <w:t>13.0</w:t>
            </w:r>
          </w:p>
        </w:tc>
      </w:tr>
      <w:tr w:rsidR="0056256A" w:rsidRPr="00BB6CF9" w14:paraId="6AA68EF2" w14:textId="77777777" w:rsidTr="00CD23E9">
        <w:trPr>
          <w:trHeight w:val="170"/>
          <w:jc w:val="center"/>
        </w:trPr>
        <w:tc>
          <w:tcPr>
            <w:tcW w:w="1476" w:type="pct"/>
            <w:shd w:val="clear" w:color="auto" w:fill="auto"/>
            <w:noWrap/>
            <w:vAlign w:val="bottom"/>
            <w:hideMark/>
          </w:tcPr>
          <w:p w14:paraId="25CB580E" w14:textId="77777777" w:rsidR="0056256A" w:rsidRPr="00BB6CF9" w:rsidRDefault="0056256A" w:rsidP="00CD23E9">
            <w:pPr>
              <w:spacing w:after="0" w:line="360" w:lineRule="auto"/>
              <w:jc w:val="both"/>
              <w:rPr>
                <w:rFonts w:ascii="Times New Roman" w:eastAsia="Times New Roman" w:hAnsi="Times New Roman" w:cs="Times New Roman"/>
                <w:b/>
                <w:bCs/>
                <w:sz w:val="24"/>
                <w:szCs w:val="24"/>
                <w:lang w:eastAsia="en-IE"/>
              </w:rPr>
            </w:pPr>
            <w:r w:rsidRPr="00BB6CF9">
              <w:rPr>
                <w:rFonts w:ascii="Times New Roman" w:eastAsia="Times New Roman" w:hAnsi="Times New Roman" w:cs="Times New Roman"/>
                <w:b/>
                <w:bCs/>
                <w:sz w:val="24"/>
                <w:szCs w:val="24"/>
                <w:lang w:eastAsia="en-IE"/>
              </w:rPr>
              <w:t>LG4</w:t>
            </w:r>
          </w:p>
        </w:tc>
        <w:tc>
          <w:tcPr>
            <w:tcW w:w="1548" w:type="pct"/>
            <w:shd w:val="clear" w:color="auto" w:fill="auto"/>
            <w:noWrap/>
            <w:vAlign w:val="bottom"/>
            <w:hideMark/>
          </w:tcPr>
          <w:p w14:paraId="04FDDC8B" w14:textId="77777777" w:rsidR="0056256A" w:rsidRPr="00BB6CF9" w:rsidRDefault="0056256A" w:rsidP="00CD23E9">
            <w:pPr>
              <w:spacing w:after="0" w:line="360" w:lineRule="auto"/>
              <w:jc w:val="both"/>
              <w:rPr>
                <w:rFonts w:ascii="Times New Roman" w:eastAsia="Times New Roman" w:hAnsi="Times New Roman" w:cs="Times New Roman"/>
                <w:sz w:val="24"/>
                <w:szCs w:val="24"/>
                <w:lang w:eastAsia="en-IE"/>
              </w:rPr>
            </w:pPr>
            <w:r w:rsidRPr="00BB6CF9">
              <w:rPr>
                <w:rFonts w:ascii="Times New Roman" w:eastAsia="Times New Roman" w:hAnsi="Times New Roman" w:cs="Times New Roman"/>
                <w:sz w:val="24"/>
                <w:szCs w:val="24"/>
                <w:lang w:eastAsia="en-IE"/>
              </w:rPr>
              <w:t>773</w:t>
            </w:r>
          </w:p>
        </w:tc>
        <w:tc>
          <w:tcPr>
            <w:tcW w:w="1976" w:type="pct"/>
            <w:shd w:val="clear" w:color="auto" w:fill="auto"/>
            <w:noWrap/>
            <w:vAlign w:val="bottom"/>
            <w:hideMark/>
          </w:tcPr>
          <w:p w14:paraId="1A02709A" w14:textId="77777777" w:rsidR="0056256A" w:rsidRPr="00BB6CF9" w:rsidRDefault="0056256A" w:rsidP="00CD23E9">
            <w:pPr>
              <w:spacing w:after="0" w:line="360" w:lineRule="auto"/>
              <w:jc w:val="both"/>
              <w:rPr>
                <w:rFonts w:ascii="Times New Roman" w:eastAsia="Times New Roman" w:hAnsi="Times New Roman" w:cs="Times New Roman"/>
                <w:sz w:val="24"/>
                <w:szCs w:val="24"/>
                <w:lang w:eastAsia="en-IE"/>
              </w:rPr>
            </w:pPr>
            <w:r w:rsidRPr="00BB6CF9">
              <w:rPr>
                <w:rFonts w:ascii="Times New Roman" w:eastAsia="Times New Roman" w:hAnsi="Times New Roman" w:cs="Times New Roman"/>
                <w:sz w:val="24"/>
                <w:szCs w:val="24"/>
                <w:lang w:eastAsia="en-IE"/>
              </w:rPr>
              <w:t>24.8</w:t>
            </w:r>
          </w:p>
        </w:tc>
      </w:tr>
      <w:tr w:rsidR="0056256A" w:rsidRPr="00BB6CF9" w14:paraId="11106BE3" w14:textId="77777777" w:rsidTr="00CD23E9">
        <w:trPr>
          <w:trHeight w:val="170"/>
          <w:jc w:val="center"/>
        </w:trPr>
        <w:tc>
          <w:tcPr>
            <w:tcW w:w="1476" w:type="pct"/>
            <w:tcBorders>
              <w:top w:val="nil"/>
              <w:bottom w:val="single" w:sz="4" w:space="0" w:color="auto"/>
            </w:tcBorders>
            <w:shd w:val="clear" w:color="auto" w:fill="auto"/>
            <w:noWrap/>
            <w:vAlign w:val="bottom"/>
            <w:hideMark/>
          </w:tcPr>
          <w:p w14:paraId="12C6D34D" w14:textId="77777777" w:rsidR="0056256A" w:rsidRPr="00BB6CF9" w:rsidRDefault="0056256A" w:rsidP="00CD23E9">
            <w:pPr>
              <w:spacing w:after="0" w:line="360" w:lineRule="auto"/>
              <w:jc w:val="both"/>
              <w:rPr>
                <w:rFonts w:ascii="Times New Roman" w:eastAsia="Times New Roman" w:hAnsi="Times New Roman" w:cs="Times New Roman"/>
                <w:b/>
                <w:bCs/>
                <w:sz w:val="24"/>
                <w:szCs w:val="24"/>
                <w:lang w:eastAsia="en-IE"/>
              </w:rPr>
            </w:pPr>
            <w:r w:rsidRPr="00BB6CF9">
              <w:rPr>
                <w:rFonts w:ascii="Times New Roman" w:eastAsia="Times New Roman" w:hAnsi="Times New Roman" w:cs="Times New Roman"/>
                <w:b/>
                <w:bCs/>
                <w:sz w:val="24"/>
                <w:szCs w:val="24"/>
                <w:lang w:eastAsia="en-IE"/>
              </w:rPr>
              <w:t>LG1.5</w:t>
            </w:r>
          </w:p>
        </w:tc>
        <w:tc>
          <w:tcPr>
            <w:tcW w:w="1548" w:type="pct"/>
            <w:tcBorders>
              <w:top w:val="nil"/>
              <w:bottom w:val="single" w:sz="4" w:space="0" w:color="auto"/>
            </w:tcBorders>
            <w:shd w:val="clear" w:color="auto" w:fill="auto"/>
            <w:noWrap/>
            <w:vAlign w:val="bottom"/>
            <w:hideMark/>
          </w:tcPr>
          <w:p w14:paraId="70A4EE56" w14:textId="77777777" w:rsidR="0056256A" w:rsidRPr="00BB6CF9" w:rsidRDefault="0056256A" w:rsidP="00CD23E9">
            <w:pPr>
              <w:spacing w:after="0" w:line="360" w:lineRule="auto"/>
              <w:jc w:val="both"/>
              <w:rPr>
                <w:rFonts w:ascii="Times New Roman" w:eastAsia="Times New Roman" w:hAnsi="Times New Roman" w:cs="Times New Roman"/>
                <w:sz w:val="24"/>
                <w:szCs w:val="24"/>
                <w:lang w:eastAsia="en-IE"/>
              </w:rPr>
            </w:pPr>
            <w:r w:rsidRPr="00BB6CF9">
              <w:rPr>
                <w:rFonts w:ascii="Times New Roman" w:eastAsia="Times New Roman" w:hAnsi="Times New Roman" w:cs="Times New Roman"/>
                <w:sz w:val="24"/>
                <w:szCs w:val="24"/>
                <w:lang w:eastAsia="en-IE"/>
              </w:rPr>
              <w:t>775</w:t>
            </w:r>
          </w:p>
        </w:tc>
        <w:tc>
          <w:tcPr>
            <w:tcW w:w="1976" w:type="pct"/>
            <w:tcBorders>
              <w:top w:val="nil"/>
              <w:bottom w:val="single" w:sz="4" w:space="0" w:color="auto"/>
            </w:tcBorders>
            <w:shd w:val="clear" w:color="auto" w:fill="auto"/>
            <w:noWrap/>
            <w:vAlign w:val="bottom"/>
            <w:hideMark/>
          </w:tcPr>
          <w:p w14:paraId="02585062" w14:textId="77777777" w:rsidR="0056256A" w:rsidRPr="00BB6CF9" w:rsidRDefault="0056256A" w:rsidP="00CD23E9">
            <w:pPr>
              <w:spacing w:after="0" w:line="360" w:lineRule="auto"/>
              <w:jc w:val="both"/>
              <w:rPr>
                <w:rFonts w:ascii="Times New Roman" w:eastAsia="Times New Roman" w:hAnsi="Times New Roman" w:cs="Times New Roman"/>
                <w:sz w:val="24"/>
                <w:szCs w:val="24"/>
                <w:lang w:eastAsia="en-IE"/>
              </w:rPr>
            </w:pPr>
            <w:r w:rsidRPr="00BB6CF9">
              <w:rPr>
                <w:rFonts w:ascii="Times New Roman" w:eastAsia="Times New Roman" w:hAnsi="Times New Roman" w:cs="Times New Roman"/>
                <w:sz w:val="24"/>
                <w:szCs w:val="24"/>
                <w:lang w:eastAsia="en-IE"/>
              </w:rPr>
              <w:t>21.0</w:t>
            </w:r>
          </w:p>
        </w:tc>
      </w:tr>
      <w:tr w:rsidR="0056256A" w:rsidRPr="00BB6CF9" w14:paraId="3BAF8709" w14:textId="77777777" w:rsidTr="00CD23E9">
        <w:trPr>
          <w:trHeight w:val="255"/>
          <w:jc w:val="center"/>
        </w:trPr>
        <w:tc>
          <w:tcPr>
            <w:tcW w:w="1476" w:type="pct"/>
            <w:tcBorders>
              <w:top w:val="single" w:sz="4" w:space="0" w:color="auto"/>
              <w:bottom w:val="nil"/>
            </w:tcBorders>
            <w:shd w:val="clear" w:color="auto" w:fill="auto"/>
            <w:noWrap/>
            <w:vAlign w:val="bottom"/>
          </w:tcPr>
          <w:p w14:paraId="3E07A45B" w14:textId="77777777" w:rsidR="0056256A" w:rsidRPr="00BB6CF9" w:rsidRDefault="0056256A" w:rsidP="00CD23E9">
            <w:pPr>
              <w:spacing w:after="0" w:line="360" w:lineRule="auto"/>
              <w:jc w:val="both"/>
              <w:rPr>
                <w:rFonts w:ascii="Times New Roman" w:eastAsia="Times New Roman" w:hAnsi="Times New Roman" w:cs="Times New Roman"/>
                <w:b/>
                <w:bCs/>
                <w:sz w:val="24"/>
                <w:szCs w:val="24"/>
                <w:lang w:eastAsia="en-IE"/>
              </w:rPr>
            </w:pPr>
          </w:p>
        </w:tc>
        <w:tc>
          <w:tcPr>
            <w:tcW w:w="1548" w:type="pct"/>
            <w:tcBorders>
              <w:top w:val="single" w:sz="4" w:space="0" w:color="auto"/>
              <w:bottom w:val="nil"/>
            </w:tcBorders>
            <w:shd w:val="clear" w:color="auto" w:fill="auto"/>
            <w:noWrap/>
            <w:vAlign w:val="bottom"/>
          </w:tcPr>
          <w:p w14:paraId="46390D14" w14:textId="77777777" w:rsidR="0056256A" w:rsidRPr="00BB6CF9" w:rsidRDefault="0056256A" w:rsidP="00CD23E9">
            <w:pPr>
              <w:spacing w:after="0" w:line="360" w:lineRule="auto"/>
              <w:jc w:val="both"/>
              <w:rPr>
                <w:rFonts w:ascii="Times New Roman" w:eastAsia="Times New Roman" w:hAnsi="Times New Roman" w:cs="Times New Roman"/>
                <w:sz w:val="24"/>
                <w:szCs w:val="24"/>
                <w:lang w:eastAsia="en-IE"/>
              </w:rPr>
            </w:pPr>
          </w:p>
        </w:tc>
        <w:tc>
          <w:tcPr>
            <w:tcW w:w="1976" w:type="pct"/>
            <w:tcBorders>
              <w:top w:val="single" w:sz="4" w:space="0" w:color="auto"/>
              <w:bottom w:val="nil"/>
            </w:tcBorders>
            <w:shd w:val="clear" w:color="auto" w:fill="auto"/>
            <w:noWrap/>
            <w:vAlign w:val="bottom"/>
          </w:tcPr>
          <w:p w14:paraId="15B77FD3" w14:textId="77777777" w:rsidR="0056256A" w:rsidRPr="00BB6CF9" w:rsidRDefault="0056256A" w:rsidP="00CD23E9">
            <w:pPr>
              <w:spacing w:after="0" w:line="360" w:lineRule="auto"/>
              <w:jc w:val="both"/>
              <w:rPr>
                <w:rFonts w:ascii="Times New Roman" w:eastAsia="Times New Roman" w:hAnsi="Times New Roman" w:cs="Times New Roman"/>
                <w:sz w:val="24"/>
                <w:szCs w:val="24"/>
                <w:lang w:eastAsia="en-IE"/>
              </w:rPr>
            </w:pPr>
          </w:p>
        </w:tc>
      </w:tr>
    </w:tbl>
    <w:p w14:paraId="48E2D2C9" w14:textId="2D454C6F" w:rsidR="00810DC5" w:rsidRDefault="00810DC5"/>
    <w:p w14:paraId="0FC90158" w14:textId="194E94CD" w:rsidR="002D5BE9" w:rsidRPr="00810DC5" w:rsidRDefault="002D5BE9"/>
    <w:sectPr w:rsidR="002D5BE9" w:rsidRPr="00810D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915118"/>
    <w:multiLevelType w:val="hybridMultilevel"/>
    <w:tmpl w:val="A4EC85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52153C0B"/>
    <w:multiLevelType w:val="multilevel"/>
    <w:tmpl w:val="0EFAD5C8"/>
    <w:lvl w:ilvl="0">
      <w:start w:val="1"/>
      <w:numFmt w:val="decimal"/>
      <w:pStyle w:val="Head1"/>
      <w:lvlText w:val="%1."/>
      <w:lvlJc w:val="left"/>
      <w:pPr>
        <w:ind w:left="333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83877695">
    <w:abstractNumId w:val="1"/>
  </w:num>
  <w:num w:numId="2" w16cid:durableId="1422600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9A6"/>
    <w:rsid w:val="0009085F"/>
    <w:rsid w:val="001B19A6"/>
    <w:rsid w:val="002D5BE9"/>
    <w:rsid w:val="003661B8"/>
    <w:rsid w:val="00533D1C"/>
    <w:rsid w:val="0056256A"/>
    <w:rsid w:val="00594B34"/>
    <w:rsid w:val="005D6CBE"/>
    <w:rsid w:val="00810DC5"/>
    <w:rsid w:val="008613B5"/>
    <w:rsid w:val="008C0DC7"/>
    <w:rsid w:val="00A0723F"/>
    <w:rsid w:val="00AC045A"/>
    <w:rsid w:val="00AD14D2"/>
    <w:rsid w:val="00C748E6"/>
    <w:rsid w:val="00CF68AA"/>
    <w:rsid w:val="00D07FEB"/>
    <w:rsid w:val="00DE666E"/>
    <w:rsid w:val="00F04C0D"/>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634CB"/>
  <w15:chartTrackingRefBased/>
  <w15:docId w15:val="{3BECF1EA-C205-4CA7-B1E3-E435F0A7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9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B19A6"/>
    <w:pPr>
      <w:spacing w:before="100" w:beforeAutospacing="1" w:after="200" w:afterAutospacing="1" w:line="240" w:lineRule="auto"/>
      <w:ind w:firstLine="720"/>
      <w:jc w:val="both"/>
    </w:pPr>
    <w:rPr>
      <w:rFonts w:ascii="Times New Roman" w:eastAsiaTheme="minorHAnsi" w:hAnsi="Times New Roman"/>
      <w:i/>
      <w:iCs/>
      <w:color w:val="44546A" w:themeColor="text2"/>
      <w:kern w:val="0"/>
      <w:sz w:val="20"/>
      <w:szCs w:val="18"/>
      <w:lang w:eastAsia="en-US"/>
      <w14:ligatures w14:val="none"/>
    </w:rPr>
  </w:style>
  <w:style w:type="paragraph" w:customStyle="1" w:styleId="Head1">
    <w:name w:val="Head 1"/>
    <w:basedOn w:val="Normal"/>
    <w:autoRedefine/>
    <w:rsid w:val="001B19A6"/>
    <w:pPr>
      <w:numPr>
        <w:numId w:val="1"/>
      </w:numPr>
      <w:spacing w:before="120" w:after="120" w:line="360" w:lineRule="auto"/>
      <w:ind w:left="360"/>
      <w:jc w:val="both"/>
      <w:outlineLvl w:val="1"/>
    </w:pPr>
    <w:rPr>
      <w:rFonts w:ascii="Times New Roman" w:eastAsia="MS Mincho" w:hAnsi="Times New Roman" w:cs="Times New Roman"/>
      <w:b/>
      <w:bCs/>
      <w:kern w:val="0"/>
      <w:sz w:val="24"/>
      <w:szCs w:val="24"/>
      <w:lang w:val="en-US"/>
      <w14:ligatures w14:val="none"/>
    </w:rPr>
  </w:style>
  <w:style w:type="character" w:styleId="IntenseEmphasis">
    <w:name w:val="Intense Emphasis"/>
    <w:basedOn w:val="DefaultParagraphFont"/>
    <w:uiPriority w:val="21"/>
    <w:qFormat/>
    <w:rsid w:val="001B19A6"/>
    <w:rPr>
      <w:b w:val="0"/>
      <w:i/>
      <w:iCs/>
      <w:color w:val="auto"/>
      <w:u w:val="none"/>
      <w:bdr w:val="none" w:sz="0" w:space="0" w:color="auto"/>
      <w:shd w:val="clear" w:color="auto" w:fill="auto"/>
    </w:rPr>
  </w:style>
  <w:style w:type="table" w:customStyle="1" w:styleId="TableGrid1">
    <w:name w:val="Table Grid1"/>
    <w:basedOn w:val="TableNormal"/>
    <w:next w:val="TableGrid"/>
    <w:uiPriority w:val="39"/>
    <w:rsid w:val="002D5BE9"/>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D5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E666E"/>
    <w:pPr>
      <w:spacing w:after="0" w:line="240" w:lineRule="auto"/>
    </w:pPr>
    <w:rPr>
      <w:rFonts w:ascii="Times New Roman" w:eastAsia="Times New Roman" w:hAnsi="Times New Roman" w:cs="Times New Roman"/>
      <w:kern w:val="0"/>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661B8"/>
    <w:rPr>
      <w:color w:val="0563C1" w:themeColor="hyperlink"/>
      <w:u w:val="single"/>
    </w:rPr>
  </w:style>
  <w:style w:type="paragraph" w:customStyle="1" w:styleId="AuthorsFull">
    <w:name w:val="Authors Full"/>
    <w:basedOn w:val="Normal"/>
    <w:rsid w:val="003661B8"/>
    <w:pPr>
      <w:spacing w:after="0" w:line="240" w:lineRule="auto"/>
    </w:pPr>
    <w:rPr>
      <w:rFonts w:ascii="Times New Roman" w:eastAsia="MS Mincho" w:hAnsi="Times New Roman" w:cs="Times New Roman"/>
      <w:i/>
      <w:kern w:val="0"/>
      <w:sz w:val="24"/>
      <w:szCs w:val="24"/>
      <w:lang w:val="en-US"/>
      <w14:ligatures w14:val="none"/>
    </w:rPr>
  </w:style>
  <w:style w:type="paragraph" w:styleId="ListParagraph">
    <w:name w:val="List Paragraph"/>
    <w:basedOn w:val="Normal"/>
    <w:uiPriority w:val="34"/>
    <w:qFormat/>
    <w:rsid w:val="00CF68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mailto:Maurice.Collins@ul.i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QCdata\Exports\Hyper%20Lignin\sttn_A_20210915_1_136092_ERWD92_N2%20(Isother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b7cffee7dff27624/Edgar%20-%20Celignis/Hyper%20Lignin/(7)%20Pore%20Analysis/sttn_A_20210915_1_136092_ERWD92_N2%20(DFT%20method%20%20Pore%20Size%20Distribution).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Adsorption Branch (EHL)</c:v>
          </c:tx>
          <c:spPr>
            <a:ln w="9525" cap="rnd">
              <a:solidFill>
                <a:schemeClr val="accent1"/>
              </a:solidFill>
              <a:prstDash val="solid"/>
              <a:round/>
            </a:ln>
            <a:effectLst/>
          </c:spPr>
          <c:marker>
            <c:symbol val="none"/>
          </c:marker>
          <c:xVal>
            <c:numRef>
              <c:f>sttn_A_20210915_1_136092_ERWD92!$A$3:$A$14</c:f>
              <c:numCache>
                <c:formatCode>0.00</c:formatCode>
                <c:ptCount val="12"/>
                <c:pt idx="0">
                  <c:v>3.2439999999999999E-3</c:v>
                </c:pt>
                <c:pt idx="1">
                  <c:v>4.9563000000000003E-2</c:v>
                </c:pt>
                <c:pt idx="2">
                  <c:v>0.109857</c:v>
                </c:pt>
                <c:pt idx="3">
                  <c:v>0.173295</c:v>
                </c:pt>
                <c:pt idx="4">
                  <c:v>0.23327000000000001</c:v>
                </c:pt>
                <c:pt idx="5">
                  <c:v>0.29647400000000002</c:v>
                </c:pt>
                <c:pt idx="6">
                  <c:v>0.44895200000000002</c:v>
                </c:pt>
                <c:pt idx="7">
                  <c:v>0.59592199999999995</c:v>
                </c:pt>
                <c:pt idx="8">
                  <c:v>0.69621200000000005</c:v>
                </c:pt>
                <c:pt idx="9">
                  <c:v>0.79745200000000005</c:v>
                </c:pt>
                <c:pt idx="10">
                  <c:v>0.89864299999999997</c:v>
                </c:pt>
                <c:pt idx="11">
                  <c:v>0.98538300000000001</c:v>
                </c:pt>
              </c:numCache>
            </c:numRef>
          </c:xVal>
          <c:yVal>
            <c:numRef>
              <c:f>sttn_A_20210915_1_136092_ERWD92!$B$3:$B$14</c:f>
              <c:numCache>
                <c:formatCode>General</c:formatCode>
                <c:ptCount val="12"/>
                <c:pt idx="0">
                  <c:v>0.2301</c:v>
                </c:pt>
                <c:pt idx="1">
                  <c:v>0.8538</c:v>
                </c:pt>
                <c:pt idx="2">
                  <c:v>1.1537999999999999</c:v>
                </c:pt>
                <c:pt idx="3">
                  <c:v>1.3707</c:v>
                </c:pt>
                <c:pt idx="4">
                  <c:v>1.5596000000000001</c:v>
                </c:pt>
                <c:pt idx="5">
                  <c:v>1.7423999999999999</c:v>
                </c:pt>
                <c:pt idx="6">
                  <c:v>2.1907000000000001</c:v>
                </c:pt>
                <c:pt idx="7">
                  <c:v>2.6753999999999998</c:v>
                </c:pt>
                <c:pt idx="8">
                  <c:v>3.1213000000000002</c:v>
                </c:pt>
                <c:pt idx="9">
                  <c:v>3.7957999999999998</c:v>
                </c:pt>
                <c:pt idx="10">
                  <c:v>5.8151000000000002</c:v>
                </c:pt>
                <c:pt idx="11">
                  <c:v>16.4909</c:v>
                </c:pt>
              </c:numCache>
            </c:numRef>
          </c:yVal>
          <c:smooth val="1"/>
          <c:extLst>
            <c:ext xmlns:c16="http://schemas.microsoft.com/office/drawing/2014/chart" uri="{C3380CC4-5D6E-409C-BE32-E72D297353CC}">
              <c16:uniqueId val="{00000000-8A78-4BD4-B59B-092576D3F827}"/>
            </c:ext>
          </c:extLst>
        </c:ser>
        <c:ser>
          <c:idx val="1"/>
          <c:order val="1"/>
          <c:tx>
            <c:v>Desorption Branch (EHL)</c:v>
          </c:tx>
          <c:spPr>
            <a:ln w="9525" cap="rnd">
              <a:solidFill>
                <a:schemeClr val="accent2">
                  <a:alpha val="75000"/>
                </a:schemeClr>
              </a:solidFill>
              <a:prstDash val="sysDash"/>
              <a:round/>
            </a:ln>
            <a:effectLst/>
          </c:spPr>
          <c:marker>
            <c:symbol val="none"/>
          </c:marker>
          <c:xVal>
            <c:numRef>
              <c:f>sttn_A_20210915_1_136092_ERWD92!$A$14:$A$24</c:f>
              <c:numCache>
                <c:formatCode>0.00</c:formatCode>
                <c:ptCount val="11"/>
                <c:pt idx="0">
                  <c:v>0.98538300000000001</c:v>
                </c:pt>
                <c:pt idx="1">
                  <c:v>0.94834700000000005</c:v>
                </c:pt>
                <c:pt idx="2">
                  <c:v>0.89665499999999998</c:v>
                </c:pt>
                <c:pt idx="3">
                  <c:v>0.79418</c:v>
                </c:pt>
                <c:pt idx="4">
                  <c:v>0.69890200000000002</c:v>
                </c:pt>
                <c:pt idx="5">
                  <c:v>0.59658299999999997</c:v>
                </c:pt>
                <c:pt idx="6">
                  <c:v>0.49327700000000002</c:v>
                </c:pt>
                <c:pt idx="7">
                  <c:v>0.39222099999999999</c:v>
                </c:pt>
                <c:pt idx="8">
                  <c:v>0.29203800000000002</c:v>
                </c:pt>
                <c:pt idx="9">
                  <c:v>0.19392100000000001</c:v>
                </c:pt>
                <c:pt idx="10">
                  <c:v>9.2297000000000004E-2</c:v>
                </c:pt>
              </c:numCache>
            </c:numRef>
          </c:xVal>
          <c:yVal>
            <c:numRef>
              <c:f>sttn_A_20210915_1_136092_ERWD92!$B$14:$B$24</c:f>
              <c:numCache>
                <c:formatCode>General</c:formatCode>
                <c:ptCount val="11"/>
                <c:pt idx="0">
                  <c:v>16.4909</c:v>
                </c:pt>
                <c:pt idx="1">
                  <c:v>10.2125</c:v>
                </c:pt>
                <c:pt idx="2">
                  <c:v>6.9149000000000003</c:v>
                </c:pt>
                <c:pt idx="3">
                  <c:v>4.3482000000000003</c:v>
                </c:pt>
                <c:pt idx="4">
                  <c:v>3.2770999999999999</c:v>
                </c:pt>
                <c:pt idx="5">
                  <c:v>2.6219999999999999</c:v>
                </c:pt>
                <c:pt idx="6">
                  <c:v>2.194</c:v>
                </c:pt>
                <c:pt idx="7">
                  <c:v>1.8591</c:v>
                </c:pt>
                <c:pt idx="8">
                  <c:v>1.5306999999999999</c:v>
                </c:pt>
                <c:pt idx="9">
                  <c:v>1.204</c:v>
                </c:pt>
                <c:pt idx="10">
                  <c:v>0.8085</c:v>
                </c:pt>
              </c:numCache>
            </c:numRef>
          </c:yVal>
          <c:smooth val="1"/>
          <c:extLst>
            <c:ext xmlns:c16="http://schemas.microsoft.com/office/drawing/2014/chart" uri="{C3380CC4-5D6E-409C-BE32-E72D297353CC}">
              <c16:uniqueId val="{00000001-8A78-4BD4-B59B-092576D3F827}"/>
            </c:ext>
          </c:extLst>
        </c:ser>
        <c:ser>
          <c:idx val="2"/>
          <c:order val="2"/>
          <c:tx>
            <c:v>Adsorption Branch (HTBW)</c:v>
          </c:tx>
          <c:spPr>
            <a:ln w="9525" cap="rnd">
              <a:solidFill>
                <a:schemeClr val="accent3"/>
              </a:solidFill>
              <a:prstDash val="solid"/>
              <a:round/>
            </a:ln>
            <a:effectLst/>
          </c:spPr>
          <c:marker>
            <c:symbol val="none"/>
          </c:marker>
          <c:xVal>
            <c:numRef>
              <c:f>sttn_A_20210915_1_136092_ERWD92!$C$3:$C$19</c:f>
              <c:numCache>
                <c:formatCode>0.00E+00</c:formatCode>
                <c:ptCount val="17"/>
                <c:pt idx="0">
                  <c:v>3.042E-3</c:v>
                </c:pt>
                <c:pt idx="1">
                  <c:v>8.3110000000000007E-3</c:v>
                </c:pt>
                <c:pt idx="2">
                  <c:v>2.2905999999999999E-2</c:v>
                </c:pt>
                <c:pt idx="3">
                  <c:v>4.7989999999999998E-2</c:v>
                </c:pt>
                <c:pt idx="4">
                  <c:v>9.7758999999999999E-2</c:v>
                </c:pt>
                <c:pt idx="5">
                  <c:v>0.145955</c:v>
                </c:pt>
                <c:pt idx="6">
                  <c:v>0.19711400000000001</c:v>
                </c:pt>
                <c:pt idx="7">
                  <c:v>0.247636</c:v>
                </c:pt>
                <c:pt idx="8">
                  <c:v>0.29887399999999997</c:v>
                </c:pt>
                <c:pt idx="9">
                  <c:v>0.34765800000000002</c:v>
                </c:pt>
                <c:pt idx="10">
                  <c:v>0.47256399999999998</c:v>
                </c:pt>
                <c:pt idx="11">
                  <c:v>0.53572299999999995</c:v>
                </c:pt>
                <c:pt idx="12">
                  <c:v>0.64926099999999998</c:v>
                </c:pt>
                <c:pt idx="13">
                  <c:v>0.75041800000000003</c:v>
                </c:pt>
                <c:pt idx="14">
                  <c:v>0.84986499999999998</c:v>
                </c:pt>
                <c:pt idx="15">
                  <c:v>0.94921299999999997</c:v>
                </c:pt>
                <c:pt idx="16">
                  <c:v>0.985097</c:v>
                </c:pt>
              </c:numCache>
            </c:numRef>
          </c:xVal>
          <c:yVal>
            <c:numRef>
              <c:f>sttn_A_20210915_1_136092_ERWD92!$D$3:$D$19</c:f>
              <c:numCache>
                <c:formatCode>General</c:formatCode>
                <c:ptCount val="17"/>
                <c:pt idx="0">
                  <c:v>0.15049999999999999</c:v>
                </c:pt>
                <c:pt idx="1">
                  <c:v>0.2417</c:v>
                </c:pt>
                <c:pt idx="2">
                  <c:v>0.3846</c:v>
                </c:pt>
                <c:pt idx="3">
                  <c:v>0.53200000000000003</c:v>
                </c:pt>
                <c:pt idx="4">
                  <c:v>0.70550000000000002</c:v>
                </c:pt>
                <c:pt idx="5">
                  <c:v>0.82689999999999997</c:v>
                </c:pt>
                <c:pt idx="6">
                  <c:v>0.9355</c:v>
                </c:pt>
                <c:pt idx="7">
                  <c:v>1.0315000000000001</c:v>
                </c:pt>
                <c:pt idx="8">
                  <c:v>1.1245000000000001</c:v>
                </c:pt>
                <c:pt idx="9">
                  <c:v>1.2145999999999999</c:v>
                </c:pt>
                <c:pt idx="10">
                  <c:v>1.4412</c:v>
                </c:pt>
                <c:pt idx="11">
                  <c:v>1.5705</c:v>
                </c:pt>
                <c:pt idx="12">
                  <c:v>1.8407</c:v>
                </c:pt>
                <c:pt idx="13">
                  <c:v>2.1475</c:v>
                </c:pt>
                <c:pt idx="14">
                  <c:v>2.7097000000000002</c:v>
                </c:pt>
                <c:pt idx="15">
                  <c:v>4.9169999999999998</c:v>
                </c:pt>
                <c:pt idx="16">
                  <c:v>11.547800000000001</c:v>
                </c:pt>
              </c:numCache>
            </c:numRef>
          </c:yVal>
          <c:smooth val="1"/>
          <c:extLst>
            <c:ext xmlns:c16="http://schemas.microsoft.com/office/drawing/2014/chart" uri="{C3380CC4-5D6E-409C-BE32-E72D297353CC}">
              <c16:uniqueId val="{00000002-8A78-4BD4-B59B-092576D3F827}"/>
            </c:ext>
          </c:extLst>
        </c:ser>
        <c:ser>
          <c:idx val="3"/>
          <c:order val="3"/>
          <c:tx>
            <c:v>Desorption Branch (HTBW)</c:v>
          </c:tx>
          <c:spPr>
            <a:ln w="9525" cap="rnd">
              <a:solidFill>
                <a:schemeClr val="accent4">
                  <a:alpha val="75000"/>
                </a:schemeClr>
              </a:solidFill>
              <a:prstDash val="sysDash"/>
              <a:round/>
            </a:ln>
            <a:effectLst/>
          </c:spPr>
          <c:marker>
            <c:symbol val="none"/>
          </c:marker>
          <c:xVal>
            <c:numRef>
              <c:f>sttn_A_20210915_1_136092_ERWD92!$C$19:$C$32</c:f>
              <c:numCache>
                <c:formatCode>0.00E+00</c:formatCode>
                <c:ptCount val="14"/>
                <c:pt idx="0">
                  <c:v>0.985097</c:v>
                </c:pt>
                <c:pt idx="1">
                  <c:v>0.95034700000000005</c:v>
                </c:pt>
                <c:pt idx="2">
                  <c:v>0.89525900000000003</c:v>
                </c:pt>
                <c:pt idx="3">
                  <c:v>0.84936100000000003</c:v>
                </c:pt>
                <c:pt idx="4">
                  <c:v>0.80458399999999997</c:v>
                </c:pt>
                <c:pt idx="5">
                  <c:v>0.74501399999999995</c:v>
                </c:pt>
                <c:pt idx="6">
                  <c:v>0.699882</c:v>
                </c:pt>
                <c:pt idx="7">
                  <c:v>0.65375000000000005</c:v>
                </c:pt>
                <c:pt idx="8">
                  <c:v>0.60265500000000005</c:v>
                </c:pt>
                <c:pt idx="9">
                  <c:v>0.49344900000000003</c:v>
                </c:pt>
                <c:pt idx="10">
                  <c:v>0.39208700000000002</c:v>
                </c:pt>
                <c:pt idx="11">
                  <c:v>0.29119299999999998</c:v>
                </c:pt>
                <c:pt idx="12">
                  <c:v>0.19367500000000001</c:v>
                </c:pt>
                <c:pt idx="13">
                  <c:v>9.1809000000000002E-2</c:v>
                </c:pt>
              </c:numCache>
            </c:numRef>
          </c:xVal>
          <c:yVal>
            <c:numRef>
              <c:f>sttn_A_20210915_1_136092_ERWD92!$D$19:$D$32</c:f>
              <c:numCache>
                <c:formatCode>General</c:formatCode>
                <c:ptCount val="14"/>
                <c:pt idx="0">
                  <c:v>11.547800000000001</c:v>
                </c:pt>
                <c:pt idx="1">
                  <c:v>6.5857000000000001</c:v>
                </c:pt>
                <c:pt idx="2">
                  <c:v>4.1002999999999998</c:v>
                </c:pt>
                <c:pt idx="3">
                  <c:v>3.1983000000000001</c:v>
                </c:pt>
                <c:pt idx="4">
                  <c:v>2.6855000000000002</c:v>
                </c:pt>
                <c:pt idx="5">
                  <c:v>2.2764000000000002</c:v>
                </c:pt>
                <c:pt idx="6">
                  <c:v>2.0758999999999999</c:v>
                </c:pt>
                <c:pt idx="7">
                  <c:v>1.9287000000000001</c:v>
                </c:pt>
                <c:pt idx="8">
                  <c:v>1.7848999999999999</c:v>
                </c:pt>
                <c:pt idx="9">
                  <c:v>1.5294000000000001</c:v>
                </c:pt>
                <c:pt idx="10">
                  <c:v>1.3236000000000001</c:v>
                </c:pt>
                <c:pt idx="11">
                  <c:v>1.1344000000000001</c:v>
                </c:pt>
                <c:pt idx="12">
                  <c:v>0.94610000000000005</c:v>
                </c:pt>
                <c:pt idx="13">
                  <c:v>0.69540000000000002</c:v>
                </c:pt>
              </c:numCache>
            </c:numRef>
          </c:yVal>
          <c:smooth val="1"/>
          <c:extLst>
            <c:ext xmlns:c16="http://schemas.microsoft.com/office/drawing/2014/chart" uri="{C3380CC4-5D6E-409C-BE32-E72D297353CC}">
              <c16:uniqueId val="{00000003-8A78-4BD4-B59B-092576D3F827}"/>
            </c:ext>
          </c:extLst>
        </c:ser>
        <c:dLbls>
          <c:showLegendKey val="0"/>
          <c:showVal val="0"/>
          <c:showCatName val="0"/>
          <c:showSerName val="0"/>
          <c:showPercent val="0"/>
          <c:showBubbleSize val="0"/>
        </c:dLbls>
        <c:axId val="1318149519"/>
        <c:axId val="1318146191"/>
      </c:scatterChart>
      <c:valAx>
        <c:axId val="1318149519"/>
        <c:scaling>
          <c:orientation val="minMax"/>
          <c:max val="1"/>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E"/>
                  <a:t>Relative Pressure, P/Po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8146191"/>
        <c:crosses val="autoZero"/>
        <c:crossBetween val="midCat"/>
      </c:valAx>
      <c:valAx>
        <c:axId val="1318146191"/>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E"/>
                  <a:t>Volume (cc/g)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8149519"/>
        <c:crosses val="autoZero"/>
        <c:crossBetween val="midCat"/>
      </c:valAx>
      <c:spPr>
        <a:noFill/>
        <a:ln>
          <a:solidFill>
            <a:schemeClr val="tx1"/>
          </a:solidFill>
        </a:ln>
        <a:effectLst/>
      </c:spPr>
    </c:plotArea>
    <c:legend>
      <c:legendPos val="t"/>
      <c:layout>
        <c:manualLayout>
          <c:xMode val="edge"/>
          <c:yMode val="edge"/>
          <c:x val="7.4889918426196966E-2"/>
          <c:y val="2.7777777777777776E-2"/>
          <c:w val="0.87138897711877517"/>
          <c:h val="0.149306649168853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Cumulative Surface Area (EHL)</c:v>
          </c:tx>
          <c:spPr>
            <a:ln w="19050" cap="rnd">
              <a:solidFill>
                <a:schemeClr val="accent1"/>
              </a:solidFill>
              <a:round/>
            </a:ln>
            <a:effectLst/>
          </c:spPr>
          <c:marker>
            <c:symbol val="none"/>
          </c:marker>
          <c:xVal>
            <c:numRef>
              <c:f>sttn_A_20210915_1_136092_ERWD92!$A$3:$A$110</c:f>
              <c:numCache>
                <c:formatCode>General</c:formatCode>
                <c:ptCount val="108"/>
                <c:pt idx="0">
                  <c:v>1.0960000000000001</c:v>
                </c:pt>
                <c:pt idx="1">
                  <c:v>1.1439999999999999</c:v>
                </c:pt>
                <c:pt idx="2">
                  <c:v>1.1930000000000001</c:v>
                </c:pt>
                <c:pt idx="3">
                  <c:v>1.2450000000000001</c:v>
                </c:pt>
                <c:pt idx="4">
                  <c:v>1.2989999999999999</c:v>
                </c:pt>
                <c:pt idx="5">
                  <c:v>1.3560000000000001</c:v>
                </c:pt>
                <c:pt idx="6">
                  <c:v>1.4159999999999999</c:v>
                </c:pt>
                <c:pt idx="7">
                  <c:v>1.478</c:v>
                </c:pt>
                <c:pt idx="8">
                  <c:v>1.5429999999999999</c:v>
                </c:pt>
                <c:pt idx="9">
                  <c:v>1.611</c:v>
                </c:pt>
                <c:pt idx="10">
                  <c:v>1.6819999999999999</c:v>
                </c:pt>
                <c:pt idx="11">
                  <c:v>1.756</c:v>
                </c:pt>
                <c:pt idx="12">
                  <c:v>1.8340000000000001</c:v>
                </c:pt>
                <c:pt idx="13">
                  <c:v>1.915</c:v>
                </c:pt>
                <c:pt idx="14">
                  <c:v>2</c:v>
                </c:pt>
                <c:pt idx="15">
                  <c:v>2.1206</c:v>
                </c:pt>
                <c:pt idx="16">
                  <c:v>2.1947999999999999</c:v>
                </c:pt>
                <c:pt idx="17">
                  <c:v>2.2717000000000001</c:v>
                </c:pt>
                <c:pt idx="18">
                  <c:v>2.3512</c:v>
                </c:pt>
                <c:pt idx="19">
                  <c:v>2.4335</c:v>
                </c:pt>
                <c:pt idx="20">
                  <c:v>2.5186000000000002</c:v>
                </c:pt>
                <c:pt idx="21">
                  <c:v>2.6067999999999998</c:v>
                </c:pt>
                <c:pt idx="22">
                  <c:v>2.698</c:v>
                </c:pt>
                <c:pt idx="23">
                  <c:v>2.7925</c:v>
                </c:pt>
                <c:pt idx="24">
                  <c:v>2.8902000000000001</c:v>
                </c:pt>
                <c:pt idx="25">
                  <c:v>2.9914000000000001</c:v>
                </c:pt>
                <c:pt idx="26">
                  <c:v>3.0960999999999999</c:v>
                </c:pt>
                <c:pt idx="27">
                  <c:v>3.2044000000000001</c:v>
                </c:pt>
                <c:pt idx="28">
                  <c:v>3.3166000000000002</c:v>
                </c:pt>
                <c:pt idx="29">
                  <c:v>3.4325999999999999</c:v>
                </c:pt>
                <c:pt idx="30">
                  <c:v>3.5528</c:v>
                </c:pt>
                <c:pt idx="31">
                  <c:v>3.6770999999999998</c:v>
                </c:pt>
                <c:pt idx="32">
                  <c:v>3.8058000000000001</c:v>
                </c:pt>
                <c:pt idx="33">
                  <c:v>3.9390000000000001</c:v>
                </c:pt>
                <c:pt idx="34">
                  <c:v>4.0769000000000002</c:v>
                </c:pt>
                <c:pt idx="35">
                  <c:v>4.2195999999999998</c:v>
                </c:pt>
                <c:pt idx="36">
                  <c:v>4.3673000000000002</c:v>
                </c:pt>
                <c:pt idx="37">
                  <c:v>4.5201000000000002</c:v>
                </c:pt>
                <c:pt idx="38">
                  <c:v>4.6783999999999999</c:v>
                </c:pt>
                <c:pt idx="39">
                  <c:v>4.8421000000000003</c:v>
                </c:pt>
                <c:pt idx="40">
                  <c:v>5.0115999999999996</c:v>
                </c:pt>
                <c:pt idx="41">
                  <c:v>5.1870000000000003</c:v>
                </c:pt>
                <c:pt idx="42">
                  <c:v>5.3689999999999998</c:v>
                </c:pt>
                <c:pt idx="43">
                  <c:v>5.556</c:v>
                </c:pt>
                <c:pt idx="44">
                  <c:v>5.7510000000000003</c:v>
                </c:pt>
                <c:pt idx="45">
                  <c:v>5.952</c:v>
                </c:pt>
                <c:pt idx="46">
                  <c:v>6.16</c:v>
                </c:pt>
                <c:pt idx="47">
                  <c:v>6.3760000000000003</c:v>
                </c:pt>
                <c:pt idx="48">
                  <c:v>6.5990000000000002</c:v>
                </c:pt>
                <c:pt idx="49">
                  <c:v>6.83</c:v>
                </c:pt>
                <c:pt idx="50">
                  <c:v>7.069</c:v>
                </c:pt>
                <c:pt idx="51">
                  <c:v>7.3170000000000002</c:v>
                </c:pt>
                <c:pt idx="52">
                  <c:v>7.5730000000000004</c:v>
                </c:pt>
                <c:pt idx="53">
                  <c:v>7.8379000000000003</c:v>
                </c:pt>
                <c:pt idx="54">
                  <c:v>8.1121999999999996</c:v>
                </c:pt>
                <c:pt idx="55">
                  <c:v>8.3961000000000006</c:v>
                </c:pt>
                <c:pt idx="56">
                  <c:v>8.69</c:v>
                </c:pt>
                <c:pt idx="57">
                  <c:v>8.9940999999999995</c:v>
                </c:pt>
                <c:pt idx="58">
                  <c:v>9.3088999999999995</c:v>
                </c:pt>
                <c:pt idx="59">
                  <c:v>9.6347000000000005</c:v>
                </c:pt>
                <c:pt idx="60">
                  <c:v>9.9719999999999995</c:v>
                </c:pt>
                <c:pt idx="61">
                  <c:v>10.321</c:v>
                </c:pt>
                <c:pt idx="62">
                  <c:v>10.682</c:v>
                </c:pt>
                <c:pt idx="63">
                  <c:v>11.055999999999999</c:v>
                </c:pt>
                <c:pt idx="64">
                  <c:v>11.443</c:v>
                </c:pt>
                <c:pt idx="65">
                  <c:v>11.8436</c:v>
                </c:pt>
                <c:pt idx="66">
                  <c:v>12.258100000000001</c:v>
                </c:pt>
                <c:pt idx="67">
                  <c:v>12.687099999999999</c:v>
                </c:pt>
                <c:pt idx="68">
                  <c:v>13.1312</c:v>
                </c:pt>
                <c:pt idx="69">
                  <c:v>13.5908</c:v>
                </c:pt>
                <c:pt idx="70">
                  <c:v>14.0664</c:v>
                </c:pt>
                <c:pt idx="71">
                  <c:v>14.5588</c:v>
                </c:pt>
                <c:pt idx="72">
                  <c:v>15.068300000000001</c:v>
                </c:pt>
                <c:pt idx="73">
                  <c:v>15.595700000000001</c:v>
                </c:pt>
                <c:pt idx="74">
                  <c:v>16.1416</c:v>
                </c:pt>
                <c:pt idx="75">
                  <c:v>16.706499999999998</c:v>
                </c:pt>
                <c:pt idx="76">
                  <c:v>17.2912</c:v>
                </c:pt>
                <c:pt idx="77">
                  <c:v>17.8964</c:v>
                </c:pt>
                <c:pt idx="78">
                  <c:v>18.5228</c:v>
                </c:pt>
                <c:pt idx="79">
                  <c:v>19.171099999999999</c:v>
                </c:pt>
                <c:pt idx="80">
                  <c:v>19.842099999999999</c:v>
                </c:pt>
                <c:pt idx="81">
                  <c:v>20.5366</c:v>
                </c:pt>
                <c:pt idx="82">
                  <c:v>21.255299999999998</c:v>
                </c:pt>
                <c:pt idx="83">
                  <c:v>21.999300000000002</c:v>
                </c:pt>
                <c:pt idx="84">
                  <c:v>22.769300000000001</c:v>
                </c:pt>
                <c:pt idx="85">
                  <c:v>23.566199999999998</c:v>
                </c:pt>
                <c:pt idx="86">
                  <c:v>24.390999999999998</c:v>
                </c:pt>
                <c:pt idx="87">
                  <c:v>25.244700000000002</c:v>
                </c:pt>
                <c:pt idx="88">
                  <c:v>26.1282</c:v>
                </c:pt>
                <c:pt idx="89">
                  <c:v>27.0427</c:v>
                </c:pt>
                <c:pt idx="90">
                  <c:v>27.9892</c:v>
                </c:pt>
                <c:pt idx="91">
                  <c:v>28.968900000000001</c:v>
                </c:pt>
                <c:pt idx="92">
                  <c:v>29.982800000000001</c:v>
                </c:pt>
                <c:pt idx="93">
                  <c:v>31.0322</c:v>
                </c:pt>
                <c:pt idx="94">
                  <c:v>32.118299999999998</c:v>
                </c:pt>
                <c:pt idx="95">
                  <c:v>33.242400000000004</c:v>
                </c:pt>
                <c:pt idx="96">
                  <c:v>34.405900000000003</c:v>
                </c:pt>
                <c:pt idx="97">
                  <c:v>35.610100000000003</c:v>
                </c:pt>
                <c:pt idx="98">
                  <c:v>36.856499999999997</c:v>
                </c:pt>
                <c:pt idx="99">
                  <c:v>38.1464</c:v>
                </c:pt>
                <c:pt idx="100">
                  <c:v>39.4816</c:v>
                </c:pt>
                <c:pt idx="101">
                  <c:v>40.863399999999999</c:v>
                </c:pt>
                <c:pt idx="102">
                  <c:v>42.293599999999998</c:v>
                </c:pt>
                <c:pt idx="103">
                  <c:v>43.773899999999998</c:v>
                </c:pt>
                <c:pt idx="104">
                  <c:v>45.305999999999997</c:v>
                </c:pt>
                <c:pt idx="105">
                  <c:v>46.8917</c:v>
                </c:pt>
                <c:pt idx="106">
                  <c:v>48.532899999999998</c:v>
                </c:pt>
                <c:pt idx="107">
                  <c:v>50.2316</c:v>
                </c:pt>
              </c:numCache>
            </c:numRef>
          </c:xVal>
          <c:yVal>
            <c:numRef>
              <c:f>sttn_A_20210915_1_136092_ERWD92!$C$3:$C$110</c:f>
              <c:numCache>
                <c:formatCode>0.00</c:formatCode>
                <c:ptCount val="108"/>
                <c:pt idx="0">
                  <c:v>0</c:v>
                </c:pt>
                <c:pt idx="1">
                  <c:v>0</c:v>
                </c:pt>
                <c:pt idx="2">
                  <c:v>0</c:v>
                </c:pt>
                <c:pt idx="3">
                  <c:v>0</c:v>
                </c:pt>
                <c:pt idx="4">
                  <c:v>0</c:v>
                </c:pt>
                <c:pt idx="5">
                  <c:v>0</c:v>
                </c:pt>
                <c:pt idx="6">
                  <c:v>0</c:v>
                </c:pt>
                <c:pt idx="7">
                  <c:v>0</c:v>
                </c:pt>
                <c:pt idx="8">
                  <c:v>0</c:v>
                </c:pt>
                <c:pt idx="9">
                  <c:v>0</c:v>
                </c:pt>
                <c:pt idx="10">
                  <c:v>0</c:v>
                </c:pt>
                <c:pt idx="11">
                  <c:v>0</c:v>
                </c:pt>
                <c:pt idx="12">
                  <c:v>0</c:v>
                </c:pt>
                <c:pt idx="13">
                  <c:v>8.5377000000000005E-3</c:v>
                </c:pt>
                <c:pt idx="14">
                  <c:v>2.2262000000000001E-2</c:v>
                </c:pt>
                <c:pt idx="15">
                  <c:v>2.2262000000000001E-2</c:v>
                </c:pt>
                <c:pt idx="16">
                  <c:v>2.2262000000000001E-2</c:v>
                </c:pt>
                <c:pt idx="17">
                  <c:v>2.2262000000000001E-2</c:v>
                </c:pt>
                <c:pt idx="18">
                  <c:v>2.2262000000000001E-2</c:v>
                </c:pt>
                <c:pt idx="19">
                  <c:v>2.2262000000000001E-2</c:v>
                </c:pt>
                <c:pt idx="20">
                  <c:v>2.2262000000000001E-2</c:v>
                </c:pt>
                <c:pt idx="21">
                  <c:v>2.2262000000000001E-2</c:v>
                </c:pt>
                <c:pt idx="22">
                  <c:v>2.2262000000000001E-2</c:v>
                </c:pt>
                <c:pt idx="23">
                  <c:v>2.2262000000000001E-2</c:v>
                </c:pt>
                <c:pt idx="24">
                  <c:v>2.2262000000000001E-2</c:v>
                </c:pt>
                <c:pt idx="25">
                  <c:v>2.2262000000000001E-2</c:v>
                </c:pt>
                <c:pt idx="26">
                  <c:v>2.2262000000000001E-2</c:v>
                </c:pt>
                <c:pt idx="27">
                  <c:v>2.2262000000000001E-2</c:v>
                </c:pt>
                <c:pt idx="28">
                  <c:v>2.2262000000000001E-2</c:v>
                </c:pt>
                <c:pt idx="29">
                  <c:v>2.2262000000000001E-2</c:v>
                </c:pt>
                <c:pt idx="30">
                  <c:v>2.2262000000000001E-2</c:v>
                </c:pt>
                <c:pt idx="31">
                  <c:v>2.2262000000000001E-2</c:v>
                </c:pt>
                <c:pt idx="32">
                  <c:v>2.2745999999999999E-2</c:v>
                </c:pt>
                <c:pt idx="33">
                  <c:v>3.4088E-2</c:v>
                </c:pt>
                <c:pt idx="34">
                  <c:v>6.3646999999999995E-2</c:v>
                </c:pt>
                <c:pt idx="35">
                  <c:v>0.11375</c:v>
                </c:pt>
                <c:pt idx="36">
                  <c:v>0.18501999999999999</c:v>
                </c:pt>
                <c:pt idx="37">
                  <c:v>0.27104</c:v>
                </c:pt>
                <c:pt idx="38">
                  <c:v>0.35360000000000003</c:v>
                </c:pt>
                <c:pt idx="39">
                  <c:v>0.40412999999999999</c:v>
                </c:pt>
                <c:pt idx="40">
                  <c:v>0.40412999999999999</c:v>
                </c:pt>
                <c:pt idx="41">
                  <c:v>0.40412999999999999</c:v>
                </c:pt>
                <c:pt idx="42">
                  <c:v>0.40412999999999999</c:v>
                </c:pt>
                <c:pt idx="43">
                  <c:v>0.40412999999999999</c:v>
                </c:pt>
                <c:pt idx="44">
                  <c:v>0.40412999999999999</c:v>
                </c:pt>
                <c:pt idx="45">
                  <c:v>0.40872999999999998</c:v>
                </c:pt>
                <c:pt idx="46">
                  <c:v>0.43661</c:v>
                </c:pt>
                <c:pt idx="47">
                  <c:v>0.49442000000000003</c:v>
                </c:pt>
                <c:pt idx="48">
                  <c:v>0.57233000000000001</c:v>
                </c:pt>
                <c:pt idx="49">
                  <c:v>0.65166000000000002</c:v>
                </c:pt>
                <c:pt idx="50">
                  <c:v>0.71550000000000002</c:v>
                </c:pt>
                <c:pt idx="51">
                  <c:v>0.75617999999999996</c:v>
                </c:pt>
                <c:pt idx="52">
                  <c:v>0.77695000000000003</c:v>
                </c:pt>
                <c:pt idx="53">
                  <c:v>0.78915999999999997</c:v>
                </c:pt>
                <c:pt idx="54">
                  <c:v>0.80578000000000005</c:v>
                </c:pt>
                <c:pt idx="55">
                  <c:v>0.83338999999999996</c:v>
                </c:pt>
                <c:pt idx="56">
                  <c:v>0.86856</c:v>
                </c:pt>
                <c:pt idx="57">
                  <c:v>0.90319000000000005</c:v>
                </c:pt>
                <c:pt idx="58">
                  <c:v>0.93152999999999997</c:v>
                </c:pt>
                <c:pt idx="59">
                  <c:v>0.95404999999999995</c:v>
                </c:pt>
                <c:pt idx="60">
                  <c:v>0.97748000000000002</c:v>
                </c:pt>
                <c:pt idx="61">
                  <c:v>1.0107999999999999</c:v>
                </c:pt>
                <c:pt idx="62">
                  <c:v>1.0586</c:v>
                </c:pt>
                <c:pt idx="63">
                  <c:v>1.1163000000000001</c:v>
                </c:pt>
                <c:pt idx="64">
                  <c:v>1.1751</c:v>
                </c:pt>
                <c:pt idx="65">
                  <c:v>1.2271000000000001</c:v>
                </c:pt>
                <c:pt idx="66">
                  <c:v>1.2665999999999999</c:v>
                </c:pt>
                <c:pt idx="67">
                  <c:v>1.2906</c:v>
                </c:pt>
                <c:pt idx="68">
                  <c:v>1.2997000000000001</c:v>
                </c:pt>
                <c:pt idx="69">
                  <c:v>1.2997000000000001</c:v>
                </c:pt>
                <c:pt idx="70">
                  <c:v>1.3013999999999999</c:v>
                </c:pt>
                <c:pt idx="71">
                  <c:v>1.3282</c:v>
                </c:pt>
                <c:pt idx="72">
                  <c:v>1.3962000000000001</c:v>
                </c:pt>
                <c:pt idx="73">
                  <c:v>1.4964</c:v>
                </c:pt>
                <c:pt idx="74">
                  <c:v>1.6080000000000001</c:v>
                </c:pt>
                <c:pt idx="75">
                  <c:v>1.7153</c:v>
                </c:pt>
                <c:pt idx="76">
                  <c:v>1.8121</c:v>
                </c:pt>
                <c:pt idx="77">
                  <c:v>1.8979999999999999</c:v>
                </c:pt>
                <c:pt idx="78">
                  <c:v>1.9730000000000001</c:v>
                </c:pt>
                <c:pt idx="79">
                  <c:v>2.0377000000000001</c:v>
                </c:pt>
                <c:pt idx="80">
                  <c:v>2.0928</c:v>
                </c:pt>
                <c:pt idx="81">
                  <c:v>2.1393</c:v>
                </c:pt>
                <c:pt idx="82">
                  <c:v>2.1791999999999998</c:v>
                </c:pt>
                <c:pt idx="83">
                  <c:v>2.2124999999999999</c:v>
                </c:pt>
                <c:pt idx="84">
                  <c:v>2.2370000000000001</c:v>
                </c:pt>
                <c:pt idx="85">
                  <c:v>2.2486000000000002</c:v>
                </c:pt>
                <c:pt idx="86">
                  <c:v>2.2486000000000002</c:v>
                </c:pt>
                <c:pt idx="87">
                  <c:v>2.2486000000000002</c:v>
                </c:pt>
                <c:pt idx="88">
                  <c:v>2.2795000000000001</c:v>
                </c:pt>
                <c:pt idx="89">
                  <c:v>2.3927999999999998</c:v>
                </c:pt>
                <c:pt idx="90">
                  <c:v>2.5876999999999999</c:v>
                </c:pt>
                <c:pt idx="91">
                  <c:v>2.8126000000000002</c:v>
                </c:pt>
                <c:pt idx="92">
                  <c:v>3.0230000000000001</c:v>
                </c:pt>
                <c:pt idx="93">
                  <c:v>3.2044000000000001</c:v>
                </c:pt>
                <c:pt idx="94">
                  <c:v>3.3643000000000001</c:v>
                </c:pt>
                <c:pt idx="95">
                  <c:v>3.5188000000000001</c:v>
                </c:pt>
                <c:pt idx="96">
                  <c:v>3.6633</c:v>
                </c:pt>
                <c:pt idx="97">
                  <c:v>3.7915999999999999</c:v>
                </c:pt>
                <c:pt idx="98">
                  <c:v>3.91</c:v>
                </c:pt>
                <c:pt idx="99">
                  <c:v>4.0186999999999999</c:v>
                </c:pt>
                <c:pt idx="100">
                  <c:v>4.1266999999999996</c:v>
                </c:pt>
                <c:pt idx="101">
                  <c:v>4.2317999999999998</c:v>
                </c:pt>
                <c:pt idx="102">
                  <c:v>4.3143000000000002</c:v>
                </c:pt>
                <c:pt idx="103">
                  <c:v>4.3567</c:v>
                </c:pt>
                <c:pt idx="104">
                  <c:v>4.3726000000000003</c:v>
                </c:pt>
                <c:pt idx="105">
                  <c:v>4.4375999999999998</c:v>
                </c:pt>
                <c:pt idx="106">
                  <c:v>4.6127000000000002</c:v>
                </c:pt>
                <c:pt idx="107">
                  <c:v>4.8468</c:v>
                </c:pt>
              </c:numCache>
            </c:numRef>
          </c:yVal>
          <c:smooth val="1"/>
          <c:extLst>
            <c:ext xmlns:c16="http://schemas.microsoft.com/office/drawing/2014/chart" uri="{C3380CC4-5D6E-409C-BE32-E72D297353CC}">
              <c16:uniqueId val="{00000000-221A-4B54-9AFB-28E3FFC4FA38}"/>
            </c:ext>
          </c:extLst>
        </c:ser>
        <c:ser>
          <c:idx val="2"/>
          <c:order val="2"/>
          <c:tx>
            <c:v>Cumulative Surface Area (HTBW)</c:v>
          </c:tx>
          <c:spPr>
            <a:ln w="19050" cap="rnd">
              <a:solidFill>
                <a:schemeClr val="accent3"/>
              </a:solidFill>
              <a:round/>
            </a:ln>
            <a:effectLst/>
          </c:spPr>
          <c:marker>
            <c:symbol val="none"/>
          </c:marker>
          <c:xVal>
            <c:numRef>
              <c:f>sttn_A_20210915_1_136092_ERWD92!$G$3:$G$112</c:f>
              <c:numCache>
                <c:formatCode>General</c:formatCode>
                <c:ptCount val="110"/>
                <c:pt idx="0">
                  <c:v>1.0069999999999999</c:v>
                </c:pt>
                <c:pt idx="1">
                  <c:v>1.0509999999999999</c:v>
                </c:pt>
                <c:pt idx="2">
                  <c:v>1.0960000000000001</c:v>
                </c:pt>
                <c:pt idx="3">
                  <c:v>1.1439999999999999</c:v>
                </c:pt>
                <c:pt idx="4">
                  <c:v>1.1930000000000001</c:v>
                </c:pt>
                <c:pt idx="5">
                  <c:v>1.2450000000000001</c:v>
                </c:pt>
                <c:pt idx="6">
                  <c:v>1.2989999999999999</c:v>
                </c:pt>
                <c:pt idx="7">
                  <c:v>1.3560000000000001</c:v>
                </c:pt>
                <c:pt idx="8">
                  <c:v>1.4159999999999999</c:v>
                </c:pt>
                <c:pt idx="9">
                  <c:v>1.478</c:v>
                </c:pt>
                <c:pt idx="10">
                  <c:v>1.5429999999999999</c:v>
                </c:pt>
                <c:pt idx="11">
                  <c:v>1.611</c:v>
                </c:pt>
                <c:pt idx="12">
                  <c:v>1.6819999999999999</c:v>
                </c:pt>
                <c:pt idx="13">
                  <c:v>1.756</c:v>
                </c:pt>
                <c:pt idx="14">
                  <c:v>1.8340000000000001</c:v>
                </c:pt>
                <c:pt idx="15">
                  <c:v>1.915</c:v>
                </c:pt>
                <c:pt idx="16">
                  <c:v>2</c:v>
                </c:pt>
                <c:pt idx="17">
                  <c:v>2.1206</c:v>
                </c:pt>
                <c:pt idx="18">
                  <c:v>2.1947999999999999</c:v>
                </c:pt>
                <c:pt idx="19">
                  <c:v>2.2717000000000001</c:v>
                </c:pt>
                <c:pt idx="20">
                  <c:v>2.3512</c:v>
                </c:pt>
                <c:pt idx="21">
                  <c:v>2.4335</c:v>
                </c:pt>
                <c:pt idx="22">
                  <c:v>2.5186000000000002</c:v>
                </c:pt>
                <c:pt idx="23">
                  <c:v>2.6067999999999998</c:v>
                </c:pt>
                <c:pt idx="24">
                  <c:v>2.698</c:v>
                </c:pt>
                <c:pt idx="25">
                  <c:v>2.7925</c:v>
                </c:pt>
                <c:pt idx="26">
                  <c:v>2.8902000000000001</c:v>
                </c:pt>
                <c:pt idx="27">
                  <c:v>2.9914000000000001</c:v>
                </c:pt>
                <c:pt idx="28">
                  <c:v>3.0960999999999999</c:v>
                </c:pt>
                <c:pt idx="29">
                  <c:v>3.2044000000000001</c:v>
                </c:pt>
                <c:pt idx="30">
                  <c:v>3.3166000000000002</c:v>
                </c:pt>
                <c:pt idx="31">
                  <c:v>3.4325999999999999</c:v>
                </c:pt>
                <c:pt idx="32">
                  <c:v>3.5528</c:v>
                </c:pt>
                <c:pt idx="33">
                  <c:v>3.6770999999999998</c:v>
                </c:pt>
                <c:pt idx="34">
                  <c:v>3.8058000000000001</c:v>
                </c:pt>
                <c:pt idx="35">
                  <c:v>3.9390000000000001</c:v>
                </c:pt>
                <c:pt idx="36">
                  <c:v>4.0769000000000002</c:v>
                </c:pt>
                <c:pt idx="37">
                  <c:v>4.2195999999999998</c:v>
                </c:pt>
                <c:pt idx="38">
                  <c:v>4.3673000000000002</c:v>
                </c:pt>
                <c:pt idx="39">
                  <c:v>4.5201000000000002</c:v>
                </c:pt>
                <c:pt idx="40">
                  <c:v>4.6783999999999999</c:v>
                </c:pt>
                <c:pt idx="41">
                  <c:v>4.8421000000000003</c:v>
                </c:pt>
                <c:pt idx="42">
                  <c:v>5.0115999999999996</c:v>
                </c:pt>
                <c:pt idx="43">
                  <c:v>5.1870000000000003</c:v>
                </c:pt>
                <c:pt idx="44">
                  <c:v>5.3689999999999998</c:v>
                </c:pt>
                <c:pt idx="45">
                  <c:v>5.556</c:v>
                </c:pt>
                <c:pt idx="46">
                  <c:v>5.7510000000000003</c:v>
                </c:pt>
                <c:pt idx="47">
                  <c:v>5.952</c:v>
                </c:pt>
                <c:pt idx="48">
                  <c:v>6.16</c:v>
                </c:pt>
                <c:pt idx="49">
                  <c:v>6.3760000000000003</c:v>
                </c:pt>
                <c:pt idx="50">
                  <c:v>6.5990000000000002</c:v>
                </c:pt>
                <c:pt idx="51">
                  <c:v>6.83</c:v>
                </c:pt>
                <c:pt idx="52">
                  <c:v>7.069</c:v>
                </c:pt>
                <c:pt idx="53">
                  <c:v>7.3170000000000002</c:v>
                </c:pt>
                <c:pt idx="54">
                  <c:v>7.5730000000000004</c:v>
                </c:pt>
                <c:pt idx="55">
                  <c:v>7.8379000000000003</c:v>
                </c:pt>
                <c:pt idx="56">
                  <c:v>8.1121999999999996</c:v>
                </c:pt>
                <c:pt idx="57">
                  <c:v>8.3961000000000006</c:v>
                </c:pt>
                <c:pt idx="58">
                  <c:v>8.69</c:v>
                </c:pt>
                <c:pt idx="59">
                  <c:v>8.9940999999999995</c:v>
                </c:pt>
                <c:pt idx="60">
                  <c:v>9.3088999999999995</c:v>
                </c:pt>
                <c:pt idx="61">
                  <c:v>9.6347000000000005</c:v>
                </c:pt>
                <c:pt idx="62">
                  <c:v>9.9719999999999995</c:v>
                </c:pt>
                <c:pt idx="63">
                  <c:v>10.321</c:v>
                </c:pt>
                <c:pt idx="64">
                  <c:v>10.682</c:v>
                </c:pt>
                <c:pt idx="65">
                  <c:v>11.055999999999999</c:v>
                </c:pt>
                <c:pt idx="66">
                  <c:v>11.443</c:v>
                </c:pt>
                <c:pt idx="67">
                  <c:v>11.8436</c:v>
                </c:pt>
                <c:pt idx="68">
                  <c:v>12.258100000000001</c:v>
                </c:pt>
                <c:pt idx="69">
                  <c:v>12.687099999999999</c:v>
                </c:pt>
                <c:pt idx="70">
                  <c:v>13.1312</c:v>
                </c:pt>
                <c:pt idx="71">
                  <c:v>13.5908</c:v>
                </c:pt>
                <c:pt idx="72">
                  <c:v>14.0664</c:v>
                </c:pt>
                <c:pt idx="73">
                  <c:v>14.5588</c:v>
                </c:pt>
                <c:pt idx="74">
                  <c:v>15.068300000000001</c:v>
                </c:pt>
                <c:pt idx="75">
                  <c:v>15.595700000000001</c:v>
                </c:pt>
                <c:pt idx="76">
                  <c:v>16.1416</c:v>
                </c:pt>
                <c:pt idx="77">
                  <c:v>16.706499999999998</c:v>
                </c:pt>
                <c:pt idx="78">
                  <c:v>17.2912</c:v>
                </c:pt>
                <c:pt idx="79">
                  <c:v>17.8964</c:v>
                </c:pt>
                <c:pt idx="80">
                  <c:v>18.5228</c:v>
                </c:pt>
                <c:pt idx="81">
                  <c:v>19.171099999999999</c:v>
                </c:pt>
                <c:pt idx="82">
                  <c:v>19.842099999999999</c:v>
                </c:pt>
                <c:pt idx="83">
                  <c:v>20.5366</c:v>
                </c:pt>
                <c:pt idx="84">
                  <c:v>21.255299999999998</c:v>
                </c:pt>
                <c:pt idx="85">
                  <c:v>21.999300000000002</c:v>
                </c:pt>
                <c:pt idx="86">
                  <c:v>22.769300000000001</c:v>
                </c:pt>
                <c:pt idx="87">
                  <c:v>23.566199999999998</c:v>
                </c:pt>
                <c:pt idx="88">
                  <c:v>24.390999999999998</c:v>
                </c:pt>
                <c:pt idx="89">
                  <c:v>25.244700000000002</c:v>
                </c:pt>
                <c:pt idx="90">
                  <c:v>26.1282</c:v>
                </c:pt>
                <c:pt idx="91">
                  <c:v>27.0427</c:v>
                </c:pt>
                <c:pt idx="92">
                  <c:v>27.9892</c:v>
                </c:pt>
                <c:pt idx="93">
                  <c:v>28.968900000000001</c:v>
                </c:pt>
                <c:pt idx="94">
                  <c:v>29.982800000000001</c:v>
                </c:pt>
                <c:pt idx="95">
                  <c:v>31.0322</c:v>
                </c:pt>
                <c:pt idx="96">
                  <c:v>32.118299999999998</c:v>
                </c:pt>
                <c:pt idx="97">
                  <c:v>33.242400000000004</c:v>
                </c:pt>
                <c:pt idx="98">
                  <c:v>34.405900000000003</c:v>
                </c:pt>
                <c:pt idx="99">
                  <c:v>35.610100000000003</c:v>
                </c:pt>
                <c:pt idx="100">
                  <c:v>36.856499999999997</c:v>
                </c:pt>
                <c:pt idx="101">
                  <c:v>38.1464</c:v>
                </c:pt>
                <c:pt idx="102">
                  <c:v>39.4816</c:v>
                </c:pt>
                <c:pt idx="103">
                  <c:v>40.863399999999999</c:v>
                </c:pt>
                <c:pt idx="104">
                  <c:v>42.293599999999998</c:v>
                </c:pt>
                <c:pt idx="105">
                  <c:v>43.773899999999998</c:v>
                </c:pt>
                <c:pt idx="106">
                  <c:v>45.305999999999997</c:v>
                </c:pt>
                <c:pt idx="107">
                  <c:v>46.8917</c:v>
                </c:pt>
                <c:pt idx="108">
                  <c:v>48.532899999999998</c:v>
                </c:pt>
                <c:pt idx="109">
                  <c:v>50.2316</c:v>
                </c:pt>
              </c:numCache>
            </c:numRef>
          </c:xVal>
          <c:yVal>
            <c:numRef>
              <c:f>sttn_A_20210915_1_136092_ERWD92!$I$3:$I$112</c:f>
              <c:numCache>
                <c:formatCode>0.00</c:formatCode>
                <c:ptCount val="110"/>
                <c:pt idx="0">
                  <c:v>0</c:v>
                </c:pt>
                <c:pt idx="1">
                  <c:v>0</c:v>
                </c:pt>
                <c:pt idx="2">
                  <c:v>0</c:v>
                </c:pt>
                <c:pt idx="3">
                  <c:v>0</c:v>
                </c:pt>
                <c:pt idx="4">
                  <c:v>0</c:v>
                </c:pt>
                <c:pt idx="5">
                  <c:v>0</c:v>
                </c:pt>
                <c:pt idx="6">
                  <c:v>0</c:v>
                </c:pt>
                <c:pt idx="7">
                  <c:v>0</c:v>
                </c:pt>
                <c:pt idx="8">
                  <c:v>0</c:v>
                </c:pt>
                <c:pt idx="9">
                  <c:v>0</c:v>
                </c:pt>
                <c:pt idx="10">
                  <c:v>0</c:v>
                </c:pt>
                <c:pt idx="11">
                  <c:v>0</c:v>
                </c:pt>
                <c:pt idx="12">
                  <c:v>1.3021E-2</c:v>
                </c:pt>
                <c:pt idx="13">
                  <c:v>4.8958000000000002E-2</c:v>
                </c:pt>
                <c:pt idx="14">
                  <c:v>0.10443</c:v>
                </c:pt>
                <c:pt idx="15">
                  <c:v>0.16306000000000001</c:v>
                </c:pt>
                <c:pt idx="16">
                  <c:v>0.20011000000000001</c:v>
                </c:pt>
                <c:pt idx="17">
                  <c:v>0.20011000000000001</c:v>
                </c:pt>
                <c:pt idx="18">
                  <c:v>0.20011000000000001</c:v>
                </c:pt>
                <c:pt idx="19">
                  <c:v>0.20011000000000001</c:v>
                </c:pt>
                <c:pt idx="20">
                  <c:v>0.20011000000000001</c:v>
                </c:pt>
                <c:pt idx="21">
                  <c:v>0.20011000000000001</c:v>
                </c:pt>
                <c:pt idx="22">
                  <c:v>0.20011000000000001</c:v>
                </c:pt>
                <c:pt idx="23">
                  <c:v>0.20011000000000001</c:v>
                </c:pt>
                <c:pt idx="24">
                  <c:v>0.20011000000000001</c:v>
                </c:pt>
                <c:pt idx="25">
                  <c:v>0.20011000000000001</c:v>
                </c:pt>
                <c:pt idx="26">
                  <c:v>0.20011000000000001</c:v>
                </c:pt>
                <c:pt idx="27">
                  <c:v>0.20011000000000001</c:v>
                </c:pt>
                <c:pt idx="28">
                  <c:v>0.20011000000000001</c:v>
                </c:pt>
                <c:pt idx="29">
                  <c:v>0.20011000000000001</c:v>
                </c:pt>
                <c:pt idx="30">
                  <c:v>0.20011000000000001</c:v>
                </c:pt>
                <c:pt idx="31">
                  <c:v>0.20011000000000001</c:v>
                </c:pt>
                <c:pt idx="32">
                  <c:v>0.20224</c:v>
                </c:pt>
                <c:pt idx="33">
                  <c:v>0.21165999999999999</c:v>
                </c:pt>
                <c:pt idx="34">
                  <c:v>0.22994999999999999</c:v>
                </c:pt>
                <c:pt idx="35">
                  <c:v>0.25479000000000002</c:v>
                </c:pt>
                <c:pt idx="36">
                  <c:v>0.28420000000000001</c:v>
                </c:pt>
                <c:pt idx="37">
                  <c:v>0.31886999999999999</c:v>
                </c:pt>
                <c:pt idx="38">
                  <c:v>0.36258000000000001</c:v>
                </c:pt>
                <c:pt idx="39">
                  <c:v>0.41611999999999999</c:v>
                </c:pt>
                <c:pt idx="40">
                  <c:v>0.47142000000000001</c:v>
                </c:pt>
                <c:pt idx="41">
                  <c:v>0.51061999999999996</c:v>
                </c:pt>
                <c:pt idx="42">
                  <c:v>0.51807000000000003</c:v>
                </c:pt>
                <c:pt idx="43">
                  <c:v>0.51807000000000003</c:v>
                </c:pt>
                <c:pt idx="44">
                  <c:v>0.51807000000000003</c:v>
                </c:pt>
                <c:pt idx="45">
                  <c:v>0.51807000000000003</c:v>
                </c:pt>
                <c:pt idx="46">
                  <c:v>0.51807000000000003</c:v>
                </c:pt>
                <c:pt idx="47">
                  <c:v>0.52470000000000006</c:v>
                </c:pt>
                <c:pt idx="48">
                  <c:v>0.54427999999999999</c:v>
                </c:pt>
                <c:pt idx="49">
                  <c:v>0.57877000000000001</c:v>
                </c:pt>
                <c:pt idx="50">
                  <c:v>0.62572000000000005</c:v>
                </c:pt>
                <c:pt idx="51">
                  <c:v>0.68030999999999997</c:v>
                </c:pt>
                <c:pt idx="52">
                  <c:v>0.73794999999999999</c:v>
                </c:pt>
                <c:pt idx="53">
                  <c:v>0.79479999999999995</c:v>
                </c:pt>
                <c:pt idx="54">
                  <c:v>0.84685999999999995</c:v>
                </c:pt>
                <c:pt idx="55">
                  <c:v>0.89070000000000005</c:v>
                </c:pt>
                <c:pt idx="56">
                  <c:v>0.92490000000000006</c:v>
                </c:pt>
                <c:pt idx="57">
                  <c:v>0.95104999999999995</c:v>
                </c:pt>
                <c:pt idx="58">
                  <c:v>0.97358999999999996</c:v>
                </c:pt>
                <c:pt idx="59">
                  <c:v>0.99814000000000003</c:v>
                </c:pt>
                <c:pt idx="60">
                  <c:v>1.0286999999999999</c:v>
                </c:pt>
                <c:pt idx="61">
                  <c:v>1.0646</c:v>
                </c:pt>
                <c:pt idx="62">
                  <c:v>1.1017999999999999</c:v>
                </c:pt>
                <c:pt idx="63">
                  <c:v>1.1354</c:v>
                </c:pt>
                <c:pt idx="64">
                  <c:v>1.1621999999999999</c:v>
                </c:pt>
                <c:pt idx="65">
                  <c:v>1.1815</c:v>
                </c:pt>
                <c:pt idx="66">
                  <c:v>1.1959</c:v>
                </c:pt>
                <c:pt idx="67">
                  <c:v>1.2113</c:v>
                </c:pt>
                <c:pt idx="68">
                  <c:v>1.2345999999999999</c:v>
                </c:pt>
                <c:pt idx="69">
                  <c:v>1.2693000000000001</c:v>
                </c:pt>
                <c:pt idx="70">
                  <c:v>1.3121</c:v>
                </c:pt>
                <c:pt idx="71">
                  <c:v>1.3566</c:v>
                </c:pt>
                <c:pt idx="72">
                  <c:v>1.3971</c:v>
                </c:pt>
                <c:pt idx="73">
                  <c:v>1.4312</c:v>
                </c:pt>
                <c:pt idx="74">
                  <c:v>1.4589000000000001</c:v>
                </c:pt>
                <c:pt idx="75">
                  <c:v>1.4806999999999999</c:v>
                </c:pt>
                <c:pt idx="76">
                  <c:v>1.4966999999999999</c:v>
                </c:pt>
                <c:pt idx="77">
                  <c:v>1.5059</c:v>
                </c:pt>
                <c:pt idx="78">
                  <c:v>1.5086999999999999</c:v>
                </c:pt>
                <c:pt idx="79">
                  <c:v>1.5102</c:v>
                </c:pt>
                <c:pt idx="80">
                  <c:v>1.5233000000000001</c:v>
                </c:pt>
                <c:pt idx="81">
                  <c:v>1.5634999999999999</c:v>
                </c:pt>
                <c:pt idx="82">
                  <c:v>1.6335</c:v>
                </c:pt>
                <c:pt idx="83">
                  <c:v>1.7177</c:v>
                </c:pt>
                <c:pt idx="84">
                  <c:v>1.8005</c:v>
                </c:pt>
                <c:pt idx="85">
                  <c:v>1.8735999999999999</c:v>
                </c:pt>
                <c:pt idx="86">
                  <c:v>1.9379</c:v>
                </c:pt>
                <c:pt idx="87">
                  <c:v>1.9956</c:v>
                </c:pt>
                <c:pt idx="88">
                  <c:v>2.0497000000000001</c:v>
                </c:pt>
                <c:pt idx="89">
                  <c:v>2.0985999999999998</c:v>
                </c:pt>
                <c:pt idx="90">
                  <c:v>2.1415000000000002</c:v>
                </c:pt>
                <c:pt idx="91">
                  <c:v>2.1800000000000002</c:v>
                </c:pt>
                <c:pt idx="92">
                  <c:v>2.2157</c:v>
                </c:pt>
                <c:pt idx="93">
                  <c:v>2.2494999999999998</c:v>
                </c:pt>
                <c:pt idx="94">
                  <c:v>2.2808999999999999</c:v>
                </c:pt>
                <c:pt idx="95">
                  <c:v>2.3092999999999999</c:v>
                </c:pt>
                <c:pt idx="96">
                  <c:v>2.3347000000000002</c:v>
                </c:pt>
                <c:pt idx="97">
                  <c:v>2.3578999999999999</c:v>
                </c:pt>
                <c:pt idx="98">
                  <c:v>2.3780000000000001</c:v>
                </c:pt>
                <c:pt idx="99">
                  <c:v>2.3957000000000002</c:v>
                </c:pt>
                <c:pt idx="100">
                  <c:v>2.4129999999999998</c:v>
                </c:pt>
                <c:pt idx="101">
                  <c:v>2.4279999999999999</c:v>
                </c:pt>
                <c:pt idx="102">
                  <c:v>2.4367000000000001</c:v>
                </c:pt>
                <c:pt idx="103">
                  <c:v>2.4371</c:v>
                </c:pt>
                <c:pt idx="104">
                  <c:v>2.4371</c:v>
                </c:pt>
                <c:pt idx="105">
                  <c:v>2.4371</c:v>
                </c:pt>
                <c:pt idx="106">
                  <c:v>2.4371</c:v>
                </c:pt>
                <c:pt idx="107">
                  <c:v>2.4573</c:v>
                </c:pt>
                <c:pt idx="108">
                  <c:v>2.6315</c:v>
                </c:pt>
                <c:pt idx="109">
                  <c:v>2.9337</c:v>
                </c:pt>
              </c:numCache>
            </c:numRef>
          </c:yVal>
          <c:smooth val="1"/>
          <c:extLst>
            <c:ext xmlns:c16="http://schemas.microsoft.com/office/drawing/2014/chart" uri="{C3380CC4-5D6E-409C-BE32-E72D297353CC}">
              <c16:uniqueId val="{00000001-221A-4B54-9AFB-28E3FFC4FA38}"/>
            </c:ext>
          </c:extLst>
        </c:ser>
        <c:dLbls>
          <c:showLegendKey val="0"/>
          <c:showVal val="0"/>
          <c:showCatName val="0"/>
          <c:showSerName val="0"/>
          <c:showPercent val="0"/>
          <c:showBubbleSize val="0"/>
        </c:dLbls>
        <c:axId val="1586439087"/>
        <c:axId val="1586438255"/>
      </c:scatterChart>
      <c:scatterChart>
        <c:scatterStyle val="smoothMarker"/>
        <c:varyColors val="0"/>
        <c:ser>
          <c:idx val="1"/>
          <c:order val="1"/>
          <c:tx>
            <c:v>dS(d)-(EHL)</c:v>
          </c:tx>
          <c:spPr>
            <a:ln w="19050" cap="rnd">
              <a:solidFill>
                <a:schemeClr val="accent2"/>
              </a:solidFill>
              <a:round/>
            </a:ln>
            <a:effectLst/>
          </c:spPr>
          <c:marker>
            <c:symbol val="none"/>
          </c:marker>
          <c:xVal>
            <c:numRef>
              <c:f>sttn_A_20210915_1_136092_ERWD92!$A$3:$A$110</c:f>
              <c:numCache>
                <c:formatCode>General</c:formatCode>
                <c:ptCount val="108"/>
                <c:pt idx="0">
                  <c:v>1.0960000000000001</c:v>
                </c:pt>
                <c:pt idx="1">
                  <c:v>1.1439999999999999</c:v>
                </c:pt>
                <c:pt idx="2">
                  <c:v>1.1930000000000001</c:v>
                </c:pt>
                <c:pt idx="3">
                  <c:v>1.2450000000000001</c:v>
                </c:pt>
                <c:pt idx="4">
                  <c:v>1.2989999999999999</c:v>
                </c:pt>
                <c:pt idx="5">
                  <c:v>1.3560000000000001</c:v>
                </c:pt>
                <c:pt idx="6">
                  <c:v>1.4159999999999999</c:v>
                </c:pt>
                <c:pt idx="7">
                  <c:v>1.478</c:v>
                </c:pt>
                <c:pt idx="8">
                  <c:v>1.5429999999999999</c:v>
                </c:pt>
                <c:pt idx="9">
                  <c:v>1.611</c:v>
                </c:pt>
                <c:pt idx="10">
                  <c:v>1.6819999999999999</c:v>
                </c:pt>
                <c:pt idx="11">
                  <c:v>1.756</c:v>
                </c:pt>
                <c:pt idx="12">
                  <c:v>1.8340000000000001</c:v>
                </c:pt>
                <c:pt idx="13">
                  <c:v>1.915</c:v>
                </c:pt>
                <c:pt idx="14">
                  <c:v>2</c:v>
                </c:pt>
                <c:pt idx="15">
                  <c:v>2.1206</c:v>
                </c:pt>
                <c:pt idx="16">
                  <c:v>2.1947999999999999</c:v>
                </c:pt>
                <c:pt idx="17">
                  <c:v>2.2717000000000001</c:v>
                </c:pt>
                <c:pt idx="18">
                  <c:v>2.3512</c:v>
                </c:pt>
                <c:pt idx="19">
                  <c:v>2.4335</c:v>
                </c:pt>
                <c:pt idx="20">
                  <c:v>2.5186000000000002</c:v>
                </c:pt>
                <c:pt idx="21">
                  <c:v>2.6067999999999998</c:v>
                </c:pt>
                <c:pt idx="22">
                  <c:v>2.698</c:v>
                </c:pt>
                <c:pt idx="23">
                  <c:v>2.7925</c:v>
                </c:pt>
                <c:pt idx="24">
                  <c:v>2.8902000000000001</c:v>
                </c:pt>
                <c:pt idx="25">
                  <c:v>2.9914000000000001</c:v>
                </c:pt>
                <c:pt idx="26">
                  <c:v>3.0960999999999999</c:v>
                </c:pt>
                <c:pt idx="27">
                  <c:v>3.2044000000000001</c:v>
                </c:pt>
                <c:pt idx="28">
                  <c:v>3.3166000000000002</c:v>
                </c:pt>
                <c:pt idx="29">
                  <c:v>3.4325999999999999</c:v>
                </c:pt>
                <c:pt idx="30">
                  <c:v>3.5528</c:v>
                </c:pt>
                <c:pt idx="31">
                  <c:v>3.6770999999999998</c:v>
                </c:pt>
                <c:pt idx="32">
                  <c:v>3.8058000000000001</c:v>
                </c:pt>
                <c:pt idx="33">
                  <c:v>3.9390000000000001</c:v>
                </c:pt>
                <c:pt idx="34">
                  <c:v>4.0769000000000002</c:v>
                </c:pt>
                <c:pt idx="35">
                  <c:v>4.2195999999999998</c:v>
                </c:pt>
                <c:pt idx="36">
                  <c:v>4.3673000000000002</c:v>
                </c:pt>
                <c:pt idx="37">
                  <c:v>4.5201000000000002</c:v>
                </c:pt>
                <c:pt idx="38">
                  <c:v>4.6783999999999999</c:v>
                </c:pt>
                <c:pt idx="39">
                  <c:v>4.8421000000000003</c:v>
                </c:pt>
                <c:pt idx="40">
                  <c:v>5.0115999999999996</c:v>
                </c:pt>
                <c:pt idx="41">
                  <c:v>5.1870000000000003</c:v>
                </c:pt>
                <c:pt idx="42">
                  <c:v>5.3689999999999998</c:v>
                </c:pt>
                <c:pt idx="43">
                  <c:v>5.556</c:v>
                </c:pt>
                <c:pt idx="44">
                  <c:v>5.7510000000000003</c:v>
                </c:pt>
                <c:pt idx="45">
                  <c:v>5.952</c:v>
                </c:pt>
                <c:pt idx="46">
                  <c:v>6.16</c:v>
                </c:pt>
                <c:pt idx="47">
                  <c:v>6.3760000000000003</c:v>
                </c:pt>
                <c:pt idx="48">
                  <c:v>6.5990000000000002</c:v>
                </c:pt>
                <c:pt idx="49">
                  <c:v>6.83</c:v>
                </c:pt>
                <c:pt idx="50">
                  <c:v>7.069</c:v>
                </c:pt>
                <c:pt idx="51">
                  <c:v>7.3170000000000002</c:v>
                </c:pt>
                <c:pt idx="52">
                  <c:v>7.5730000000000004</c:v>
                </c:pt>
                <c:pt idx="53">
                  <c:v>7.8379000000000003</c:v>
                </c:pt>
                <c:pt idx="54">
                  <c:v>8.1121999999999996</c:v>
                </c:pt>
                <c:pt idx="55">
                  <c:v>8.3961000000000006</c:v>
                </c:pt>
                <c:pt idx="56">
                  <c:v>8.69</c:v>
                </c:pt>
                <c:pt idx="57">
                  <c:v>8.9940999999999995</c:v>
                </c:pt>
                <c:pt idx="58">
                  <c:v>9.3088999999999995</c:v>
                </c:pt>
                <c:pt idx="59">
                  <c:v>9.6347000000000005</c:v>
                </c:pt>
                <c:pt idx="60">
                  <c:v>9.9719999999999995</c:v>
                </c:pt>
                <c:pt idx="61">
                  <c:v>10.321</c:v>
                </c:pt>
                <c:pt idx="62">
                  <c:v>10.682</c:v>
                </c:pt>
                <c:pt idx="63">
                  <c:v>11.055999999999999</c:v>
                </c:pt>
                <c:pt idx="64">
                  <c:v>11.443</c:v>
                </c:pt>
                <c:pt idx="65">
                  <c:v>11.8436</c:v>
                </c:pt>
                <c:pt idx="66">
                  <c:v>12.258100000000001</c:v>
                </c:pt>
                <c:pt idx="67">
                  <c:v>12.687099999999999</c:v>
                </c:pt>
                <c:pt idx="68">
                  <c:v>13.1312</c:v>
                </c:pt>
                <c:pt idx="69">
                  <c:v>13.5908</c:v>
                </c:pt>
                <c:pt idx="70">
                  <c:v>14.0664</c:v>
                </c:pt>
                <c:pt idx="71">
                  <c:v>14.5588</c:v>
                </c:pt>
                <c:pt idx="72">
                  <c:v>15.068300000000001</c:v>
                </c:pt>
                <c:pt idx="73">
                  <c:v>15.595700000000001</c:v>
                </c:pt>
                <c:pt idx="74">
                  <c:v>16.1416</c:v>
                </c:pt>
                <c:pt idx="75">
                  <c:v>16.706499999999998</c:v>
                </c:pt>
                <c:pt idx="76">
                  <c:v>17.2912</c:v>
                </c:pt>
                <c:pt idx="77">
                  <c:v>17.8964</c:v>
                </c:pt>
                <c:pt idx="78">
                  <c:v>18.5228</c:v>
                </c:pt>
                <c:pt idx="79">
                  <c:v>19.171099999999999</c:v>
                </c:pt>
                <c:pt idx="80">
                  <c:v>19.842099999999999</c:v>
                </c:pt>
                <c:pt idx="81">
                  <c:v>20.5366</c:v>
                </c:pt>
                <c:pt idx="82">
                  <c:v>21.255299999999998</c:v>
                </c:pt>
                <c:pt idx="83">
                  <c:v>21.999300000000002</c:v>
                </c:pt>
                <c:pt idx="84">
                  <c:v>22.769300000000001</c:v>
                </c:pt>
                <c:pt idx="85">
                  <c:v>23.566199999999998</c:v>
                </c:pt>
                <c:pt idx="86">
                  <c:v>24.390999999999998</c:v>
                </c:pt>
                <c:pt idx="87">
                  <c:v>25.244700000000002</c:v>
                </c:pt>
                <c:pt idx="88">
                  <c:v>26.1282</c:v>
                </c:pt>
                <c:pt idx="89">
                  <c:v>27.0427</c:v>
                </c:pt>
                <c:pt idx="90">
                  <c:v>27.9892</c:v>
                </c:pt>
                <c:pt idx="91">
                  <c:v>28.968900000000001</c:v>
                </c:pt>
                <c:pt idx="92">
                  <c:v>29.982800000000001</c:v>
                </c:pt>
                <c:pt idx="93">
                  <c:v>31.0322</c:v>
                </c:pt>
                <c:pt idx="94">
                  <c:v>32.118299999999998</c:v>
                </c:pt>
                <c:pt idx="95">
                  <c:v>33.242400000000004</c:v>
                </c:pt>
                <c:pt idx="96">
                  <c:v>34.405900000000003</c:v>
                </c:pt>
                <c:pt idx="97">
                  <c:v>35.610100000000003</c:v>
                </c:pt>
                <c:pt idx="98">
                  <c:v>36.856499999999997</c:v>
                </c:pt>
                <c:pt idx="99">
                  <c:v>38.1464</c:v>
                </c:pt>
                <c:pt idx="100">
                  <c:v>39.4816</c:v>
                </c:pt>
                <c:pt idx="101">
                  <c:v>40.863399999999999</c:v>
                </c:pt>
                <c:pt idx="102">
                  <c:v>42.293599999999998</c:v>
                </c:pt>
                <c:pt idx="103">
                  <c:v>43.773899999999998</c:v>
                </c:pt>
                <c:pt idx="104">
                  <c:v>45.305999999999997</c:v>
                </c:pt>
                <c:pt idx="105">
                  <c:v>46.8917</c:v>
                </c:pt>
                <c:pt idx="106">
                  <c:v>48.532899999999998</c:v>
                </c:pt>
                <c:pt idx="107">
                  <c:v>50.2316</c:v>
                </c:pt>
              </c:numCache>
            </c:numRef>
          </c:xVal>
          <c:yVal>
            <c:numRef>
              <c:f>sttn_A_20210915_1_136092_ERWD92!$E$3:$E$110</c:f>
              <c:numCache>
                <c:formatCode>0.00</c:formatCode>
                <c:ptCount val="108"/>
                <c:pt idx="0">
                  <c:v>0</c:v>
                </c:pt>
                <c:pt idx="1">
                  <c:v>0</c:v>
                </c:pt>
                <c:pt idx="2">
                  <c:v>0</c:v>
                </c:pt>
                <c:pt idx="3">
                  <c:v>0</c:v>
                </c:pt>
                <c:pt idx="4">
                  <c:v>0</c:v>
                </c:pt>
                <c:pt idx="5">
                  <c:v>0</c:v>
                </c:pt>
                <c:pt idx="6">
                  <c:v>0</c:v>
                </c:pt>
                <c:pt idx="7">
                  <c:v>0</c:v>
                </c:pt>
                <c:pt idx="8">
                  <c:v>0</c:v>
                </c:pt>
                <c:pt idx="9">
                  <c:v>0</c:v>
                </c:pt>
                <c:pt idx="10">
                  <c:v>0</c:v>
                </c:pt>
                <c:pt idx="11">
                  <c:v>0</c:v>
                </c:pt>
                <c:pt idx="12">
                  <c:v>0</c:v>
                </c:pt>
                <c:pt idx="13">
                  <c:v>0.10539999999999999</c:v>
                </c:pt>
                <c:pt idx="14">
                  <c:v>0.16147</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3.7575999999999998E-3</c:v>
                </c:pt>
                <c:pt idx="33">
                  <c:v>8.5144999999999998E-2</c:v>
                </c:pt>
                <c:pt idx="34">
                  <c:v>0.21442</c:v>
                </c:pt>
                <c:pt idx="35">
                  <c:v>0.35110000000000002</c:v>
                </c:pt>
                <c:pt idx="36">
                  <c:v>0.48255999999999999</c:v>
                </c:pt>
                <c:pt idx="37">
                  <c:v>0.56279000000000001</c:v>
                </c:pt>
                <c:pt idx="38">
                  <c:v>0.52185000000000004</c:v>
                </c:pt>
                <c:pt idx="39">
                  <c:v>0.30858999999999998</c:v>
                </c:pt>
                <c:pt idx="40">
                  <c:v>0</c:v>
                </c:pt>
                <c:pt idx="41">
                  <c:v>0</c:v>
                </c:pt>
                <c:pt idx="42">
                  <c:v>0</c:v>
                </c:pt>
                <c:pt idx="43">
                  <c:v>0</c:v>
                </c:pt>
                <c:pt idx="44">
                  <c:v>0</c:v>
                </c:pt>
                <c:pt idx="45">
                  <c:v>2.2867999999999999E-2</c:v>
                </c:pt>
                <c:pt idx="46">
                  <c:v>0.13405</c:v>
                </c:pt>
                <c:pt idx="47">
                  <c:v>0.26763999999999999</c:v>
                </c:pt>
                <c:pt idx="48">
                  <c:v>0.34938999999999998</c:v>
                </c:pt>
                <c:pt idx="49">
                  <c:v>0.34340999999999999</c:v>
                </c:pt>
                <c:pt idx="50">
                  <c:v>0.26708999999999999</c:v>
                </c:pt>
                <c:pt idx="51">
                  <c:v>0.16405</c:v>
                </c:pt>
                <c:pt idx="52">
                  <c:v>8.1142000000000006E-2</c:v>
                </c:pt>
                <c:pt idx="53">
                  <c:v>4.6077E-2</c:v>
                </c:pt>
                <c:pt idx="54">
                  <c:v>6.0609000000000003E-2</c:v>
                </c:pt>
                <c:pt idx="55">
                  <c:v>9.7227999999999995E-2</c:v>
                </c:pt>
                <c:pt idx="56">
                  <c:v>0.11969</c:v>
                </c:pt>
                <c:pt idx="57">
                  <c:v>0.11387</c:v>
                </c:pt>
                <c:pt idx="58">
                  <c:v>9.0031E-2</c:v>
                </c:pt>
                <c:pt idx="59">
                  <c:v>6.9097000000000006E-2</c:v>
                </c:pt>
                <c:pt idx="60">
                  <c:v>6.9470000000000004E-2</c:v>
                </c:pt>
                <c:pt idx="61">
                  <c:v>9.5502000000000004E-2</c:v>
                </c:pt>
                <c:pt idx="62">
                  <c:v>0.13236999999999999</c:v>
                </c:pt>
                <c:pt idx="63">
                  <c:v>0.15418999999999999</c:v>
                </c:pt>
                <c:pt idx="64">
                  <c:v>0.15198999999999999</c:v>
                </c:pt>
                <c:pt idx="65">
                  <c:v>0.12983</c:v>
                </c:pt>
                <c:pt idx="66">
                  <c:v>9.5366000000000006E-2</c:v>
                </c:pt>
                <c:pt idx="67">
                  <c:v>5.5882000000000001E-2</c:v>
                </c:pt>
                <c:pt idx="68">
                  <c:v>2.0508999999999999E-2</c:v>
                </c:pt>
                <c:pt idx="69">
                  <c:v>0</c:v>
                </c:pt>
                <c:pt idx="70">
                  <c:v>3.5298999999999999E-3</c:v>
                </c:pt>
                <c:pt idx="71">
                  <c:v>5.4399000000000003E-2</c:v>
                </c:pt>
                <c:pt idx="72">
                  <c:v>0.13361999999999999</c:v>
                </c:pt>
                <c:pt idx="73">
                  <c:v>0.18981000000000001</c:v>
                </c:pt>
                <c:pt idx="74">
                  <c:v>0.20451</c:v>
                </c:pt>
                <c:pt idx="75">
                  <c:v>0.18990000000000001</c:v>
                </c:pt>
                <c:pt idx="76">
                  <c:v>0.16561000000000001</c:v>
                </c:pt>
                <c:pt idx="77">
                  <c:v>0.14198</c:v>
                </c:pt>
                <c:pt idx="78">
                  <c:v>0.11967</c:v>
                </c:pt>
                <c:pt idx="79">
                  <c:v>9.9774000000000002E-2</c:v>
                </c:pt>
                <c:pt idx="80">
                  <c:v>8.2082000000000002E-2</c:v>
                </c:pt>
                <c:pt idx="81">
                  <c:v>6.7049999999999998E-2</c:v>
                </c:pt>
                <c:pt idx="82">
                  <c:v>5.5558000000000003E-2</c:v>
                </c:pt>
                <c:pt idx="83">
                  <c:v>4.4711000000000001E-2</c:v>
                </c:pt>
                <c:pt idx="84">
                  <c:v>3.1767999999999998E-2</c:v>
                </c:pt>
                <c:pt idx="85">
                  <c:v>1.4602E-2</c:v>
                </c:pt>
                <c:pt idx="86">
                  <c:v>0</c:v>
                </c:pt>
                <c:pt idx="87">
                  <c:v>0</c:v>
                </c:pt>
                <c:pt idx="88">
                  <c:v>3.4966999999999998E-2</c:v>
                </c:pt>
                <c:pt idx="89">
                  <c:v>0.12384000000000001</c:v>
                </c:pt>
                <c:pt idx="90">
                  <c:v>0.20593</c:v>
                </c:pt>
                <c:pt idx="91">
                  <c:v>0.22955</c:v>
                </c:pt>
                <c:pt idx="92">
                  <c:v>0.20759</c:v>
                </c:pt>
                <c:pt idx="93">
                  <c:v>0.17283000000000001</c:v>
                </c:pt>
                <c:pt idx="94">
                  <c:v>0.14718999999999999</c:v>
                </c:pt>
                <c:pt idx="95">
                  <c:v>0.13746</c:v>
                </c:pt>
                <c:pt idx="96">
                  <c:v>0.12422999999999999</c:v>
                </c:pt>
                <c:pt idx="97">
                  <c:v>0.10656</c:v>
                </c:pt>
                <c:pt idx="98">
                  <c:v>9.4964000000000007E-2</c:v>
                </c:pt>
                <c:pt idx="99">
                  <c:v>8.4305000000000005E-2</c:v>
                </c:pt>
                <c:pt idx="100">
                  <c:v>8.0887000000000001E-2</c:v>
                </c:pt>
                <c:pt idx="101">
                  <c:v>7.6023999999999994E-2</c:v>
                </c:pt>
                <c:pt idx="102">
                  <c:v>5.7679000000000001E-2</c:v>
                </c:pt>
                <c:pt idx="103">
                  <c:v>2.8686E-2</c:v>
                </c:pt>
                <c:pt idx="104">
                  <c:v>1.0330000000000001E-2</c:v>
                </c:pt>
                <c:pt idx="105">
                  <c:v>4.0992000000000001E-2</c:v>
                </c:pt>
                <c:pt idx="106">
                  <c:v>0.1067</c:v>
                </c:pt>
                <c:pt idx="107">
                  <c:v>0.13780999999999999</c:v>
                </c:pt>
              </c:numCache>
            </c:numRef>
          </c:yVal>
          <c:smooth val="1"/>
          <c:extLst>
            <c:ext xmlns:c16="http://schemas.microsoft.com/office/drawing/2014/chart" uri="{C3380CC4-5D6E-409C-BE32-E72D297353CC}">
              <c16:uniqueId val="{00000002-221A-4B54-9AFB-28E3FFC4FA38}"/>
            </c:ext>
          </c:extLst>
        </c:ser>
        <c:ser>
          <c:idx val="3"/>
          <c:order val="3"/>
          <c:tx>
            <c:v>dS(d)-(HTBW)</c:v>
          </c:tx>
          <c:spPr>
            <a:ln w="19050" cap="rnd">
              <a:solidFill>
                <a:schemeClr val="accent4"/>
              </a:solidFill>
              <a:round/>
            </a:ln>
            <a:effectLst/>
          </c:spPr>
          <c:marker>
            <c:symbol val="none"/>
          </c:marker>
          <c:xVal>
            <c:numRef>
              <c:f>sttn_A_20210915_1_136092_ERWD92!$G$3:$G$112</c:f>
              <c:numCache>
                <c:formatCode>General</c:formatCode>
                <c:ptCount val="110"/>
                <c:pt idx="0">
                  <c:v>1.0069999999999999</c:v>
                </c:pt>
                <c:pt idx="1">
                  <c:v>1.0509999999999999</c:v>
                </c:pt>
                <c:pt idx="2">
                  <c:v>1.0960000000000001</c:v>
                </c:pt>
                <c:pt idx="3">
                  <c:v>1.1439999999999999</c:v>
                </c:pt>
                <c:pt idx="4">
                  <c:v>1.1930000000000001</c:v>
                </c:pt>
                <c:pt idx="5">
                  <c:v>1.2450000000000001</c:v>
                </c:pt>
                <c:pt idx="6">
                  <c:v>1.2989999999999999</c:v>
                </c:pt>
                <c:pt idx="7">
                  <c:v>1.3560000000000001</c:v>
                </c:pt>
                <c:pt idx="8">
                  <c:v>1.4159999999999999</c:v>
                </c:pt>
                <c:pt idx="9">
                  <c:v>1.478</c:v>
                </c:pt>
                <c:pt idx="10">
                  <c:v>1.5429999999999999</c:v>
                </c:pt>
                <c:pt idx="11">
                  <c:v>1.611</c:v>
                </c:pt>
                <c:pt idx="12">
                  <c:v>1.6819999999999999</c:v>
                </c:pt>
                <c:pt idx="13">
                  <c:v>1.756</c:v>
                </c:pt>
                <c:pt idx="14">
                  <c:v>1.8340000000000001</c:v>
                </c:pt>
                <c:pt idx="15">
                  <c:v>1.915</c:v>
                </c:pt>
                <c:pt idx="16">
                  <c:v>2</c:v>
                </c:pt>
                <c:pt idx="17">
                  <c:v>2.1206</c:v>
                </c:pt>
                <c:pt idx="18">
                  <c:v>2.1947999999999999</c:v>
                </c:pt>
                <c:pt idx="19">
                  <c:v>2.2717000000000001</c:v>
                </c:pt>
                <c:pt idx="20">
                  <c:v>2.3512</c:v>
                </c:pt>
                <c:pt idx="21">
                  <c:v>2.4335</c:v>
                </c:pt>
                <c:pt idx="22">
                  <c:v>2.5186000000000002</c:v>
                </c:pt>
                <c:pt idx="23">
                  <c:v>2.6067999999999998</c:v>
                </c:pt>
                <c:pt idx="24">
                  <c:v>2.698</c:v>
                </c:pt>
                <c:pt idx="25">
                  <c:v>2.7925</c:v>
                </c:pt>
                <c:pt idx="26">
                  <c:v>2.8902000000000001</c:v>
                </c:pt>
                <c:pt idx="27">
                  <c:v>2.9914000000000001</c:v>
                </c:pt>
                <c:pt idx="28">
                  <c:v>3.0960999999999999</c:v>
                </c:pt>
                <c:pt idx="29">
                  <c:v>3.2044000000000001</c:v>
                </c:pt>
                <c:pt idx="30">
                  <c:v>3.3166000000000002</c:v>
                </c:pt>
                <c:pt idx="31">
                  <c:v>3.4325999999999999</c:v>
                </c:pt>
                <c:pt idx="32">
                  <c:v>3.5528</c:v>
                </c:pt>
                <c:pt idx="33">
                  <c:v>3.6770999999999998</c:v>
                </c:pt>
                <c:pt idx="34">
                  <c:v>3.8058000000000001</c:v>
                </c:pt>
                <c:pt idx="35">
                  <c:v>3.9390000000000001</c:v>
                </c:pt>
                <c:pt idx="36">
                  <c:v>4.0769000000000002</c:v>
                </c:pt>
                <c:pt idx="37">
                  <c:v>4.2195999999999998</c:v>
                </c:pt>
                <c:pt idx="38">
                  <c:v>4.3673000000000002</c:v>
                </c:pt>
                <c:pt idx="39">
                  <c:v>4.5201000000000002</c:v>
                </c:pt>
                <c:pt idx="40">
                  <c:v>4.6783999999999999</c:v>
                </c:pt>
                <c:pt idx="41">
                  <c:v>4.8421000000000003</c:v>
                </c:pt>
                <c:pt idx="42">
                  <c:v>5.0115999999999996</c:v>
                </c:pt>
                <c:pt idx="43">
                  <c:v>5.1870000000000003</c:v>
                </c:pt>
                <c:pt idx="44">
                  <c:v>5.3689999999999998</c:v>
                </c:pt>
                <c:pt idx="45">
                  <c:v>5.556</c:v>
                </c:pt>
                <c:pt idx="46">
                  <c:v>5.7510000000000003</c:v>
                </c:pt>
                <c:pt idx="47">
                  <c:v>5.952</c:v>
                </c:pt>
                <c:pt idx="48">
                  <c:v>6.16</c:v>
                </c:pt>
                <c:pt idx="49">
                  <c:v>6.3760000000000003</c:v>
                </c:pt>
                <c:pt idx="50">
                  <c:v>6.5990000000000002</c:v>
                </c:pt>
                <c:pt idx="51">
                  <c:v>6.83</c:v>
                </c:pt>
                <c:pt idx="52">
                  <c:v>7.069</c:v>
                </c:pt>
                <c:pt idx="53">
                  <c:v>7.3170000000000002</c:v>
                </c:pt>
                <c:pt idx="54">
                  <c:v>7.5730000000000004</c:v>
                </c:pt>
                <c:pt idx="55">
                  <c:v>7.8379000000000003</c:v>
                </c:pt>
                <c:pt idx="56">
                  <c:v>8.1121999999999996</c:v>
                </c:pt>
                <c:pt idx="57">
                  <c:v>8.3961000000000006</c:v>
                </c:pt>
                <c:pt idx="58">
                  <c:v>8.69</c:v>
                </c:pt>
                <c:pt idx="59">
                  <c:v>8.9940999999999995</c:v>
                </c:pt>
                <c:pt idx="60">
                  <c:v>9.3088999999999995</c:v>
                </c:pt>
                <c:pt idx="61">
                  <c:v>9.6347000000000005</c:v>
                </c:pt>
                <c:pt idx="62">
                  <c:v>9.9719999999999995</c:v>
                </c:pt>
                <c:pt idx="63">
                  <c:v>10.321</c:v>
                </c:pt>
                <c:pt idx="64">
                  <c:v>10.682</c:v>
                </c:pt>
                <c:pt idx="65">
                  <c:v>11.055999999999999</c:v>
                </c:pt>
                <c:pt idx="66">
                  <c:v>11.443</c:v>
                </c:pt>
                <c:pt idx="67">
                  <c:v>11.8436</c:v>
                </c:pt>
                <c:pt idx="68">
                  <c:v>12.258100000000001</c:v>
                </c:pt>
                <c:pt idx="69">
                  <c:v>12.687099999999999</c:v>
                </c:pt>
                <c:pt idx="70">
                  <c:v>13.1312</c:v>
                </c:pt>
                <c:pt idx="71">
                  <c:v>13.5908</c:v>
                </c:pt>
                <c:pt idx="72">
                  <c:v>14.0664</c:v>
                </c:pt>
                <c:pt idx="73">
                  <c:v>14.5588</c:v>
                </c:pt>
                <c:pt idx="74">
                  <c:v>15.068300000000001</c:v>
                </c:pt>
                <c:pt idx="75">
                  <c:v>15.595700000000001</c:v>
                </c:pt>
                <c:pt idx="76">
                  <c:v>16.1416</c:v>
                </c:pt>
                <c:pt idx="77">
                  <c:v>16.706499999999998</c:v>
                </c:pt>
                <c:pt idx="78">
                  <c:v>17.2912</c:v>
                </c:pt>
                <c:pt idx="79">
                  <c:v>17.8964</c:v>
                </c:pt>
                <c:pt idx="80">
                  <c:v>18.5228</c:v>
                </c:pt>
                <c:pt idx="81">
                  <c:v>19.171099999999999</c:v>
                </c:pt>
                <c:pt idx="82">
                  <c:v>19.842099999999999</c:v>
                </c:pt>
                <c:pt idx="83">
                  <c:v>20.5366</c:v>
                </c:pt>
                <c:pt idx="84">
                  <c:v>21.255299999999998</c:v>
                </c:pt>
                <c:pt idx="85">
                  <c:v>21.999300000000002</c:v>
                </c:pt>
                <c:pt idx="86">
                  <c:v>22.769300000000001</c:v>
                </c:pt>
                <c:pt idx="87">
                  <c:v>23.566199999999998</c:v>
                </c:pt>
                <c:pt idx="88">
                  <c:v>24.390999999999998</c:v>
                </c:pt>
                <c:pt idx="89">
                  <c:v>25.244700000000002</c:v>
                </c:pt>
                <c:pt idx="90">
                  <c:v>26.1282</c:v>
                </c:pt>
                <c:pt idx="91">
                  <c:v>27.0427</c:v>
                </c:pt>
                <c:pt idx="92">
                  <c:v>27.9892</c:v>
                </c:pt>
                <c:pt idx="93">
                  <c:v>28.968900000000001</c:v>
                </c:pt>
                <c:pt idx="94">
                  <c:v>29.982800000000001</c:v>
                </c:pt>
                <c:pt idx="95">
                  <c:v>31.0322</c:v>
                </c:pt>
                <c:pt idx="96">
                  <c:v>32.118299999999998</c:v>
                </c:pt>
                <c:pt idx="97">
                  <c:v>33.242400000000004</c:v>
                </c:pt>
                <c:pt idx="98">
                  <c:v>34.405900000000003</c:v>
                </c:pt>
                <c:pt idx="99">
                  <c:v>35.610100000000003</c:v>
                </c:pt>
                <c:pt idx="100">
                  <c:v>36.856499999999997</c:v>
                </c:pt>
                <c:pt idx="101">
                  <c:v>38.1464</c:v>
                </c:pt>
                <c:pt idx="102">
                  <c:v>39.4816</c:v>
                </c:pt>
                <c:pt idx="103">
                  <c:v>40.863399999999999</c:v>
                </c:pt>
                <c:pt idx="104">
                  <c:v>42.293599999999998</c:v>
                </c:pt>
                <c:pt idx="105">
                  <c:v>43.773899999999998</c:v>
                </c:pt>
                <c:pt idx="106">
                  <c:v>45.305999999999997</c:v>
                </c:pt>
                <c:pt idx="107">
                  <c:v>46.8917</c:v>
                </c:pt>
                <c:pt idx="108">
                  <c:v>48.532899999999998</c:v>
                </c:pt>
                <c:pt idx="109">
                  <c:v>50.2316</c:v>
                </c:pt>
              </c:numCache>
            </c:numRef>
          </c:xVal>
          <c:yVal>
            <c:numRef>
              <c:f>sttn_A_20210915_1_136092_ERWD92!$K$3:$K$112</c:f>
              <c:numCache>
                <c:formatCode>0.00</c:formatCode>
                <c:ptCount val="110"/>
                <c:pt idx="0">
                  <c:v>0</c:v>
                </c:pt>
                <c:pt idx="1">
                  <c:v>0</c:v>
                </c:pt>
                <c:pt idx="2">
                  <c:v>0</c:v>
                </c:pt>
                <c:pt idx="3">
                  <c:v>0</c:v>
                </c:pt>
                <c:pt idx="4">
                  <c:v>0</c:v>
                </c:pt>
                <c:pt idx="5">
                  <c:v>0</c:v>
                </c:pt>
                <c:pt idx="6">
                  <c:v>0</c:v>
                </c:pt>
                <c:pt idx="7">
                  <c:v>0</c:v>
                </c:pt>
                <c:pt idx="8">
                  <c:v>0</c:v>
                </c:pt>
                <c:pt idx="9">
                  <c:v>0</c:v>
                </c:pt>
                <c:pt idx="10">
                  <c:v>0</c:v>
                </c:pt>
                <c:pt idx="11">
                  <c:v>0</c:v>
                </c:pt>
                <c:pt idx="12">
                  <c:v>0.18340000000000001</c:v>
                </c:pt>
                <c:pt idx="13">
                  <c:v>0.48564000000000002</c:v>
                </c:pt>
                <c:pt idx="14">
                  <c:v>0.71113999999999999</c:v>
                </c:pt>
                <c:pt idx="15">
                  <c:v>0.72382999999999997</c:v>
                </c:pt>
                <c:pt idx="16">
                  <c:v>0.43586000000000003</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1.7774000000000002E-2</c:v>
                </c:pt>
                <c:pt idx="33">
                  <c:v>7.5777999999999998E-2</c:v>
                </c:pt>
                <c:pt idx="34">
                  <c:v>0.14207</c:v>
                </c:pt>
                <c:pt idx="35">
                  <c:v>0.18645999999999999</c:v>
                </c:pt>
                <c:pt idx="36">
                  <c:v>0.21337</c:v>
                </c:pt>
                <c:pt idx="37">
                  <c:v>0.24299000000000001</c:v>
                </c:pt>
                <c:pt idx="38">
                  <c:v>0.29596</c:v>
                </c:pt>
                <c:pt idx="39">
                  <c:v>0.35024</c:v>
                </c:pt>
                <c:pt idx="40">
                  <c:v>0.34959000000000001</c:v>
                </c:pt>
                <c:pt idx="41">
                  <c:v>0.23938000000000001</c:v>
                </c:pt>
                <c:pt idx="42">
                  <c:v>4.3928000000000002E-2</c:v>
                </c:pt>
                <c:pt idx="43">
                  <c:v>0</c:v>
                </c:pt>
                <c:pt idx="44">
                  <c:v>0</c:v>
                </c:pt>
                <c:pt idx="45">
                  <c:v>0</c:v>
                </c:pt>
                <c:pt idx="46">
                  <c:v>0</c:v>
                </c:pt>
                <c:pt idx="47">
                  <c:v>3.2994999999999997E-2</c:v>
                </c:pt>
                <c:pt idx="48">
                  <c:v>9.4132999999999994E-2</c:v>
                </c:pt>
                <c:pt idx="49">
                  <c:v>0.15970000000000001</c:v>
                </c:pt>
                <c:pt idx="50">
                  <c:v>0.21052999999999999</c:v>
                </c:pt>
                <c:pt idx="51">
                  <c:v>0.23633000000000001</c:v>
                </c:pt>
                <c:pt idx="52">
                  <c:v>0.24115</c:v>
                </c:pt>
                <c:pt idx="53">
                  <c:v>0.22922000000000001</c:v>
                </c:pt>
                <c:pt idx="54">
                  <c:v>0.20337</c:v>
                </c:pt>
                <c:pt idx="55">
                  <c:v>0.16550999999999999</c:v>
                </c:pt>
                <c:pt idx="56">
                  <c:v>0.12469</c:v>
                </c:pt>
                <c:pt idx="57">
                  <c:v>9.2097999999999999E-2</c:v>
                </c:pt>
                <c:pt idx="58">
                  <c:v>7.6689999999999994E-2</c:v>
                </c:pt>
                <c:pt idx="59">
                  <c:v>8.0736000000000002E-2</c:v>
                </c:pt>
                <c:pt idx="60">
                  <c:v>9.6999000000000002E-2</c:v>
                </c:pt>
                <c:pt idx="61">
                  <c:v>0.11028</c:v>
                </c:pt>
                <c:pt idx="62">
                  <c:v>0.11020000000000001</c:v>
                </c:pt>
                <c:pt idx="63">
                  <c:v>9.6414E-2</c:v>
                </c:pt>
                <c:pt idx="64">
                  <c:v>7.4253E-2</c:v>
                </c:pt>
                <c:pt idx="65">
                  <c:v>5.1496E-2</c:v>
                </c:pt>
                <c:pt idx="66">
                  <c:v>3.7262000000000003E-2</c:v>
                </c:pt>
                <c:pt idx="67">
                  <c:v>3.8469999999999997E-2</c:v>
                </c:pt>
                <c:pt idx="68">
                  <c:v>5.6197999999999998E-2</c:v>
                </c:pt>
                <c:pt idx="69">
                  <c:v>8.0920000000000006E-2</c:v>
                </c:pt>
                <c:pt idx="70">
                  <c:v>9.6414E-2</c:v>
                </c:pt>
                <c:pt idx="71">
                  <c:v>9.6697000000000005E-2</c:v>
                </c:pt>
                <c:pt idx="72">
                  <c:v>8.5137000000000004E-2</c:v>
                </c:pt>
                <c:pt idx="73">
                  <c:v>6.9213999999999998E-2</c:v>
                </c:pt>
                <c:pt idx="74">
                  <c:v>5.4394999999999999E-2</c:v>
                </c:pt>
                <c:pt idx="75">
                  <c:v>4.147E-2</c:v>
                </c:pt>
                <c:pt idx="76">
                  <c:v>2.9180999999999999E-2</c:v>
                </c:pt>
                <c:pt idx="77">
                  <c:v>1.6313999999999999E-2</c:v>
                </c:pt>
                <c:pt idx="78">
                  <c:v>4.81E-3</c:v>
                </c:pt>
                <c:pt idx="79">
                  <c:v>2.4681E-3</c:v>
                </c:pt>
                <c:pt idx="80">
                  <c:v>2.0986999999999999E-2</c:v>
                </c:pt>
                <c:pt idx="81">
                  <c:v>6.1945E-2</c:v>
                </c:pt>
                <c:pt idx="82">
                  <c:v>0.10431</c:v>
                </c:pt>
                <c:pt idx="83">
                  <c:v>0.12123</c:v>
                </c:pt>
                <c:pt idx="84">
                  <c:v>0.11518</c:v>
                </c:pt>
                <c:pt idx="85">
                  <c:v>9.8276000000000002E-2</c:v>
                </c:pt>
                <c:pt idx="86">
                  <c:v>8.3483000000000002E-2</c:v>
                </c:pt>
                <c:pt idx="87">
                  <c:v>7.2418999999999997E-2</c:v>
                </c:pt>
                <c:pt idx="88">
                  <c:v>6.5624000000000002E-2</c:v>
                </c:pt>
                <c:pt idx="89">
                  <c:v>5.7299000000000003E-2</c:v>
                </c:pt>
                <c:pt idx="90">
                  <c:v>4.8572999999999998E-2</c:v>
                </c:pt>
                <c:pt idx="91">
                  <c:v>4.2006000000000002E-2</c:v>
                </c:pt>
                <c:pt idx="92">
                  <c:v>3.7782999999999997E-2</c:v>
                </c:pt>
                <c:pt idx="93">
                  <c:v>3.4485000000000002E-2</c:v>
                </c:pt>
                <c:pt idx="94">
                  <c:v>3.0964999999999999E-2</c:v>
                </c:pt>
                <c:pt idx="95">
                  <c:v>2.7059E-2</c:v>
                </c:pt>
                <c:pt idx="96">
                  <c:v>2.3362999999999998E-2</c:v>
                </c:pt>
                <c:pt idx="97">
                  <c:v>2.0666E-2</c:v>
                </c:pt>
                <c:pt idx="98">
                  <c:v>1.7305999999999998E-2</c:v>
                </c:pt>
                <c:pt idx="99">
                  <c:v>1.4633E-2</c:v>
                </c:pt>
                <c:pt idx="100">
                  <c:v>1.3899E-2</c:v>
                </c:pt>
                <c:pt idx="101">
                  <c:v>1.1662E-2</c:v>
                </c:pt>
                <c:pt idx="102">
                  <c:v>6.4817E-3</c:v>
                </c:pt>
                <c:pt idx="103">
                  <c:v>3.0005E-4</c:v>
                </c:pt>
                <c:pt idx="104">
                  <c:v>0</c:v>
                </c:pt>
                <c:pt idx="105">
                  <c:v>0</c:v>
                </c:pt>
                <c:pt idx="106">
                  <c:v>0</c:v>
                </c:pt>
                <c:pt idx="107">
                  <c:v>1.2753E-2</c:v>
                </c:pt>
                <c:pt idx="108">
                  <c:v>0.10612000000000001</c:v>
                </c:pt>
                <c:pt idx="109">
                  <c:v>0.17793</c:v>
                </c:pt>
              </c:numCache>
            </c:numRef>
          </c:yVal>
          <c:smooth val="1"/>
          <c:extLst>
            <c:ext xmlns:c16="http://schemas.microsoft.com/office/drawing/2014/chart" uri="{C3380CC4-5D6E-409C-BE32-E72D297353CC}">
              <c16:uniqueId val="{00000003-221A-4B54-9AFB-28E3FFC4FA38}"/>
            </c:ext>
          </c:extLst>
        </c:ser>
        <c:dLbls>
          <c:showLegendKey val="0"/>
          <c:showVal val="0"/>
          <c:showCatName val="0"/>
          <c:showSerName val="0"/>
          <c:showPercent val="0"/>
          <c:showBubbleSize val="0"/>
        </c:dLbls>
        <c:axId val="1272484639"/>
        <c:axId val="1388125951"/>
      </c:scatterChart>
      <c:valAx>
        <c:axId val="1586439087"/>
        <c:scaling>
          <c:orientation val="minMax"/>
          <c:max val="50"/>
          <c:min val="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E"/>
                  <a:t>Pore</a:t>
                </a:r>
                <a:r>
                  <a:rPr lang="en-IE" baseline="0"/>
                  <a:t> Width (nm)</a:t>
                </a:r>
                <a:endParaRPr lang="en-IE"/>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6438255"/>
        <c:crosses val="autoZero"/>
        <c:crossBetween val="midCat"/>
        <c:majorUnit val="5"/>
      </c:valAx>
      <c:valAx>
        <c:axId val="1586438255"/>
        <c:scaling>
          <c:orientation val="minMax"/>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E"/>
                  <a:t>Cumulative</a:t>
                </a:r>
                <a:r>
                  <a:rPr lang="en-IE" baseline="0"/>
                  <a:t> Surface Area (m2/g)</a:t>
                </a:r>
                <a:endParaRPr lang="en-IE"/>
              </a:p>
            </c:rich>
          </c:tx>
          <c:layout>
            <c:manualLayout>
              <c:xMode val="edge"/>
              <c:yMode val="edge"/>
              <c:x val="2.3521110196401272E-2"/>
              <c:y val="0.1544955884600226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6439087"/>
        <c:crosses val="autoZero"/>
        <c:crossBetween val="midCat"/>
      </c:valAx>
      <c:valAx>
        <c:axId val="1388125951"/>
        <c:scaling>
          <c:orientation val="minMax"/>
          <c:min val="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E"/>
                  <a:t>dS</a:t>
                </a:r>
                <a:r>
                  <a:rPr lang="en-IE" baseline="0"/>
                  <a:t>(d) m2/nm/g)</a:t>
                </a:r>
                <a:endParaRPr lang="en-IE"/>
              </a:p>
            </c:rich>
          </c:tx>
          <c:layout>
            <c:manualLayout>
              <c:xMode val="edge"/>
              <c:yMode val="edge"/>
              <c:x val="0.89132061773473192"/>
              <c:y val="0.330597267016801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noFill/>
                <a:latin typeface="+mn-lt"/>
                <a:ea typeface="+mn-ea"/>
                <a:cs typeface="+mn-cs"/>
              </a:defRPr>
            </a:pPr>
            <a:endParaRPr lang="en-US"/>
          </a:p>
        </c:txPr>
        <c:crossAx val="1272484639"/>
        <c:crosses val="max"/>
        <c:crossBetween val="midCat"/>
      </c:valAx>
      <c:valAx>
        <c:axId val="1272484639"/>
        <c:scaling>
          <c:orientation val="minMax"/>
        </c:scaling>
        <c:delete val="1"/>
        <c:axPos val="b"/>
        <c:numFmt formatCode="General" sourceLinked="1"/>
        <c:majorTickMark val="out"/>
        <c:minorTickMark val="none"/>
        <c:tickLblPos val="nextTo"/>
        <c:crossAx val="1388125951"/>
        <c:crosses val="autoZero"/>
        <c:crossBetween val="midCat"/>
      </c:valAx>
      <c:spPr>
        <a:noFill/>
        <a:ln>
          <a:solidFill>
            <a:schemeClr val="tx1"/>
          </a:solid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1550</Words>
  <Characters>8837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Muhammad.Muddasar</dc:creator>
  <cp:keywords/>
  <dc:description/>
  <cp:lastModifiedBy>Maurice Collins</cp:lastModifiedBy>
  <cp:revision>2</cp:revision>
  <dcterms:created xsi:type="dcterms:W3CDTF">2023-12-19T23:47:00Z</dcterms:created>
  <dcterms:modified xsi:type="dcterms:W3CDTF">2023-12-19T23:47:00Z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ae4739d0-4025-4f10-af6e-8a28eb610347</vt:lpwstr>
  </property>
</Properties>
</file>