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2DCE1" w14:textId="19006E0F" w:rsidR="00B11324" w:rsidRPr="00A1654F" w:rsidRDefault="00A1654F">
      <w:pPr>
        <w:rPr>
          <w:b/>
          <w:bCs/>
        </w:rPr>
      </w:pPr>
      <w:r w:rsidRPr="00A1654F">
        <w:rPr>
          <w:b/>
          <w:bCs/>
        </w:rPr>
        <w:t>Supplement 2</w:t>
      </w:r>
    </w:p>
    <w:p w14:paraId="50127980" w14:textId="6A64B91C" w:rsidR="00A1654F" w:rsidRDefault="00A1654F" w:rsidP="00A1654F">
      <w:pPr>
        <w:rPr>
          <w:lang w:val="en-US"/>
        </w:rPr>
      </w:pPr>
      <w:r w:rsidRPr="00A1654F">
        <w:rPr>
          <w:b/>
          <w:lang w:val="en-US"/>
        </w:rPr>
        <w:t xml:space="preserve">Table </w:t>
      </w:r>
      <w:r>
        <w:rPr>
          <w:b/>
          <w:lang w:val="en-US"/>
        </w:rPr>
        <w:t>S</w:t>
      </w:r>
      <w:r w:rsidRPr="00A1654F">
        <w:rPr>
          <w:b/>
          <w:lang w:val="en-US"/>
        </w:rPr>
        <w:t>2.</w:t>
      </w:r>
      <w:r w:rsidRPr="00A1654F">
        <w:rPr>
          <w:lang w:val="en-US"/>
        </w:rPr>
        <w:t xml:space="preserve"> </w:t>
      </w:r>
      <w:r w:rsidRPr="00A1654F">
        <w:rPr>
          <w:rFonts w:cs="Times New Roman"/>
          <w:szCs w:val="24"/>
          <w:lang w:val="en-US"/>
        </w:rPr>
        <w:t xml:space="preserve">Foraging trip metrics per </w:t>
      </w:r>
      <w:r w:rsidR="00B6087E">
        <w:rPr>
          <w:rFonts w:cs="Times New Roman"/>
          <w:szCs w:val="24"/>
          <w:lang w:val="en-US"/>
        </w:rPr>
        <w:t>site</w:t>
      </w:r>
      <w:r>
        <w:rPr>
          <w:rFonts w:cs="Times New Roman"/>
          <w:szCs w:val="24"/>
          <w:lang w:val="en-US"/>
        </w:rPr>
        <w:t>, year</w:t>
      </w:r>
      <w:r w:rsidRPr="00A1654F">
        <w:rPr>
          <w:rFonts w:cs="Times New Roman"/>
          <w:szCs w:val="24"/>
          <w:lang w:val="en-US"/>
        </w:rPr>
        <w:t xml:space="preserve"> and breeding stage. N</w:t>
      </w:r>
      <w:r w:rsidRPr="00A1654F">
        <w:rPr>
          <w:rFonts w:cs="Times New Roman"/>
          <w:szCs w:val="24"/>
          <w:vertAlign w:val="subscript"/>
          <w:lang w:val="en-US"/>
        </w:rPr>
        <w:t>compl</w:t>
      </w:r>
      <w:r w:rsidRPr="00A1654F">
        <w:rPr>
          <w:rFonts w:cs="Times New Roman"/>
          <w:szCs w:val="24"/>
          <w:lang w:val="en-US"/>
        </w:rPr>
        <w:t xml:space="preserve"> is the number of complete trips, N</w:t>
      </w:r>
      <w:r w:rsidRPr="00A1654F">
        <w:rPr>
          <w:rFonts w:cs="Times New Roman"/>
          <w:szCs w:val="24"/>
          <w:vertAlign w:val="subscript"/>
          <w:lang w:val="en-US"/>
        </w:rPr>
        <w:t>all</w:t>
      </w:r>
      <w:r w:rsidRPr="00A1654F">
        <w:rPr>
          <w:rFonts w:cs="Times New Roman"/>
          <w:szCs w:val="24"/>
          <w:lang w:val="en-US"/>
        </w:rPr>
        <w:t xml:space="preserve"> the number of all trips both with the number of individuals in parenthesis. Average trip duration and average maximum distance from colony were based on complete trips, while for the absolute maximum distance from colony all available data were considered (see Methods). Individuals with unknown breeding stage </w:t>
      </w:r>
      <w:r w:rsidRPr="00A1654F">
        <w:rPr>
          <w:lang w:val="en-US"/>
        </w:rPr>
        <w:t xml:space="preserve">could be incubating, chick-rearing or non-/failed breeders. </w:t>
      </w:r>
    </w:p>
    <w:p w14:paraId="453005AC" w14:textId="6055A11B" w:rsidR="00A1654F" w:rsidRPr="00A1654F" w:rsidRDefault="00A1654F" w:rsidP="00A1654F">
      <w:pPr>
        <w:rPr>
          <w:rFonts w:cs="Times New Roman"/>
          <w:szCs w:val="24"/>
          <w:lang w:val="en-US"/>
        </w:rPr>
      </w:pPr>
      <w:r w:rsidRPr="00A1654F">
        <w:rPr>
          <w:rFonts w:cs="Times New Roman"/>
          <w:szCs w:val="24"/>
          <w:lang w:val="en-US"/>
        </w:rPr>
        <w:t xml:space="preserve"> </w:t>
      </w:r>
    </w:p>
    <w:tbl>
      <w:tblPr>
        <w:tblW w:w="9510" w:type="dxa"/>
        <w:tblCellMar>
          <w:left w:w="70" w:type="dxa"/>
          <w:right w:w="70" w:type="dxa"/>
        </w:tblCellMar>
        <w:tblLook w:val="04A0" w:firstRow="1" w:lastRow="0" w:firstColumn="1" w:lastColumn="0" w:noHBand="0" w:noVBand="1"/>
      </w:tblPr>
      <w:tblGrid>
        <w:gridCol w:w="2835"/>
        <w:gridCol w:w="1843"/>
        <w:gridCol w:w="1418"/>
        <w:gridCol w:w="1512"/>
        <w:gridCol w:w="1902"/>
      </w:tblGrid>
      <w:tr w:rsidR="00A1654F" w:rsidRPr="00145F7E" w14:paraId="1C488DE8" w14:textId="77777777" w:rsidTr="0034585C">
        <w:tc>
          <w:tcPr>
            <w:tcW w:w="2835" w:type="dxa"/>
            <w:tcBorders>
              <w:top w:val="single" w:sz="4" w:space="0" w:color="auto"/>
              <w:left w:val="nil"/>
              <w:bottom w:val="single" w:sz="4" w:space="0" w:color="auto"/>
              <w:right w:val="nil"/>
            </w:tcBorders>
            <w:shd w:val="clear" w:color="auto" w:fill="auto"/>
            <w:noWrap/>
            <w:vAlign w:val="bottom"/>
            <w:hideMark/>
          </w:tcPr>
          <w:p w14:paraId="1FEABDD4" w14:textId="1CCF9E59" w:rsidR="00A1654F" w:rsidRPr="00B6087E" w:rsidRDefault="00B6087E" w:rsidP="0034585C">
            <w:pPr>
              <w:spacing w:after="0" w:line="240" w:lineRule="auto"/>
              <w:rPr>
                <w:rFonts w:ascii="Calibri" w:eastAsia="Times New Roman" w:hAnsi="Calibri" w:cs="Calibri"/>
                <w:b/>
                <w:bCs/>
                <w:color w:val="000000"/>
                <w:lang w:eastAsia="nb-NO"/>
              </w:rPr>
            </w:pPr>
            <w:r w:rsidRPr="00B6087E">
              <w:rPr>
                <w:rFonts w:ascii="Calibri" w:eastAsia="Times New Roman" w:hAnsi="Calibri" w:cs="Calibri"/>
                <w:b/>
                <w:bCs/>
                <w:color w:val="000000"/>
                <w:lang w:eastAsia="nb-NO"/>
              </w:rPr>
              <w:t>Site</w:t>
            </w:r>
            <w:r>
              <w:rPr>
                <w:rFonts w:ascii="Calibri" w:eastAsia="Times New Roman" w:hAnsi="Calibri" w:cs="Calibri"/>
                <w:b/>
                <w:bCs/>
                <w:color w:val="000000"/>
                <w:lang w:eastAsia="nb-NO"/>
              </w:rPr>
              <w:t xml:space="preserve"> / Stage / Year</w:t>
            </w:r>
          </w:p>
        </w:tc>
        <w:tc>
          <w:tcPr>
            <w:tcW w:w="1843" w:type="dxa"/>
            <w:tcBorders>
              <w:top w:val="single" w:sz="4" w:space="0" w:color="auto"/>
              <w:left w:val="nil"/>
              <w:bottom w:val="single" w:sz="4" w:space="0" w:color="auto"/>
              <w:right w:val="nil"/>
            </w:tcBorders>
            <w:shd w:val="clear" w:color="auto" w:fill="auto"/>
            <w:noWrap/>
            <w:vAlign w:val="bottom"/>
            <w:hideMark/>
          </w:tcPr>
          <w:p w14:paraId="0B812B4F" w14:textId="77777777" w:rsidR="00A1654F" w:rsidRPr="00B6087E" w:rsidRDefault="00A1654F" w:rsidP="0034585C">
            <w:pPr>
              <w:spacing w:after="0" w:line="240" w:lineRule="auto"/>
              <w:rPr>
                <w:rFonts w:ascii="Calibri" w:eastAsia="Times New Roman" w:hAnsi="Calibri" w:cs="Calibri"/>
                <w:b/>
                <w:bCs/>
                <w:color w:val="000000"/>
                <w:lang w:eastAsia="nb-NO"/>
              </w:rPr>
            </w:pPr>
            <w:r w:rsidRPr="00B6087E">
              <w:rPr>
                <w:rFonts w:ascii="Calibri" w:eastAsia="Times New Roman" w:hAnsi="Calibri" w:cs="Calibri"/>
                <w:b/>
                <w:bCs/>
                <w:color w:val="000000"/>
                <w:lang w:eastAsia="nb-NO"/>
              </w:rPr>
              <w:t>N</w:t>
            </w:r>
            <w:r w:rsidRPr="00B6087E">
              <w:rPr>
                <w:rFonts w:ascii="Calibri" w:eastAsia="Times New Roman" w:hAnsi="Calibri" w:cs="Calibri"/>
                <w:b/>
                <w:bCs/>
                <w:color w:val="000000"/>
                <w:vertAlign w:val="subscript"/>
                <w:lang w:eastAsia="nb-NO"/>
              </w:rPr>
              <w:t>comp</w:t>
            </w:r>
            <w:r w:rsidRPr="00B6087E">
              <w:rPr>
                <w:rFonts w:ascii="Calibri" w:eastAsia="Times New Roman" w:hAnsi="Calibri" w:cs="Calibri"/>
                <w:b/>
                <w:bCs/>
                <w:color w:val="000000"/>
                <w:lang w:eastAsia="nb-NO"/>
              </w:rPr>
              <w:t>l /N</w:t>
            </w:r>
            <w:r w:rsidRPr="00B6087E">
              <w:rPr>
                <w:rFonts w:ascii="Calibri" w:eastAsia="Times New Roman" w:hAnsi="Calibri" w:cs="Calibri"/>
                <w:b/>
                <w:bCs/>
                <w:color w:val="000000"/>
                <w:vertAlign w:val="subscript"/>
                <w:lang w:eastAsia="nb-NO"/>
              </w:rPr>
              <w:t>all</w:t>
            </w:r>
          </w:p>
        </w:tc>
        <w:tc>
          <w:tcPr>
            <w:tcW w:w="1418" w:type="dxa"/>
            <w:tcBorders>
              <w:top w:val="single" w:sz="4" w:space="0" w:color="auto"/>
              <w:left w:val="nil"/>
              <w:bottom w:val="single" w:sz="4" w:space="0" w:color="auto"/>
              <w:right w:val="nil"/>
            </w:tcBorders>
            <w:shd w:val="clear" w:color="auto" w:fill="auto"/>
            <w:noWrap/>
            <w:vAlign w:val="bottom"/>
            <w:hideMark/>
          </w:tcPr>
          <w:p w14:paraId="75673F80" w14:textId="77777777" w:rsidR="00A1654F" w:rsidRPr="00B6087E" w:rsidRDefault="00A1654F" w:rsidP="0034585C">
            <w:pPr>
              <w:spacing w:after="0" w:line="240" w:lineRule="auto"/>
              <w:jc w:val="center"/>
              <w:rPr>
                <w:rFonts w:ascii="Calibri" w:eastAsia="Times New Roman" w:hAnsi="Calibri" w:cs="Calibri"/>
                <w:b/>
                <w:bCs/>
                <w:color w:val="000000"/>
                <w:lang w:val="en-GB" w:eastAsia="nb-NO"/>
              </w:rPr>
            </w:pPr>
            <w:r w:rsidRPr="00B6087E">
              <w:rPr>
                <w:rFonts w:ascii="Calibri" w:eastAsia="Times New Roman" w:hAnsi="Calibri" w:cs="Calibri"/>
                <w:b/>
                <w:bCs/>
                <w:color w:val="000000"/>
                <w:lang w:val="en-GB" w:eastAsia="nb-NO"/>
              </w:rPr>
              <w:t>Average max trip distance from colony (km) ± SD</w:t>
            </w:r>
          </w:p>
        </w:tc>
        <w:tc>
          <w:tcPr>
            <w:tcW w:w="1512" w:type="dxa"/>
            <w:tcBorders>
              <w:top w:val="single" w:sz="4" w:space="0" w:color="auto"/>
              <w:left w:val="nil"/>
              <w:bottom w:val="single" w:sz="4" w:space="0" w:color="auto"/>
              <w:right w:val="nil"/>
            </w:tcBorders>
            <w:shd w:val="clear" w:color="auto" w:fill="auto"/>
            <w:noWrap/>
            <w:vAlign w:val="bottom"/>
            <w:hideMark/>
          </w:tcPr>
          <w:p w14:paraId="14FC0E7C" w14:textId="77777777" w:rsidR="00A1654F" w:rsidRPr="00B6087E" w:rsidRDefault="00A1654F" w:rsidP="0034585C">
            <w:pPr>
              <w:spacing w:after="0" w:line="240" w:lineRule="auto"/>
              <w:jc w:val="center"/>
              <w:rPr>
                <w:rFonts w:ascii="Calibri" w:eastAsia="Times New Roman" w:hAnsi="Calibri" w:cs="Calibri"/>
                <w:b/>
                <w:bCs/>
                <w:color w:val="000000"/>
                <w:lang w:val="en-GB" w:eastAsia="nb-NO"/>
              </w:rPr>
            </w:pPr>
            <w:r w:rsidRPr="00B6087E">
              <w:rPr>
                <w:rFonts w:ascii="Calibri" w:eastAsia="Times New Roman" w:hAnsi="Calibri" w:cs="Calibri"/>
                <w:b/>
                <w:bCs/>
                <w:color w:val="000000"/>
                <w:lang w:val="en-GB" w:eastAsia="nb-NO"/>
              </w:rPr>
              <w:t>Max distance from colony reached (km)</w:t>
            </w:r>
          </w:p>
        </w:tc>
        <w:tc>
          <w:tcPr>
            <w:tcW w:w="1902" w:type="dxa"/>
            <w:tcBorders>
              <w:top w:val="single" w:sz="4" w:space="0" w:color="auto"/>
              <w:left w:val="nil"/>
              <w:bottom w:val="single" w:sz="4" w:space="0" w:color="auto"/>
              <w:right w:val="nil"/>
            </w:tcBorders>
            <w:shd w:val="clear" w:color="auto" w:fill="auto"/>
            <w:noWrap/>
            <w:vAlign w:val="bottom"/>
            <w:hideMark/>
          </w:tcPr>
          <w:p w14:paraId="24C45DA0" w14:textId="77777777" w:rsidR="00A1654F" w:rsidRPr="00B6087E" w:rsidRDefault="00A1654F" w:rsidP="0034585C">
            <w:pPr>
              <w:spacing w:after="0" w:line="240" w:lineRule="auto"/>
              <w:jc w:val="center"/>
              <w:rPr>
                <w:rFonts w:ascii="Calibri" w:eastAsia="Times New Roman" w:hAnsi="Calibri" w:cs="Calibri"/>
                <w:b/>
                <w:bCs/>
                <w:color w:val="000000"/>
                <w:lang w:val="en-GB" w:eastAsia="nb-NO"/>
              </w:rPr>
            </w:pPr>
            <w:r w:rsidRPr="00B6087E">
              <w:rPr>
                <w:rFonts w:ascii="Calibri" w:eastAsia="Times New Roman" w:hAnsi="Calibri" w:cs="Calibri"/>
                <w:b/>
                <w:bCs/>
                <w:color w:val="000000"/>
                <w:lang w:val="en-GB" w:eastAsia="nb-NO"/>
              </w:rPr>
              <w:t>Average trip duration (min) ± SD</w:t>
            </w:r>
          </w:p>
        </w:tc>
      </w:tr>
      <w:tr w:rsidR="00A1654F" w:rsidRPr="00D92CE9" w14:paraId="2D35D97B" w14:textId="77777777" w:rsidTr="0034585C">
        <w:tc>
          <w:tcPr>
            <w:tcW w:w="2835" w:type="dxa"/>
            <w:tcBorders>
              <w:top w:val="nil"/>
              <w:left w:val="nil"/>
              <w:bottom w:val="nil"/>
              <w:right w:val="nil"/>
            </w:tcBorders>
            <w:shd w:val="clear" w:color="auto" w:fill="auto"/>
            <w:noWrap/>
            <w:vAlign w:val="bottom"/>
            <w:hideMark/>
          </w:tcPr>
          <w:p w14:paraId="2678BB66" w14:textId="77777777" w:rsidR="00A1654F" w:rsidRPr="00D92CE9" w:rsidRDefault="00A1654F" w:rsidP="0034585C">
            <w:pPr>
              <w:spacing w:after="0" w:line="240" w:lineRule="auto"/>
              <w:rPr>
                <w:rFonts w:ascii="Calibri" w:eastAsia="Times New Roman" w:hAnsi="Calibri" w:cs="Calibri"/>
                <w:color w:val="000000"/>
                <w:lang w:eastAsia="nb-NO"/>
              </w:rPr>
            </w:pPr>
            <w:r w:rsidRPr="00D92CE9">
              <w:rPr>
                <w:rFonts w:ascii="Calibri" w:eastAsia="Times New Roman" w:hAnsi="Calibri" w:cs="Calibri"/>
                <w:color w:val="000000"/>
                <w:lang w:eastAsia="nb-NO"/>
              </w:rPr>
              <w:t>Sklinna (2013, 2018, 2019)</w:t>
            </w:r>
          </w:p>
        </w:tc>
        <w:tc>
          <w:tcPr>
            <w:tcW w:w="1843" w:type="dxa"/>
            <w:tcBorders>
              <w:top w:val="nil"/>
              <w:left w:val="nil"/>
              <w:bottom w:val="nil"/>
              <w:right w:val="nil"/>
            </w:tcBorders>
            <w:shd w:val="clear" w:color="auto" w:fill="auto"/>
            <w:noWrap/>
            <w:vAlign w:val="bottom"/>
            <w:hideMark/>
          </w:tcPr>
          <w:p w14:paraId="00BA01C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92 (19) / 149 (29)</w:t>
            </w:r>
          </w:p>
        </w:tc>
        <w:tc>
          <w:tcPr>
            <w:tcW w:w="1418" w:type="dxa"/>
            <w:tcBorders>
              <w:top w:val="nil"/>
              <w:left w:val="nil"/>
              <w:bottom w:val="nil"/>
              <w:right w:val="nil"/>
            </w:tcBorders>
            <w:shd w:val="clear" w:color="auto" w:fill="auto"/>
            <w:noWrap/>
            <w:vAlign w:val="bottom"/>
            <w:hideMark/>
          </w:tcPr>
          <w:p w14:paraId="7AE34BA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4.86 ± 4.48</w:t>
            </w:r>
          </w:p>
        </w:tc>
        <w:tc>
          <w:tcPr>
            <w:tcW w:w="1512" w:type="dxa"/>
            <w:tcBorders>
              <w:top w:val="nil"/>
              <w:left w:val="nil"/>
              <w:bottom w:val="nil"/>
              <w:right w:val="nil"/>
            </w:tcBorders>
            <w:shd w:val="clear" w:color="auto" w:fill="auto"/>
            <w:noWrap/>
            <w:vAlign w:val="center"/>
            <w:hideMark/>
          </w:tcPr>
          <w:p w14:paraId="7CDABC2E"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32.99</w:t>
            </w:r>
          </w:p>
        </w:tc>
        <w:tc>
          <w:tcPr>
            <w:tcW w:w="1902" w:type="dxa"/>
            <w:tcBorders>
              <w:top w:val="nil"/>
              <w:left w:val="nil"/>
              <w:bottom w:val="nil"/>
              <w:right w:val="nil"/>
            </w:tcBorders>
            <w:shd w:val="clear" w:color="auto" w:fill="auto"/>
            <w:noWrap/>
            <w:vAlign w:val="bottom"/>
            <w:hideMark/>
          </w:tcPr>
          <w:p w14:paraId="6E722D04"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210 ± 235</w:t>
            </w:r>
          </w:p>
        </w:tc>
      </w:tr>
      <w:tr w:rsidR="00A1654F" w:rsidRPr="00D92CE9" w14:paraId="19B249BD" w14:textId="77777777" w:rsidTr="0034585C">
        <w:tc>
          <w:tcPr>
            <w:tcW w:w="2835" w:type="dxa"/>
            <w:tcBorders>
              <w:top w:val="nil"/>
              <w:left w:val="nil"/>
              <w:bottom w:val="nil"/>
              <w:right w:val="nil"/>
            </w:tcBorders>
            <w:shd w:val="clear" w:color="auto" w:fill="auto"/>
            <w:noWrap/>
            <w:vAlign w:val="bottom"/>
            <w:hideMark/>
          </w:tcPr>
          <w:p w14:paraId="05E5143C"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incubating (2018 &amp; 2019)</w:t>
            </w:r>
          </w:p>
        </w:tc>
        <w:tc>
          <w:tcPr>
            <w:tcW w:w="1843" w:type="dxa"/>
            <w:tcBorders>
              <w:top w:val="nil"/>
              <w:left w:val="nil"/>
              <w:bottom w:val="nil"/>
              <w:right w:val="nil"/>
            </w:tcBorders>
            <w:shd w:val="clear" w:color="auto" w:fill="auto"/>
            <w:noWrap/>
            <w:vAlign w:val="bottom"/>
            <w:hideMark/>
          </w:tcPr>
          <w:p w14:paraId="4045FF63"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12 (4) / 26 (7)</w:t>
            </w:r>
          </w:p>
        </w:tc>
        <w:tc>
          <w:tcPr>
            <w:tcW w:w="1418" w:type="dxa"/>
            <w:tcBorders>
              <w:top w:val="nil"/>
              <w:left w:val="nil"/>
              <w:bottom w:val="nil"/>
              <w:right w:val="nil"/>
            </w:tcBorders>
            <w:shd w:val="clear" w:color="auto" w:fill="auto"/>
            <w:noWrap/>
            <w:vAlign w:val="bottom"/>
            <w:hideMark/>
          </w:tcPr>
          <w:p w14:paraId="58635EA4"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6.75 ± 7.27</w:t>
            </w:r>
          </w:p>
        </w:tc>
        <w:tc>
          <w:tcPr>
            <w:tcW w:w="1512" w:type="dxa"/>
            <w:tcBorders>
              <w:top w:val="nil"/>
              <w:left w:val="nil"/>
              <w:bottom w:val="nil"/>
              <w:right w:val="nil"/>
            </w:tcBorders>
            <w:shd w:val="clear" w:color="auto" w:fill="auto"/>
            <w:noWrap/>
            <w:vAlign w:val="center"/>
            <w:hideMark/>
          </w:tcPr>
          <w:p w14:paraId="7732A612"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32.99</w:t>
            </w:r>
          </w:p>
        </w:tc>
        <w:tc>
          <w:tcPr>
            <w:tcW w:w="1902" w:type="dxa"/>
            <w:tcBorders>
              <w:top w:val="nil"/>
              <w:left w:val="nil"/>
              <w:bottom w:val="nil"/>
              <w:right w:val="nil"/>
            </w:tcBorders>
            <w:shd w:val="clear" w:color="auto" w:fill="auto"/>
            <w:noWrap/>
            <w:vAlign w:val="center"/>
            <w:hideMark/>
          </w:tcPr>
          <w:p w14:paraId="6D1A015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387 ± 338</w:t>
            </w:r>
          </w:p>
        </w:tc>
      </w:tr>
      <w:tr w:rsidR="00A1654F" w:rsidRPr="00D92CE9" w14:paraId="3C454971" w14:textId="77777777" w:rsidTr="0034585C">
        <w:tc>
          <w:tcPr>
            <w:tcW w:w="2835" w:type="dxa"/>
            <w:tcBorders>
              <w:top w:val="nil"/>
              <w:left w:val="nil"/>
              <w:bottom w:val="nil"/>
              <w:right w:val="nil"/>
            </w:tcBorders>
            <w:shd w:val="clear" w:color="auto" w:fill="auto"/>
            <w:noWrap/>
            <w:vAlign w:val="bottom"/>
            <w:hideMark/>
          </w:tcPr>
          <w:p w14:paraId="67C3971F" w14:textId="77777777" w:rsidR="00A1654F" w:rsidRPr="00D92CE9" w:rsidRDefault="00A1654F" w:rsidP="0034585C">
            <w:pPr>
              <w:spacing w:after="0" w:line="240" w:lineRule="auto"/>
              <w:ind w:firstLineChars="200" w:firstLine="440"/>
              <w:rPr>
                <w:rFonts w:ascii="Calibri" w:eastAsia="Times New Roman" w:hAnsi="Calibri" w:cs="Calibri"/>
                <w:color w:val="000000"/>
                <w:lang w:eastAsia="nb-NO"/>
              </w:rPr>
            </w:pPr>
            <w:r w:rsidRPr="00D92CE9">
              <w:rPr>
                <w:rFonts w:ascii="Calibri" w:eastAsia="Times New Roman" w:hAnsi="Calibri" w:cs="Calibri"/>
                <w:color w:val="000000"/>
                <w:lang w:eastAsia="nb-NO"/>
              </w:rPr>
              <w:t>incubating 2018</w:t>
            </w:r>
          </w:p>
        </w:tc>
        <w:tc>
          <w:tcPr>
            <w:tcW w:w="1843" w:type="dxa"/>
            <w:tcBorders>
              <w:top w:val="nil"/>
              <w:left w:val="nil"/>
              <w:bottom w:val="nil"/>
              <w:right w:val="nil"/>
            </w:tcBorders>
            <w:shd w:val="clear" w:color="auto" w:fill="auto"/>
            <w:noWrap/>
            <w:vAlign w:val="bottom"/>
            <w:hideMark/>
          </w:tcPr>
          <w:p w14:paraId="55897AB2"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10 (4) / 22 (7)</w:t>
            </w:r>
          </w:p>
        </w:tc>
        <w:tc>
          <w:tcPr>
            <w:tcW w:w="1418" w:type="dxa"/>
            <w:tcBorders>
              <w:top w:val="nil"/>
              <w:left w:val="nil"/>
              <w:bottom w:val="nil"/>
              <w:right w:val="nil"/>
            </w:tcBorders>
            <w:shd w:val="clear" w:color="auto" w:fill="auto"/>
            <w:noWrap/>
            <w:vAlign w:val="bottom"/>
            <w:hideMark/>
          </w:tcPr>
          <w:p w14:paraId="1634D0DD"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7.69 ± 7.63</w:t>
            </w:r>
          </w:p>
        </w:tc>
        <w:tc>
          <w:tcPr>
            <w:tcW w:w="1512" w:type="dxa"/>
            <w:tcBorders>
              <w:top w:val="nil"/>
              <w:left w:val="nil"/>
              <w:bottom w:val="nil"/>
              <w:right w:val="nil"/>
            </w:tcBorders>
            <w:shd w:val="clear" w:color="auto" w:fill="auto"/>
            <w:noWrap/>
            <w:vAlign w:val="center"/>
            <w:hideMark/>
          </w:tcPr>
          <w:p w14:paraId="033D6BBB"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32.99</w:t>
            </w:r>
          </w:p>
        </w:tc>
        <w:tc>
          <w:tcPr>
            <w:tcW w:w="1902" w:type="dxa"/>
            <w:tcBorders>
              <w:top w:val="nil"/>
              <w:left w:val="nil"/>
              <w:bottom w:val="nil"/>
              <w:right w:val="nil"/>
            </w:tcBorders>
            <w:shd w:val="clear" w:color="auto" w:fill="auto"/>
            <w:noWrap/>
            <w:vAlign w:val="center"/>
            <w:hideMark/>
          </w:tcPr>
          <w:p w14:paraId="665A964F"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426 ± 356</w:t>
            </w:r>
          </w:p>
        </w:tc>
      </w:tr>
      <w:tr w:rsidR="00A1654F" w:rsidRPr="00D92CE9" w14:paraId="56D26773" w14:textId="77777777" w:rsidTr="0034585C">
        <w:tc>
          <w:tcPr>
            <w:tcW w:w="2835" w:type="dxa"/>
            <w:tcBorders>
              <w:top w:val="nil"/>
              <w:left w:val="nil"/>
              <w:bottom w:val="nil"/>
              <w:right w:val="nil"/>
            </w:tcBorders>
            <w:shd w:val="clear" w:color="auto" w:fill="auto"/>
            <w:noWrap/>
            <w:vAlign w:val="bottom"/>
            <w:hideMark/>
          </w:tcPr>
          <w:p w14:paraId="491F3E61" w14:textId="77777777" w:rsidR="00A1654F" w:rsidRPr="00D92CE9" w:rsidRDefault="00A1654F" w:rsidP="0034585C">
            <w:pPr>
              <w:spacing w:after="0" w:line="240" w:lineRule="auto"/>
              <w:ind w:firstLineChars="200" w:firstLine="440"/>
              <w:rPr>
                <w:rFonts w:ascii="Calibri" w:eastAsia="Times New Roman" w:hAnsi="Calibri" w:cs="Calibri"/>
                <w:color w:val="000000"/>
                <w:lang w:eastAsia="nb-NO"/>
              </w:rPr>
            </w:pPr>
            <w:r w:rsidRPr="00D92CE9">
              <w:rPr>
                <w:rFonts w:ascii="Calibri" w:eastAsia="Times New Roman" w:hAnsi="Calibri" w:cs="Calibri"/>
                <w:color w:val="000000"/>
                <w:lang w:eastAsia="nb-NO"/>
              </w:rPr>
              <w:t>incubating 2019</w:t>
            </w:r>
          </w:p>
        </w:tc>
        <w:tc>
          <w:tcPr>
            <w:tcW w:w="1843" w:type="dxa"/>
            <w:tcBorders>
              <w:top w:val="nil"/>
              <w:left w:val="nil"/>
              <w:bottom w:val="nil"/>
              <w:right w:val="nil"/>
            </w:tcBorders>
            <w:shd w:val="clear" w:color="auto" w:fill="auto"/>
            <w:noWrap/>
            <w:vAlign w:val="bottom"/>
            <w:hideMark/>
          </w:tcPr>
          <w:p w14:paraId="4EA8F045"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 (1) / 4 (1)</w:t>
            </w:r>
          </w:p>
        </w:tc>
        <w:tc>
          <w:tcPr>
            <w:tcW w:w="1418" w:type="dxa"/>
            <w:tcBorders>
              <w:top w:val="nil"/>
              <w:left w:val="nil"/>
              <w:bottom w:val="nil"/>
              <w:right w:val="nil"/>
            </w:tcBorders>
            <w:shd w:val="clear" w:color="auto" w:fill="auto"/>
            <w:noWrap/>
            <w:vAlign w:val="bottom"/>
            <w:hideMark/>
          </w:tcPr>
          <w:p w14:paraId="4216698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2.03 ± 0.11</w:t>
            </w:r>
          </w:p>
        </w:tc>
        <w:tc>
          <w:tcPr>
            <w:tcW w:w="1512" w:type="dxa"/>
            <w:tcBorders>
              <w:top w:val="nil"/>
              <w:left w:val="nil"/>
              <w:bottom w:val="nil"/>
              <w:right w:val="nil"/>
            </w:tcBorders>
            <w:shd w:val="clear" w:color="auto" w:fill="auto"/>
            <w:noWrap/>
            <w:vAlign w:val="center"/>
            <w:hideMark/>
          </w:tcPr>
          <w:p w14:paraId="70DB0714"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20.19</w:t>
            </w:r>
          </w:p>
        </w:tc>
        <w:tc>
          <w:tcPr>
            <w:tcW w:w="1902" w:type="dxa"/>
            <w:tcBorders>
              <w:top w:val="nil"/>
              <w:left w:val="nil"/>
              <w:bottom w:val="nil"/>
              <w:right w:val="nil"/>
            </w:tcBorders>
            <w:shd w:val="clear" w:color="auto" w:fill="auto"/>
            <w:noWrap/>
            <w:vAlign w:val="bottom"/>
            <w:hideMark/>
          </w:tcPr>
          <w:p w14:paraId="1DAB7C75"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191 ± 74</w:t>
            </w:r>
          </w:p>
        </w:tc>
      </w:tr>
      <w:tr w:rsidR="00A1654F" w:rsidRPr="00D92CE9" w14:paraId="584A40A1" w14:textId="77777777" w:rsidTr="0034585C">
        <w:tc>
          <w:tcPr>
            <w:tcW w:w="2835" w:type="dxa"/>
            <w:tcBorders>
              <w:top w:val="nil"/>
              <w:left w:val="nil"/>
              <w:bottom w:val="nil"/>
              <w:right w:val="nil"/>
            </w:tcBorders>
            <w:shd w:val="clear" w:color="auto" w:fill="auto"/>
            <w:noWrap/>
            <w:vAlign w:val="bottom"/>
            <w:hideMark/>
          </w:tcPr>
          <w:p w14:paraId="60D78389"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chick-rearing 2018</w:t>
            </w:r>
          </w:p>
        </w:tc>
        <w:tc>
          <w:tcPr>
            <w:tcW w:w="1843" w:type="dxa"/>
            <w:tcBorders>
              <w:top w:val="nil"/>
              <w:left w:val="nil"/>
              <w:bottom w:val="nil"/>
              <w:right w:val="nil"/>
            </w:tcBorders>
            <w:shd w:val="clear" w:color="auto" w:fill="auto"/>
            <w:noWrap/>
            <w:vAlign w:val="bottom"/>
            <w:hideMark/>
          </w:tcPr>
          <w:p w14:paraId="46DE1A0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34 (7) / 49 (7)</w:t>
            </w:r>
          </w:p>
        </w:tc>
        <w:tc>
          <w:tcPr>
            <w:tcW w:w="1418" w:type="dxa"/>
            <w:tcBorders>
              <w:top w:val="nil"/>
              <w:left w:val="nil"/>
              <w:bottom w:val="nil"/>
              <w:right w:val="nil"/>
            </w:tcBorders>
            <w:shd w:val="clear" w:color="auto" w:fill="auto"/>
            <w:noWrap/>
            <w:vAlign w:val="bottom"/>
            <w:hideMark/>
          </w:tcPr>
          <w:p w14:paraId="519950A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3.78 ± 4.06</w:t>
            </w:r>
          </w:p>
        </w:tc>
        <w:tc>
          <w:tcPr>
            <w:tcW w:w="1512" w:type="dxa"/>
            <w:tcBorders>
              <w:top w:val="nil"/>
              <w:left w:val="nil"/>
              <w:bottom w:val="nil"/>
              <w:right w:val="nil"/>
            </w:tcBorders>
            <w:shd w:val="clear" w:color="auto" w:fill="auto"/>
            <w:noWrap/>
            <w:vAlign w:val="center"/>
            <w:hideMark/>
          </w:tcPr>
          <w:p w14:paraId="01B86699"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17.84</w:t>
            </w:r>
          </w:p>
        </w:tc>
        <w:tc>
          <w:tcPr>
            <w:tcW w:w="1902" w:type="dxa"/>
            <w:tcBorders>
              <w:top w:val="nil"/>
              <w:left w:val="nil"/>
              <w:bottom w:val="nil"/>
              <w:right w:val="nil"/>
            </w:tcBorders>
            <w:shd w:val="clear" w:color="auto" w:fill="auto"/>
            <w:noWrap/>
            <w:vAlign w:val="bottom"/>
            <w:hideMark/>
          </w:tcPr>
          <w:p w14:paraId="1A44B115"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211 ± 227</w:t>
            </w:r>
          </w:p>
        </w:tc>
      </w:tr>
      <w:tr w:rsidR="00A1654F" w:rsidRPr="00D92CE9" w14:paraId="5F61A3D7" w14:textId="77777777" w:rsidTr="0034585C">
        <w:tc>
          <w:tcPr>
            <w:tcW w:w="2835" w:type="dxa"/>
            <w:tcBorders>
              <w:top w:val="nil"/>
              <w:left w:val="nil"/>
              <w:bottom w:val="nil"/>
              <w:right w:val="nil"/>
            </w:tcBorders>
            <w:shd w:val="clear" w:color="auto" w:fill="auto"/>
            <w:noWrap/>
            <w:vAlign w:val="bottom"/>
            <w:hideMark/>
          </w:tcPr>
          <w:p w14:paraId="339E54B4"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unknown (2013 &amp; 2019)</w:t>
            </w:r>
          </w:p>
        </w:tc>
        <w:tc>
          <w:tcPr>
            <w:tcW w:w="1843" w:type="dxa"/>
            <w:tcBorders>
              <w:top w:val="nil"/>
              <w:left w:val="nil"/>
              <w:bottom w:val="nil"/>
              <w:right w:val="nil"/>
            </w:tcBorders>
            <w:shd w:val="clear" w:color="auto" w:fill="auto"/>
            <w:noWrap/>
            <w:vAlign w:val="bottom"/>
            <w:hideMark/>
          </w:tcPr>
          <w:p w14:paraId="5C244CA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46 (8) / 74 (15)</w:t>
            </w:r>
          </w:p>
        </w:tc>
        <w:tc>
          <w:tcPr>
            <w:tcW w:w="1418" w:type="dxa"/>
            <w:tcBorders>
              <w:top w:val="nil"/>
              <w:left w:val="nil"/>
              <w:bottom w:val="nil"/>
              <w:right w:val="nil"/>
            </w:tcBorders>
            <w:shd w:val="clear" w:color="auto" w:fill="auto"/>
            <w:noWrap/>
            <w:vAlign w:val="bottom"/>
            <w:hideMark/>
          </w:tcPr>
          <w:p w14:paraId="779DF65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5.16 ± 3.51</w:t>
            </w:r>
          </w:p>
        </w:tc>
        <w:tc>
          <w:tcPr>
            <w:tcW w:w="1512" w:type="dxa"/>
            <w:tcBorders>
              <w:top w:val="nil"/>
              <w:left w:val="nil"/>
              <w:bottom w:val="nil"/>
              <w:right w:val="nil"/>
            </w:tcBorders>
            <w:shd w:val="clear" w:color="auto" w:fill="auto"/>
            <w:noWrap/>
            <w:vAlign w:val="bottom"/>
            <w:hideMark/>
          </w:tcPr>
          <w:p w14:paraId="0200469E"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25.59</w:t>
            </w:r>
          </w:p>
        </w:tc>
        <w:tc>
          <w:tcPr>
            <w:tcW w:w="1902" w:type="dxa"/>
            <w:tcBorders>
              <w:top w:val="nil"/>
              <w:left w:val="nil"/>
              <w:bottom w:val="nil"/>
              <w:right w:val="nil"/>
            </w:tcBorders>
            <w:shd w:val="clear" w:color="auto" w:fill="auto"/>
            <w:noWrap/>
            <w:vAlign w:val="bottom"/>
            <w:hideMark/>
          </w:tcPr>
          <w:p w14:paraId="5FA1DB29"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163 ± 180</w:t>
            </w:r>
          </w:p>
        </w:tc>
      </w:tr>
      <w:tr w:rsidR="00A1654F" w:rsidRPr="00D92CE9" w14:paraId="59BA4972" w14:textId="77777777" w:rsidTr="0034585C">
        <w:tc>
          <w:tcPr>
            <w:tcW w:w="2835" w:type="dxa"/>
            <w:tcBorders>
              <w:top w:val="nil"/>
              <w:left w:val="nil"/>
              <w:bottom w:val="nil"/>
              <w:right w:val="nil"/>
            </w:tcBorders>
            <w:shd w:val="clear" w:color="auto" w:fill="auto"/>
            <w:noWrap/>
            <w:vAlign w:val="bottom"/>
            <w:hideMark/>
          </w:tcPr>
          <w:p w14:paraId="3FD747D2" w14:textId="77777777" w:rsidR="00A1654F" w:rsidRPr="00D92CE9" w:rsidRDefault="00A1654F" w:rsidP="0034585C">
            <w:pPr>
              <w:spacing w:after="0" w:line="240" w:lineRule="auto"/>
              <w:ind w:firstLineChars="200" w:firstLine="440"/>
              <w:rPr>
                <w:rFonts w:ascii="Calibri" w:eastAsia="Times New Roman" w:hAnsi="Calibri" w:cs="Calibri"/>
                <w:color w:val="000000"/>
                <w:lang w:eastAsia="nb-NO"/>
              </w:rPr>
            </w:pPr>
            <w:r w:rsidRPr="00D92CE9">
              <w:rPr>
                <w:rFonts w:ascii="Calibri" w:eastAsia="Times New Roman" w:hAnsi="Calibri" w:cs="Calibri"/>
                <w:color w:val="000000"/>
                <w:lang w:eastAsia="nb-NO"/>
              </w:rPr>
              <w:t>unknown 2013</w:t>
            </w:r>
          </w:p>
        </w:tc>
        <w:tc>
          <w:tcPr>
            <w:tcW w:w="1843" w:type="dxa"/>
            <w:tcBorders>
              <w:top w:val="nil"/>
              <w:left w:val="nil"/>
              <w:bottom w:val="nil"/>
              <w:right w:val="nil"/>
            </w:tcBorders>
            <w:shd w:val="clear" w:color="auto" w:fill="auto"/>
            <w:noWrap/>
            <w:vAlign w:val="bottom"/>
            <w:hideMark/>
          </w:tcPr>
          <w:p w14:paraId="40EB1F8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 (1) / 8 (5)</w:t>
            </w:r>
          </w:p>
        </w:tc>
        <w:tc>
          <w:tcPr>
            <w:tcW w:w="1418" w:type="dxa"/>
            <w:tcBorders>
              <w:top w:val="nil"/>
              <w:left w:val="nil"/>
              <w:bottom w:val="nil"/>
              <w:right w:val="nil"/>
            </w:tcBorders>
            <w:shd w:val="clear" w:color="auto" w:fill="auto"/>
            <w:noWrap/>
            <w:vAlign w:val="bottom"/>
            <w:hideMark/>
          </w:tcPr>
          <w:p w14:paraId="1725488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2.62 ± 0.01</w:t>
            </w:r>
          </w:p>
        </w:tc>
        <w:tc>
          <w:tcPr>
            <w:tcW w:w="1512" w:type="dxa"/>
            <w:tcBorders>
              <w:top w:val="nil"/>
              <w:left w:val="nil"/>
              <w:bottom w:val="nil"/>
              <w:right w:val="nil"/>
            </w:tcBorders>
            <w:shd w:val="clear" w:color="auto" w:fill="auto"/>
            <w:noWrap/>
            <w:vAlign w:val="center"/>
            <w:hideMark/>
          </w:tcPr>
          <w:p w14:paraId="0C5C054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25.59</w:t>
            </w:r>
          </w:p>
        </w:tc>
        <w:tc>
          <w:tcPr>
            <w:tcW w:w="1902" w:type="dxa"/>
            <w:tcBorders>
              <w:top w:val="nil"/>
              <w:left w:val="nil"/>
              <w:bottom w:val="nil"/>
              <w:right w:val="nil"/>
            </w:tcBorders>
            <w:shd w:val="clear" w:color="auto" w:fill="auto"/>
            <w:noWrap/>
            <w:vAlign w:val="bottom"/>
            <w:hideMark/>
          </w:tcPr>
          <w:p w14:paraId="41439BBC"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62 ± 36</w:t>
            </w:r>
          </w:p>
        </w:tc>
      </w:tr>
      <w:tr w:rsidR="00A1654F" w:rsidRPr="00D92CE9" w14:paraId="72BE9070" w14:textId="77777777" w:rsidTr="0034585C">
        <w:tc>
          <w:tcPr>
            <w:tcW w:w="2835" w:type="dxa"/>
            <w:tcBorders>
              <w:top w:val="nil"/>
              <w:left w:val="nil"/>
              <w:bottom w:val="nil"/>
              <w:right w:val="nil"/>
            </w:tcBorders>
            <w:shd w:val="clear" w:color="auto" w:fill="auto"/>
            <w:noWrap/>
            <w:vAlign w:val="bottom"/>
            <w:hideMark/>
          </w:tcPr>
          <w:p w14:paraId="5AA0858F" w14:textId="77777777" w:rsidR="00A1654F" w:rsidRPr="00D92CE9" w:rsidRDefault="00A1654F" w:rsidP="0034585C">
            <w:pPr>
              <w:spacing w:after="0" w:line="240" w:lineRule="auto"/>
              <w:ind w:firstLineChars="200" w:firstLine="440"/>
              <w:rPr>
                <w:rFonts w:ascii="Calibri" w:eastAsia="Times New Roman" w:hAnsi="Calibri" w:cs="Calibri"/>
                <w:color w:val="000000"/>
                <w:lang w:eastAsia="nb-NO"/>
              </w:rPr>
            </w:pPr>
            <w:r w:rsidRPr="00D92CE9">
              <w:rPr>
                <w:rFonts w:ascii="Calibri" w:eastAsia="Times New Roman" w:hAnsi="Calibri" w:cs="Calibri"/>
                <w:color w:val="000000"/>
                <w:lang w:eastAsia="nb-NO"/>
              </w:rPr>
              <w:t>unknown 2019</w:t>
            </w:r>
          </w:p>
        </w:tc>
        <w:tc>
          <w:tcPr>
            <w:tcW w:w="1843" w:type="dxa"/>
            <w:tcBorders>
              <w:top w:val="nil"/>
              <w:left w:val="nil"/>
              <w:bottom w:val="nil"/>
              <w:right w:val="nil"/>
            </w:tcBorders>
            <w:shd w:val="clear" w:color="auto" w:fill="auto"/>
            <w:noWrap/>
            <w:vAlign w:val="bottom"/>
            <w:hideMark/>
          </w:tcPr>
          <w:p w14:paraId="5B30B569"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44 (8) / 63 (10)</w:t>
            </w:r>
          </w:p>
        </w:tc>
        <w:tc>
          <w:tcPr>
            <w:tcW w:w="1418" w:type="dxa"/>
            <w:tcBorders>
              <w:top w:val="nil"/>
              <w:left w:val="nil"/>
              <w:bottom w:val="nil"/>
              <w:right w:val="nil"/>
            </w:tcBorders>
            <w:shd w:val="clear" w:color="auto" w:fill="auto"/>
            <w:noWrap/>
            <w:vAlign w:val="bottom"/>
            <w:hideMark/>
          </w:tcPr>
          <w:p w14:paraId="76AC5DA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5.27 ± 3.55</w:t>
            </w:r>
          </w:p>
        </w:tc>
        <w:tc>
          <w:tcPr>
            <w:tcW w:w="1512" w:type="dxa"/>
            <w:tcBorders>
              <w:top w:val="nil"/>
              <w:left w:val="nil"/>
              <w:bottom w:val="nil"/>
              <w:right w:val="nil"/>
            </w:tcBorders>
            <w:shd w:val="clear" w:color="auto" w:fill="auto"/>
            <w:noWrap/>
            <w:vAlign w:val="center"/>
            <w:hideMark/>
          </w:tcPr>
          <w:p w14:paraId="4D91A7B5"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19.22</w:t>
            </w:r>
          </w:p>
        </w:tc>
        <w:tc>
          <w:tcPr>
            <w:tcW w:w="1902" w:type="dxa"/>
            <w:tcBorders>
              <w:top w:val="nil"/>
              <w:left w:val="nil"/>
              <w:bottom w:val="nil"/>
              <w:right w:val="nil"/>
            </w:tcBorders>
            <w:shd w:val="clear" w:color="auto" w:fill="auto"/>
            <w:noWrap/>
            <w:vAlign w:val="bottom"/>
            <w:hideMark/>
          </w:tcPr>
          <w:p w14:paraId="67DBB513"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167 ± 183</w:t>
            </w:r>
          </w:p>
        </w:tc>
      </w:tr>
      <w:tr w:rsidR="00A1654F" w:rsidRPr="00D92CE9" w14:paraId="52D9087A" w14:textId="77777777" w:rsidTr="0034585C">
        <w:tc>
          <w:tcPr>
            <w:tcW w:w="2835" w:type="dxa"/>
            <w:tcBorders>
              <w:top w:val="nil"/>
              <w:left w:val="nil"/>
              <w:bottom w:val="nil"/>
              <w:right w:val="nil"/>
            </w:tcBorders>
            <w:shd w:val="clear" w:color="auto" w:fill="auto"/>
            <w:noWrap/>
            <w:vAlign w:val="bottom"/>
            <w:hideMark/>
          </w:tcPr>
          <w:p w14:paraId="13B8002B" w14:textId="77777777" w:rsidR="00A1654F" w:rsidRPr="00D92CE9" w:rsidRDefault="00A1654F" w:rsidP="0034585C">
            <w:pPr>
              <w:spacing w:after="0" w:line="240" w:lineRule="auto"/>
              <w:rPr>
                <w:rFonts w:ascii="Calibri" w:eastAsia="Times New Roman" w:hAnsi="Calibri" w:cs="Calibri"/>
                <w:color w:val="000000"/>
                <w:lang w:eastAsia="nb-NO"/>
              </w:rPr>
            </w:pPr>
            <w:r w:rsidRPr="00D92CE9">
              <w:rPr>
                <w:rFonts w:ascii="Calibri" w:eastAsia="Times New Roman" w:hAnsi="Calibri" w:cs="Calibri"/>
                <w:color w:val="000000"/>
                <w:lang w:eastAsia="nb-NO"/>
              </w:rPr>
              <w:t xml:space="preserve">Vega (2021) </w:t>
            </w:r>
          </w:p>
        </w:tc>
        <w:tc>
          <w:tcPr>
            <w:tcW w:w="1843" w:type="dxa"/>
            <w:tcBorders>
              <w:top w:val="nil"/>
              <w:left w:val="nil"/>
              <w:bottom w:val="nil"/>
              <w:right w:val="nil"/>
            </w:tcBorders>
            <w:shd w:val="clear" w:color="auto" w:fill="auto"/>
            <w:noWrap/>
            <w:vAlign w:val="bottom"/>
            <w:hideMark/>
          </w:tcPr>
          <w:p w14:paraId="14EB1F41"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50 (8) / 144 (9)</w:t>
            </w:r>
          </w:p>
        </w:tc>
        <w:tc>
          <w:tcPr>
            <w:tcW w:w="1418" w:type="dxa"/>
            <w:tcBorders>
              <w:top w:val="nil"/>
              <w:left w:val="nil"/>
              <w:bottom w:val="nil"/>
              <w:right w:val="nil"/>
            </w:tcBorders>
            <w:shd w:val="clear" w:color="auto" w:fill="auto"/>
            <w:noWrap/>
            <w:vAlign w:val="bottom"/>
            <w:hideMark/>
          </w:tcPr>
          <w:p w14:paraId="1B1ACBD8"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2.56 ± 2.72</w:t>
            </w:r>
          </w:p>
        </w:tc>
        <w:tc>
          <w:tcPr>
            <w:tcW w:w="1512" w:type="dxa"/>
            <w:tcBorders>
              <w:top w:val="nil"/>
              <w:left w:val="nil"/>
              <w:bottom w:val="nil"/>
              <w:right w:val="nil"/>
            </w:tcBorders>
            <w:shd w:val="clear" w:color="auto" w:fill="auto"/>
            <w:noWrap/>
            <w:vAlign w:val="center"/>
            <w:hideMark/>
          </w:tcPr>
          <w:p w14:paraId="6E0ADF0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17.12</w:t>
            </w:r>
          </w:p>
        </w:tc>
        <w:tc>
          <w:tcPr>
            <w:tcW w:w="1902" w:type="dxa"/>
            <w:tcBorders>
              <w:top w:val="nil"/>
              <w:left w:val="nil"/>
              <w:bottom w:val="nil"/>
              <w:right w:val="nil"/>
            </w:tcBorders>
            <w:shd w:val="clear" w:color="auto" w:fill="auto"/>
            <w:noWrap/>
            <w:vAlign w:val="bottom"/>
            <w:hideMark/>
          </w:tcPr>
          <w:p w14:paraId="321B0D4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126 ± 198</w:t>
            </w:r>
          </w:p>
        </w:tc>
      </w:tr>
      <w:tr w:rsidR="00A1654F" w:rsidRPr="00D92CE9" w14:paraId="12F4EF20" w14:textId="77777777" w:rsidTr="0034585C">
        <w:tc>
          <w:tcPr>
            <w:tcW w:w="2835" w:type="dxa"/>
            <w:tcBorders>
              <w:top w:val="nil"/>
              <w:left w:val="nil"/>
              <w:bottom w:val="nil"/>
              <w:right w:val="nil"/>
            </w:tcBorders>
            <w:shd w:val="clear" w:color="auto" w:fill="auto"/>
            <w:noWrap/>
            <w:vAlign w:val="bottom"/>
            <w:hideMark/>
          </w:tcPr>
          <w:p w14:paraId="6B270630"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chick-rearing</w:t>
            </w:r>
          </w:p>
        </w:tc>
        <w:tc>
          <w:tcPr>
            <w:tcW w:w="1843" w:type="dxa"/>
            <w:tcBorders>
              <w:top w:val="nil"/>
              <w:left w:val="nil"/>
              <w:bottom w:val="nil"/>
              <w:right w:val="nil"/>
            </w:tcBorders>
            <w:shd w:val="clear" w:color="auto" w:fill="auto"/>
            <w:noWrap/>
            <w:vAlign w:val="bottom"/>
            <w:hideMark/>
          </w:tcPr>
          <w:p w14:paraId="53253F6B"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47 (5) / 127 (5)</w:t>
            </w:r>
          </w:p>
        </w:tc>
        <w:tc>
          <w:tcPr>
            <w:tcW w:w="1418" w:type="dxa"/>
            <w:tcBorders>
              <w:top w:val="nil"/>
              <w:left w:val="nil"/>
              <w:bottom w:val="nil"/>
              <w:right w:val="nil"/>
            </w:tcBorders>
            <w:shd w:val="clear" w:color="auto" w:fill="auto"/>
            <w:noWrap/>
            <w:vAlign w:val="bottom"/>
            <w:hideMark/>
          </w:tcPr>
          <w:p w14:paraId="56FEDFEF"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2.58 ± 2.78</w:t>
            </w:r>
          </w:p>
        </w:tc>
        <w:tc>
          <w:tcPr>
            <w:tcW w:w="1512" w:type="dxa"/>
            <w:tcBorders>
              <w:top w:val="nil"/>
              <w:left w:val="nil"/>
              <w:bottom w:val="nil"/>
              <w:right w:val="nil"/>
            </w:tcBorders>
            <w:shd w:val="clear" w:color="auto" w:fill="auto"/>
            <w:noWrap/>
            <w:vAlign w:val="center"/>
            <w:hideMark/>
          </w:tcPr>
          <w:p w14:paraId="0AE1BB8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17.12</w:t>
            </w:r>
          </w:p>
        </w:tc>
        <w:tc>
          <w:tcPr>
            <w:tcW w:w="1902" w:type="dxa"/>
            <w:tcBorders>
              <w:top w:val="nil"/>
              <w:left w:val="nil"/>
              <w:bottom w:val="nil"/>
              <w:right w:val="nil"/>
            </w:tcBorders>
            <w:shd w:val="clear" w:color="auto" w:fill="auto"/>
            <w:noWrap/>
            <w:vAlign w:val="bottom"/>
            <w:hideMark/>
          </w:tcPr>
          <w:p w14:paraId="10E3EC82"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126 ± 201</w:t>
            </w:r>
          </w:p>
        </w:tc>
      </w:tr>
      <w:tr w:rsidR="00A1654F" w:rsidRPr="00D92CE9" w14:paraId="41BC7CF0" w14:textId="77777777" w:rsidTr="0034585C">
        <w:tc>
          <w:tcPr>
            <w:tcW w:w="2835" w:type="dxa"/>
            <w:tcBorders>
              <w:top w:val="nil"/>
              <w:left w:val="nil"/>
              <w:bottom w:val="nil"/>
              <w:right w:val="nil"/>
            </w:tcBorders>
            <w:shd w:val="clear" w:color="auto" w:fill="auto"/>
            <w:noWrap/>
            <w:vAlign w:val="bottom"/>
            <w:hideMark/>
          </w:tcPr>
          <w:p w14:paraId="5986656E"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unknown</w:t>
            </w:r>
          </w:p>
        </w:tc>
        <w:tc>
          <w:tcPr>
            <w:tcW w:w="1843" w:type="dxa"/>
            <w:tcBorders>
              <w:top w:val="nil"/>
              <w:left w:val="nil"/>
              <w:bottom w:val="nil"/>
              <w:right w:val="nil"/>
            </w:tcBorders>
            <w:shd w:val="clear" w:color="auto" w:fill="auto"/>
            <w:noWrap/>
            <w:vAlign w:val="bottom"/>
            <w:hideMark/>
          </w:tcPr>
          <w:p w14:paraId="13EE1FC1"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3 (3) / 17 (4)</w:t>
            </w:r>
          </w:p>
        </w:tc>
        <w:tc>
          <w:tcPr>
            <w:tcW w:w="1418" w:type="dxa"/>
            <w:tcBorders>
              <w:top w:val="nil"/>
              <w:left w:val="nil"/>
              <w:bottom w:val="nil"/>
              <w:right w:val="nil"/>
            </w:tcBorders>
            <w:shd w:val="clear" w:color="auto" w:fill="auto"/>
            <w:noWrap/>
            <w:vAlign w:val="bottom"/>
            <w:hideMark/>
          </w:tcPr>
          <w:p w14:paraId="3144ED15"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2.31 ± 1.48</w:t>
            </w:r>
          </w:p>
        </w:tc>
        <w:tc>
          <w:tcPr>
            <w:tcW w:w="1512" w:type="dxa"/>
            <w:tcBorders>
              <w:top w:val="nil"/>
              <w:left w:val="nil"/>
              <w:bottom w:val="nil"/>
              <w:right w:val="nil"/>
            </w:tcBorders>
            <w:shd w:val="clear" w:color="auto" w:fill="auto"/>
            <w:noWrap/>
            <w:vAlign w:val="center"/>
            <w:hideMark/>
          </w:tcPr>
          <w:p w14:paraId="3C47FA6C"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7.45</w:t>
            </w:r>
          </w:p>
        </w:tc>
        <w:tc>
          <w:tcPr>
            <w:tcW w:w="1902" w:type="dxa"/>
            <w:tcBorders>
              <w:top w:val="nil"/>
              <w:left w:val="nil"/>
              <w:bottom w:val="nil"/>
              <w:right w:val="nil"/>
            </w:tcBorders>
            <w:shd w:val="clear" w:color="auto" w:fill="auto"/>
            <w:noWrap/>
            <w:vAlign w:val="bottom"/>
            <w:hideMark/>
          </w:tcPr>
          <w:p w14:paraId="305ED920"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119 ± 139</w:t>
            </w:r>
          </w:p>
        </w:tc>
      </w:tr>
      <w:tr w:rsidR="00A1654F" w:rsidRPr="00D92CE9" w14:paraId="16468BAB" w14:textId="77777777" w:rsidTr="0034585C">
        <w:tc>
          <w:tcPr>
            <w:tcW w:w="2835" w:type="dxa"/>
            <w:tcBorders>
              <w:top w:val="nil"/>
              <w:left w:val="nil"/>
              <w:bottom w:val="nil"/>
              <w:right w:val="nil"/>
            </w:tcBorders>
            <w:shd w:val="clear" w:color="auto" w:fill="auto"/>
            <w:noWrap/>
            <w:vAlign w:val="bottom"/>
            <w:hideMark/>
          </w:tcPr>
          <w:p w14:paraId="7711D4A2" w14:textId="77777777" w:rsidR="00A1654F" w:rsidRPr="00D92CE9" w:rsidRDefault="00A1654F" w:rsidP="0034585C">
            <w:pPr>
              <w:spacing w:after="0" w:line="240" w:lineRule="auto"/>
              <w:rPr>
                <w:rFonts w:ascii="Calibri" w:eastAsia="Times New Roman" w:hAnsi="Calibri" w:cs="Calibri"/>
                <w:color w:val="000000"/>
                <w:lang w:eastAsia="nb-NO"/>
              </w:rPr>
            </w:pPr>
            <w:r w:rsidRPr="00D92CE9">
              <w:rPr>
                <w:rFonts w:ascii="Calibri" w:eastAsia="Times New Roman" w:hAnsi="Calibri" w:cs="Calibri"/>
                <w:color w:val="000000"/>
                <w:lang w:eastAsia="nb-NO"/>
              </w:rPr>
              <w:t>Røst (2019, 2021)</w:t>
            </w:r>
          </w:p>
        </w:tc>
        <w:tc>
          <w:tcPr>
            <w:tcW w:w="1843" w:type="dxa"/>
            <w:tcBorders>
              <w:top w:val="nil"/>
              <w:left w:val="nil"/>
              <w:bottom w:val="nil"/>
              <w:right w:val="nil"/>
            </w:tcBorders>
            <w:shd w:val="clear" w:color="auto" w:fill="auto"/>
            <w:noWrap/>
            <w:vAlign w:val="bottom"/>
            <w:hideMark/>
          </w:tcPr>
          <w:p w14:paraId="021735B4"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21 (7) / 192 (7)</w:t>
            </w:r>
          </w:p>
        </w:tc>
        <w:tc>
          <w:tcPr>
            <w:tcW w:w="1418" w:type="dxa"/>
            <w:tcBorders>
              <w:top w:val="nil"/>
              <w:left w:val="nil"/>
              <w:bottom w:val="nil"/>
              <w:right w:val="nil"/>
            </w:tcBorders>
            <w:shd w:val="clear" w:color="auto" w:fill="auto"/>
            <w:noWrap/>
            <w:vAlign w:val="bottom"/>
            <w:hideMark/>
          </w:tcPr>
          <w:p w14:paraId="4F73EEC4"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1.76 ± 1.67</w:t>
            </w:r>
          </w:p>
        </w:tc>
        <w:tc>
          <w:tcPr>
            <w:tcW w:w="1512" w:type="dxa"/>
            <w:tcBorders>
              <w:top w:val="nil"/>
              <w:left w:val="nil"/>
              <w:bottom w:val="nil"/>
              <w:right w:val="nil"/>
            </w:tcBorders>
            <w:shd w:val="clear" w:color="auto" w:fill="auto"/>
            <w:noWrap/>
            <w:vAlign w:val="bottom"/>
            <w:hideMark/>
          </w:tcPr>
          <w:p w14:paraId="2D9BADC6"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10.19</w:t>
            </w:r>
          </w:p>
        </w:tc>
        <w:tc>
          <w:tcPr>
            <w:tcW w:w="1902" w:type="dxa"/>
            <w:tcBorders>
              <w:top w:val="nil"/>
              <w:left w:val="nil"/>
              <w:bottom w:val="nil"/>
              <w:right w:val="nil"/>
            </w:tcBorders>
            <w:shd w:val="clear" w:color="auto" w:fill="auto"/>
            <w:noWrap/>
            <w:vAlign w:val="bottom"/>
            <w:hideMark/>
          </w:tcPr>
          <w:p w14:paraId="486643DF"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109 ± 173</w:t>
            </w:r>
          </w:p>
        </w:tc>
      </w:tr>
      <w:tr w:rsidR="00A1654F" w:rsidRPr="00D92CE9" w14:paraId="0E193F53" w14:textId="77777777" w:rsidTr="0034585C">
        <w:tc>
          <w:tcPr>
            <w:tcW w:w="2835" w:type="dxa"/>
            <w:tcBorders>
              <w:top w:val="nil"/>
              <w:left w:val="nil"/>
              <w:bottom w:val="nil"/>
              <w:right w:val="nil"/>
            </w:tcBorders>
            <w:shd w:val="clear" w:color="auto" w:fill="auto"/>
            <w:noWrap/>
            <w:vAlign w:val="bottom"/>
            <w:hideMark/>
          </w:tcPr>
          <w:p w14:paraId="2B68E7CE"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chick-rearing 2019</w:t>
            </w:r>
          </w:p>
        </w:tc>
        <w:tc>
          <w:tcPr>
            <w:tcW w:w="1843" w:type="dxa"/>
            <w:tcBorders>
              <w:top w:val="nil"/>
              <w:left w:val="nil"/>
              <w:bottom w:val="nil"/>
              <w:right w:val="nil"/>
            </w:tcBorders>
            <w:shd w:val="clear" w:color="auto" w:fill="auto"/>
            <w:noWrap/>
            <w:vAlign w:val="bottom"/>
            <w:hideMark/>
          </w:tcPr>
          <w:p w14:paraId="729184A7"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7 (2) / 35 (2)</w:t>
            </w:r>
          </w:p>
        </w:tc>
        <w:tc>
          <w:tcPr>
            <w:tcW w:w="1418" w:type="dxa"/>
            <w:tcBorders>
              <w:top w:val="nil"/>
              <w:left w:val="nil"/>
              <w:bottom w:val="nil"/>
              <w:right w:val="nil"/>
            </w:tcBorders>
            <w:shd w:val="clear" w:color="auto" w:fill="auto"/>
            <w:noWrap/>
            <w:vAlign w:val="bottom"/>
            <w:hideMark/>
          </w:tcPr>
          <w:p w14:paraId="539AEB0F"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0.9 ± 0.35</w:t>
            </w:r>
          </w:p>
        </w:tc>
        <w:tc>
          <w:tcPr>
            <w:tcW w:w="1512" w:type="dxa"/>
            <w:tcBorders>
              <w:top w:val="nil"/>
              <w:left w:val="nil"/>
              <w:bottom w:val="nil"/>
              <w:right w:val="nil"/>
            </w:tcBorders>
            <w:shd w:val="clear" w:color="auto" w:fill="auto"/>
            <w:noWrap/>
            <w:vAlign w:val="center"/>
            <w:hideMark/>
          </w:tcPr>
          <w:p w14:paraId="793889F8"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1.31</w:t>
            </w:r>
          </w:p>
        </w:tc>
        <w:tc>
          <w:tcPr>
            <w:tcW w:w="1902" w:type="dxa"/>
            <w:tcBorders>
              <w:top w:val="nil"/>
              <w:left w:val="nil"/>
              <w:bottom w:val="nil"/>
              <w:right w:val="nil"/>
            </w:tcBorders>
            <w:shd w:val="clear" w:color="auto" w:fill="auto"/>
            <w:noWrap/>
            <w:vAlign w:val="bottom"/>
            <w:hideMark/>
          </w:tcPr>
          <w:p w14:paraId="0911E20A"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136 ± 97</w:t>
            </w:r>
          </w:p>
        </w:tc>
      </w:tr>
      <w:tr w:rsidR="00A1654F" w:rsidRPr="00D92CE9" w14:paraId="06E083C4" w14:textId="77777777" w:rsidTr="0034585C">
        <w:tc>
          <w:tcPr>
            <w:tcW w:w="2835" w:type="dxa"/>
            <w:tcBorders>
              <w:top w:val="nil"/>
              <w:left w:val="nil"/>
              <w:bottom w:val="single" w:sz="4" w:space="0" w:color="auto"/>
              <w:right w:val="nil"/>
            </w:tcBorders>
            <w:shd w:val="clear" w:color="auto" w:fill="auto"/>
            <w:noWrap/>
            <w:vAlign w:val="bottom"/>
            <w:hideMark/>
          </w:tcPr>
          <w:p w14:paraId="799F14A3" w14:textId="77777777" w:rsidR="00A1654F" w:rsidRPr="00D92CE9" w:rsidRDefault="00A1654F" w:rsidP="0034585C">
            <w:pPr>
              <w:spacing w:after="0" w:line="240" w:lineRule="auto"/>
              <w:ind w:firstLineChars="100" w:firstLine="220"/>
              <w:rPr>
                <w:rFonts w:ascii="Calibri" w:eastAsia="Times New Roman" w:hAnsi="Calibri" w:cs="Calibri"/>
                <w:color w:val="000000"/>
                <w:lang w:eastAsia="nb-NO"/>
              </w:rPr>
            </w:pPr>
            <w:r w:rsidRPr="00D92CE9">
              <w:rPr>
                <w:rFonts w:ascii="Calibri" w:eastAsia="Times New Roman" w:hAnsi="Calibri" w:cs="Calibri"/>
                <w:color w:val="000000"/>
                <w:lang w:eastAsia="nb-NO"/>
              </w:rPr>
              <w:t>chick-rearing 2021</w:t>
            </w:r>
          </w:p>
        </w:tc>
        <w:tc>
          <w:tcPr>
            <w:tcW w:w="1843" w:type="dxa"/>
            <w:tcBorders>
              <w:top w:val="nil"/>
              <w:left w:val="nil"/>
              <w:bottom w:val="single" w:sz="4" w:space="0" w:color="auto"/>
              <w:right w:val="nil"/>
            </w:tcBorders>
            <w:shd w:val="clear" w:color="auto" w:fill="auto"/>
            <w:noWrap/>
            <w:vAlign w:val="bottom"/>
            <w:hideMark/>
          </w:tcPr>
          <w:p w14:paraId="66E7A7F9"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14 (5) / 157 (5)</w:t>
            </w:r>
          </w:p>
        </w:tc>
        <w:tc>
          <w:tcPr>
            <w:tcW w:w="1418" w:type="dxa"/>
            <w:tcBorders>
              <w:top w:val="nil"/>
              <w:left w:val="nil"/>
              <w:bottom w:val="single" w:sz="4" w:space="0" w:color="auto"/>
              <w:right w:val="nil"/>
            </w:tcBorders>
            <w:shd w:val="clear" w:color="auto" w:fill="auto"/>
            <w:noWrap/>
            <w:vAlign w:val="bottom"/>
            <w:hideMark/>
          </w:tcPr>
          <w:p w14:paraId="6023F7E9"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2.18 ± 1.89</w:t>
            </w:r>
          </w:p>
        </w:tc>
        <w:tc>
          <w:tcPr>
            <w:tcW w:w="1512" w:type="dxa"/>
            <w:tcBorders>
              <w:top w:val="nil"/>
              <w:left w:val="nil"/>
              <w:bottom w:val="single" w:sz="4" w:space="0" w:color="auto"/>
              <w:right w:val="nil"/>
            </w:tcBorders>
            <w:shd w:val="clear" w:color="auto" w:fill="auto"/>
            <w:noWrap/>
            <w:vAlign w:val="center"/>
            <w:hideMark/>
          </w:tcPr>
          <w:p w14:paraId="5EEA9A88"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10.19</w:t>
            </w:r>
          </w:p>
        </w:tc>
        <w:tc>
          <w:tcPr>
            <w:tcW w:w="1902" w:type="dxa"/>
            <w:tcBorders>
              <w:top w:val="nil"/>
              <w:left w:val="nil"/>
              <w:bottom w:val="single" w:sz="4" w:space="0" w:color="auto"/>
              <w:right w:val="nil"/>
            </w:tcBorders>
            <w:shd w:val="clear" w:color="auto" w:fill="auto"/>
            <w:noWrap/>
            <w:vAlign w:val="bottom"/>
            <w:hideMark/>
          </w:tcPr>
          <w:p w14:paraId="69373B08" w14:textId="77777777" w:rsidR="00A1654F" w:rsidRPr="00D92CE9" w:rsidRDefault="00A1654F" w:rsidP="0034585C">
            <w:pPr>
              <w:spacing w:after="0" w:line="240" w:lineRule="auto"/>
              <w:jc w:val="center"/>
              <w:rPr>
                <w:rFonts w:ascii="Calibri" w:eastAsia="Times New Roman" w:hAnsi="Calibri" w:cs="Calibri"/>
                <w:color w:val="000000"/>
                <w:lang w:eastAsia="nb-NO"/>
              </w:rPr>
            </w:pPr>
            <w:r w:rsidRPr="00D92CE9">
              <w:rPr>
                <w:rFonts w:ascii="Calibri" w:eastAsia="Times New Roman" w:hAnsi="Calibri" w:cs="Calibri"/>
                <w:color w:val="000000"/>
                <w:lang w:eastAsia="nb-NO"/>
              </w:rPr>
              <w:t>96 ± 199</w:t>
            </w:r>
          </w:p>
        </w:tc>
      </w:tr>
    </w:tbl>
    <w:p w14:paraId="6E2BB238" w14:textId="77777777" w:rsidR="00A1654F" w:rsidRPr="00D92CE9" w:rsidRDefault="00A1654F" w:rsidP="00A1654F">
      <w:pPr>
        <w:spacing w:line="480" w:lineRule="auto"/>
      </w:pPr>
    </w:p>
    <w:p w14:paraId="1D60FB24" w14:textId="77777777" w:rsidR="00A1654F" w:rsidRPr="00D92CE9" w:rsidRDefault="00A1654F" w:rsidP="00A1654F">
      <w:pPr>
        <w:jc w:val="both"/>
        <w:rPr>
          <w:rFonts w:cs="Times New Roman"/>
          <w:b/>
          <w:szCs w:val="24"/>
        </w:rPr>
      </w:pPr>
    </w:p>
    <w:p w14:paraId="2C8F6407" w14:textId="77777777" w:rsidR="00A1654F" w:rsidRPr="00D92CE9" w:rsidRDefault="00A1654F" w:rsidP="00A1654F">
      <w:pPr>
        <w:jc w:val="both"/>
        <w:rPr>
          <w:rFonts w:cs="Times New Roman"/>
          <w:b/>
          <w:szCs w:val="24"/>
        </w:rPr>
      </w:pPr>
    </w:p>
    <w:p w14:paraId="1CA8E5C3" w14:textId="77777777" w:rsidR="00A1654F" w:rsidRDefault="00A1654F"/>
    <w:sectPr w:rsidR="00A1654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9A330" w14:textId="77777777" w:rsidR="00A1654F" w:rsidRDefault="00A1654F" w:rsidP="00A1654F">
      <w:pPr>
        <w:spacing w:after="0" w:line="240" w:lineRule="auto"/>
      </w:pPr>
      <w:r>
        <w:separator/>
      </w:r>
    </w:p>
  </w:endnote>
  <w:endnote w:type="continuationSeparator" w:id="0">
    <w:p w14:paraId="17573BBA" w14:textId="77777777" w:rsidR="00A1654F" w:rsidRDefault="00A1654F" w:rsidP="00A16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FBE4" w14:textId="77777777" w:rsidR="00A1654F" w:rsidRDefault="00A1654F" w:rsidP="00A1654F">
      <w:pPr>
        <w:spacing w:after="0" w:line="240" w:lineRule="auto"/>
      </w:pPr>
      <w:r>
        <w:separator/>
      </w:r>
    </w:p>
  </w:footnote>
  <w:footnote w:type="continuationSeparator" w:id="0">
    <w:p w14:paraId="03772D51" w14:textId="77777777" w:rsidR="00A1654F" w:rsidRDefault="00A1654F" w:rsidP="00A16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CDB7" w14:textId="2FC0EFD6" w:rsidR="00A1654F" w:rsidRPr="00A1654F" w:rsidRDefault="00A1654F" w:rsidP="00A1654F">
    <w:pPr>
      <w:rPr>
        <w:lang w:val="en-US"/>
      </w:rPr>
    </w:pPr>
    <w:r w:rsidRPr="00A1654F">
      <w:rPr>
        <w:lang w:val="en-US"/>
      </w:rPr>
      <w:t>Dehnhard et al. - Foraging behaviour of black guillemots at three Norwegian s</w:t>
    </w:r>
    <w:r w:rsidR="00145F7E">
      <w:rPr>
        <w:lang w:val="en-US"/>
      </w:rPr>
      <w:t>ites</w:t>
    </w:r>
    <w:r w:rsidRPr="00A1654F">
      <w:rPr>
        <w:lang w:val="en-US"/>
      </w:rPr>
      <w:t xml:space="preserve"> during the breeding season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4F"/>
    <w:rsid w:val="00145F7E"/>
    <w:rsid w:val="00696C4A"/>
    <w:rsid w:val="008B2C5C"/>
    <w:rsid w:val="00A1654F"/>
    <w:rsid w:val="00B11324"/>
    <w:rsid w:val="00B608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21CE"/>
  <w15:chartTrackingRefBased/>
  <w15:docId w15:val="{F12E99CD-214E-444A-A752-62DB0985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54F"/>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654F"/>
  </w:style>
  <w:style w:type="paragraph" w:styleId="Footer">
    <w:name w:val="footer"/>
    <w:basedOn w:val="Normal"/>
    <w:link w:val="FooterChar"/>
    <w:uiPriority w:val="99"/>
    <w:unhideWhenUsed/>
    <w:rsid w:val="00A1654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6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241</Words>
  <Characters>1282</Characters>
  <Application>Microsoft Office Word</Application>
  <DocSecurity>0</DocSecurity>
  <Lines>10</Lines>
  <Paragraphs>3</Paragraphs>
  <ScaleCrop>false</ScaleCrop>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Dehnhard</dc:creator>
  <cp:keywords/>
  <dc:description/>
  <cp:lastModifiedBy>Nina Dehnhard</cp:lastModifiedBy>
  <cp:revision>3</cp:revision>
  <dcterms:created xsi:type="dcterms:W3CDTF">2023-03-04T15:10:00Z</dcterms:created>
  <dcterms:modified xsi:type="dcterms:W3CDTF">2023-03-05T15:55:00Z</dcterms:modified>
</cp:coreProperties>
</file>